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57A29" w14:textId="5E54FEA5" w:rsidR="00D625A6" w:rsidRDefault="00D625A6">
      <w:pPr>
        <w:ind w:left="-630"/>
        <w:rPr>
          <w:b/>
          <w:sz w:val="24"/>
          <w:szCs w:val="24"/>
          <w:u w:val="single"/>
        </w:rPr>
      </w:pPr>
    </w:p>
    <w:p w14:paraId="5B2C4947" w14:textId="77777777" w:rsidR="00D625A6" w:rsidRDefault="00000000">
      <w:pPr>
        <w:jc w:val="center"/>
        <w:rPr>
          <w:b/>
          <w:sz w:val="24"/>
          <w:szCs w:val="24"/>
          <w:u w:val="single"/>
        </w:rPr>
      </w:pPr>
      <w:r>
        <w:rPr>
          <w:b/>
          <w:sz w:val="24"/>
          <w:szCs w:val="24"/>
          <w:u w:val="single"/>
        </w:rPr>
        <w:t>ACTIVITY REPORT TEMPLATE</w:t>
      </w:r>
    </w:p>
    <w:tbl>
      <w:tblPr>
        <w:tblW w:w="1087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185"/>
      </w:tblGrid>
      <w:tr w:rsidR="00D625A6" w14:paraId="4565562D" w14:textId="77777777">
        <w:tc>
          <w:tcPr>
            <w:tcW w:w="2694" w:type="dxa"/>
            <w:vAlign w:val="center"/>
          </w:tcPr>
          <w:p w14:paraId="4D040ACC" w14:textId="77777777" w:rsidR="00D625A6" w:rsidRDefault="00000000">
            <w:pPr>
              <w:spacing w:after="0" w:line="240" w:lineRule="auto"/>
              <w:rPr>
                <w:rFonts w:ascii="Cambria" w:hAnsi="Cambria"/>
              </w:rPr>
            </w:pPr>
            <w:r>
              <w:rPr>
                <w:rFonts w:ascii="Cambria" w:hAnsi="Cambria" w:hint="eastAsia"/>
              </w:rPr>
              <w:t>Activity undertaken:</w:t>
            </w:r>
          </w:p>
        </w:tc>
        <w:tc>
          <w:tcPr>
            <w:tcW w:w="8185" w:type="dxa"/>
          </w:tcPr>
          <w:p w14:paraId="2453FEDE" w14:textId="359F1DE1" w:rsidR="00D625A6" w:rsidRDefault="002220E8">
            <w:pPr>
              <w:spacing w:after="0" w:line="240" w:lineRule="auto"/>
              <w:rPr>
                <w:rFonts w:ascii="Cambria" w:hAnsi="Cambria"/>
                <w:lang w:val="en-GB"/>
              </w:rPr>
            </w:pPr>
            <w:r>
              <w:rPr>
                <w:rFonts w:ascii="Cambria" w:hAnsi="Cambria"/>
                <w:lang w:val="en-GB"/>
              </w:rPr>
              <w:t>Ghana Horticulture Expo 2026- Market Access Partnership</w:t>
            </w:r>
          </w:p>
        </w:tc>
      </w:tr>
      <w:tr w:rsidR="00D625A6" w14:paraId="27A8F446" w14:textId="77777777">
        <w:tc>
          <w:tcPr>
            <w:tcW w:w="2694" w:type="dxa"/>
            <w:vAlign w:val="center"/>
          </w:tcPr>
          <w:p w14:paraId="5BA7D9C8" w14:textId="77777777" w:rsidR="00D625A6" w:rsidRDefault="00000000">
            <w:pPr>
              <w:spacing w:after="0" w:line="240" w:lineRule="auto"/>
              <w:rPr>
                <w:rFonts w:ascii="Cambria" w:hAnsi="Cambria"/>
              </w:rPr>
            </w:pPr>
            <w:r>
              <w:rPr>
                <w:rFonts w:ascii="Cambria" w:hAnsi="Cambria" w:hint="eastAsia"/>
              </w:rPr>
              <w:t>Date:</w:t>
            </w:r>
          </w:p>
        </w:tc>
        <w:tc>
          <w:tcPr>
            <w:tcW w:w="8185" w:type="dxa"/>
          </w:tcPr>
          <w:p w14:paraId="20C10351" w14:textId="16A9C44D" w:rsidR="00D625A6" w:rsidRDefault="002220E8">
            <w:pPr>
              <w:spacing w:after="0" w:line="240" w:lineRule="auto"/>
              <w:rPr>
                <w:rFonts w:ascii="Cambria" w:hAnsi="Cambria"/>
                <w:lang w:val="en-GB"/>
              </w:rPr>
            </w:pPr>
            <w:r>
              <w:rPr>
                <w:rFonts w:ascii="Cambria" w:hAnsi="Cambria"/>
                <w:lang w:val="en-GB"/>
              </w:rPr>
              <w:t>Jan-Jun 2026</w:t>
            </w:r>
          </w:p>
        </w:tc>
      </w:tr>
      <w:tr w:rsidR="00D625A6" w14:paraId="04BDFBA8" w14:textId="77777777">
        <w:tc>
          <w:tcPr>
            <w:tcW w:w="2694" w:type="dxa"/>
            <w:vAlign w:val="center"/>
          </w:tcPr>
          <w:p w14:paraId="17AFDD9A" w14:textId="77777777" w:rsidR="00D625A6" w:rsidRDefault="00000000">
            <w:pPr>
              <w:spacing w:after="0" w:line="240" w:lineRule="auto"/>
              <w:rPr>
                <w:rFonts w:ascii="Cambria" w:hAnsi="Cambria"/>
              </w:rPr>
            </w:pPr>
            <w:r>
              <w:rPr>
                <w:rFonts w:ascii="Cambria" w:hAnsi="Cambria" w:hint="eastAsia"/>
              </w:rPr>
              <w:t>Report submitted by:</w:t>
            </w:r>
          </w:p>
        </w:tc>
        <w:tc>
          <w:tcPr>
            <w:tcW w:w="8185" w:type="dxa"/>
          </w:tcPr>
          <w:p w14:paraId="50D50AF3" w14:textId="6D50058B" w:rsidR="00D625A6" w:rsidRDefault="002220E8">
            <w:pPr>
              <w:spacing w:after="0" w:line="240" w:lineRule="auto"/>
              <w:rPr>
                <w:rFonts w:ascii="Cambria" w:hAnsi="Cambria"/>
              </w:rPr>
            </w:pPr>
            <w:r>
              <w:rPr>
                <w:rFonts w:ascii="Cambria" w:hAnsi="Cambria"/>
              </w:rPr>
              <w:t>Horticulture Business Platform</w:t>
            </w:r>
          </w:p>
          <w:p w14:paraId="1811FA5A" w14:textId="2C285E37" w:rsidR="00D625A6" w:rsidRDefault="00D625A6">
            <w:pPr>
              <w:spacing w:after="0" w:line="240" w:lineRule="auto"/>
              <w:rPr>
                <w:rFonts w:ascii="Cambria" w:hAnsi="Cambria"/>
                <w:lang w:val="en-GB"/>
              </w:rPr>
            </w:pPr>
          </w:p>
        </w:tc>
      </w:tr>
      <w:tr w:rsidR="00D625A6" w14:paraId="2D2A9785" w14:textId="77777777">
        <w:tc>
          <w:tcPr>
            <w:tcW w:w="2694" w:type="dxa"/>
            <w:vAlign w:val="center"/>
          </w:tcPr>
          <w:p w14:paraId="076C0EE9" w14:textId="77777777" w:rsidR="00D625A6" w:rsidRDefault="00000000">
            <w:pPr>
              <w:spacing w:after="0" w:line="240" w:lineRule="auto"/>
              <w:rPr>
                <w:rFonts w:ascii="Cambria" w:hAnsi="Cambria"/>
              </w:rPr>
            </w:pPr>
            <w:r>
              <w:rPr>
                <w:rFonts w:ascii="Cambria" w:hAnsi="Cambria" w:hint="eastAsia"/>
              </w:rPr>
              <w:t>Date submitted:</w:t>
            </w:r>
          </w:p>
        </w:tc>
        <w:tc>
          <w:tcPr>
            <w:tcW w:w="8185" w:type="dxa"/>
          </w:tcPr>
          <w:p w14:paraId="5784C0EF" w14:textId="77777777" w:rsidR="00D625A6" w:rsidRDefault="00D625A6">
            <w:pPr>
              <w:spacing w:after="0" w:line="240" w:lineRule="auto"/>
              <w:rPr>
                <w:rFonts w:ascii="Cambria" w:hAnsi="Cambria"/>
              </w:rPr>
            </w:pPr>
          </w:p>
          <w:p w14:paraId="1AEA64D2" w14:textId="61470ACC" w:rsidR="00D625A6" w:rsidRDefault="002220E8">
            <w:pPr>
              <w:spacing w:after="0" w:line="240" w:lineRule="auto"/>
              <w:rPr>
                <w:rFonts w:ascii="Cambria" w:hAnsi="Cambria"/>
                <w:lang w:val="en-GB"/>
              </w:rPr>
            </w:pPr>
            <w:r>
              <w:rPr>
                <w:rFonts w:ascii="Cambria" w:hAnsi="Cambria"/>
                <w:lang w:val="en-GB"/>
              </w:rPr>
              <w:t>July 1</w:t>
            </w:r>
            <w:r w:rsidR="00D26C02">
              <w:rPr>
                <w:rFonts w:ascii="Cambria" w:hAnsi="Cambria"/>
                <w:lang w:val="en-GB"/>
              </w:rPr>
              <w:t>5</w:t>
            </w:r>
            <w:r>
              <w:rPr>
                <w:rFonts w:ascii="Cambria" w:hAnsi="Cambria"/>
                <w:lang w:val="en-GB"/>
              </w:rPr>
              <w:t>, 2026</w:t>
            </w:r>
          </w:p>
        </w:tc>
      </w:tr>
      <w:tr w:rsidR="00D625A6" w14:paraId="164EB35A" w14:textId="77777777">
        <w:tc>
          <w:tcPr>
            <w:tcW w:w="2694" w:type="dxa"/>
            <w:vAlign w:val="center"/>
          </w:tcPr>
          <w:p w14:paraId="56038AE1" w14:textId="77777777" w:rsidR="00D625A6" w:rsidRDefault="00000000">
            <w:pPr>
              <w:spacing w:after="0" w:line="360" w:lineRule="auto"/>
              <w:jc w:val="both"/>
              <w:rPr>
                <w:rFonts w:ascii="Cambria" w:hAnsi="Cambria"/>
              </w:rPr>
            </w:pPr>
            <w:r>
              <w:rPr>
                <w:rFonts w:ascii="Cambria" w:hAnsi="Cambria" w:hint="eastAsia"/>
              </w:rPr>
              <w:t>Purpose/Objective of the Activity</w:t>
            </w:r>
          </w:p>
        </w:tc>
        <w:tc>
          <w:tcPr>
            <w:tcW w:w="8185" w:type="dxa"/>
          </w:tcPr>
          <w:p w14:paraId="256106CD" w14:textId="3EB7832E" w:rsidR="00D625A6" w:rsidRPr="00685142" w:rsidRDefault="002220E8" w:rsidP="00685142">
            <w:pPr>
              <w:spacing w:after="0" w:line="360" w:lineRule="auto"/>
              <w:rPr>
                <w:rFonts w:ascii="Cambria" w:hAnsi="Cambria"/>
                <w:lang w:val="en-GB"/>
              </w:rPr>
            </w:pPr>
            <w:r w:rsidRPr="002220E8">
              <w:rPr>
                <w:rFonts w:ascii="Cambria" w:hAnsi="Cambria"/>
              </w:rPr>
              <w:t>This activity was designed to give HBP member SMEs in horticulture a structured market channel: a networking and sales platform to meet new buyers, partners and investors and convert those connections into business. HBP holds a standing partnership with Channel One TV for an annual/biennial agrifair (typically run in June and November), and had anticipated using the June 2026 edition as this channel. When it became clear this would not take place, HBP sought an alternative route to the same objective rather than let the market-access opportunity lapse for its members.</w:t>
            </w:r>
          </w:p>
        </w:tc>
      </w:tr>
      <w:tr w:rsidR="00D625A6" w14:paraId="2007F885" w14:textId="77777777">
        <w:tc>
          <w:tcPr>
            <w:tcW w:w="2694" w:type="dxa"/>
          </w:tcPr>
          <w:p w14:paraId="6443451B" w14:textId="77777777" w:rsidR="00D625A6" w:rsidRDefault="00000000">
            <w:pPr>
              <w:spacing w:after="0" w:line="360" w:lineRule="auto"/>
              <w:jc w:val="both"/>
              <w:rPr>
                <w:rFonts w:ascii="Cambria" w:hAnsi="Cambria"/>
              </w:rPr>
            </w:pPr>
            <w:r>
              <w:rPr>
                <w:rFonts w:ascii="Cambria" w:hAnsi="Cambria" w:hint="eastAsia"/>
              </w:rPr>
              <w:t>Number of Participants</w:t>
            </w:r>
          </w:p>
        </w:tc>
        <w:tc>
          <w:tcPr>
            <w:tcW w:w="8185" w:type="dxa"/>
          </w:tcPr>
          <w:p w14:paraId="03BF0C9B" w14:textId="77777777" w:rsidR="00D625A6" w:rsidRDefault="00D625A6">
            <w:pPr>
              <w:spacing w:after="0" w:line="360" w:lineRule="auto"/>
              <w:jc w:val="both"/>
              <w:rPr>
                <w:rFonts w:ascii="Cambria" w:hAnsi="Cambria"/>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D625A6" w14:paraId="3A26C846" w14:textId="77777777">
              <w:trPr>
                <w:trHeight w:val="169"/>
              </w:trPr>
              <w:tc>
                <w:tcPr>
                  <w:tcW w:w="1621" w:type="dxa"/>
                  <w:tcBorders>
                    <w:top w:val="single" w:sz="4" w:space="0" w:color="000000"/>
                    <w:left w:val="single" w:sz="4" w:space="0" w:color="000000"/>
                    <w:bottom w:val="single" w:sz="4" w:space="0" w:color="000000"/>
                    <w:right w:val="single" w:sz="4" w:space="0" w:color="000000"/>
                  </w:tcBorders>
                </w:tcPr>
                <w:p w14:paraId="53534A15" w14:textId="77777777" w:rsidR="00D625A6" w:rsidRDefault="00000000">
                  <w:pPr>
                    <w:pStyle w:val="ListParagraph"/>
                    <w:spacing w:after="0" w:line="240" w:lineRule="auto"/>
                    <w:ind w:left="0"/>
                    <w:rPr>
                      <w:rFonts w:ascii="Arial" w:hAnsi="Arial" w:cs="Arial"/>
                      <w:b/>
                      <w:sz w:val="18"/>
                      <w:szCs w:val="18"/>
                    </w:rPr>
                  </w:pPr>
                  <w:r>
                    <w:rPr>
                      <w:rFonts w:ascii="Arial" w:hAnsi="Arial" w:cs="Arial" w:hint="eastAsia"/>
                      <w:b/>
                      <w:sz w:val="18"/>
                      <w:szCs w:val="18"/>
                    </w:rPr>
                    <w:t>Category</w:t>
                  </w:r>
                </w:p>
              </w:tc>
              <w:tc>
                <w:tcPr>
                  <w:tcW w:w="1040" w:type="dxa"/>
                  <w:tcBorders>
                    <w:top w:val="single" w:sz="4" w:space="0" w:color="000000"/>
                    <w:left w:val="single" w:sz="4" w:space="0" w:color="000000"/>
                    <w:bottom w:val="single" w:sz="4" w:space="0" w:color="000000"/>
                    <w:right w:val="single" w:sz="4" w:space="0" w:color="000000"/>
                  </w:tcBorders>
                </w:tcPr>
                <w:p w14:paraId="3D4DF52D" w14:textId="77777777" w:rsidR="00D625A6" w:rsidRDefault="00000000">
                  <w:pPr>
                    <w:pStyle w:val="ListParagraph"/>
                    <w:ind w:left="0"/>
                    <w:rPr>
                      <w:rFonts w:ascii="Arial" w:hAnsi="Arial" w:cs="Arial"/>
                      <w:b/>
                      <w:sz w:val="18"/>
                      <w:szCs w:val="18"/>
                    </w:rPr>
                  </w:pPr>
                  <w:r>
                    <w:rPr>
                      <w:rFonts w:ascii="Arial" w:hAnsi="Arial" w:cs="Arial" w:hint="eastAsia"/>
                      <w:b/>
                      <w:sz w:val="18"/>
                      <w:szCs w:val="18"/>
                    </w:rPr>
                    <w:t>M</w:t>
                  </w:r>
                </w:p>
              </w:tc>
              <w:tc>
                <w:tcPr>
                  <w:tcW w:w="1038" w:type="dxa"/>
                  <w:tcBorders>
                    <w:top w:val="single" w:sz="4" w:space="0" w:color="000000"/>
                    <w:left w:val="single" w:sz="4" w:space="0" w:color="000000"/>
                    <w:bottom w:val="single" w:sz="4" w:space="0" w:color="000000"/>
                    <w:right w:val="single" w:sz="4" w:space="0" w:color="auto"/>
                  </w:tcBorders>
                </w:tcPr>
                <w:p w14:paraId="72C38840" w14:textId="77777777" w:rsidR="00D625A6" w:rsidRDefault="00000000">
                  <w:pPr>
                    <w:pStyle w:val="ListParagraph"/>
                    <w:ind w:left="0"/>
                    <w:rPr>
                      <w:rFonts w:ascii="Arial" w:hAnsi="Arial" w:cs="Arial"/>
                      <w:b/>
                      <w:sz w:val="18"/>
                      <w:szCs w:val="18"/>
                    </w:rPr>
                  </w:pPr>
                  <w:r>
                    <w:rPr>
                      <w:rFonts w:ascii="Arial" w:hAnsi="Arial" w:cs="Arial" w:hint="eastAsia"/>
                      <w:b/>
                      <w:sz w:val="18"/>
                      <w:szCs w:val="18"/>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524EF556" w14:textId="77777777" w:rsidR="00D625A6" w:rsidRDefault="00000000">
                  <w:pPr>
                    <w:pStyle w:val="ListParagraph"/>
                    <w:ind w:left="0"/>
                    <w:jc w:val="center"/>
                    <w:rPr>
                      <w:rFonts w:ascii="Arial" w:hAnsi="Arial" w:cs="Arial"/>
                      <w:b/>
                      <w:i/>
                      <w:sz w:val="18"/>
                      <w:szCs w:val="18"/>
                    </w:rPr>
                  </w:pPr>
                  <w:r>
                    <w:rPr>
                      <w:rFonts w:ascii="Arial" w:hAnsi="Arial" w:cs="Arial" w:hint="eastAsia"/>
                      <w:b/>
                      <w:i/>
                      <w:sz w:val="18"/>
                      <w:szCs w:val="18"/>
                    </w:rPr>
                    <w:t>Sub-groups</w:t>
                  </w:r>
                </w:p>
              </w:tc>
            </w:tr>
            <w:tr w:rsidR="00D625A6" w14:paraId="06B24DF2" w14:textId="77777777">
              <w:trPr>
                <w:trHeight w:val="560"/>
              </w:trPr>
              <w:tc>
                <w:tcPr>
                  <w:tcW w:w="1621" w:type="dxa"/>
                  <w:tcBorders>
                    <w:top w:val="single" w:sz="4" w:space="0" w:color="000000"/>
                    <w:left w:val="single" w:sz="4" w:space="0" w:color="000000"/>
                    <w:bottom w:val="single" w:sz="4" w:space="0" w:color="000000"/>
                    <w:right w:val="single" w:sz="4" w:space="0" w:color="000000"/>
                  </w:tcBorders>
                </w:tcPr>
                <w:p w14:paraId="7CDDEBB6" w14:textId="77777777" w:rsidR="00D625A6" w:rsidRDefault="00D625A6">
                  <w:pPr>
                    <w:pStyle w:val="ListParagraph"/>
                    <w:spacing w:after="0" w:line="240" w:lineRule="auto"/>
                    <w:ind w:left="0"/>
                    <w:rPr>
                      <w:rFonts w:ascii="Arial" w:hAnsi="Arial" w:cs="Arial"/>
                      <w:b/>
                      <w:sz w:val="18"/>
                      <w:szCs w:val="18"/>
                    </w:rPr>
                  </w:pPr>
                </w:p>
              </w:tc>
              <w:tc>
                <w:tcPr>
                  <w:tcW w:w="1040" w:type="dxa"/>
                  <w:tcBorders>
                    <w:top w:val="single" w:sz="4" w:space="0" w:color="000000"/>
                    <w:left w:val="single" w:sz="4" w:space="0" w:color="000000"/>
                    <w:bottom w:val="single" w:sz="4" w:space="0" w:color="000000"/>
                    <w:right w:val="single" w:sz="4" w:space="0" w:color="000000"/>
                  </w:tcBorders>
                </w:tcPr>
                <w:p w14:paraId="68A88D7D" w14:textId="77777777" w:rsidR="00D625A6" w:rsidRDefault="00D625A6">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2548F5AA" w14:textId="77777777" w:rsidR="00D625A6" w:rsidRDefault="00D625A6">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7B053AE5" w14:textId="77777777" w:rsidR="00D625A6" w:rsidRDefault="00000000">
                  <w:pPr>
                    <w:pStyle w:val="ListParagraph"/>
                    <w:ind w:left="0"/>
                    <w:rPr>
                      <w:rFonts w:ascii="Arial" w:hAnsi="Arial" w:cs="Arial"/>
                      <w:b/>
                      <w:i/>
                      <w:sz w:val="18"/>
                      <w:szCs w:val="18"/>
                    </w:rPr>
                  </w:pPr>
                  <w:r>
                    <w:rPr>
                      <w:rFonts w:ascii="Arial" w:hAnsi="Arial" w:cs="Arial" w:hint="eastAsia"/>
                      <w:b/>
                      <w:i/>
                      <w:sz w:val="18"/>
                      <w:szCs w:val="18"/>
                    </w:rPr>
                    <w:t>PWDs</w:t>
                  </w:r>
                </w:p>
              </w:tc>
              <w:tc>
                <w:tcPr>
                  <w:tcW w:w="1134" w:type="dxa"/>
                  <w:tcBorders>
                    <w:top w:val="single" w:sz="4" w:space="0" w:color="000000"/>
                    <w:left w:val="single" w:sz="4" w:space="0" w:color="auto"/>
                    <w:bottom w:val="single" w:sz="4" w:space="0" w:color="000000"/>
                    <w:right w:val="single" w:sz="4" w:space="0" w:color="auto"/>
                  </w:tcBorders>
                </w:tcPr>
                <w:p w14:paraId="12B14F9E" w14:textId="77777777" w:rsidR="00D625A6" w:rsidRDefault="00000000">
                  <w:pPr>
                    <w:pStyle w:val="ListParagraph"/>
                    <w:ind w:left="0"/>
                    <w:rPr>
                      <w:rFonts w:ascii="Arial" w:hAnsi="Arial" w:cs="Arial"/>
                      <w:b/>
                      <w:i/>
                      <w:sz w:val="18"/>
                      <w:szCs w:val="18"/>
                    </w:rPr>
                  </w:pPr>
                  <w:r>
                    <w:rPr>
                      <w:rFonts w:ascii="Arial" w:hAnsi="Arial" w:cs="Arial" w:hint="eastAsia"/>
                      <w:b/>
                      <w:i/>
                      <w:sz w:val="18"/>
                      <w:szCs w:val="18"/>
                    </w:rPr>
                    <w:t>Children</w:t>
                  </w:r>
                </w:p>
              </w:tc>
              <w:tc>
                <w:tcPr>
                  <w:tcW w:w="850" w:type="dxa"/>
                  <w:tcBorders>
                    <w:top w:val="single" w:sz="4" w:space="0" w:color="000000"/>
                    <w:left w:val="single" w:sz="4" w:space="0" w:color="auto"/>
                    <w:bottom w:val="single" w:sz="4" w:space="0" w:color="000000"/>
                    <w:right w:val="single" w:sz="4" w:space="0" w:color="auto"/>
                  </w:tcBorders>
                </w:tcPr>
                <w:p w14:paraId="37480D95" w14:textId="77777777" w:rsidR="00D625A6" w:rsidRDefault="00000000">
                  <w:pPr>
                    <w:pStyle w:val="ListParagraph"/>
                    <w:ind w:left="0"/>
                    <w:rPr>
                      <w:rFonts w:ascii="Arial" w:hAnsi="Arial" w:cs="Arial"/>
                      <w:b/>
                      <w:i/>
                      <w:sz w:val="18"/>
                      <w:szCs w:val="18"/>
                    </w:rPr>
                  </w:pPr>
                  <w:r>
                    <w:rPr>
                      <w:rFonts w:ascii="Arial" w:hAnsi="Arial" w:cs="Arial" w:hint="eastAsia"/>
                      <w:b/>
                      <w:i/>
                      <w:sz w:val="18"/>
                      <w:szCs w:val="18"/>
                    </w:rPr>
                    <w:t>Youth</w:t>
                  </w:r>
                </w:p>
              </w:tc>
              <w:tc>
                <w:tcPr>
                  <w:tcW w:w="1276" w:type="dxa"/>
                  <w:tcBorders>
                    <w:top w:val="single" w:sz="4" w:space="0" w:color="000000"/>
                    <w:left w:val="single" w:sz="4" w:space="0" w:color="auto"/>
                    <w:bottom w:val="single" w:sz="4" w:space="0" w:color="000000"/>
                    <w:right w:val="single" w:sz="4" w:space="0" w:color="000000"/>
                  </w:tcBorders>
                </w:tcPr>
                <w:p w14:paraId="623DD4E9" w14:textId="77777777" w:rsidR="00D625A6" w:rsidRDefault="00000000">
                  <w:pPr>
                    <w:pStyle w:val="ListParagraph"/>
                    <w:ind w:left="0"/>
                    <w:rPr>
                      <w:rFonts w:ascii="Arial" w:hAnsi="Arial" w:cs="Arial"/>
                      <w:b/>
                      <w:i/>
                      <w:sz w:val="18"/>
                      <w:szCs w:val="18"/>
                    </w:rPr>
                  </w:pPr>
                  <w:r>
                    <w:rPr>
                      <w:rFonts w:ascii="Arial" w:hAnsi="Arial" w:cs="Arial" w:hint="eastAsia"/>
                      <w:b/>
                      <w:i/>
                      <w:sz w:val="18"/>
                      <w:szCs w:val="18"/>
                    </w:rPr>
                    <w:t>Others</w:t>
                  </w:r>
                </w:p>
                <w:p w14:paraId="791DC8EE" w14:textId="77777777" w:rsidR="00D625A6" w:rsidRDefault="00000000">
                  <w:pPr>
                    <w:pStyle w:val="ListParagraph"/>
                    <w:ind w:left="0"/>
                    <w:rPr>
                      <w:rFonts w:ascii="Arial" w:hAnsi="Arial" w:cs="Arial"/>
                      <w:b/>
                      <w:i/>
                      <w:sz w:val="18"/>
                      <w:szCs w:val="18"/>
                    </w:rPr>
                  </w:pPr>
                  <w:r>
                    <w:rPr>
                      <w:rFonts w:ascii="Arial" w:hAnsi="Arial" w:cs="Arial" w:hint="eastAsia"/>
                      <w:b/>
                      <w:i/>
                      <w:sz w:val="18"/>
                      <w:szCs w:val="18"/>
                    </w:rPr>
                    <w:t>(Specify</w:t>
                  </w:r>
                  <w:r>
                    <w:rPr>
                      <w:rFonts w:ascii="Arial" w:hAnsi="Arial" w:cs="Arial" w:hint="eastAsia"/>
                      <w:b/>
                      <w:i/>
                      <w:sz w:val="18"/>
                      <w:szCs w:val="18"/>
                    </w:rPr>
                    <w:t>…</w:t>
                  </w:r>
                  <w:r>
                    <w:rPr>
                      <w:rFonts w:ascii="Arial" w:hAnsi="Arial" w:cs="Arial" w:hint="eastAsia"/>
                      <w:b/>
                      <w:i/>
                      <w:sz w:val="18"/>
                      <w:szCs w:val="18"/>
                    </w:rPr>
                    <w:t>)</w:t>
                  </w:r>
                </w:p>
              </w:tc>
            </w:tr>
            <w:tr w:rsidR="00D625A6" w14:paraId="1EC1FC3D" w14:textId="77777777">
              <w:trPr>
                <w:trHeight w:val="113"/>
              </w:trPr>
              <w:tc>
                <w:tcPr>
                  <w:tcW w:w="1621" w:type="dxa"/>
                  <w:tcBorders>
                    <w:top w:val="single" w:sz="4" w:space="0" w:color="000000"/>
                    <w:left w:val="single" w:sz="4" w:space="0" w:color="000000"/>
                    <w:bottom w:val="single" w:sz="4" w:space="0" w:color="000000"/>
                    <w:right w:val="single" w:sz="4" w:space="0" w:color="000000"/>
                  </w:tcBorders>
                </w:tcPr>
                <w:p w14:paraId="0164FD95" w14:textId="77777777" w:rsidR="00D625A6" w:rsidRDefault="00000000">
                  <w:pPr>
                    <w:pStyle w:val="ListParagraph"/>
                    <w:ind w:left="0"/>
                    <w:rPr>
                      <w:rFonts w:ascii="Arial" w:hAnsi="Arial" w:cs="Arial"/>
                      <w:b/>
                      <w:sz w:val="18"/>
                      <w:szCs w:val="18"/>
                    </w:rPr>
                  </w:pPr>
                  <w:r>
                    <w:rPr>
                      <w:rFonts w:ascii="Arial" w:hAnsi="Arial" w:cs="Arial" w:hint="eastAsia"/>
                      <w:sz w:val="18"/>
                      <w:szCs w:val="18"/>
                    </w:rPr>
                    <w:t>Direct Reach</w:t>
                  </w:r>
                </w:p>
              </w:tc>
              <w:tc>
                <w:tcPr>
                  <w:tcW w:w="1040" w:type="dxa"/>
                  <w:tcBorders>
                    <w:top w:val="single" w:sz="4" w:space="0" w:color="000000"/>
                    <w:left w:val="single" w:sz="4" w:space="0" w:color="000000"/>
                    <w:bottom w:val="single" w:sz="4" w:space="0" w:color="000000"/>
                    <w:right w:val="single" w:sz="4" w:space="0" w:color="000000"/>
                  </w:tcBorders>
                </w:tcPr>
                <w:p w14:paraId="1A60E73E" w14:textId="74879CF2" w:rsidR="00D625A6" w:rsidRDefault="00D625A6">
                  <w:pPr>
                    <w:pStyle w:val="ListParagraph"/>
                    <w:ind w:left="0"/>
                    <w:rPr>
                      <w:rFonts w:ascii="Arial" w:hAnsi="Arial" w:cs="Arial"/>
                      <w:b/>
                      <w:sz w:val="18"/>
                      <w:szCs w:val="18"/>
                      <w:lang w:val="en-GB"/>
                    </w:rPr>
                  </w:pPr>
                </w:p>
              </w:tc>
              <w:tc>
                <w:tcPr>
                  <w:tcW w:w="1038" w:type="dxa"/>
                  <w:tcBorders>
                    <w:top w:val="single" w:sz="4" w:space="0" w:color="000000"/>
                    <w:left w:val="single" w:sz="4" w:space="0" w:color="000000"/>
                    <w:bottom w:val="single" w:sz="4" w:space="0" w:color="000000"/>
                    <w:right w:val="single" w:sz="4" w:space="0" w:color="auto"/>
                  </w:tcBorders>
                </w:tcPr>
                <w:p w14:paraId="1293EC27" w14:textId="77777777" w:rsidR="00D625A6" w:rsidRDefault="00D625A6">
                  <w:pPr>
                    <w:pStyle w:val="ListParagraph"/>
                    <w:ind w:left="0"/>
                    <w:rPr>
                      <w:rFonts w:ascii="Arial" w:hAnsi="Arial" w:cs="Arial"/>
                      <w:b/>
                      <w:sz w:val="18"/>
                      <w:szCs w:val="18"/>
                      <w:lang w:val="en-GB"/>
                    </w:rPr>
                  </w:pPr>
                </w:p>
              </w:tc>
              <w:tc>
                <w:tcPr>
                  <w:tcW w:w="837" w:type="dxa"/>
                  <w:tcBorders>
                    <w:top w:val="single" w:sz="4" w:space="0" w:color="000000"/>
                    <w:left w:val="single" w:sz="4" w:space="0" w:color="auto"/>
                    <w:bottom w:val="single" w:sz="4" w:space="0" w:color="000000"/>
                    <w:right w:val="single" w:sz="4" w:space="0" w:color="auto"/>
                  </w:tcBorders>
                </w:tcPr>
                <w:p w14:paraId="4FD73CBE" w14:textId="77777777" w:rsidR="00D625A6" w:rsidRDefault="00D625A6">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0F42196F" w14:textId="77777777" w:rsidR="00D625A6" w:rsidRDefault="00D625A6">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75D66F5E" w14:textId="77777777" w:rsidR="00D625A6" w:rsidRDefault="00D625A6">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E7B6442" w14:textId="77777777" w:rsidR="00D625A6" w:rsidRDefault="00D625A6">
                  <w:pPr>
                    <w:pStyle w:val="ListParagraph"/>
                    <w:ind w:left="0"/>
                    <w:rPr>
                      <w:rFonts w:ascii="Arial" w:hAnsi="Arial" w:cs="Arial"/>
                      <w:b/>
                      <w:sz w:val="18"/>
                      <w:szCs w:val="18"/>
                    </w:rPr>
                  </w:pPr>
                </w:p>
              </w:tc>
            </w:tr>
            <w:tr w:rsidR="00D625A6" w14:paraId="1D46CB18" w14:textId="77777777">
              <w:trPr>
                <w:trHeight w:val="113"/>
              </w:trPr>
              <w:tc>
                <w:tcPr>
                  <w:tcW w:w="1621" w:type="dxa"/>
                  <w:tcBorders>
                    <w:top w:val="single" w:sz="4" w:space="0" w:color="000000"/>
                    <w:left w:val="single" w:sz="4" w:space="0" w:color="000000"/>
                    <w:bottom w:val="single" w:sz="4" w:space="0" w:color="000000"/>
                    <w:right w:val="single" w:sz="4" w:space="0" w:color="000000"/>
                  </w:tcBorders>
                </w:tcPr>
                <w:p w14:paraId="12F675D9" w14:textId="77777777" w:rsidR="00D625A6" w:rsidRDefault="00000000">
                  <w:pPr>
                    <w:pStyle w:val="ListParagraph"/>
                    <w:ind w:left="0"/>
                    <w:rPr>
                      <w:rFonts w:ascii="Arial" w:hAnsi="Arial" w:cs="Arial"/>
                      <w:sz w:val="18"/>
                      <w:szCs w:val="18"/>
                    </w:rPr>
                  </w:pPr>
                  <w:r>
                    <w:rPr>
                      <w:rFonts w:ascii="Arial" w:hAnsi="Arial" w:cs="Arial" w:hint="eastAsia"/>
                      <w:sz w:val="18"/>
                      <w:szCs w:val="18"/>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1413B677" w14:textId="77777777" w:rsidR="00D625A6" w:rsidRDefault="00D625A6">
                  <w:pPr>
                    <w:pStyle w:val="ListParagraph"/>
                    <w:ind w:left="0"/>
                    <w:rPr>
                      <w:rFonts w:ascii="Arial" w:hAnsi="Arial" w:cs="Arial"/>
                      <w:b/>
                      <w:sz w:val="18"/>
                      <w:szCs w:val="18"/>
                    </w:rPr>
                  </w:pPr>
                </w:p>
              </w:tc>
              <w:tc>
                <w:tcPr>
                  <w:tcW w:w="1038" w:type="dxa"/>
                  <w:tcBorders>
                    <w:top w:val="single" w:sz="4" w:space="0" w:color="000000"/>
                    <w:left w:val="single" w:sz="4" w:space="0" w:color="000000"/>
                    <w:bottom w:val="single" w:sz="4" w:space="0" w:color="000000"/>
                    <w:right w:val="single" w:sz="4" w:space="0" w:color="auto"/>
                  </w:tcBorders>
                </w:tcPr>
                <w:p w14:paraId="534BA249" w14:textId="77777777" w:rsidR="00D625A6" w:rsidRDefault="00D625A6">
                  <w:pPr>
                    <w:pStyle w:val="ListParagraph"/>
                    <w:ind w:left="0"/>
                    <w:rPr>
                      <w:rFonts w:ascii="Arial" w:hAnsi="Arial" w:cs="Arial"/>
                      <w:b/>
                      <w:sz w:val="18"/>
                      <w:szCs w:val="18"/>
                    </w:rPr>
                  </w:pPr>
                </w:p>
              </w:tc>
              <w:tc>
                <w:tcPr>
                  <w:tcW w:w="837" w:type="dxa"/>
                  <w:tcBorders>
                    <w:top w:val="single" w:sz="4" w:space="0" w:color="000000"/>
                    <w:left w:val="single" w:sz="4" w:space="0" w:color="auto"/>
                    <w:bottom w:val="single" w:sz="4" w:space="0" w:color="000000"/>
                    <w:right w:val="single" w:sz="4" w:space="0" w:color="auto"/>
                  </w:tcBorders>
                </w:tcPr>
                <w:p w14:paraId="179DA70F" w14:textId="77777777" w:rsidR="00D625A6" w:rsidRDefault="00D625A6">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161EAA71" w14:textId="77777777" w:rsidR="00D625A6" w:rsidRDefault="00D625A6">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317D692C" w14:textId="77777777" w:rsidR="00D625A6" w:rsidRDefault="00D625A6">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333898B3" w14:textId="77777777" w:rsidR="00D625A6" w:rsidRDefault="00D625A6">
                  <w:pPr>
                    <w:pStyle w:val="ListParagraph"/>
                    <w:ind w:left="0"/>
                    <w:rPr>
                      <w:rFonts w:ascii="Arial" w:hAnsi="Arial" w:cs="Arial"/>
                      <w:b/>
                      <w:sz w:val="18"/>
                      <w:szCs w:val="18"/>
                    </w:rPr>
                  </w:pPr>
                </w:p>
              </w:tc>
            </w:tr>
            <w:tr w:rsidR="00D625A6" w14:paraId="3BA20D5F" w14:textId="77777777">
              <w:trPr>
                <w:trHeight w:val="113"/>
              </w:trPr>
              <w:tc>
                <w:tcPr>
                  <w:tcW w:w="1621" w:type="dxa"/>
                  <w:tcBorders>
                    <w:top w:val="single" w:sz="4" w:space="0" w:color="000000"/>
                    <w:left w:val="single" w:sz="4" w:space="0" w:color="000000"/>
                    <w:bottom w:val="single" w:sz="4" w:space="0" w:color="000000"/>
                    <w:right w:val="single" w:sz="4" w:space="0" w:color="000000"/>
                  </w:tcBorders>
                </w:tcPr>
                <w:p w14:paraId="3FEA16CF" w14:textId="77777777" w:rsidR="00D625A6" w:rsidRDefault="00000000">
                  <w:pPr>
                    <w:pStyle w:val="ListParagraph"/>
                    <w:ind w:left="0"/>
                    <w:rPr>
                      <w:rFonts w:ascii="Arial" w:hAnsi="Arial" w:cs="Arial"/>
                      <w:b/>
                      <w:sz w:val="18"/>
                      <w:szCs w:val="18"/>
                    </w:rPr>
                  </w:pPr>
                  <w:r>
                    <w:rPr>
                      <w:rFonts w:ascii="Arial" w:hAnsi="Arial" w:cs="Arial" w:hint="eastAsia"/>
                      <w:b/>
                      <w:sz w:val="18"/>
                      <w:szCs w:val="18"/>
                    </w:rPr>
                    <w:t>Total</w:t>
                  </w:r>
                </w:p>
              </w:tc>
              <w:tc>
                <w:tcPr>
                  <w:tcW w:w="1040" w:type="dxa"/>
                  <w:tcBorders>
                    <w:top w:val="single" w:sz="4" w:space="0" w:color="000000"/>
                    <w:left w:val="single" w:sz="4" w:space="0" w:color="000000"/>
                    <w:bottom w:val="single" w:sz="4" w:space="0" w:color="000000"/>
                    <w:right w:val="single" w:sz="4" w:space="0" w:color="000000"/>
                  </w:tcBorders>
                </w:tcPr>
                <w:p w14:paraId="1279DACB" w14:textId="422870A2" w:rsidR="00D625A6" w:rsidRDefault="00B1736B">
                  <w:pPr>
                    <w:pStyle w:val="ListParagraph"/>
                    <w:ind w:left="0"/>
                    <w:rPr>
                      <w:rFonts w:ascii="Arial" w:hAnsi="Arial" w:cs="Arial"/>
                      <w:b/>
                      <w:sz w:val="18"/>
                      <w:szCs w:val="18"/>
                      <w:lang w:val="en-GB"/>
                    </w:rPr>
                  </w:pPr>
                  <w:r>
                    <w:rPr>
                      <w:rFonts w:ascii="Arial" w:hAnsi="Arial" w:cs="Arial"/>
                      <w:b/>
                      <w:sz w:val="18"/>
                      <w:szCs w:val="18"/>
                      <w:lang w:val="en-GB"/>
                    </w:rPr>
                    <w:t>20 SMEs</w:t>
                  </w:r>
                </w:p>
              </w:tc>
              <w:tc>
                <w:tcPr>
                  <w:tcW w:w="1038" w:type="dxa"/>
                  <w:tcBorders>
                    <w:top w:val="single" w:sz="4" w:space="0" w:color="000000"/>
                    <w:left w:val="single" w:sz="4" w:space="0" w:color="000000"/>
                    <w:bottom w:val="single" w:sz="4" w:space="0" w:color="000000"/>
                    <w:right w:val="single" w:sz="4" w:space="0" w:color="auto"/>
                  </w:tcBorders>
                </w:tcPr>
                <w:p w14:paraId="67CB5E2F" w14:textId="77777777" w:rsidR="00D625A6" w:rsidRDefault="00D625A6">
                  <w:pPr>
                    <w:pStyle w:val="ListParagraph"/>
                    <w:ind w:left="0"/>
                    <w:rPr>
                      <w:rFonts w:ascii="Arial" w:hAnsi="Arial" w:cs="Arial"/>
                      <w:b/>
                      <w:sz w:val="18"/>
                      <w:szCs w:val="18"/>
                      <w:lang w:val="en-GB"/>
                    </w:rPr>
                  </w:pPr>
                </w:p>
              </w:tc>
              <w:tc>
                <w:tcPr>
                  <w:tcW w:w="837" w:type="dxa"/>
                  <w:tcBorders>
                    <w:top w:val="single" w:sz="4" w:space="0" w:color="000000"/>
                    <w:left w:val="single" w:sz="4" w:space="0" w:color="auto"/>
                    <w:bottom w:val="single" w:sz="4" w:space="0" w:color="000000"/>
                    <w:right w:val="single" w:sz="4" w:space="0" w:color="auto"/>
                  </w:tcBorders>
                </w:tcPr>
                <w:p w14:paraId="7FE91300" w14:textId="77777777" w:rsidR="00D625A6" w:rsidRDefault="00D625A6">
                  <w:pPr>
                    <w:pStyle w:val="ListParagraph"/>
                    <w:ind w:left="0"/>
                    <w:rPr>
                      <w:rFonts w:ascii="Arial" w:hAnsi="Arial" w:cs="Arial"/>
                      <w:b/>
                      <w:sz w:val="18"/>
                      <w:szCs w:val="18"/>
                    </w:rPr>
                  </w:pPr>
                </w:p>
              </w:tc>
              <w:tc>
                <w:tcPr>
                  <w:tcW w:w="1134" w:type="dxa"/>
                  <w:tcBorders>
                    <w:top w:val="single" w:sz="4" w:space="0" w:color="000000"/>
                    <w:left w:val="single" w:sz="4" w:space="0" w:color="auto"/>
                    <w:bottom w:val="single" w:sz="4" w:space="0" w:color="000000"/>
                    <w:right w:val="single" w:sz="4" w:space="0" w:color="auto"/>
                  </w:tcBorders>
                </w:tcPr>
                <w:p w14:paraId="2B8AF6B7" w14:textId="77777777" w:rsidR="00D625A6" w:rsidRDefault="00D625A6">
                  <w:pPr>
                    <w:pStyle w:val="ListParagraph"/>
                    <w:ind w:left="0"/>
                    <w:rPr>
                      <w:rFonts w:ascii="Arial" w:hAnsi="Arial" w:cs="Arial"/>
                      <w:b/>
                      <w:sz w:val="18"/>
                      <w:szCs w:val="18"/>
                    </w:rPr>
                  </w:pPr>
                </w:p>
              </w:tc>
              <w:tc>
                <w:tcPr>
                  <w:tcW w:w="850" w:type="dxa"/>
                  <w:tcBorders>
                    <w:top w:val="single" w:sz="4" w:space="0" w:color="000000"/>
                    <w:left w:val="single" w:sz="4" w:space="0" w:color="auto"/>
                    <w:bottom w:val="single" w:sz="4" w:space="0" w:color="000000"/>
                    <w:right w:val="single" w:sz="4" w:space="0" w:color="auto"/>
                  </w:tcBorders>
                </w:tcPr>
                <w:p w14:paraId="0D278CF2" w14:textId="77777777" w:rsidR="00D625A6" w:rsidRDefault="00D625A6">
                  <w:pPr>
                    <w:pStyle w:val="ListParagraph"/>
                    <w:ind w:left="0"/>
                    <w:rPr>
                      <w:rFonts w:ascii="Arial" w:hAnsi="Arial" w:cs="Arial"/>
                      <w:b/>
                      <w:sz w:val="18"/>
                      <w:szCs w:val="18"/>
                    </w:rPr>
                  </w:pPr>
                </w:p>
              </w:tc>
              <w:tc>
                <w:tcPr>
                  <w:tcW w:w="1276" w:type="dxa"/>
                  <w:tcBorders>
                    <w:top w:val="single" w:sz="4" w:space="0" w:color="000000"/>
                    <w:left w:val="single" w:sz="4" w:space="0" w:color="auto"/>
                    <w:bottom w:val="single" w:sz="4" w:space="0" w:color="000000"/>
                    <w:right w:val="single" w:sz="4" w:space="0" w:color="000000"/>
                  </w:tcBorders>
                </w:tcPr>
                <w:p w14:paraId="4156D7D0" w14:textId="77777777" w:rsidR="00D625A6" w:rsidRDefault="00D625A6">
                  <w:pPr>
                    <w:pStyle w:val="ListParagraph"/>
                    <w:ind w:left="0"/>
                    <w:rPr>
                      <w:rFonts w:ascii="Arial" w:hAnsi="Arial" w:cs="Arial"/>
                      <w:b/>
                      <w:sz w:val="18"/>
                      <w:szCs w:val="18"/>
                    </w:rPr>
                  </w:pPr>
                </w:p>
              </w:tc>
            </w:tr>
          </w:tbl>
          <w:p w14:paraId="52E7C1F0" w14:textId="77777777" w:rsidR="00D625A6" w:rsidRDefault="00D625A6">
            <w:pPr>
              <w:spacing w:after="0" w:line="360" w:lineRule="auto"/>
              <w:jc w:val="both"/>
              <w:rPr>
                <w:rFonts w:ascii="Cambria" w:hAnsi="Cambria"/>
              </w:rPr>
            </w:pPr>
          </w:p>
        </w:tc>
      </w:tr>
      <w:tr w:rsidR="00D625A6" w14:paraId="6D757646" w14:textId="77777777">
        <w:trPr>
          <w:trHeight w:val="2575"/>
        </w:trPr>
        <w:tc>
          <w:tcPr>
            <w:tcW w:w="10879" w:type="dxa"/>
            <w:gridSpan w:val="2"/>
          </w:tcPr>
          <w:p w14:paraId="6CD5C21B" w14:textId="77777777" w:rsidR="00D625A6" w:rsidRDefault="00D625A6" w:rsidP="00E24B8F">
            <w:pPr>
              <w:spacing w:after="0" w:line="360" w:lineRule="auto"/>
              <w:rPr>
                <w:rFonts w:ascii="Cambria" w:hAnsi="Cambria"/>
              </w:rPr>
            </w:pPr>
          </w:p>
          <w:p w14:paraId="5F848410" w14:textId="77777777" w:rsidR="00D625A6" w:rsidRDefault="00000000" w:rsidP="00E24B8F">
            <w:pPr>
              <w:spacing w:after="0" w:line="360" w:lineRule="auto"/>
              <w:rPr>
                <w:rFonts w:ascii="Cambria" w:hAnsi="Cambria"/>
              </w:rPr>
            </w:pPr>
            <w:r>
              <w:rPr>
                <w:rFonts w:ascii="Cambria" w:hAnsi="Cambria" w:hint="eastAsia"/>
              </w:rPr>
              <w:t xml:space="preserve">Narration of activity Undertaken </w:t>
            </w:r>
            <w:r>
              <w:rPr>
                <w:rFonts w:ascii="Cambria" w:hAnsi="Cambria" w:hint="eastAsia"/>
                <w:b/>
              </w:rPr>
              <w:t>(What happened?)</w:t>
            </w:r>
            <w:r>
              <w:rPr>
                <w:rFonts w:ascii="Cambria" w:hAnsi="Cambria" w:hint="eastAsia"/>
              </w:rPr>
              <w:t>:</w:t>
            </w:r>
          </w:p>
          <w:p w14:paraId="48B52EAF" w14:textId="77777777" w:rsidR="00D625A6" w:rsidRDefault="00000000" w:rsidP="00E24B8F">
            <w:pPr>
              <w:spacing w:after="160" w:line="360" w:lineRule="auto"/>
              <w:rPr>
                <w:rFonts w:ascii="Cambria" w:hAnsi="Cambria"/>
                <w:lang w:val="en-GB"/>
              </w:rPr>
            </w:pPr>
            <w:r>
              <w:rPr>
                <w:rFonts w:ascii="Cambria" w:hAnsi="Cambria"/>
                <w:lang w:val="en-GB"/>
              </w:rPr>
              <w:t xml:space="preserve"> </w:t>
            </w:r>
          </w:p>
          <w:p w14:paraId="098BC285" w14:textId="63C4D157" w:rsidR="002220E8" w:rsidRPr="002220E8" w:rsidRDefault="002220E8" w:rsidP="00E24B8F">
            <w:pPr>
              <w:spacing w:after="160" w:line="360" w:lineRule="auto"/>
              <w:rPr>
                <w:rFonts w:ascii="Cambria" w:hAnsi="Cambria"/>
              </w:rPr>
            </w:pPr>
            <w:r w:rsidRPr="002220E8">
              <w:rPr>
                <w:rFonts w:ascii="Cambria" w:hAnsi="Cambria"/>
              </w:rPr>
              <w:t xml:space="preserve">With the anticipated Channel One TV agrifair confirmed as not taking place in June 2026, HBP moved to secure an alternative platform for the same market-access objective. HBP opened discussions with the Federation of Associations of Ghanaian Exporters (FAGE), and a joint deliberation between the two </w:t>
            </w:r>
            <w:r w:rsidR="00D26C02" w:rsidRPr="002220E8">
              <w:rPr>
                <w:rFonts w:ascii="Cambria" w:hAnsi="Cambria"/>
              </w:rPr>
              <w:t>organizations</w:t>
            </w:r>
            <w:r w:rsidRPr="002220E8">
              <w:rPr>
                <w:rFonts w:ascii="Cambria" w:hAnsi="Cambria"/>
              </w:rPr>
              <w:t xml:space="preserve"> confirmed a partnership around the Ghana Horticulture Expo 2026, scheduled for 11–13 June.</w:t>
            </w:r>
          </w:p>
          <w:p w14:paraId="51B211A3" w14:textId="5BAA5A82" w:rsidR="002220E8" w:rsidRPr="002220E8" w:rsidRDefault="00D26C02" w:rsidP="00E24B8F">
            <w:pPr>
              <w:spacing w:after="160" w:line="360" w:lineRule="auto"/>
              <w:rPr>
                <w:rFonts w:ascii="Cambria" w:hAnsi="Cambria"/>
              </w:rPr>
            </w:pPr>
            <w:r>
              <w:rPr>
                <w:rFonts w:ascii="Cambria" w:hAnsi="Cambria"/>
              </w:rPr>
              <w:t>Under</w:t>
            </w:r>
            <w:r w:rsidR="002220E8" w:rsidRPr="002220E8">
              <w:rPr>
                <w:rFonts w:ascii="Cambria" w:hAnsi="Cambria"/>
              </w:rPr>
              <w:t xml:space="preserve"> this partnership, HBP secured 20 exhibition booths for member SMEs who registered to participate, together with a media sponsorship package intended to extend HBP's visibility and reach beyond the event itself. The Expo was positioned as a high-value opportunity: a three-day event anticipated to host the President and </w:t>
            </w:r>
            <w:r w:rsidR="002220E8" w:rsidRPr="002220E8">
              <w:rPr>
                <w:rFonts w:ascii="Cambria" w:hAnsi="Cambria"/>
              </w:rPr>
              <w:lastRenderedPageBreak/>
              <w:t>senior government officials with direct influence over horticulture-sector policy</w:t>
            </w:r>
            <w:r>
              <w:rPr>
                <w:rFonts w:ascii="Cambria" w:hAnsi="Cambria"/>
              </w:rPr>
              <w:t xml:space="preserve">, </w:t>
            </w:r>
            <w:r w:rsidR="002220E8" w:rsidRPr="002220E8">
              <w:rPr>
                <w:rFonts w:ascii="Cambria" w:hAnsi="Cambria"/>
              </w:rPr>
              <w:t>giving HBP members a rare combination of commercial and policy-facing exposure in one setting.</w:t>
            </w:r>
          </w:p>
          <w:p w14:paraId="375B8DF1" w14:textId="2B992173" w:rsidR="002220E8" w:rsidRPr="002220E8" w:rsidRDefault="002220E8" w:rsidP="00E24B8F">
            <w:pPr>
              <w:spacing w:after="160" w:line="360" w:lineRule="auto"/>
              <w:rPr>
                <w:rFonts w:ascii="Cambria" w:hAnsi="Cambria"/>
              </w:rPr>
            </w:pPr>
            <w:r w:rsidRPr="002220E8">
              <w:rPr>
                <w:rFonts w:ascii="Cambria" w:hAnsi="Cambria"/>
              </w:rPr>
              <w:t xml:space="preserve">Following full confirmation of booths and sponsorship, the Expo </w:t>
            </w:r>
            <w:r w:rsidR="00D26C02" w:rsidRPr="002220E8">
              <w:rPr>
                <w:rFonts w:ascii="Cambria" w:hAnsi="Cambria"/>
              </w:rPr>
              <w:t>organizers</w:t>
            </w:r>
            <w:r w:rsidRPr="002220E8">
              <w:rPr>
                <w:rFonts w:ascii="Cambria" w:hAnsi="Cambria"/>
              </w:rPr>
              <w:t xml:space="preserve"> rescheduled the event from 11–13 June to 3–5 September 2026, citing overlap with other government and industry events and the FIFA World Cup period, which risked limiting exhibitor, buyer, investor, policymaker and media participation. </w:t>
            </w:r>
            <w:r w:rsidR="009316CD" w:rsidRPr="002220E8">
              <w:rPr>
                <w:rFonts w:ascii="Cambria" w:hAnsi="Cambria"/>
              </w:rPr>
              <w:t>Organizers</w:t>
            </w:r>
            <w:r w:rsidRPr="002220E8">
              <w:rPr>
                <w:rFonts w:ascii="Cambria" w:hAnsi="Cambria"/>
              </w:rPr>
              <w:t xml:space="preserve"> confirmed all existing exhibitor registrations, reservations</w:t>
            </w:r>
            <w:r w:rsidR="009316CD">
              <w:rPr>
                <w:rFonts w:ascii="Cambria" w:hAnsi="Cambria"/>
              </w:rPr>
              <w:t>,</w:t>
            </w:r>
            <w:r w:rsidRPr="002220E8">
              <w:rPr>
                <w:rFonts w:ascii="Cambria" w:hAnsi="Cambria"/>
              </w:rPr>
              <w:t xml:space="preserve"> and commitments carry over unchanged to the new dates, at a new venue (The Palms Convention Center, La Palm Royal Beach Hotel, Accra). As a result, the activity has not yet been executed, and impact cannot yet be measured within this reporting period. HBP and its member SMEs are proceeding </w:t>
            </w:r>
            <w:r w:rsidR="009316CD">
              <w:rPr>
                <w:rFonts w:ascii="Cambria" w:hAnsi="Cambria"/>
              </w:rPr>
              <w:t>with</w:t>
            </w:r>
            <w:r w:rsidRPr="002220E8">
              <w:rPr>
                <w:rFonts w:ascii="Cambria" w:hAnsi="Cambria"/>
              </w:rPr>
              <w:t xml:space="preserve"> the new September dates.</w:t>
            </w:r>
          </w:p>
          <w:p w14:paraId="03EB1AF2" w14:textId="157B0F89" w:rsidR="002220E8" w:rsidRDefault="002220E8" w:rsidP="00E24B8F">
            <w:pPr>
              <w:spacing w:after="160" w:line="360" w:lineRule="auto"/>
              <w:rPr>
                <w:rFonts w:ascii="Cambria" w:hAnsi="Cambria"/>
                <w:lang w:val="en-GB"/>
              </w:rPr>
            </w:pPr>
          </w:p>
        </w:tc>
      </w:tr>
      <w:tr w:rsidR="00D625A6" w14:paraId="61C29D5C" w14:textId="77777777">
        <w:trPr>
          <w:trHeight w:val="2575"/>
        </w:trPr>
        <w:tc>
          <w:tcPr>
            <w:tcW w:w="10879" w:type="dxa"/>
            <w:gridSpan w:val="2"/>
          </w:tcPr>
          <w:p w14:paraId="4E475CC1" w14:textId="77777777" w:rsidR="00D625A6" w:rsidRDefault="00000000" w:rsidP="00E24B8F">
            <w:pPr>
              <w:spacing w:after="0" w:line="360" w:lineRule="auto"/>
              <w:rPr>
                <w:rFonts w:ascii="Cambria" w:hAnsi="Cambria"/>
              </w:rPr>
            </w:pPr>
            <w:r>
              <w:rPr>
                <w:rFonts w:ascii="Cambria" w:hAnsi="Cambria" w:hint="eastAsia"/>
              </w:rPr>
              <w:lastRenderedPageBreak/>
              <w:t xml:space="preserve">Activity outputs/results </w:t>
            </w:r>
            <w:r>
              <w:rPr>
                <w:rFonts w:ascii="Cambria" w:hAnsi="Cambria" w:hint="eastAsia"/>
                <w:b/>
              </w:rPr>
              <w:t>(What did the activity achieve?)</w:t>
            </w:r>
            <w:r>
              <w:rPr>
                <w:rFonts w:ascii="Cambria" w:hAnsi="Cambria" w:hint="eastAsia"/>
              </w:rPr>
              <w:t>:</w:t>
            </w:r>
          </w:p>
          <w:p w14:paraId="22BE45BC" w14:textId="77777777" w:rsidR="00D625A6" w:rsidRDefault="00000000" w:rsidP="00E24B8F">
            <w:pPr>
              <w:tabs>
                <w:tab w:val="left" w:pos="3750"/>
              </w:tabs>
              <w:spacing w:line="360" w:lineRule="auto"/>
              <w:rPr>
                <w:rFonts w:ascii="Cambria" w:hAnsi="Cambria"/>
              </w:rPr>
            </w:pPr>
            <w:r>
              <w:rPr>
                <w:rFonts w:ascii="Cambria" w:hAnsi="Cambria" w:hint="eastAsia"/>
              </w:rPr>
              <w:t xml:space="preserve"> </w:t>
            </w:r>
          </w:p>
          <w:p w14:paraId="3E3B1E9B" w14:textId="3FA2AA5E" w:rsidR="002220E8" w:rsidRPr="002220E8" w:rsidRDefault="002220E8" w:rsidP="00E24B8F">
            <w:pPr>
              <w:numPr>
                <w:ilvl w:val="0"/>
                <w:numId w:val="2"/>
              </w:numPr>
              <w:tabs>
                <w:tab w:val="left" w:pos="3750"/>
              </w:tabs>
              <w:spacing w:line="360" w:lineRule="auto"/>
              <w:rPr>
                <w:rFonts w:ascii="Cambria" w:hAnsi="Cambria"/>
              </w:rPr>
            </w:pPr>
            <w:r w:rsidRPr="002220E8">
              <w:rPr>
                <w:rFonts w:ascii="Cambria" w:hAnsi="Cambria"/>
              </w:rPr>
              <w:t xml:space="preserve"> </w:t>
            </w:r>
            <w:r w:rsidRPr="002220E8">
              <w:rPr>
                <w:rFonts w:ascii="Cambria" w:hAnsi="Cambria"/>
                <w:b/>
                <w:bCs/>
              </w:rPr>
              <w:t>Market-access channel preserved despite primary partner falling through.</w:t>
            </w:r>
            <w:r w:rsidRPr="002220E8">
              <w:rPr>
                <w:rFonts w:ascii="Cambria" w:hAnsi="Cambria"/>
              </w:rPr>
              <w:t xml:space="preserve"> HBP identified and secured a substitute platform (the FAGE-partnered Expo) within the same window, rather than losing the market-access opportunity for members for the year. </w:t>
            </w:r>
          </w:p>
          <w:p w14:paraId="7D11F307" w14:textId="60E6345B" w:rsidR="002220E8" w:rsidRPr="002220E8" w:rsidRDefault="002220E8" w:rsidP="00E24B8F">
            <w:pPr>
              <w:numPr>
                <w:ilvl w:val="0"/>
                <w:numId w:val="2"/>
              </w:numPr>
              <w:tabs>
                <w:tab w:val="left" w:pos="3750"/>
              </w:tabs>
              <w:spacing w:line="360" w:lineRule="auto"/>
              <w:rPr>
                <w:rFonts w:ascii="Cambria" w:hAnsi="Cambria"/>
              </w:rPr>
            </w:pPr>
            <w:r w:rsidRPr="002220E8">
              <w:rPr>
                <w:rFonts w:ascii="Cambria" w:hAnsi="Cambria"/>
                <w:b/>
                <w:bCs/>
              </w:rPr>
              <w:t>Exhibition presence secured.</w:t>
            </w:r>
            <w:r w:rsidRPr="002220E8">
              <w:rPr>
                <w:rFonts w:ascii="Cambria" w:hAnsi="Cambria"/>
              </w:rPr>
              <w:t xml:space="preserve"> 20 exhibition booths confirmed for registered member SMEs, positioning them for direct </w:t>
            </w:r>
            <w:r w:rsidR="009316CD">
              <w:rPr>
                <w:rFonts w:ascii="Cambria" w:hAnsi="Cambria"/>
              </w:rPr>
              <w:t>engagement with buyers, investors, and networking opportunities</w:t>
            </w:r>
            <w:r w:rsidRPr="002220E8">
              <w:rPr>
                <w:rFonts w:ascii="Cambria" w:hAnsi="Cambria"/>
              </w:rPr>
              <w:t xml:space="preserve"> once the event proceeds. </w:t>
            </w:r>
          </w:p>
          <w:p w14:paraId="6D72A220" w14:textId="7F793EDE" w:rsidR="00D625A6" w:rsidRPr="009316CD" w:rsidRDefault="002220E8" w:rsidP="009316CD">
            <w:pPr>
              <w:numPr>
                <w:ilvl w:val="0"/>
                <w:numId w:val="2"/>
              </w:numPr>
              <w:tabs>
                <w:tab w:val="left" w:pos="3750"/>
              </w:tabs>
              <w:spacing w:line="360" w:lineRule="auto"/>
              <w:rPr>
                <w:rFonts w:ascii="Cambria" w:hAnsi="Cambria"/>
              </w:rPr>
            </w:pPr>
            <w:r w:rsidRPr="002220E8">
              <w:rPr>
                <w:rFonts w:ascii="Cambria" w:hAnsi="Cambria"/>
                <w:b/>
                <w:bCs/>
              </w:rPr>
              <w:t>Visibility asset secured.</w:t>
            </w:r>
            <w:r w:rsidRPr="002220E8">
              <w:rPr>
                <w:rFonts w:ascii="Cambria" w:hAnsi="Cambria"/>
              </w:rPr>
              <w:t xml:space="preserve"> A media sponsorship package was confirmed, intended to extend HBP's reach and profile beyond the Expo's physical footprint. </w:t>
            </w:r>
          </w:p>
        </w:tc>
      </w:tr>
      <w:tr w:rsidR="00D625A6" w14:paraId="75FFC8E0" w14:textId="77777777">
        <w:trPr>
          <w:trHeight w:val="2575"/>
        </w:trPr>
        <w:tc>
          <w:tcPr>
            <w:tcW w:w="10879" w:type="dxa"/>
            <w:gridSpan w:val="2"/>
          </w:tcPr>
          <w:p w14:paraId="021BB675" w14:textId="77777777" w:rsidR="00D625A6" w:rsidRDefault="00000000" w:rsidP="00E24B8F">
            <w:pPr>
              <w:spacing w:after="0" w:line="360" w:lineRule="auto"/>
              <w:rPr>
                <w:rFonts w:ascii="Cambria" w:hAnsi="Cambria"/>
                <w:b/>
              </w:rPr>
            </w:pPr>
            <w:r>
              <w:rPr>
                <w:rFonts w:ascii="Cambria" w:hAnsi="Cambria" w:hint="eastAsia"/>
              </w:rPr>
              <w:t xml:space="preserve">Lessons learned </w:t>
            </w:r>
            <w:r>
              <w:rPr>
                <w:rFonts w:ascii="Cambria" w:hAnsi="Cambria" w:hint="eastAsia"/>
                <w:b/>
              </w:rPr>
              <w:t>(Any notable lessons whiles implementing the activity):</w:t>
            </w:r>
          </w:p>
          <w:p w14:paraId="725BA66A" w14:textId="77777777" w:rsidR="00D625A6" w:rsidRDefault="00D625A6" w:rsidP="00E24B8F">
            <w:pPr>
              <w:spacing w:after="0" w:line="360" w:lineRule="auto"/>
              <w:ind w:left="420"/>
              <w:rPr>
                <w:rFonts w:ascii="Cambria" w:hAnsi="Cambria"/>
              </w:rPr>
            </w:pPr>
          </w:p>
          <w:p w14:paraId="3637BB7D" w14:textId="34033F42" w:rsidR="00E24B8F" w:rsidRPr="00E24B8F" w:rsidRDefault="00E24B8F" w:rsidP="00E24B8F">
            <w:pPr>
              <w:pStyle w:val="ListParagraph"/>
              <w:numPr>
                <w:ilvl w:val="0"/>
                <w:numId w:val="5"/>
              </w:numPr>
              <w:spacing w:line="360" w:lineRule="auto"/>
              <w:rPr>
                <w:rFonts w:ascii="Cambria" w:hAnsi="Cambria"/>
              </w:rPr>
            </w:pPr>
            <w:r w:rsidRPr="00E24B8F">
              <w:rPr>
                <w:rFonts w:ascii="Cambria" w:hAnsi="Cambria"/>
                <w:b/>
                <w:bCs/>
              </w:rPr>
              <w:t>A single-partner market-access strategy carries continuity risk.</w:t>
            </w:r>
            <w:r w:rsidRPr="00E24B8F">
              <w:rPr>
                <w:rFonts w:ascii="Cambria" w:hAnsi="Cambria"/>
              </w:rPr>
              <w:t xml:space="preserve"> Reliance on the Channel One TV agrifair as the sole planned channel left HBP exposed when that event didn't </w:t>
            </w:r>
            <w:r w:rsidR="009316CD" w:rsidRPr="00E24B8F">
              <w:rPr>
                <w:rFonts w:ascii="Cambria" w:hAnsi="Cambria"/>
              </w:rPr>
              <w:t>materialize</w:t>
            </w:r>
            <w:r w:rsidRPr="00E24B8F">
              <w:rPr>
                <w:rFonts w:ascii="Cambria" w:hAnsi="Cambria"/>
              </w:rPr>
              <w:t xml:space="preserve">. Maintaining a shortlisted secondary partner or platform in advance would reduce the lead time needed to pivot. </w:t>
            </w:r>
          </w:p>
          <w:p w14:paraId="5F0FA37D" w14:textId="46CA0460" w:rsidR="00E24B8F" w:rsidRPr="00E24B8F" w:rsidRDefault="00E24B8F" w:rsidP="00E24B8F">
            <w:pPr>
              <w:pStyle w:val="ListParagraph"/>
              <w:numPr>
                <w:ilvl w:val="0"/>
                <w:numId w:val="5"/>
              </w:numPr>
              <w:spacing w:after="0" w:line="360" w:lineRule="auto"/>
              <w:rPr>
                <w:rFonts w:ascii="Cambria" w:hAnsi="Cambria"/>
              </w:rPr>
            </w:pPr>
            <w:r w:rsidRPr="00E24B8F">
              <w:rPr>
                <w:rFonts w:ascii="Cambria" w:hAnsi="Cambria"/>
                <w:b/>
                <w:bCs/>
              </w:rPr>
              <w:t>External event dependencies sit outside HBP's control and should be planned for as a standing risk</w:t>
            </w:r>
            <w:r w:rsidRPr="00E24B8F">
              <w:rPr>
                <w:rFonts w:ascii="Cambria" w:hAnsi="Cambria"/>
              </w:rPr>
              <w:t>, not a one-off disruption. Both the original and substitute partnerships were affected by scheduling factors external to HBP (partner non-delivery, then a reschedule)</w:t>
            </w:r>
            <w:r w:rsidR="009512B4">
              <w:rPr>
                <w:rFonts w:ascii="Cambria" w:hAnsi="Cambria"/>
              </w:rPr>
              <w:t>,</w:t>
            </w:r>
            <w:r w:rsidRPr="00E24B8F">
              <w:rPr>
                <w:rFonts w:ascii="Cambria" w:hAnsi="Cambria"/>
              </w:rPr>
              <w:t xml:space="preserve"> a pattern worth building into how HBP commits member resources (registration, booth fees, sponsorship spend) to externally-run events.</w:t>
            </w:r>
          </w:p>
        </w:tc>
      </w:tr>
      <w:tr w:rsidR="00D625A6" w14:paraId="4044038F" w14:textId="77777777">
        <w:trPr>
          <w:trHeight w:val="2575"/>
        </w:trPr>
        <w:tc>
          <w:tcPr>
            <w:tcW w:w="10879" w:type="dxa"/>
            <w:gridSpan w:val="2"/>
          </w:tcPr>
          <w:p w14:paraId="70CA2ABD" w14:textId="57A197DE" w:rsidR="00D625A6" w:rsidRDefault="00000000" w:rsidP="00E24B8F">
            <w:pPr>
              <w:spacing w:after="0" w:line="360" w:lineRule="auto"/>
              <w:rPr>
                <w:rFonts w:ascii="Cambria" w:hAnsi="Cambria"/>
                <w:b/>
              </w:rPr>
            </w:pPr>
            <w:r>
              <w:rPr>
                <w:rFonts w:ascii="Cambria" w:hAnsi="Cambria" w:hint="eastAsia"/>
              </w:rPr>
              <w:lastRenderedPageBreak/>
              <w:t xml:space="preserve">Challenges </w:t>
            </w:r>
            <w:r>
              <w:rPr>
                <w:rFonts w:ascii="Cambria" w:hAnsi="Cambria" w:hint="eastAsia"/>
                <w:b/>
              </w:rPr>
              <w:t xml:space="preserve">(What were the limitations or did not go well </w:t>
            </w:r>
            <w:r w:rsidR="009512B4">
              <w:rPr>
                <w:rFonts w:ascii="Cambria" w:hAnsi="Cambria"/>
                <w:b/>
              </w:rPr>
              <w:t>while</w:t>
            </w:r>
            <w:r>
              <w:rPr>
                <w:rFonts w:ascii="Cambria" w:hAnsi="Cambria" w:hint="eastAsia"/>
                <w:b/>
              </w:rPr>
              <w:t xml:space="preserve"> implementing this activity):</w:t>
            </w:r>
          </w:p>
          <w:p w14:paraId="16D68E1F" w14:textId="77777777" w:rsidR="00D625A6" w:rsidRDefault="00D625A6" w:rsidP="00E24B8F">
            <w:pPr>
              <w:spacing w:after="0" w:line="360" w:lineRule="auto"/>
              <w:rPr>
                <w:rFonts w:ascii="Cambria" w:hAnsi="Cambria"/>
                <w:b/>
              </w:rPr>
            </w:pPr>
          </w:p>
          <w:p w14:paraId="47C8D5EA" w14:textId="3DA1D700" w:rsidR="00267D48" w:rsidRPr="00267D48" w:rsidRDefault="00267D48" w:rsidP="00267D48">
            <w:pPr>
              <w:pStyle w:val="ListParagraph"/>
              <w:numPr>
                <w:ilvl w:val="0"/>
                <w:numId w:val="7"/>
              </w:numPr>
              <w:spacing w:after="0" w:line="360" w:lineRule="auto"/>
              <w:rPr>
                <w:rFonts w:ascii="Cambria" w:hAnsi="Cambria"/>
              </w:rPr>
            </w:pPr>
            <w:r w:rsidRPr="00267D48">
              <w:rPr>
                <w:rFonts w:ascii="Cambria" w:hAnsi="Cambria"/>
              </w:rPr>
              <w:t xml:space="preserve">The initiative's primary intended partnership, with Channel One TV, did not materialize. This removed HBP's planned market-access channel for the period and required a late-stage pivot to secure an alternative partner and platform, introducing delivery risk that was not present in the original plan. </w:t>
            </w:r>
          </w:p>
          <w:p w14:paraId="4D5B3D1B" w14:textId="5B7DF8E0" w:rsidR="00D625A6" w:rsidRPr="00267D48" w:rsidRDefault="00267D48" w:rsidP="00267D48">
            <w:pPr>
              <w:pStyle w:val="ListParagraph"/>
              <w:numPr>
                <w:ilvl w:val="0"/>
                <w:numId w:val="7"/>
              </w:numPr>
              <w:spacing w:after="0" w:line="360" w:lineRule="auto"/>
              <w:rPr>
                <w:rFonts w:ascii="Cambria" w:hAnsi="Cambria"/>
              </w:rPr>
            </w:pPr>
            <w:r w:rsidRPr="00267D48">
              <w:rPr>
                <w:rFonts w:ascii="Cambria" w:hAnsi="Cambria"/>
              </w:rPr>
              <w:t>The replacement event was rescheduled after HBP had already made full commitments against it: booths secured, members registered, and sponsorship confirmed. As a result, the activity's intended outcomes, sales generated, networking secured, and policy exposure achieved, now fall entirely outside this reporting period, despite all preparatory work having been completed on schedule.</w:t>
            </w:r>
          </w:p>
        </w:tc>
      </w:tr>
      <w:tr w:rsidR="00D625A6" w14:paraId="16D4BE89" w14:textId="77777777">
        <w:trPr>
          <w:trHeight w:val="2575"/>
        </w:trPr>
        <w:tc>
          <w:tcPr>
            <w:tcW w:w="10879" w:type="dxa"/>
            <w:gridSpan w:val="2"/>
          </w:tcPr>
          <w:p w14:paraId="0C495B1F" w14:textId="179511FA" w:rsidR="00D625A6" w:rsidRDefault="00000000" w:rsidP="00E24B8F">
            <w:pPr>
              <w:spacing w:after="0" w:line="360" w:lineRule="auto"/>
              <w:rPr>
                <w:rFonts w:ascii="Cambria" w:hAnsi="Cambria"/>
                <w:bCs/>
              </w:rPr>
            </w:pPr>
            <w:r>
              <w:rPr>
                <w:rFonts w:ascii="Cambria" w:hAnsi="Cambria" w:hint="eastAsia"/>
              </w:rPr>
              <w:t xml:space="preserve">General remarks/Recommendations </w:t>
            </w:r>
            <w:r>
              <w:rPr>
                <w:rFonts w:ascii="Cambria" w:hAnsi="Cambria" w:hint="eastAsia"/>
                <w:b/>
              </w:rPr>
              <w:t xml:space="preserve">(Any general observation or what else can you do </w:t>
            </w:r>
            <w:r w:rsidR="009512B4">
              <w:rPr>
                <w:rFonts w:ascii="Cambria" w:hAnsi="Cambria"/>
                <w:b/>
              </w:rPr>
              <w:t>to implement this activity well</w:t>
            </w:r>
            <w:r>
              <w:rPr>
                <w:rFonts w:ascii="Cambria" w:hAnsi="Cambria" w:hint="eastAsia"/>
                <w:bCs/>
              </w:rPr>
              <w:t xml:space="preserve"> in the future?):</w:t>
            </w:r>
          </w:p>
          <w:p w14:paraId="09A43817" w14:textId="77777777" w:rsidR="00267D48" w:rsidRDefault="00267D48" w:rsidP="00E24B8F">
            <w:pPr>
              <w:spacing w:after="0" w:line="360" w:lineRule="auto"/>
              <w:rPr>
                <w:rFonts w:ascii="Cambria" w:hAnsi="Cambria"/>
                <w:bCs/>
              </w:rPr>
            </w:pPr>
          </w:p>
          <w:p w14:paraId="5C8C8B9C" w14:textId="4861E79E" w:rsidR="00E24B8F" w:rsidRPr="00267D48" w:rsidRDefault="00E24B8F" w:rsidP="00267D48">
            <w:pPr>
              <w:spacing w:after="0" w:line="360" w:lineRule="auto"/>
              <w:rPr>
                <w:rFonts w:ascii="Cambria" w:hAnsi="Cambria"/>
              </w:rPr>
            </w:pPr>
            <w:r w:rsidRPr="00267D48">
              <w:rPr>
                <w:rFonts w:ascii="Cambria" w:hAnsi="Cambria"/>
                <w:b/>
                <w:bCs/>
              </w:rPr>
              <w:t>Build a standing secondary market-access option into future planning</w:t>
            </w:r>
            <w:r w:rsidRPr="00267D48">
              <w:rPr>
                <w:rFonts w:ascii="Cambria" w:hAnsi="Cambria"/>
              </w:rPr>
              <w:t>, so a single partner's non-delivery doesn't require an ad hoc scramble</w:t>
            </w:r>
            <w:r w:rsidR="00267D48" w:rsidRPr="00267D48">
              <w:rPr>
                <w:rFonts w:ascii="Cambria" w:hAnsi="Cambria"/>
              </w:rPr>
              <w:t>;</w:t>
            </w:r>
            <w:r w:rsidRPr="00267D48">
              <w:rPr>
                <w:rFonts w:ascii="Cambria" w:hAnsi="Cambria"/>
              </w:rPr>
              <w:t xml:space="preserve"> this could be a pre-identified shortlist rather than a formal second partnership. </w:t>
            </w:r>
          </w:p>
        </w:tc>
      </w:tr>
    </w:tbl>
    <w:p w14:paraId="7A9E3F98" w14:textId="77777777" w:rsidR="00D625A6" w:rsidRDefault="00D625A6"/>
    <w:p w14:paraId="23FAA268" w14:textId="77777777" w:rsidR="00D625A6" w:rsidRDefault="00D625A6"/>
    <w:sectPr w:rsidR="00D625A6">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2267" w14:textId="77777777" w:rsidR="00EC0526" w:rsidRDefault="00EC0526">
      <w:pPr>
        <w:spacing w:line="240" w:lineRule="auto"/>
      </w:pPr>
      <w:r>
        <w:separator/>
      </w:r>
    </w:p>
  </w:endnote>
  <w:endnote w:type="continuationSeparator" w:id="0">
    <w:p w14:paraId="41188A23" w14:textId="77777777" w:rsidR="00EC0526" w:rsidRDefault="00EC05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70F98" w14:textId="77777777" w:rsidR="00EC0526" w:rsidRDefault="00EC0526">
      <w:pPr>
        <w:spacing w:after="0"/>
      </w:pPr>
      <w:r>
        <w:separator/>
      </w:r>
    </w:p>
  </w:footnote>
  <w:footnote w:type="continuationSeparator" w:id="0">
    <w:p w14:paraId="6E774BB2" w14:textId="77777777" w:rsidR="00EC0526" w:rsidRDefault="00EC052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68C885"/>
    <w:multiLevelType w:val="singleLevel"/>
    <w:tmpl w:val="A568C885"/>
    <w:lvl w:ilvl="0">
      <w:start w:val="1"/>
      <w:numFmt w:val="decimal"/>
      <w:suff w:val="space"/>
      <w:lvlText w:val="%1."/>
      <w:lvlJc w:val="left"/>
    </w:lvl>
  </w:abstractNum>
  <w:abstractNum w:abstractNumId="1" w15:restartNumberingAfterBreak="0">
    <w:nsid w:val="C2CBD949"/>
    <w:multiLevelType w:val="singleLevel"/>
    <w:tmpl w:val="C2CBD949"/>
    <w:lvl w:ilvl="0">
      <w:start w:val="1"/>
      <w:numFmt w:val="decimal"/>
      <w:suff w:val="space"/>
      <w:lvlText w:val="%1."/>
      <w:lvlJc w:val="left"/>
    </w:lvl>
  </w:abstractNum>
  <w:abstractNum w:abstractNumId="2" w15:restartNumberingAfterBreak="0">
    <w:nsid w:val="C3F4D6F3"/>
    <w:multiLevelType w:val="singleLevel"/>
    <w:tmpl w:val="C3F4D6F3"/>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010E2DBC"/>
    <w:multiLevelType w:val="hybridMultilevel"/>
    <w:tmpl w:val="E8AA5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344840"/>
    <w:multiLevelType w:val="hybridMultilevel"/>
    <w:tmpl w:val="DC68194C"/>
    <w:lvl w:ilvl="0" w:tplc="F44CCBC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55A31A76"/>
    <w:multiLevelType w:val="singleLevel"/>
    <w:tmpl w:val="55A31A76"/>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66E35806"/>
    <w:multiLevelType w:val="hybridMultilevel"/>
    <w:tmpl w:val="C8E20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9297637">
    <w:abstractNumId w:val="1"/>
  </w:num>
  <w:num w:numId="2" w16cid:durableId="440807481">
    <w:abstractNumId w:val="0"/>
  </w:num>
  <w:num w:numId="3" w16cid:durableId="1777015875">
    <w:abstractNumId w:val="2"/>
  </w:num>
  <w:num w:numId="4" w16cid:durableId="1400979728">
    <w:abstractNumId w:val="5"/>
  </w:num>
  <w:num w:numId="5" w16cid:durableId="884682180">
    <w:abstractNumId w:val="6"/>
  </w:num>
  <w:num w:numId="6" w16cid:durableId="1475483865">
    <w:abstractNumId w:val="4"/>
  </w:num>
  <w:num w:numId="7" w16cid:durableId="1302808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C5"/>
    <w:rsid w:val="00025469"/>
    <w:rsid w:val="00110B69"/>
    <w:rsid w:val="00113397"/>
    <w:rsid w:val="0013303E"/>
    <w:rsid w:val="0013764E"/>
    <w:rsid w:val="00147785"/>
    <w:rsid w:val="00153319"/>
    <w:rsid w:val="00190B04"/>
    <w:rsid w:val="001A36E7"/>
    <w:rsid w:val="001E60A8"/>
    <w:rsid w:val="002220E8"/>
    <w:rsid w:val="00267D48"/>
    <w:rsid w:val="0029061F"/>
    <w:rsid w:val="002D535C"/>
    <w:rsid w:val="00320DAB"/>
    <w:rsid w:val="004B57FD"/>
    <w:rsid w:val="00505BDE"/>
    <w:rsid w:val="00513EC9"/>
    <w:rsid w:val="00543A66"/>
    <w:rsid w:val="00575B92"/>
    <w:rsid w:val="005C7949"/>
    <w:rsid w:val="005D15AF"/>
    <w:rsid w:val="005D67D6"/>
    <w:rsid w:val="00685142"/>
    <w:rsid w:val="007A3573"/>
    <w:rsid w:val="007A77FA"/>
    <w:rsid w:val="007F1CC5"/>
    <w:rsid w:val="00821C3C"/>
    <w:rsid w:val="009316CD"/>
    <w:rsid w:val="009512B4"/>
    <w:rsid w:val="00A15D83"/>
    <w:rsid w:val="00A61846"/>
    <w:rsid w:val="00A811A5"/>
    <w:rsid w:val="00A867B0"/>
    <w:rsid w:val="00B1736B"/>
    <w:rsid w:val="00BE2368"/>
    <w:rsid w:val="00C04F07"/>
    <w:rsid w:val="00C55802"/>
    <w:rsid w:val="00D01A2E"/>
    <w:rsid w:val="00D26C02"/>
    <w:rsid w:val="00D625A6"/>
    <w:rsid w:val="00E135F9"/>
    <w:rsid w:val="00E166C0"/>
    <w:rsid w:val="00E24B8F"/>
    <w:rsid w:val="00E36638"/>
    <w:rsid w:val="00E4385E"/>
    <w:rsid w:val="00E72AB7"/>
    <w:rsid w:val="00EC0526"/>
    <w:rsid w:val="00EE7391"/>
    <w:rsid w:val="018625FB"/>
    <w:rsid w:val="01FB40D3"/>
    <w:rsid w:val="03EB3447"/>
    <w:rsid w:val="24607D3D"/>
    <w:rsid w:val="2BCE7FDF"/>
    <w:rsid w:val="30C943CC"/>
    <w:rsid w:val="31813D45"/>
    <w:rsid w:val="3850786B"/>
    <w:rsid w:val="3A34015B"/>
    <w:rsid w:val="45011FEF"/>
    <w:rsid w:val="5F995DE3"/>
    <w:rsid w:val="6CD47477"/>
    <w:rsid w:val="72D879D6"/>
    <w:rsid w:val="738B6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25329"/>
  <w15:docId w15:val="{96753F9C-E649-4FE3-8D0A-668DBD20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llowedHyperlink">
    <w:name w:val="FollowedHyperlink"/>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380A2-E0FA-4483-AA9C-46D5A2B79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Benjamin Agamah</cp:lastModifiedBy>
  <cp:revision>4</cp:revision>
  <cp:lastPrinted>2023-03-15T12:39:00Z</cp:lastPrinted>
  <dcterms:created xsi:type="dcterms:W3CDTF">2026-07-13T14:14:00Z</dcterms:created>
  <dcterms:modified xsi:type="dcterms:W3CDTF">2026-07-15T11:23:00Z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2057-11.2.0.11537</vt:lpwstr>
  </property>
  <property fmtid="{D5CDD505-2E9C-101B-9397-08002B2CF9AE}" pid="3" name="ICV">
    <vt:lpwstr>4EB02747E4BA4715AFA2D00BFC0B749E</vt:lpwstr>
  </property>
  <property fmtid="{D5CDD505-2E9C-101B-9397-08002B2CF9AE}" pid="4" name="GrammarlyDocumentId">
    <vt:lpwstr>702f3047-2540-46fb-8944-b299e201a9b9</vt:lpwstr>
  </property>
</Properties>
</file>