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57A29" w14:textId="5E54FEA5" w:rsidR="00D625A6" w:rsidRPr="00BB5224" w:rsidRDefault="00D625A6">
      <w:pPr>
        <w:ind w:left="-630"/>
        <w:rPr>
          <w:rFonts w:ascii="Cambria" w:hAnsi="Cambria"/>
          <w:bCs/>
          <w:u w:val="single"/>
        </w:rPr>
      </w:pPr>
    </w:p>
    <w:p w14:paraId="5B2C4947" w14:textId="3D14E516" w:rsidR="00D625A6" w:rsidRPr="00BB5224" w:rsidRDefault="00000000">
      <w:pPr>
        <w:jc w:val="center"/>
        <w:rPr>
          <w:rFonts w:ascii="Cambria" w:hAnsi="Cambria"/>
          <w:bCs/>
          <w:u w:val="single"/>
        </w:rPr>
      </w:pPr>
      <w:r w:rsidRPr="00BB5224">
        <w:rPr>
          <w:rFonts w:ascii="Cambria" w:hAnsi="Cambria"/>
          <w:bCs/>
          <w:u w:val="single"/>
        </w:rPr>
        <w:t xml:space="preserve">ACTIVITY REPORT </w:t>
      </w:r>
      <w:r w:rsidR="003449B3" w:rsidRPr="00BB5224">
        <w:rPr>
          <w:rFonts w:ascii="Cambria" w:hAnsi="Cambria"/>
          <w:bCs/>
          <w:u w:val="single"/>
        </w:rPr>
        <w:t>(NARRATIVE)</w:t>
      </w:r>
    </w:p>
    <w:tbl>
      <w:tblPr>
        <w:tblW w:w="1087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8185"/>
      </w:tblGrid>
      <w:tr w:rsidR="00D625A6" w:rsidRPr="00BB5224" w14:paraId="4565562D" w14:textId="77777777">
        <w:tc>
          <w:tcPr>
            <w:tcW w:w="2694" w:type="dxa"/>
            <w:vAlign w:val="center"/>
          </w:tcPr>
          <w:p w14:paraId="4D040ACC" w14:textId="77777777" w:rsidR="00D625A6" w:rsidRPr="00BB5224" w:rsidRDefault="00000000">
            <w:pPr>
              <w:spacing w:after="0" w:line="240" w:lineRule="auto"/>
              <w:rPr>
                <w:rFonts w:ascii="Cambria" w:hAnsi="Cambria"/>
                <w:bCs/>
              </w:rPr>
            </w:pPr>
            <w:r w:rsidRPr="00BB5224">
              <w:rPr>
                <w:rFonts w:ascii="Cambria" w:hAnsi="Cambria"/>
                <w:bCs/>
              </w:rPr>
              <w:t>Activity undertaken:</w:t>
            </w:r>
          </w:p>
        </w:tc>
        <w:tc>
          <w:tcPr>
            <w:tcW w:w="8185" w:type="dxa"/>
          </w:tcPr>
          <w:p w14:paraId="2453FEDE" w14:textId="63A83ABE" w:rsidR="00D625A6" w:rsidRPr="00BB5224" w:rsidRDefault="003449B3">
            <w:pPr>
              <w:spacing w:after="0" w:line="240" w:lineRule="auto"/>
              <w:rPr>
                <w:rFonts w:ascii="Cambria" w:hAnsi="Cambria"/>
                <w:bCs/>
                <w:lang w:val="en-GB"/>
              </w:rPr>
            </w:pPr>
            <w:r w:rsidRPr="00BB5224">
              <w:rPr>
                <w:rFonts w:ascii="Cambria" w:hAnsi="Cambria"/>
                <w:bCs/>
                <w:lang w:val="en-GB"/>
              </w:rPr>
              <w:t>HBP Commercial and Learning Farm Pilot</w:t>
            </w:r>
          </w:p>
        </w:tc>
      </w:tr>
      <w:tr w:rsidR="00D625A6" w:rsidRPr="00BB5224" w14:paraId="27A8F446" w14:textId="77777777">
        <w:tc>
          <w:tcPr>
            <w:tcW w:w="2694" w:type="dxa"/>
            <w:vAlign w:val="center"/>
          </w:tcPr>
          <w:p w14:paraId="5BA7D9C8" w14:textId="77777777" w:rsidR="00D625A6" w:rsidRPr="00BB5224" w:rsidRDefault="00000000">
            <w:pPr>
              <w:spacing w:after="0" w:line="240" w:lineRule="auto"/>
              <w:rPr>
                <w:rFonts w:ascii="Cambria" w:hAnsi="Cambria"/>
                <w:bCs/>
              </w:rPr>
            </w:pPr>
            <w:r w:rsidRPr="00BB5224">
              <w:rPr>
                <w:rFonts w:ascii="Cambria" w:hAnsi="Cambria"/>
                <w:bCs/>
              </w:rPr>
              <w:t>Date:</w:t>
            </w:r>
          </w:p>
        </w:tc>
        <w:tc>
          <w:tcPr>
            <w:tcW w:w="8185" w:type="dxa"/>
          </w:tcPr>
          <w:p w14:paraId="20C10351" w14:textId="3D36981A" w:rsidR="00D625A6" w:rsidRPr="00BB5224" w:rsidRDefault="003449B3">
            <w:pPr>
              <w:spacing w:after="0" w:line="240" w:lineRule="auto"/>
              <w:rPr>
                <w:rFonts w:ascii="Cambria" w:hAnsi="Cambria"/>
                <w:bCs/>
                <w:lang w:val="en-GB"/>
              </w:rPr>
            </w:pPr>
            <w:r w:rsidRPr="00BB5224">
              <w:rPr>
                <w:rFonts w:ascii="Cambria" w:hAnsi="Cambria"/>
                <w:bCs/>
                <w:lang w:val="en-GB"/>
              </w:rPr>
              <w:t>Jan-Jun 2026</w:t>
            </w:r>
          </w:p>
        </w:tc>
      </w:tr>
      <w:tr w:rsidR="00D625A6" w:rsidRPr="00BB5224" w14:paraId="04BDFBA8" w14:textId="77777777">
        <w:tc>
          <w:tcPr>
            <w:tcW w:w="2694" w:type="dxa"/>
            <w:vAlign w:val="center"/>
          </w:tcPr>
          <w:p w14:paraId="17AFDD9A" w14:textId="77777777" w:rsidR="00D625A6" w:rsidRPr="00BB5224" w:rsidRDefault="00000000">
            <w:pPr>
              <w:spacing w:after="0" w:line="240" w:lineRule="auto"/>
              <w:rPr>
                <w:rFonts w:ascii="Cambria" w:hAnsi="Cambria"/>
                <w:bCs/>
              </w:rPr>
            </w:pPr>
            <w:r w:rsidRPr="00BB5224">
              <w:rPr>
                <w:rFonts w:ascii="Cambria" w:hAnsi="Cambria"/>
                <w:bCs/>
              </w:rPr>
              <w:t>Report submitted by:</w:t>
            </w:r>
          </w:p>
        </w:tc>
        <w:tc>
          <w:tcPr>
            <w:tcW w:w="8185" w:type="dxa"/>
          </w:tcPr>
          <w:p w14:paraId="50D50AF3" w14:textId="77777777" w:rsidR="00D625A6" w:rsidRPr="00BB5224" w:rsidRDefault="00D625A6">
            <w:pPr>
              <w:spacing w:after="0" w:line="240" w:lineRule="auto"/>
              <w:rPr>
                <w:rFonts w:ascii="Cambria" w:hAnsi="Cambria"/>
                <w:bCs/>
              </w:rPr>
            </w:pPr>
          </w:p>
          <w:p w14:paraId="1811FA5A" w14:textId="3574F648" w:rsidR="00D625A6" w:rsidRPr="00BB5224" w:rsidRDefault="003449B3">
            <w:pPr>
              <w:spacing w:after="0" w:line="240" w:lineRule="auto"/>
              <w:rPr>
                <w:rFonts w:ascii="Cambria" w:hAnsi="Cambria"/>
                <w:bCs/>
                <w:lang w:val="en-GB"/>
              </w:rPr>
            </w:pPr>
            <w:r w:rsidRPr="00BB5224">
              <w:rPr>
                <w:rFonts w:ascii="Cambria" w:hAnsi="Cambria"/>
                <w:bCs/>
                <w:lang w:val="en-GB"/>
              </w:rPr>
              <w:t>Horticulture Business Platform</w:t>
            </w:r>
          </w:p>
        </w:tc>
      </w:tr>
      <w:tr w:rsidR="00D625A6" w:rsidRPr="00BB5224" w14:paraId="2D2A9785" w14:textId="77777777">
        <w:tc>
          <w:tcPr>
            <w:tcW w:w="2694" w:type="dxa"/>
            <w:vAlign w:val="center"/>
          </w:tcPr>
          <w:p w14:paraId="076C0EE9" w14:textId="77777777" w:rsidR="00D625A6" w:rsidRPr="00BB5224" w:rsidRDefault="00000000">
            <w:pPr>
              <w:spacing w:after="0" w:line="240" w:lineRule="auto"/>
              <w:rPr>
                <w:rFonts w:ascii="Cambria" w:hAnsi="Cambria"/>
                <w:bCs/>
              </w:rPr>
            </w:pPr>
            <w:r w:rsidRPr="00BB5224">
              <w:rPr>
                <w:rFonts w:ascii="Cambria" w:hAnsi="Cambria"/>
                <w:bCs/>
              </w:rPr>
              <w:t>Date submitted:</w:t>
            </w:r>
          </w:p>
        </w:tc>
        <w:tc>
          <w:tcPr>
            <w:tcW w:w="8185" w:type="dxa"/>
          </w:tcPr>
          <w:p w14:paraId="5784C0EF" w14:textId="77777777" w:rsidR="00D625A6" w:rsidRPr="00BB5224" w:rsidRDefault="00D625A6">
            <w:pPr>
              <w:spacing w:after="0" w:line="240" w:lineRule="auto"/>
              <w:rPr>
                <w:rFonts w:ascii="Cambria" w:hAnsi="Cambria"/>
                <w:bCs/>
              </w:rPr>
            </w:pPr>
          </w:p>
          <w:p w14:paraId="1AEA64D2" w14:textId="5029F1B5" w:rsidR="00D625A6" w:rsidRPr="00BB5224" w:rsidRDefault="003449B3">
            <w:pPr>
              <w:spacing w:after="0" w:line="240" w:lineRule="auto"/>
              <w:rPr>
                <w:rFonts w:ascii="Cambria" w:hAnsi="Cambria"/>
                <w:bCs/>
                <w:lang w:val="en-GB"/>
              </w:rPr>
            </w:pPr>
            <w:r w:rsidRPr="00BB5224">
              <w:rPr>
                <w:rFonts w:ascii="Cambria" w:hAnsi="Cambria"/>
                <w:bCs/>
                <w:lang w:val="en-GB"/>
              </w:rPr>
              <w:t>July 1</w:t>
            </w:r>
            <w:r w:rsidR="00D66529">
              <w:rPr>
                <w:rFonts w:ascii="Cambria" w:hAnsi="Cambria"/>
                <w:bCs/>
                <w:lang w:val="en-GB"/>
              </w:rPr>
              <w:t>5</w:t>
            </w:r>
            <w:r w:rsidRPr="00BB5224">
              <w:rPr>
                <w:rFonts w:ascii="Cambria" w:hAnsi="Cambria"/>
                <w:bCs/>
                <w:lang w:val="en-GB"/>
              </w:rPr>
              <w:t>, 2026</w:t>
            </w:r>
          </w:p>
        </w:tc>
      </w:tr>
      <w:tr w:rsidR="00D625A6" w:rsidRPr="00BB5224" w14:paraId="164EB35A" w14:textId="77777777">
        <w:tc>
          <w:tcPr>
            <w:tcW w:w="2694" w:type="dxa"/>
            <w:vAlign w:val="center"/>
          </w:tcPr>
          <w:p w14:paraId="56038AE1" w14:textId="77777777" w:rsidR="00D625A6" w:rsidRPr="00BB5224" w:rsidRDefault="00000000">
            <w:pPr>
              <w:spacing w:after="0" w:line="360" w:lineRule="auto"/>
              <w:jc w:val="both"/>
              <w:rPr>
                <w:rFonts w:ascii="Cambria" w:hAnsi="Cambria"/>
                <w:bCs/>
              </w:rPr>
            </w:pPr>
            <w:r w:rsidRPr="00BB5224">
              <w:rPr>
                <w:rFonts w:ascii="Cambria" w:hAnsi="Cambria"/>
                <w:bCs/>
              </w:rPr>
              <w:t>Purpose/Objective of the Activity</w:t>
            </w:r>
          </w:p>
        </w:tc>
        <w:tc>
          <w:tcPr>
            <w:tcW w:w="8185" w:type="dxa"/>
          </w:tcPr>
          <w:p w14:paraId="63F64581" w14:textId="77777777" w:rsidR="002B6887" w:rsidRPr="00BB5224" w:rsidRDefault="002B6887" w:rsidP="002B6887">
            <w:pPr>
              <w:spacing w:after="0" w:line="360" w:lineRule="auto"/>
              <w:rPr>
                <w:rFonts w:ascii="Cambria" w:hAnsi="Cambria"/>
                <w:bCs/>
              </w:rPr>
            </w:pPr>
            <w:r w:rsidRPr="00BB5224">
              <w:rPr>
                <w:rFonts w:ascii="Cambria" w:hAnsi="Cambria"/>
                <w:bCs/>
              </w:rPr>
              <w:t>This activity was undertaken to strengthen HBP's long-term sustainability as a sector platform by establishing evidence-based proof of concept for small-scale horticulture as a viable commercial enterprise in Ghana. No existing, documented local model demonstrates the profitability of small-scale vegetable production in a way that can be replicated across the sector; HBP, with support from the Ghana Netherlands Business and Culture Council (GNBCC), established a pilot commercial demonstration farm to close this evidence gap directly.</w:t>
            </w:r>
          </w:p>
          <w:p w14:paraId="79D54A6A" w14:textId="77777777" w:rsidR="002B6887" w:rsidRPr="00BB5224" w:rsidRDefault="002B6887" w:rsidP="002B6887">
            <w:pPr>
              <w:spacing w:after="0" w:line="360" w:lineRule="auto"/>
              <w:rPr>
                <w:rFonts w:ascii="Cambria" w:hAnsi="Cambria"/>
                <w:bCs/>
              </w:rPr>
            </w:pPr>
            <w:r w:rsidRPr="00BB5224">
              <w:rPr>
                <w:rFonts w:ascii="Cambria" w:hAnsi="Cambria"/>
                <w:bCs/>
              </w:rPr>
              <w:t>The pilot was designed around two objectives:</w:t>
            </w:r>
          </w:p>
          <w:p w14:paraId="0694BB93" w14:textId="73F71EA8" w:rsidR="002B6887" w:rsidRPr="00BB5224" w:rsidRDefault="002B6887" w:rsidP="002B6887">
            <w:pPr>
              <w:numPr>
                <w:ilvl w:val="0"/>
                <w:numId w:val="9"/>
              </w:numPr>
              <w:spacing w:after="0" w:line="360" w:lineRule="auto"/>
              <w:rPr>
                <w:rFonts w:ascii="Cambria" w:hAnsi="Cambria"/>
                <w:bCs/>
              </w:rPr>
            </w:pPr>
            <w:r w:rsidRPr="00BB5224">
              <w:rPr>
                <w:rFonts w:ascii="Cambria" w:hAnsi="Cambria"/>
                <w:bCs/>
              </w:rPr>
              <w:t>Primary objective</w:t>
            </w:r>
            <w:r w:rsidRPr="00BB5224">
              <w:rPr>
                <w:rFonts w:ascii="Cambria" w:hAnsi="Cambria"/>
                <w:bCs/>
              </w:rPr>
              <w:t>:</w:t>
            </w:r>
            <w:r w:rsidRPr="00BB5224">
              <w:rPr>
                <w:rFonts w:ascii="Cambria" w:hAnsi="Cambria"/>
                <w:bCs/>
              </w:rPr>
              <w:t xml:space="preserve"> commercial viability. To test and document, through a complete production cycle, whether small-scale vegetable farming in the Ghanaian context is commercially profitable, tracked through input costs, yields, revenues, and margins. This data-driven proof of concept is the initiative's core success measure and is intended to produce a replicable model for the wider sector.</w:t>
            </w:r>
          </w:p>
          <w:p w14:paraId="12EC9BA5" w14:textId="73447414" w:rsidR="002B6887" w:rsidRPr="00BB5224" w:rsidRDefault="002B6887" w:rsidP="002B6887">
            <w:pPr>
              <w:numPr>
                <w:ilvl w:val="0"/>
                <w:numId w:val="9"/>
              </w:numPr>
              <w:spacing w:after="0" w:line="360" w:lineRule="auto"/>
              <w:rPr>
                <w:rFonts w:ascii="Cambria" w:hAnsi="Cambria"/>
                <w:bCs/>
              </w:rPr>
            </w:pPr>
            <w:r w:rsidRPr="00BB5224">
              <w:rPr>
                <w:rFonts w:ascii="Cambria" w:hAnsi="Cambria"/>
                <w:bCs/>
              </w:rPr>
              <w:t>Secondary objective</w:t>
            </w:r>
            <w:r w:rsidRPr="00BB5224">
              <w:rPr>
                <w:rFonts w:ascii="Cambria" w:hAnsi="Cambria"/>
                <w:bCs/>
              </w:rPr>
              <w:t>:</w:t>
            </w:r>
            <w:r w:rsidRPr="00BB5224">
              <w:rPr>
                <w:rFonts w:ascii="Cambria" w:hAnsi="Cambria"/>
                <w:bCs/>
              </w:rPr>
              <w:t xml:space="preserve"> capability building. To provide youth, students, and graduates, including Horticulture Business Challenge (HBC) participants and West Africa Senior High School (WASS) students, with a structured, hands-on learning environment covering Best Agricultural Practices, farm business management, accounting, sales, and marketing.</w:t>
            </w:r>
          </w:p>
          <w:p w14:paraId="256106CD" w14:textId="1CE1976E" w:rsidR="00D625A6" w:rsidRPr="00BB5224" w:rsidRDefault="00D625A6" w:rsidP="00685142">
            <w:pPr>
              <w:spacing w:after="0" w:line="360" w:lineRule="auto"/>
              <w:rPr>
                <w:rFonts w:ascii="Cambria" w:hAnsi="Cambria"/>
                <w:bCs/>
                <w:lang w:val="en-GB"/>
              </w:rPr>
            </w:pPr>
          </w:p>
        </w:tc>
      </w:tr>
      <w:tr w:rsidR="00D625A6" w:rsidRPr="00BB5224" w14:paraId="2007F885" w14:textId="77777777">
        <w:tc>
          <w:tcPr>
            <w:tcW w:w="2694" w:type="dxa"/>
          </w:tcPr>
          <w:p w14:paraId="6443451B" w14:textId="77777777" w:rsidR="00D625A6" w:rsidRPr="00BB5224" w:rsidRDefault="00000000">
            <w:pPr>
              <w:spacing w:after="0" w:line="360" w:lineRule="auto"/>
              <w:jc w:val="both"/>
              <w:rPr>
                <w:rFonts w:ascii="Cambria" w:hAnsi="Cambria"/>
                <w:bCs/>
              </w:rPr>
            </w:pPr>
            <w:r w:rsidRPr="00BB5224">
              <w:rPr>
                <w:rFonts w:ascii="Cambria" w:hAnsi="Cambria"/>
                <w:bCs/>
              </w:rPr>
              <w:t>Number of Participants</w:t>
            </w:r>
          </w:p>
        </w:tc>
        <w:tc>
          <w:tcPr>
            <w:tcW w:w="8185" w:type="dxa"/>
          </w:tcPr>
          <w:p w14:paraId="03BF0C9B" w14:textId="77777777" w:rsidR="00D625A6" w:rsidRPr="00BB5224" w:rsidRDefault="00D625A6">
            <w:pPr>
              <w:spacing w:after="0" w:line="360" w:lineRule="auto"/>
              <w:jc w:val="both"/>
              <w:rPr>
                <w:rFonts w:ascii="Cambria" w:hAnsi="Cambria"/>
                <w:bCs/>
              </w:rPr>
            </w:pPr>
          </w:p>
          <w:tbl>
            <w:tblPr>
              <w:tblW w:w="77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21"/>
              <w:gridCol w:w="1040"/>
              <w:gridCol w:w="1038"/>
              <w:gridCol w:w="837"/>
              <w:gridCol w:w="1134"/>
              <w:gridCol w:w="850"/>
              <w:gridCol w:w="1276"/>
            </w:tblGrid>
            <w:tr w:rsidR="00D625A6" w:rsidRPr="00BB5224" w14:paraId="3A26C846" w14:textId="77777777">
              <w:trPr>
                <w:trHeight w:val="169"/>
              </w:trPr>
              <w:tc>
                <w:tcPr>
                  <w:tcW w:w="1621" w:type="dxa"/>
                  <w:tcBorders>
                    <w:top w:val="single" w:sz="4" w:space="0" w:color="000000"/>
                    <w:left w:val="single" w:sz="4" w:space="0" w:color="000000"/>
                    <w:bottom w:val="single" w:sz="4" w:space="0" w:color="000000"/>
                    <w:right w:val="single" w:sz="4" w:space="0" w:color="000000"/>
                  </w:tcBorders>
                </w:tcPr>
                <w:p w14:paraId="53534A15" w14:textId="77777777" w:rsidR="00D625A6" w:rsidRPr="00BB5224" w:rsidRDefault="00000000">
                  <w:pPr>
                    <w:pStyle w:val="ListParagraph"/>
                    <w:spacing w:after="0" w:line="240" w:lineRule="auto"/>
                    <w:ind w:left="0"/>
                    <w:rPr>
                      <w:rFonts w:ascii="Cambria" w:hAnsi="Cambria" w:cs="Arial"/>
                      <w:bCs/>
                    </w:rPr>
                  </w:pPr>
                  <w:r w:rsidRPr="00BB5224">
                    <w:rPr>
                      <w:rFonts w:ascii="Cambria" w:hAnsi="Cambria" w:cs="Arial"/>
                      <w:bCs/>
                    </w:rPr>
                    <w:t>Category</w:t>
                  </w:r>
                </w:p>
              </w:tc>
              <w:tc>
                <w:tcPr>
                  <w:tcW w:w="1040" w:type="dxa"/>
                  <w:tcBorders>
                    <w:top w:val="single" w:sz="4" w:space="0" w:color="000000"/>
                    <w:left w:val="single" w:sz="4" w:space="0" w:color="000000"/>
                    <w:bottom w:val="single" w:sz="4" w:space="0" w:color="000000"/>
                    <w:right w:val="single" w:sz="4" w:space="0" w:color="000000"/>
                  </w:tcBorders>
                </w:tcPr>
                <w:p w14:paraId="3D4DF52D" w14:textId="77777777" w:rsidR="00D625A6" w:rsidRPr="00BB5224" w:rsidRDefault="00000000">
                  <w:pPr>
                    <w:pStyle w:val="ListParagraph"/>
                    <w:ind w:left="0"/>
                    <w:rPr>
                      <w:rFonts w:ascii="Cambria" w:hAnsi="Cambria" w:cs="Arial"/>
                      <w:bCs/>
                    </w:rPr>
                  </w:pPr>
                  <w:r w:rsidRPr="00BB5224">
                    <w:rPr>
                      <w:rFonts w:ascii="Cambria" w:hAnsi="Cambria" w:cs="Arial"/>
                      <w:bCs/>
                    </w:rPr>
                    <w:t>M</w:t>
                  </w:r>
                </w:p>
              </w:tc>
              <w:tc>
                <w:tcPr>
                  <w:tcW w:w="1038" w:type="dxa"/>
                  <w:tcBorders>
                    <w:top w:val="single" w:sz="4" w:space="0" w:color="000000"/>
                    <w:left w:val="single" w:sz="4" w:space="0" w:color="000000"/>
                    <w:bottom w:val="single" w:sz="4" w:space="0" w:color="000000"/>
                    <w:right w:val="single" w:sz="4" w:space="0" w:color="auto"/>
                  </w:tcBorders>
                </w:tcPr>
                <w:p w14:paraId="72C38840" w14:textId="77777777" w:rsidR="00D625A6" w:rsidRPr="00BB5224" w:rsidRDefault="00000000">
                  <w:pPr>
                    <w:pStyle w:val="ListParagraph"/>
                    <w:ind w:left="0"/>
                    <w:rPr>
                      <w:rFonts w:ascii="Cambria" w:hAnsi="Cambria" w:cs="Arial"/>
                      <w:bCs/>
                    </w:rPr>
                  </w:pPr>
                  <w:r w:rsidRPr="00BB5224">
                    <w:rPr>
                      <w:rFonts w:ascii="Cambria" w:hAnsi="Cambria" w:cs="Arial"/>
                      <w:bCs/>
                    </w:rPr>
                    <w:t>F</w:t>
                  </w:r>
                </w:p>
              </w:tc>
              <w:tc>
                <w:tcPr>
                  <w:tcW w:w="4097" w:type="dxa"/>
                  <w:gridSpan w:val="4"/>
                  <w:tcBorders>
                    <w:top w:val="single" w:sz="4" w:space="0" w:color="000000"/>
                    <w:left w:val="single" w:sz="4" w:space="0" w:color="auto"/>
                    <w:bottom w:val="single" w:sz="4" w:space="0" w:color="000000"/>
                    <w:right w:val="single" w:sz="4" w:space="0" w:color="000000"/>
                  </w:tcBorders>
                  <w:shd w:val="clear" w:color="auto" w:fill="D9D9D9" w:themeFill="background1" w:themeFillShade="D9"/>
                </w:tcPr>
                <w:p w14:paraId="524EF556" w14:textId="77777777" w:rsidR="00D625A6" w:rsidRPr="00BB5224" w:rsidRDefault="00000000">
                  <w:pPr>
                    <w:pStyle w:val="ListParagraph"/>
                    <w:ind w:left="0"/>
                    <w:jc w:val="center"/>
                    <w:rPr>
                      <w:rFonts w:ascii="Cambria" w:hAnsi="Cambria" w:cs="Arial"/>
                      <w:bCs/>
                      <w:i/>
                    </w:rPr>
                  </w:pPr>
                  <w:r w:rsidRPr="00BB5224">
                    <w:rPr>
                      <w:rFonts w:ascii="Cambria" w:hAnsi="Cambria" w:cs="Arial"/>
                      <w:bCs/>
                      <w:i/>
                    </w:rPr>
                    <w:t>Sub-groups</w:t>
                  </w:r>
                </w:p>
              </w:tc>
            </w:tr>
            <w:tr w:rsidR="00D625A6" w:rsidRPr="00BB5224" w14:paraId="06B24DF2" w14:textId="77777777">
              <w:trPr>
                <w:trHeight w:val="560"/>
              </w:trPr>
              <w:tc>
                <w:tcPr>
                  <w:tcW w:w="1621" w:type="dxa"/>
                  <w:tcBorders>
                    <w:top w:val="single" w:sz="4" w:space="0" w:color="000000"/>
                    <w:left w:val="single" w:sz="4" w:space="0" w:color="000000"/>
                    <w:bottom w:val="single" w:sz="4" w:space="0" w:color="000000"/>
                    <w:right w:val="single" w:sz="4" w:space="0" w:color="000000"/>
                  </w:tcBorders>
                </w:tcPr>
                <w:p w14:paraId="7CDDEBB6" w14:textId="77777777" w:rsidR="00D625A6" w:rsidRPr="00BB5224" w:rsidRDefault="00D625A6">
                  <w:pPr>
                    <w:pStyle w:val="ListParagraph"/>
                    <w:spacing w:after="0" w:line="240" w:lineRule="auto"/>
                    <w:ind w:left="0"/>
                    <w:rPr>
                      <w:rFonts w:ascii="Cambria" w:hAnsi="Cambria" w:cs="Arial"/>
                      <w:bCs/>
                    </w:rPr>
                  </w:pPr>
                </w:p>
              </w:tc>
              <w:tc>
                <w:tcPr>
                  <w:tcW w:w="1040" w:type="dxa"/>
                  <w:tcBorders>
                    <w:top w:val="single" w:sz="4" w:space="0" w:color="000000"/>
                    <w:left w:val="single" w:sz="4" w:space="0" w:color="000000"/>
                    <w:bottom w:val="single" w:sz="4" w:space="0" w:color="000000"/>
                    <w:right w:val="single" w:sz="4" w:space="0" w:color="000000"/>
                  </w:tcBorders>
                </w:tcPr>
                <w:p w14:paraId="68A88D7D" w14:textId="77777777" w:rsidR="00D625A6" w:rsidRPr="00BB5224" w:rsidRDefault="00D625A6">
                  <w:pPr>
                    <w:pStyle w:val="ListParagraph"/>
                    <w:ind w:left="0"/>
                    <w:rPr>
                      <w:rFonts w:ascii="Cambria" w:hAnsi="Cambria" w:cs="Arial"/>
                      <w:bCs/>
                    </w:rPr>
                  </w:pPr>
                </w:p>
              </w:tc>
              <w:tc>
                <w:tcPr>
                  <w:tcW w:w="1038" w:type="dxa"/>
                  <w:tcBorders>
                    <w:top w:val="single" w:sz="4" w:space="0" w:color="000000"/>
                    <w:left w:val="single" w:sz="4" w:space="0" w:color="000000"/>
                    <w:bottom w:val="single" w:sz="4" w:space="0" w:color="000000"/>
                    <w:right w:val="single" w:sz="4" w:space="0" w:color="auto"/>
                  </w:tcBorders>
                </w:tcPr>
                <w:p w14:paraId="2548F5AA" w14:textId="77777777" w:rsidR="00D625A6" w:rsidRPr="00BB5224" w:rsidRDefault="00D625A6">
                  <w:pPr>
                    <w:pStyle w:val="ListParagraph"/>
                    <w:ind w:left="0"/>
                    <w:rPr>
                      <w:rFonts w:ascii="Cambria" w:hAnsi="Cambria" w:cs="Arial"/>
                      <w:bCs/>
                    </w:rPr>
                  </w:pPr>
                </w:p>
              </w:tc>
              <w:tc>
                <w:tcPr>
                  <w:tcW w:w="837" w:type="dxa"/>
                  <w:tcBorders>
                    <w:top w:val="single" w:sz="4" w:space="0" w:color="000000"/>
                    <w:left w:val="single" w:sz="4" w:space="0" w:color="auto"/>
                    <w:bottom w:val="single" w:sz="4" w:space="0" w:color="000000"/>
                    <w:right w:val="single" w:sz="4" w:space="0" w:color="auto"/>
                  </w:tcBorders>
                </w:tcPr>
                <w:p w14:paraId="7B053AE5" w14:textId="77777777" w:rsidR="00D625A6" w:rsidRPr="00BB5224" w:rsidRDefault="00000000">
                  <w:pPr>
                    <w:pStyle w:val="ListParagraph"/>
                    <w:ind w:left="0"/>
                    <w:rPr>
                      <w:rFonts w:ascii="Cambria" w:hAnsi="Cambria" w:cs="Arial"/>
                      <w:bCs/>
                      <w:i/>
                    </w:rPr>
                  </w:pPr>
                  <w:r w:rsidRPr="00BB5224">
                    <w:rPr>
                      <w:rFonts w:ascii="Cambria" w:hAnsi="Cambria" w:cs="Arial"/>
                      <w:bCs/>
                      <w:i/>
                    </w:rPr>
                    <w:t>PWDs</w:t>
                  </w:r>
                </w:p>
              </w:tc>
              <w:tc>
                <w:tcPr>
                  <w:tcW w:w="1134" w:type="dxa"/>
                  <w:tcBorders>
                    <w:top w:val="single" w:sz="4" w:space="0" w:color="000000"/>
                    <w:left w:val="single" w:sz="4" w:space="0" w:color="auto"/>
                    <w:bottom w:val="single" w:sz="4" w:space="0" w:color="000000"/>
                    <w:right w:val="single" w:sz="4" w:space="0" w:color="auto"/>
                  </w:tcBorders>
                </w:tcPr>
                <w:p w14:paraId="12B14F9E" w14:textId="77777777" w:rsidR="00D625A6" w:rsidRPr="00BB5224" w:rsidRDefault="00000000">
                  <w:pPr>
                    <w:pStyle w:val="ListParagraph"/>
                    <w:ind w:left="0"/>
                    <w:rPr>
                      <w:rFonts w:ascii="Cambria" w:hAnsi="Cambria" w:cs="Arial"/>
                      <w:bCs/>
                      <w:i/>
                    </w:rPr>
                  </w:pPr>
                  <w:r w:rsidRPr="00BB5224">
                    <w:rPr>
                      <w:rFonts w:ascii="Cambria" w:hAnsi="Cambria" w:cs="Arial"/>
                      <w:bCs/>
                      <w:i/>
                    </w:rPr>
                    <w:t>Children</w:t>
                  </w:r>
                </w:p>
              </w:tc>
              <w:tc>
                <w:tcPr>
                  <w:tcW w:w="850" w:type="dxa"/>
                  <w:tcBorders>
                    <w:top w:val="single" w:sz="4" w:space="0" w:color="000000"/>
                    <w:left w:val="single" w:sz="4" w:space="0" w:color="auto"/>
                    <w:bottom w:val="single" w:sz="4" w:space="0" w:color="000000"/>
                    <w:right w:val="single" w:sz="4" w:space="0" w:color="auto"/>
                  </w:tcBorders>
                </w:tcPr>
                <w:p w14:paraId="37480D95" w14:textId="77777777" w:rsidR="00D625A6" w:rsidRPr="00BB5224" w:rsidRDefault="00000000">
                  <w:pPr>
                    <w:pStyle w:val="ListParagraph"/>
                    <w:ind w:left="0"/>
                    <w:rPr>
                      <w:rFonts w:ascii="Cambria" w:hAnsi="Cambria" w:cs="Arial"/>
                      <w:bCs/>
                      <w:i/>
                    </w:rPr>
                  </w:pPr>
                  <w:r w:rsidRPr="00BB5224">
                    <w:rPr>
                      <w:rFonts w:ascii="Cambria" w:hAnsi="Cambria" w:cs="Arial"/>
                      <w:bCs/>
                      <w:i/>
                    </w:rPr>
                    <w:t>Youth</w:t>
                  </w:r>
                </w:p>
              </w:tc>
              <w:tc>
                <w:tcPr>
                  <w:tcW w:w="1276" w:type="dxa"/>
                  <w:tcBorders>
                    <w:top w:val="single" w:sz="4" w:space="0" w:color="000000"/>
                    <w:left w:val="single" w:sz="4" w:space="0" w:color="auto"/>
                    <w:bottom w:val="single" w:sz="4" w:space="0" w:color="000000"/>
                    <w:right w:val="single" w:sz="4" w:space="0" w:color="000000"/>
                  </w:tcBorders>
                </w:tcPr>
                <w:p w14:paraId="623DD4E9" w14:textId="77777777" w:rsidR="00D625A6" w:rsidRPr="00BB5224" w:rsidRDefault="00000000">
                  <w:pPr>
                    <w:pStyle w:val="ListParagraph"/>
                    <w:ind w:left="0"/>
                    <w:rPr>
                      <w:rFonts w:ascii="Cambria" w:hAnsi="Cambria" w:cs="Arial"/>
                      <w:bCs/>
                      <w:i/>
                    </w:rPr>
                  </w:pPr>
                  <w:r w:rsidRPr="00BB5224">
                    <w:rPr>
                      <w:rFonts w:ascii="Cambria" w:hAnsi="Cambria" w:cs="Arial"/>
                      <w:bCs/>
                      <w:i/>
                    </w:rPr>
                    <w:t>Others</w:t>
                  </w:r>
                </w:p>
                <w:p w14:paraId="791DC8EE" w14:textId="77777777" w:rsidR="00D625A6" w:rsidRPr="00BB5224" w:rsidRDefault="00000000">
                  <w:pPr>
                    <w:pStyle w:val="ListParagraph"/>
                    <w:ind w:left="0"/>
                    <w:rPr>
                      <w:rFonts w:ascii="Cambria" w:hAnsi="Cambria" w:cs="Arial"/>
                      <w:bCs/>
                      <w:i/>
                    </w:rPr>
                  </w:pPr>
                  <w:r w:rsidRPr="00BB5224">
                    <w:rPr>
                      <w:rFonts w:ascii="Cambria" w:hAnsi="Cambria" w:cs="Arial"/>
                      <w:bCs/>
                      <w:i/>
                    </w:rPr>
                    <w:t>(Specify…)</w:t>
                  </w:r>
                </w:p>
              </w:tc>
            </w:tr>
            <w:tr w:rsidR="00D625A6" w:rsidRPr="00BB5224" w14:paraId="1EC1FC3D" w14:textId="77777777">
              <w:trPr>
                <w:trHeight w:val="113"/>
              </w:trPr>
              <w:tc>
                <w:tcPr>
                  <w:tcW w:w="1621" w:type="dxa"/>
                  <w:tcBorders>
                    <w:top w:val="single" w:sz="4" w:space="0" w:color="000000"/>
                    <w:left w:val="single" w:sz="4" w:space="0" w:color="000000"/>
                    <w:bottom w:val="single" w:sz="4" w:space="0" w:color="000000"/>
                    <w:right w:val="single" w:sz="4" w:space="0" w:color="000000"/>
                  </w:tcBorders>
                </w:tcPr>
                <w:p w14:paraId="0164FD95" w14:textId="77777777" w:rsidR="00D625A6" w:rsidRPr="00BB5224" w:rsidRDefault="00000000">
                  <w:pPr>
                    <w:pStyle w:val="ListParagraph"/>
                    <w:ind w:left="0"/>
                    <w:rPr>
                      <w:rFonts w:ascii="Cambria" w:hAnsi="Cambria" w:cs="Arial"/>
                      <w:bCs/>
                    </w:rPr>
                  </w:pPr>
                  <w:r w:rsidRPr="00BB5224">
                    <w:rPr>
                      <w:rFonts w:ascii="Cambria" w:hAnsi="Cambria" w:cs="Arial"/>
                      <w:bCs/>
                    </w:rPr>
                    <w:t>Direct Reach</w:t>
                  </w:r>
                </w:p>
              </w:tc>
              <w:tc>
                <w:tcPr>
                  <w:tcW w:w="1040" w:type="dxa"/>
                  <w:tcBorders>
                    <w:top w:val="single" w:sz="4" w:space="0" w:color="000000"/>
                    <w:left w:val="single" w:sz="4" w:space="0" w:color="000000"/>
                    <w:bottom w:val="single" w:sz="4" w:space="0" w:color="000000"/>
                    <w:right w:val="single" w:sz="4" w:space="0" w:color="000000"/>
                  </w:tcBorders>
                </w:tcPr>
                <w:p w14:paraId="1A60E73E" w14:textId="499DC50F" w:rsidR="00D625A6" w:rsidRPr="00BB5224" w:rsidRDefault="003449B3">
                  <w:pPr>
                    <w:pStyle w:val="ListParagraph"/>
                    <w:ind w:left="0"/>
                    <w:rPr>
                      <w:rFonts w:ascii="Cambria" w:hAnsi="Cambria" w:cs="Arial"/>
                      <w:bCs/>
                      <w:lang w:val="en-GB"/>
                    </w:rPr>
                  </w:pPr>
                  <w:r w:rsidRPr="00BB5224">
                    <w:rPr>
                      <w:rFonts w:ascii="Cambria" w:hAnsi="Cambria" w:cs="Arial"/>
                      <w:bCs/>
                      <w:lang w:val="en-GB"/>
                    </w:rPr>
                    <w:t>NR</w:t>
                  </w:r>
                </w:p>
              </w:tc>
              <w:tc>
                <w:tcPr>
                  <w:tcW w:w="1038" w:type="dxa"/>
                  <w:tcBorders>
                    <w:top w:val="single" w:sz="4" w:space="0" w:color="000000"/>
                    <w:left w:val="single" w:sz="4" w:space="0" w:color="000000"/>
                    <w:bottom w:val="single" w:sz="4" w:space="0" w:color="000000"/>
                    <w:right w:val="single" w:sz="4" w:space="0" w:color="auto"/>
                  </w:tcBorders>
                </w:tcPr>
                <w:p w14:paraId="1293EC27" w14:textId="77777777" w:rsidR="00D625A6" w:rsidRPr="00BB5224" w:rsidRDefault="00D625A6">
                  <w:pPr>
                    <w:pStyle w:val="ListParagraph"/>
                    <w:ind w:left="0"/>
                    <w:rPr>
                      <w:rFonts w:ascii="Cambria" w:hAnsi="Cambria" w:cs="Arial"/>
                      <w:bCs/>
                      <w:lang w:val="en-GB"/>
                    </w:rPr>
                  </w:pPr>
                </w:p>
              </w:tc>
              <w:tc>
                <w:tcPr>
                  <w:tcW w:w="837" w:type="dxa"/>
                  <w:tcBorders>
                    <w:top w:val="single" w:sz="4" w:space="0" w:color="000000"/>
                    <w:left w:val="single" w:sz="4" w:space="0" w:color="auto"/>
                    <w:bottom w:val="single" w:sz="4" w:space="0" w:color="000000"/>
                    <w:right w:val="single" w:sz="4" w:space="0" w:color="auto"/>
                  </w:tcBorders>
                </w:tcPr>
                <w:p w14:paraId="4FD73CBE" w14:textId="77777777" w:rsidR="00D625A6" w:rsidRPr="00BB5224" w:rsidRDefault="00D625A6">
                  <w:pPr>
                    <w:pStyle w:val="ListParagraph"/>
                    <w:ind w:left="0"/>
                    <w:rPr>
                      <w:rFonts w:ascii="Cambria" w:hAnsi="Cambria" w:cs="Arial"/>
                      <w:bCs/>
                    </w:rPr>
                  </w:pPr>
                </w:p>
              </w:tc>
              <w:tc>
                <w:tcPr>
                  <w:tcW w:w="1134" w:type="dxa"/>
                  <w:tcBorders>
                    <w:top w:val="single" w:sz="4" w:space="0" w:color="000000"/>
                    <w:left w:val="single" w:sz="4" w:space="0" w:color="auto"/>
                    <w:bottom w:val="single" w:sz="4" w:space="0" w:color="000000"/>
                    <w:right w:val="single" w:sz="4" w:space="0" w:color="auto"/>
                  </w:tcBorders>
                </w:tcPr>
                <w:p w14:paraId="0F42196F" w14:textId="77777777" w:rsidR="00D625A6" w:rsidRPr="00BB5224" w:rsidRDefault="00D625A6">
                  <w:pPr>
                    <w:pStyle w:val="ListParagraph"/>
                    <w:ind w:left="0"/>
                    <w:rPr>
                      <w:rFonts w:ascii="Cambria" w:hAnsi="Cambria" w:cs="Arial"/>
                      <w:bCs/>
                    </w:rPr>
                  </w:pPr>
                </w:p>
              </w:tc>
              <w:tc>
                <w:tcPr>
                  <w:tcW w:w="850" w:type="dxa"/>
                  <w:tcBorders>
                    <w:top w:val="single" w:sz="4" w:space="0" w:color="000000"/>
                    <w:left w:val="single" w:sz="4" w:space="0" w:color="auto"/>
                    <w:bottom w:val="single" w:sz="4" w:space="0" w:color="000000"/>
                    <w:right w:val="single" w:sz="4" w:space="0" w:color="auto"/>
                  </w:tcBorders>
                </w:tcPr>
                <w:p w14:paraId="75D66F5E" w14:textId="77777777" w:rsidR="00D625A6" w:rsidRPr="00BB5224" w:rsidRDefault="00D625A6">
                  <w:pPr>
                    <w:pStyle w:val="ListParagraph"/>
                    <w:ind w:left="0"/>
                    <w:rPr>
                      <w:rFonts w:ascii="Cambria" w:hAnsi="Cambria" w:cs="Arial"/>
                      <w:bCs/>
                    </w:rPr>
                  </w:pPr>
                </w:p>
              </w:tc>
              <w:tc>
                <w:tcPr>
                  <w:tcW w:w="1276" w:type="dxa"/>
                  <w:tcBorders>
                    <w:top w:val="single" w:sz="4" w:space="0" w:color="000000"/>
                    <w:left w:val="single" w:sz="4" w:space="0" w:color="auto"/>
                    <w:bottom w:val="single" w:sz="4" w:space="0" w:color="000000"/>
                    <w:right w:val="single" w:sz="4" w:space="0" w:color="000000"/>
                  </w:tcBorders>
                </w:tcPr>
                <w:p w14:paraId="3E7B6442" w14:textId="77777777" w:rsidR="00D625A6" w:rsidRPr="00BB5224" w:rsidRDefault="00D625A6">
                  <w:pPr>
                    <w:pStyle w:val="ListParagraph"/>
                    <w:ind w:left="0"/>
                    <w:rPr>
                      <w:rFonts w:ascii="Cambria" w:hAnsi="Cambria" w:cs="Arial"/>
                      <w:bCs/>
                    </w:rPr>
                  </w:pPr>
                </w:p>
              </w:tc>
            </w:tr>
            <w:tr w:rsidR="00D625A6" w:rsidRPr="00BB5224" w14:paraId="1D46CB18" w14:textId="77777777">
              <w:trPr>
                <w:trHeight w:val="113"/>
              </w:trPr>
              <w:tc>
                <w:tcPr>
                  <w:tcW w:w="1621" w:type="dxa"/>
                  <w:tcBorders>
                    <w:top w:val="single" w:sz="4" w:space="0" w:color="000000"/>
                    <w:left w:val="single" w:sz="4" w:space="0" w:color="000000"/>
                    <w:bottom w:val="single" w:sz="4" w:space="0" w:color="000000"/>
                    <w:right w:val="single" w:sz="4" w:space="0" w:color="000000"/>
                  </w:tcBorders>
                </w:tcPr>
                <w:p w14:paraId="12F675D9" w14:textId="77777777" w:rsidR="00D625A6" w:rsidRPr="00BB5224" w:rsidRDefault="00000000">
                  <w:pPr>
                    <w:pStyle w:val="ListParagraph"/>
                    <w:ind w:left="0"/>
                    <w:rPr>
                      <w:rFonts w:ascii="Cambria" w:hAnsi="Cambria" w:cs="Arial"/>
                      <w:bCs/>
                    </w:rPr>
                  </w:pPr>
                  <w:r w:rsidRPr="00BB5224">
                    <w:rPr>
                      <w:rFonts w:ascii="Cambria" w:hAnsi="Cambria" w:cs="Arial"/>
                      <w:bCs/>
                    </w:rPr>
                    <w:t>Indirect Reach</w:t>
                  </w:r>
                </w:p>
              </w:tc>
              <w:tc>
                <w:tcPr>
                  <w:tcW w:w="1040" w:type="dxa"/>
                  <w:tcBorders>
                    <w:top w:val="single" w:sz="4" w:space="0" w:color="000000"/>
                    <w:left w:val="single" w:sz="4" w:space="0" w:color="000000"/>
                    <w:bottom w:val="single" w:sz="4" w:space="0" w:color="000000"/>
                    <w:right w:val="single" w:sz="4" w:space="0" w:color="000000"/>
                  </w:tcBorders>
                </w:tcPr>
                <w:p w14:paraId="1413B677" w14:textId="6E951652" w:rsidR="00D625A6" w:rsidRPr="00BB5224" w:rsidRDefault="003449B3">
                  <w:pPr>
                    <w:pStyle w:val="ListParagraph"/>
                    <w:ind w:left="0"/>
                    <w:rPr>
                      <w:rFonts w:ascii="Cambria" w:hAnsi="Cambria" w:cs="Arial"/>
                      <w:bCs/>
                    </w:rPr>
                  </w:pPr>
                  <w:r w:rsidRPr="00BB5224">
                    <w:rPr>
                      <w:rFonts w:ascii="Cambria" w:hAnsi="Cambria" w:cs="Arial"/>
                      <w:bCs/>
                    </w:rPr>
                    <w:t>NR</w:t>
                  </w:r>
                </w:p>
              </w:tc>
              <w:tc>
                <w:tcPr>
                  <w:tcW w:w="1038" w:type="dxa"/>
                  <w:tcBorders>
                    <w:top w:val="single" w:sz="4" w:space="0" w:color="000000"/>
                    <w:left w:val="single" w:sz="4" w:space="0" w:color="000000"/>
                    <w:bottom w:val="single" w:sz="4" w:space="0" w:color="000000"/>
                    <w:right w:val="single" w:sz="4" w:space="0" w:color="auto"/>
                  </w:tcBorders>
                </w:tcPr>
                <w:p w14:paraId="534BA249" w14:textId="77777777" w:rsidR="00D625A6" w:rsidRPr="00BB5224" w:rsidRDefault="00D625A6">
                  <w:pPr>
                    <w:pStyle w:val="ListParagraph"/>
                    <w:ind w:left="0"/>
                    <w:rPr>
                      <w:rFonts w:ascii="Cambria" w:hAnsi="Cambria" w:cs="Arial"/>
                      <w:bCs/>
                    </w:rPr>
                  </w:pPr>
                </w:p>
              </w:tc>
              <w:tc>
                <w:tcPr>
                  <w:tcW w:w="837" w:type="dxa"/>
                  <w:tcBorders>
                    <w:top w:val="single" w:sz="4" w:space="0" w:color="000000"/>
                    <w:left w:val="single" w:sz="4" w:space="0" w:color="auto"/>
                    <w:bottom w:val="single" w:sz="4" w:space="0" w:color="000000"/>
                    <w:right w:val="single" w:sz="4" w:space="0" w:color="auto"/>
                  </w:tcBorders>
                </w:tcPr>
                <w:p w14:paraId="179DA70F" w14:textId="77777777" w:rsidR="00D625A6" w:rsidRPr="00BB5224" w:rsidRDefault="00D625A6">
                  <w:pPr>
                    <w:pStyle w:val="ListParagraph"/>
                    <w:ind w:left="0"/>
                    <w:rPr>
                      <w:rFonts w:ascii="Cambria" w:hAnsi="Cambria" w:cs="Arial"/>
                      <w:bCs/>
                    </w:rPr>
                  </w:pPr>
                </w:p>
              </w:tc>
              <w:tc>
                <w:tcPr>
                  <w:tcW w:w="1134" w:type="dxa"/>
                  <w:tcBorders>
                    <w:top w:val="single" w:sz="4" w:space="0" w:color="000000"/>
                    <w:left w:val="single" w:sz="4" w:space="0" w:color="auto"/>
                    <w:bottom w:val="single" w:sz="4" w:space="0" w:color="000000"/>
                    <w:right w:val="single" w:sz="4" w:space="0" w:color="auto"/>
                  </w:tcBorders>
                </w:tcPr>
                <w:p w14:paraId="161EAA71" w14:textId="77777777" w:rsidR="00D625A6" w:rsidRPr="00BB5224" w:rsidRDefault="00D625A6">
                  <w:pPr>
                    <w:pStyle w:val="ListParagraph"/>
                    <w:ind w:left="0"/>
                    <w:rPr>
                      <w:rFonts w:ascii="Cambria" w:hAnsi="Cambria" w:cs="Arial"/>
                      <w:bCs/>
                    </w:rPr>
                  </w:pPr>
                </w:p>
              </w:tc>
              <w:tc>
                <w:tcPr>
                  <w:tcW w:w="850" w:type="dxa"/>
                  <w:tcBorders>
                    <w:top w:val="single" w:sz="4" w:space="0" w:color="000000"/>
                    <w:left w:val="single" w:sz="4" w:space="0" w:color="auto"/>
                    <w:bottom w:val="single" w:sz="4" w:space="0" w:color="000000"/>
                    <w:right w:val="single" w:sz="4" w:space="0" w:color="auto"/>
                  </w:tcBorders>
                </w:tcPr>
                <w:p w14:paraId="317D692C" w14:textId="77777777" w:rsidR="00D625A6" w:rsidRPr="00BB5224" w:rsidRDefault="00D625A6">
                  <w:pPr>
                    <w:pStyle w:val="ListParagraph"/>
                    <w:ind w:left="0"/>
                    <w:rPr>
                      <w:rFonts w:ascii="Cambria" w:hAnsi="Cambria" w:cs="Arial"/>
                      <w:bCs/>
                    </w:rPr>
                  </w:pPr>
                </w:p>
              </w:tc>
              <w:tc>
                <w:tcPr>
                  <w:tcW w:w="1276" w:type="dxa"/>
                  <w:tcBorders>
                    <w:top w:val="single" w:sz="4" w:space="0" w:color="000000"/>
                    <w:left w:val="single" w:sz="4" w:space="0" w:color="auto"/>
                    <w:bottom w:val="single" w:sz="4" w:space="0" w:color="000000"/>
                    <w:right w:val="single" w:sz="4" w:space="0" w:color="000000"/>
                  </w:tcBorders>
                </w:tcPr>
                <w:p w14:paraId="333898B3" w14:textId="77777777" w:rsidR="00D625A6" w:rsidRPr="00BB5224" w:rsidRDefault="00D625A6">
                  <w:pPr>
                    <w:pStyle w:val="ListParagraph"/>
                    <w:ind w:left="0"/>
                    <w:rPr>
                      <w:rFonts w:ascii="Cambria" w:hAnsi="Cambria" w:cs="Arial"/>
                      <w:bCs/>
                    </w:rPr>
                  </w:pPr>
                </w:p>
              </w:tc>
            </w:tr>
            <w:tr w:rsidR="00D625A6" w:rsidRPr="00BB5224" w14:paraId="3BA20D5F" w14:textId="77777777">
              <w:trPr>
                <w:trHeight w:val="113"/>
              </w:trPr>
              <w:tc>
                <w:tcPr>
                  <w:tcW w:w="1621" w:type="dxa"/>
                  <w:tcBorders>
                    <w:top w:val="single" w:sz="4" w:space="0" w:color="000000"/>
                    <w:left w:val="single" w:sz="4" w:space="0" w:color="000000"/>
                    <w:bottom w:val="single" w:sz="4" w:space="0" w:color="000000"/>
                    <w:right w:val="single" w:sz="4" w:space="0" w:color="000000"/>
                  </w:tcBorders>
                </w:tcPr>
                <w:p w14:paraId="3FEA16CF" w14:textId="77777777" w:rsidR="00D625A6" w:rsidRPr="00BB5224" w:rsidRDefault="00000000">
                  <w:pPr>
                    <w:pStyle w:val="ListParagraph"/>
                    <w:ind w:left="0"/>
                    <w:rPr>
                      <w:rFonts w:ascii="Cambria" w:hAnsi="Cambria" w:cs="Arial"/>
                      <w:bCs/>
                    </w:rPr>
                  </w:pPr>
                  <w:r w:rsidRPr="00BB5224">
                    <w:rPr>
                      <w:rFonts w:ascii="Cambria" w:hAnsi="Cambria" w:cs="Arial"/>
                      <w:bCs/>
                    </w:rPr>
                    <w:t>Total</w:t>
                  </w:r>
                </w:p>
              </w:tc>
              <w:tc>
                <w:tcPr>
                  <w:tcW w:w="1040" w:type="dxa"/>
                  <w:tcBorders>
                    <w:top w:val="single" w:sz="4" w:space="0" w:color="000000"/>
                    <w:left w:val="single" w:sz="4" w:space="0" w:color="000000"/>
                    <w:bottom w:val="single" w:sz="4" w:space="0" w:color="000000"/>
                    <w:right w:val="single" w:sz="4" w:space="0" w:color="000000"/>
                  </w:tcBorders>
                </w:tcPr>
                <w:p w14:paraId="1279DACB" w14:textId="0128DCBF" w:rsidR="00D625A6" w:rsidRPr="00BB5224" w:rsidRDefault="003449B3">
                  <w:pPr>
                    <w:pStyle w:val="ListParagraph"/>
                    <w:ind w:left="0"/>
                    <w:rPr>
                      <w:rFonts w:ascii="Cambria" w:hAnsi="Cambria" w:cs="Arial"/>
                      <w:bCs/>
                      <w:lang w:val="en-GB"/>
                    </w:rPr>
                  </w:pPr>
                  <w:r w:rsidRPr="00BB5224">
                    <w:rPr>
                      <w:rFonts w:ascii="Cambria" w:hAnsi="Cambria" w:cs="Arial"/>
                      <w:bCs/>
                      <w:lang w:val="en-GB"/>
                    </w:rPr>
                    <w:t>NR</w:t>
                  </w:r>
                </w:p>
              </w:tc>
              <w:tc>
                <w:tcPr>
                  <w:tcW w:w="1038" w:type="dxa"/>
                  <w:tcBorders>
                    <w:top w:val="single" w:sz="4" w:space="0" w:color="000000"/>
                    <w:left w:val="single" w:sz="4" w:space="0" w:color="000000"/>
                    <w:bottom w:val="single" w:sz="4" w:space="0" w:color="000000"/>
                    <w:right w:val="single" w:sz="4" w:space="0" w:color="auto"/>
                  </w:tcBorders>
                </w:tcPr>
                <w:p w14:paraId="67CB5E2F" w14:textId="77777777" w:rsidR="00D625A6" w:rsidRPr="00BB5224" w:rsidRDefault="00D625A6">
                  <w:pPr>
                    <w:pStyle w:val="ListParagraph"/>
                    <w:ind w:left="0"/>
                    <w:rPr>
                      <w:rFonts w:ascii="Cambria" w:hAnsi="Cambria" w:cs="Arial"/>
                      <w:bCs/>
                      <w:lang w:val="en-GB"/>
                    </w:rPr>
                  </w:pPr>
                </w:p>
              </w:tc>
              <w:tc>
                <w:tcPr>
                  <w:tcW w:w="837" w:type="dxa"/>
                  <w:tcBorders>
                    <w:top w:val="single" w:sz="4" w:space="0" w:color="000000"/>
                    <w:left w:val="single" w:sz="4" w:space="0" w:color="auto"/>
                    <w:bottom w:val="single" w:sz="4" w:space="0" w:color="000000"/>
                    <w:right w:val="single" w:sz="4" w:space="0" w:color="auto"/>
                  </w:tcBorders>
                </w:tcPr>
                <w:p w14:paraId="7FE91300" w14:textId="77777777" w:rsidR="00D625A6" w:rsidRPr="00BB5224" w:rsidRDefault="00D625A6">
                  <w:pPr>
                    <w:pStyle w:val="ListParagraph"/>
                    <w:ind w:left="0"/>
                    <w:rPr>
                      <w:rFonts w:ascii="Cambria" w:hAnsi="Cambria" w:cs="Arial"/>
                      <w:bCs/>
                    </w:rPr>
                  </w:pPr>
                </w:p>
              </w:tc>
              <w:tc>
                <w:tcPr>
                  <w:tcW w:w="1134" w:type="dxa"/>
                  <w:tcBorders>
                    <w:top w:val="single" w:sz="4" w:space="0" w:color="000000"/>
                    <w:left w:val="single" w:sz="4" w:space="0" w:color="auto"/>
                    <w:bottom w:val="single" w:sz="4" w:space="0" w:color="000000"/>
                    <w:right w:val="single" w:sz="4" w:space="0" w:color="auto"/>
                  </w:tcBorders>
                </w:tcPr>
                <w:p w14:paraId="2B8AF6B7" w14:textId="77777777" w:rsidR="00D625A6" w:rsidRPr="00BB5224" w:rsidRDefault="00D625A6">
                  <w:pPr>
                    <w:pStyle w:val="ListParagraph"/>
                    <w:ind w:left="0"/>
                    <w:rPr>
                      <w:rFonts w:ascii="Cambria" w:hAnsi="Cambria" w:cs="Arial"/>
                      <w:bCs/>
                    </w:rPr>
                  </w:pPr>
                </w:p>
              </w:tc>
              <w:tc>
                <w:tcPr>
                  <w:tcW w:w="850" w:type="dxa"/>
                  <w:tcBorders>
                    <w:top w:val="single" w:sz="4" w:space="0" w:color="000000"/>
                    <w:left w:val="single" w:sz="4" w:space="0" w:color="auto"/>
                    <w:bottom w:val="single" w:sz="4" w:space="0" w:color="000000"/>
                    <w:right w:val="single" w:sz="4" w:space="0" w:color="auto"/>
                  </w:tcBorders>
                </w:tcPr>
                <w:p w14:paraId="0D278CF2" w14:textId="77777777" w:rsidR="00D625A6" w:rsidRPr="00BB5224" w:rsidRDefault="00D625A6">
                  <w:pPr>
                    <w:pStyle w:val="ListParagraph"/>
                    <w:ind w:left="0"/>
                    <w:rPr>
                      <w:rFonts w:ascii="Cambria" w:hAnsi="Cambria" w:cs="Arial"/>
                      <w:bCs/>
                    </w:rPr>
                  </w:pPr>
                </w:p>
              </w:tc>
              <w:tc>
                <w:tcPr>
                  <w:tcW w:w="1276" w:type="dxa"/>
                  <w:tcBorders>
                    <w:top w:val="single" w:sz="4" w:space="0" w:color="000000"/>
                    <w:left w:val="single" w:sz="4" w:space="0" w:color="auto"/>
                    <w:bottom w:val="single" w:sz="4" w:space="0" w:color="000000"/>
                    <w:right w:val="single" w:sz="4" w:space="0" w:color="000000"/>
                  </w:tcBorders>
                </w:tcPr>
                <w:p w14:paraId="4156D7D0" w14:textId="77777777" w:rsidR="00D625A6" w:rsidRPr="00BB5224" w:rsidRDefault="00D625A6">
                  <w:pPr>
                    <w:pStyle w:val="ListParagraph"/>
                    <w:ind w:left="0"/>
                    <w:rPr>
                      <w:rFonts w:ascii="Cambria" w:hAnsi="Cambria" w:cs="Arial"/>
                      <w:bCs/>
                    </w:rPr>
                  </w:pPr>
                </w:p>
              </w:tc>
            </w:tr>
          </w:tbl>
          <w:p w14:paraId="52E7C1F0" w14:textId="77777777" w:rsidR="00D625A6" w:rsidRPr="00BB5224" w:rsidRDefault="00D625A6">
            <w:pPr>
              <w:spacing w:after="0" w:line="360" w:lineRule="auto"/>
              <w:jc w:val="both"/>
              <w:rPr>
                <w:rFonts w:ascii="Cambria" w:hAnsi="Cambria"/>
                <w:bCs/>
              </w:rPr>
            </w:pPr>
          </w:p>
        </w:tc>
      </w:tr>
      <w:tr w:rsidR="00D625A6" w:rsidRPr="00BB5224" w14:paraId="6D757646" w14:textId="77777777">
        <w:trPr>
          <w:trHeight w:val="2575"/>
        </w:trPr>
        <w:tc>
          <w:tcPr>
            <w:tcW w:w="10879" w:type="dxa"/>
            <w:gridSpan w:val="2"/>
          </w:tcPr>
          <w:p w14:paraId="6CD5C21B" w14:textId="77777777" w:rsidR="00D625A6" w:rsidRPr="00BB5224" w:rsidRDefault="00D625A6">
            <w:pPr>
              <w:spacing w:after="0" w:line="240" w:lineRule="auto"/>
              <w:rPr>
                <w:rFonts w:ascii="Cambria" w:hAnsi="Cambria"/>
                <w:bCs/>
              </w:rPr>
            </w:pPr>
          </w:p>
          <w:p w14:paraId="0BDA3265" w14:textId="77777777" w:rsidR="006E76AF"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The HBP Commercial and Learning Farm was initiated as a controlled pilot to generate practical evidence on the viability and wider development value of small-scale commercial horticulture. In addition to testing production and market assumptions, the pilot was intended to demonstrate how a working farm could serve as a platform for experiential learning, youth engagement and future sector-development activities. HBP therefore adopted a phased approach that limited the initial operational exposure to one acre, while retaining the option to expand only after the first production cycle had provided sufficient evidence on agronomic performance, market demand, financial viability and management requirements.</w:t>
            </w:r>
          </w:p>
          <w:p w14:paraId="4CCBF168" w14:textId="77777777" w:rsidR="006E76AF"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In January 2026, HBP secured a four-acre parcel of land from West Africa Senior High School (WASS) under a four-year lease arrangement. The initial one-acre pilot was designed to establish proof of concept before any decision was taken on further expansion. Land-preparation activities commenced in February 2026; however, the process revealed material operational risks that had not been apparent when the agreement was concluded. These included a compromised perimeter fence and the regular presence of cattle grazing around the site, creating unacceptable exposure to crop damage and the possible loss of farm equipment and inputs.</w:t>
            </w:r>
          </w:p>
          <w:p w14:paraId="46F8FCC5" w14:textId="77777777" w:rsidR="006E76AF"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HBP engaged the school authorities to address these constraints. However, the school’s ability to implement the required remedial measures within the available timeframe was limited by budgetary constraints and internal approval processes. With the production window narrowing, HBP assessed that continuing to wait for remediation would place the entire pilot cycle at risk. The team therefore took an adaptive management decision to relocate the pilot rather than proceed on a site with unresolved security concerns or incur further implementation delays.</w:t>
            </w:r>
          </w:p>
          <w:p w14:paraId="5905F12C" w14:textId="13017F9F" w:rsidR="006E76AF"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An alternative parcel of land was subsequently made available by a teacher within the WASS premises. HBP commenced fresh land preparation on the new site in April 2026. To recover time lost during the relocation, nursery establishment, mulching, farm-infrastructure installation</w:t>
            </w:r>
            <w:r w:rsidRPr="00BB5224">
              <w:rPr>
                <w:rFonts w:ascii="Cambria" w:eastAsia="Times New Roman" w:hAnsi="Cambria"/>
                <w:bCs/>
              </w:rPr>
              <w:t>,</w:t>
            </w:r>
            <w:r w:rsidRPr="00BB5224">
              <w:rPr>
                <w:rFonts w:ascii="Cambria" w:eastAsia="Times New Roman" w:hAnsi="Cambria"/>
                <w:bCs/>
              </w:rPr>
              <w:t xml:space="preserve"> and input </w:t>
            </w:r>
            <w:r w:rsidRPr="00BB5224">
              <w:rPr>
                <w:rFonts w:ascii="Cambria" w:eastAsia="Times New Roman" w:hAnsi="Cambria"/>
                <w:bCs/>
              </w:rPr>
              <w:t>mobilization</w:t>
            </w:r>
            <w:r w:rsidRPr="00BB5224">
              <w:rPr>
                <w:rFonts w:ascii="Cambria" w:eastAsia="Times New Roman" w:hAnsi="Cambria"/>
                <w:bCs/>
              </w:rPr>
              <w:t xml:space="preserve"> were undertaken concurrently. This compressed implementation approach enabled the first transplanting exercise to be completed in May 2026. The farm was subsequently presented to stakeholders during an official site visit and launch on 25 June 2026.</w:t>
            </w:r>
          </w:p>
          <w:p w14:paraId="54021C7E" w14:textId="18A2EE2F" w:rsidR="006E76AF"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The first production cycle covered 0.65 acres of the one-acre field and comprised three lettuce varieties</w:t>
            </w:r>
            <w:r w:rsidRPr="00BB5224">
              <w:rPr>
                <w:rFonts w:ascii="Cambria" w:eastAsia="Times New Roman" w:hAnsi="Cambria"/>
                <w:bCs/>
              </w:rPr>
              <w:t xml:space="preserve">, </w:t>
            </w:r>
            <w:r w:rsidRPr="00BB5224">
              <w:rPr>
                <w:rFonts w:ascii="Cambria" w:eastAsia="Times New Roman" w:hAnsi="Cambria"/>
                <w:bCs/>
              </w:rPr>
              <w:t>Concord, Levistro</w:t>
            </w:r>
            <w:r w:rsidRPr="00BB5224">
              <w:rPr>
                <w:rFonts w:ascii="Cambria" w:eastAsia="Times New Roman" w:hAnsi="Cambria"/>
                <w:bCs/>
              </w:rPr>
              <w:t>,</w:t>
            </w:r>
            <w:r w:rsidRPr="00BB5224">
              <w:rPr>
                <w:rFonts w:ascii="Cambria" w:eastAsia="Times New Roman" w:hAnsi="Cambria"/>
                <w:bCs/>
              </w:rPr>
              <w:t xml:space="preserve"> and Atlas</w:t>
            </w:r>
            <w:r w:rsidRPr="00BB5224">
              <w:rPr>
                <w:rFonts w:ascii="Cambria" w:eastAsia="Times New Roman" w:hAnsi="Cambria"/>
                <w:bCs/>
              </w:rPr>
              <w:t xml:space="preserve">, </w:t>
            </w:r>
            <w:r w:rsidRPr="00BB5224">
              <w:rPr>
                <w:rFonts w:ascii="Cambria" w:eastAsia="Times New Roman" w:hAnsi="Cambria"/>
                <w:bCs/>
              </w:rPr>
              <w:t>and two cucumber varieties</w:t>
            </w:r>
            <w:r w:rsidRPr="00BB5224">
              <w:rPr>
                <w:rFonts w:ascii="Cambria" w:eastAsia="Times New Roman" w:hAnsi="Cambria"/>
                <w:bCs/>
              </w:rPr>
              <w:t xml:space="preserve">, </w:t>
            </w:r>
            <w:r w:rsidRPr="00BB5224">
              <w:rPr>
                <w:rFonts w:ascii="Cambria" w:eastAsia="Times New Roman" w:hAnsi="Cambria"/>
                <w:bCs/>
              </w:rPr>
              <w:t>DAEWY F1 and Mydas RZ. The production design allowed HBP to test multiple varieties within the same cycle while generating practical information on crop performance, field management</w:t>
            </w:r>
            <w:r w:rsidRPr="00BB5224">
              <w:rPr>
                <w:rFonts w:ascii="Cambria" w:eastAsia="Times New Roman" w:hAnsi="Cambria"/>
                <w:bCs/>
              </w:rPr>
              <w:t>,</w:t>
            </w:r>
            <w:r w:rsidRPr="00BB5224">
              <w:rPr>
                <w:rFonts w:ascii="Cambria" w:eastAsia="Times New Roman" w:hAnsi="Cambria"/>
                <w:bCs/>
              </w:rPr>
              <w:t xml:space="preserve"> and production requirements under the prevailing conditions.</w:t>
            </w:r>
          </w:p>
          <w:p w14:paraId="700C031C" w14:textId="0BBADF1A" w:rsidR="006E76AF"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 xml:space="preserve">The farm’s learning function was implemented alongside the production cycle rather than as a separate activity. Participants in the Horticulture Business Challenge received field-based exposure to modern and climate-smart horticultural practices, while WASS students were integrated into selected practical activities. This approach enabled participants to connect classroom and theoretical knowledge with the operational realities of commercial production. It also supported a broader programme objective of demonstrating agriculture as a potential pathway for income generation, enterprise development, food security and environmental sustainability, rather than solely as a </w:t>
            </w:r>
            <w:r w:rsidRPr="00BB5224">
              <w:rPr>
                <w:rFonts w:ascii="Cambria" w:eastAsia="Times New Roman" w:hAnsi="Cambria"/>
                <w:bCs/>
              </w:rPr>
              <w:t>labor-intensive</w:t>
            </w:r>
            <w:r w:rsidRPr="00BB5224">
              <w:rPr>
                <w:rFonts w:ascii="Cambria" w:eastAsia="Times New Roman" w:hAnsi="Cambria"/>
                <w:bCs/>
              </w:rPr>
              <w:t xml:space="preserve"> subsistence activity.</w:t>
            </w:r>
          </w:p>
          <w:p w14:paraId="17E0343F" w14:textId="77777777" w:rsidR="006E76AF"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 xml:space="preserve">Market development was treated as a core component of the pilot from the outset. A dedicated team of HBC participants worked in parallel with the production team to identify prospective buyers and develop offtake channels. The two lettuce harvests, comprising 89 kg and 90 kg respectively, were sold in full. These sales provide initial evidence of market demand and demonstrate the value of integrating production planning with early buyer engagement. However, they do not yet constitute a complete assessment of commercial viability. The cucumber harvests were scheduled for 16 and 24 July 2026 and therefore fall outside the January–June 2026 reporting period. A full assessment of the first cycle—including production costs, total yields, revenues, post-harvest </w:t>
            </w:r>
            <w:r w:rsidRPr="00BB5224">
              <w:rPr>
                <w:rFonts w:ascii="Cambria" w:eastAsia="Times New Roman" w:hAnsi="Cambria"/>
                <w:bCs/>
              </w:rPr>
              <w:lastRenderedPageBreak/>
              <w:t>performance and margins—will consequently be completed after the remaining crops have been harvested and sold.</w:t>
            </w:r>
          </w:p>
          <w:p w14:paraId="0F411E18" w14:textId="2A24058B" w:rsidR="006E76AF"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 xml:space="preserve">Beyond the immediate production and learning outputs, the pilot has generated important institutional evidence for HBP’s longer-term operating model. Experience from the first cycle showed that directly managing a commercial farm beyond the one-acre pilot would require a level of day-to-day operational oversight that could compete with HBP’s core mandate as a sector platform and interlocutor for horticultural small and medium-sized enterprises. Direct expansion could also result in HBP duplicating commercial functions that may be delivered more effectively by </w:t>
            </w:r>
            <w:r w:rsidRPr="00BB5224">
              <w:rPr>
                <w:rFonts w:ascii="Cambria" w:eastAsia="Times New Roman" w:hAnsi="Cambria"/>
                <w:bCs/>
              </w:rPr>
              <w:t>specialized</w:t>
            </w:r>
            <w:r w:rsidRPr="00BB5224">
              <w:rPr>
                <w:rFonts w:ascii="Cambria" w:eastAsia="Times New Roman" w:hAnsi="Cambria"/>
                <w:bCs/>
              </w:rPr>
              <w:t xml:space="preserve"> farm operators.</w:t>
            </w:r>
          </w:p>
          <w:p w14:paraId="502C43F4" w14:textId="77777777" w:rsidR="006E76AF"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On this basis, HBP decided not to pursue the original intention of expanding the farm beyond one acre under its direct management. This represents a strategic refinement of the implementation model rather than a withdrawal from the farm’s objectives. For the second phase, covering July 2026 to June 2027, HBP has begun exploring partnership arrangements with entities and individuals that have the operational capacity to manage routine farm activities. While these arrangements are being developed, HBP intends to maintain the site and undertake two additional production cycles to keep the farm operational and recover part of the initial investment.</w:t>
            </w:r>
          </w:p>
          <w:p w14:paraId="129AA851" w14:textId="528EDF24" w:rsidR="00182D61" w:rsidRPr="00BB5224" w:rsidRDefault="006E76AF" w:rsidP="006E76AF">
            <w:pPr>
              <w:spacing w:before="100" w:beforeAutospacing="1" w:after="100" w:afterAutospacing="1" w:line="240" w:lineRule="auto"/>
              <w:rPr>
                <w:rFonts w:ascii="Cambria" w:eastAsia="Times New Roman" w:hAnsi="Cambria"/>
                <w:bCs/>
              </w:rPr>
            </w:pPr>
            <w:r w:rsidRPr="00BB5224">
              <w:rPr>
                <w:rFonts w:ascii="Cambria" w:eastAsia="Times New Roman" w:hAnsi="Cambria"/>
                <w:bCs/>
              </w:rPr>
              <w:t>The partnership-based approach is expected to allow HBP to retain the strategic value of the asset while reducing the management burden and risk of institutional mission drift. Under this model, the site can continue to function as a commercial demonstration and learning facility for future capacity-building programmes, varietal and seed trials, youth engagement and other sector-development activities. The next reporting period will therefore focus on completing the first-cycle financial assessment, documenting the pilot’s commercial and learning results, maintaining production continuity and determining an appropriate operational partnership model for the site.</w:t>
            </w:r>
          </w:p>
          <w:p w14:paraId="03EB1AF2" w14:textId="157B0F89" w:rsidR="00D625A6" w:rsidRPr="00BB5224" w:rsidRDefault="00000000">
            <w:pPr>
              <w:spacing w:after="160" w:line="256" w:lineRule="auto"/>
              <w:rPr>
                <w:rFonts w:ascii="Cambria" w:hAnsi="Cambria"/>
                <w:bCs/>
                <w:lang w:val="en-GB"/>
              </w:rPr>
            </w:pPr>
            <w:r w:rsidRPr="00BB5224">
              <w:rPr>
                <w:rFonts w:ascii="Cambria" w:hAnsi="Cambria"/>
                <w:bCs/>
                <w:lang w:val="en-GB"/>
              </w:rPr>
              <w:t xml:space="preserve"> </w:t>
            </w:r>
          </w:p>
        </w:tc>
      </w:tr>
      <w:tr w:rsidR="00D625A6" w:rsidRPr="00BB5224" w14:paraId="61C29D5C" w14:textId="77777777">
        <w:trPr>
          <w:trHeight w:val="2575"/>
        </w:trPr>
        <w:tc>
          <w:tcPr>
            <w:tcW w:w="10879" w:type="dxa"/>
            <w:gridSpan w:val="2"/>
          </w:tcPr>
          <w:p w14:paraId="4E475CC1" w14:textId="77777777" w:rsidR="00D625A6" w:rsidRPr="00BB5224" w:rsidRDefault="00000000">
            <w:pPr>
              <w:spacing w:after="0" w:line="240" w:lineRule="auto"/>
              <w:rPr>
                <w:rFonts w:ascii="Cambria" w:hAnsi="Cambria"/>
                <w:bCs/>
              </w:rPr>
            </w:pPr>
            <w:r w:rsidRPr="00BB5224">
              <w:rPr>
                <w:rFonts w:ascii="Cambria" w:hAnsi="Cambria"/>
                <w:bCs/>
              </w:rPr>
              <w:lastRenderedPageBreak/>
              <w:t>Activity outputs/results (What did the activity achieve?):</w:t>
            </w:r>
          </w:p>
          <w:p w14:paraId="22BE45BC" w14:textId="77777777" w:rsidR="00D625A6" w:rsidRPr="00BB5224" w:rsidRDefault="00000000">
            <w:pPr>
              <w:tabs>
                <w:tab w:val="left" w:pos="3750"/>
              </w:tabs>
              <w:rPr>
                <w:rFonts w:ascii="Cambria" w:hAnsi="Cambria"/>
                <w:bCs/>
              </w:rPr>
            </w:pPr>
            <w:r w:rsidRPr="00BB5224">
              <w:rPr>
                <w:rFonts w:ascii="Cambria" w:hAnsi="Cambria"/>
                <w:bCs/>
              </w:rPr>
              <w:t xml:space="preserve"> </w:t>
            </w:r>
          </w:p>
          <w:p w14:paraId="09F32832" w14:textId="5B377AFA" w:rsidR="00A95C6C" w:rsidRPr="00BB5224" w:rsidRDefault="00A95C6C" w:rsidP="00A95C6C">
            <w:pPr>
              <w:numPr>
                <w:ilvl w:val="0"/>
                <w:numId w:val="2"/>
              </w:numPr>
              <w:tabs>
                <w:tab w:val="left" w:pos="3750"/>
              </w:tabs>
              <w:rPr>
                <w:rFonts w:ascii="Cambria" w:hAnsi="Cambria"/>
                <w:bCs/>
              </w:rPr>
            </w:pPr>
            <w:r w:rsidRPr="00BB5224">
              <w:rPr>
                <w:rFonts w:ascii="Cambria" w:hAnsi="Cambria"/>
                <w:bCs/>
              </w:rPr>
              <w:t xml:space="preserve">One-acre commercial and learning farm established and </w:t>
            </w:r>
            <w:r w:rsidRPr="00BB5224">
              <w:rPr>
                <w:rFonts w:ascii="Cambria" w:hAnsi="Cambria"/>
                <w:bCs/>
              </w:rPr>
              <w:t>operationalized</w:t>
            </w:r>
            <w:r w:rsidRPr="00BB5224">
              <w:rPr>
                <w:rFonts w:ascii="Cambria" w:hAnsi="Cambria"/>
                <w:bCs/>
              </w:rPr>
              <w:t xml:space="preserve"> at WASS, with 0.65 acres cultivated, 48 production beds developed</w:t>
            </w:r>
            <w:r w:rsidRPr="00BB5224">
              <w:rPr>
                <w:rFonts w:ascii="Cambria" w:hAnsi="Cambria"/>
                <w:bCs/>
              </w:rPr>
              <w:t>,</w:t>
            </w:r>
            <w:r w:rsidRPr="00BB5224">
              <w:rPr>
                <w:rFonts w:ascii="Cambria" w:hAnsi="Cambria"/>
                <w:bCs/>
              </w:rPr>
              <w:t xml:space="preserve"> and approximately 4,300 plants established. </w:t>
            </w:r>
          </w:p>
          <w:p w14:paraId="5059B166" w14:textId="1FE12B6F" w:rsidR="00A95C6C" w:rsidRPr="00BB5224" w:rsidRDefault="00A95C6C" w:rsidP="00A95C6C">
            <w:pPr>
              <w:numPr>
                <w:ilvl w:val="0"/>
                <w:numId w:val="2"/>
              </w:numPr>
              <w:tabs>
                <w:tab w:val="left" w:pos="3750"/>
              </w:tabs>
              <w:rPr>
                <w:rFonts w:ascii="Cambria" w:hAnsi="Cambria"/>
                <w:bCs/>
              </w:rPr>
            </w:pPr>
            <w:r w:rsidRPr="00BB5224">
              <w:rPr>
                <w:rFonts w:ascii="Cambria" w:hAnsi="Cambria"/>
                <w:bCs/>
              </w:rPr>
              <w:t xml:space="preserve">Five vegetable varieties tested during the first production cycle: Concord, Levistro and Atlas lettuce, and DAEWY F1 and Mydas RZ cucumber. </w:t>
            </w:r>
          </w:p>
          <w:p w14:paraId="1BF7687A" w14:textId="2A8C4D51" w:rsidR="00A95C6C" w:rsidRPr="00BB5224" w:rsidRDefault="00A95C6C" w:rsidP="00A95C6C">
            <w:pPr>
              <w:numPr>
                <w:ilvl w:val="0"/>
                <w:numId w:val="2"/>
              </w:numPr>
              <w:tabs>
                <w:tab w:val="left" w:pos="3750"/>
              </w:tabs>
              <w:rPr>
                <w:rFonts w:ascii="Cambria" w:hAnsi="Cambria"/>
                <w:bCs/>
              </w:rPr>
            </w:pPr>
            <w:r w:rsidRPr="00BB5224">
              <w:rPr>
                <w:rFonts w:ascii="Cambria" w:hAnsi="Cambria"/>
                <w:bCs/>
              </w:rPr>
              <w:t xml:space="preserve">Practical horticulture training delivered to HBC participants and WASS students, with emphasis on modern and climate-smart production practices. </w:t>
            </w:r>
          </w:p>
          <w:p w14:paraId="7D6FE2AA" w14:textId="5CFE46F5" w:rsidR="00A95C6C" w:rsidRPr="00BB5224" w:rsidRDefault="00A95C6C" w:rsidP="00A95C6C">
            <w:pPr>
              <w:numPr>
                <w:ilvl w:val="0"/>
                <w:numId w:val="2"/>
              </w:numPr>
              <w:tabs>
                <w:tab w:val="left" w:pos="3750"/>
              </w:tabs>
              <w:rPr>
                <w:rFonts w:ascii="Cambria" w:hAnsi="Cambria"/>
                <w:bCs/>
              </w:rPr>
            </w:pPr>
            <w:r w:rsidRPr="00BB5224">
              <w:rPr>
                <w:rFonts w:ascii="Cambria" w:hAnsi="Cambria"/>
                <w:bCs/>
              </w:rPr>
              <w:t xml:space="preserve">Initial market channels established and tested, with two lettuce harvests sold in full. Cucumber production and sales results will be reported in the next reporting period. </w:t>
            </w:r>
          </w:p>
          <w:p w14:paraId="48578580" w14:textId="3FF40457" w:rsidR="00A95C6C" w:rsidRPr="00BB5224" w:rsidRDefault="00A95C6C" w:rsidP="00A95C6C">
            <w:pPr>
              <w:numPr>
                <w:ilvl w:val="0"/>
                <w:numId w:val="2"/>
              </w:numPr>
              <w:tabs>
                <w:tab w:val="left" w:pos="3750"/>
              </w:tabs>
              <w:rPr>
                <w:rFonts w:ascii="Cambria" w:hAnsi="Cambria"/>
                <w:bCs/>
              </w:rPr>
            </w:pPr>
            <w:r w:rsidRPr="00BB5224">
              <w:rPr>
                <w:rFonts w:ascii="Cambria" w:hAnsi="Cambria"/>
                <w:bCs/>
              </w:rPr>
              <w:t xml:space="preserve">Preliminary production, sales and operational data generated to support the assessment of the farm’s commercial viability and future use as a demonstration model. </w:t>
            </w:r>
          </w:p>
          <w:p w14:paraId="60A94F26" w14:textId="1E290C37" w:rsidR="00A95C6C" w:rsidRPr="00BB5224" w:rsidRDefault="00A95C6C" w:rsidP="00A95C6C">
            <w:pPr>
              <w:numPr>
                <w:ilvl w:val="0"/>
                <w:numId w:val="2"/>
              </w:numPr>
              <w:tabs>
                <w:tab w:val="left" w:pos="3750"/>
              </w:tabs>
              <w:rPr>
                <w:rFonts w:ascii="Cambria" w:hAnsi="Cambria"/>
                <w:bCs/>
              </w:rPr>
            </w:pPr>
            <w:r w:rsidRPr="00BB5224">
              <w:rPr>
                <w:rFonts w:ascii="Cambria" w:hAnsi="Cambria"/>
                <w:bCs/>
              </w:rPr>
              <w:t xml:space="preserve">A strategic operating model identified, with HBP deciding against direct expansion beyond one acre and initiating discussions with </w:t>
            </w:r>
            <w:r w:rsidRPr="00BB5224">
              <w:rPr>
                <w:rFonts w:ascii="Cambria" w:hAnsi="Cambria"/>
                <w:bCs/>
              </w:rPr>
              <w:t>specialized</w:t>
            </w:r>
            <w:r w:rsidRPr="00BB5224">
              <w:rPr>
                <w:rFonts w:ascii="Cambria" w:hAnsi="Cambria"/>
                <w:bCs/>
              </w:rPr>
              <w:t xml:space="preserve"> partners for future farm management. </w:t>
            </w:r>
          </w:p>
          <w:p w14:paraId="5A4E41DD" w14:textId="0B3F6D52" w:rsidR="00A95C6C" w:rsidRPr="00BB5224" w:rsidRDefault="00A95C6C" w:rsidP="00A95C6C">
            <w:pPr>
              <w:numPr>
                <w:ilvl w:val="0"/>
                <w:numId w:val="2"/>
              </w:numPr>
              <w:tabs>
                <w:tab w:val="left" w:pos="3750"/>
              </w:tabs>
              <w:rPr>
                <w:rFonts w:ascii="Cambria" w:hAnsi="Cambria"/>
                <w:bCs/>
              </w:rPr>
            </w:pPr>
            <w:r w:rsidRPr="00BB5224">
              <w:rPr>
                <w:rFonts w:ascii="Cambria" w:hAnsi="Cambria"/>
                <w:bCs/>
              </w:rPr>
              <w:t xml:space="preserve">The farm positioned as a longer-term sector-development asset for practical training, commercial demonstrations, varietal trials, youth engagement and future capacity-building activities. </w:t>
            </w:r>
          </w:p>
          <w:p w14:paraId="6D72A220" w14:textId="03D98C2C" w:rsidR="00A95C6C" w:rsidRPr="00BB5224" w:rsidRDefault="00A95C6C" w:rsidP="00A95C6C">
            <w:pPr>
              <w:numPr>
                <w:ilvl w:val="0"/>
                <w:numId w:val="2"/>
              </w:numPr>
              <w:tabs>
                <w:tab w:val="left" w:pos="3750"/>
              </w:tabs>
              <w:rPr>
                <w:rFonts w:ascii="Cambria" w:hAnsi="Cambria"/>
                <w:bCs/>
                <w:lang w:val="en-GB"/>
              </w:rPr>
            </w:pPr>
            <w:r w:rsidRPr="00BB5224">
              <w:rPr>
                <w:rFonts w:ascii="Cambria" w:hAnsi="Cambria"/>
                <w:bCs/>
              </w:rPr>
              <w:lastRenderedPageBreak/>
              <w:t>Two additional production cycles planned to maintain operations, generate further evidence</w:t>
            </w:r>
            <w:r w:rsidRPr="00BB5224">
              <w:rPr>
                <w:rFonts w:ascii="Cambria" w:hAnsi="Cambria"/>
                <w:bCs/>
              </w:rPr>
              <w:t>,</w:t>
            </w:r>
            <w:r w:rsidRPr="00BB5224">
              <w:rPr>
                <w:rFonts w:ascii="Cambria" w:hAnsi="Cambria"/>
                <w:bCs/>
              </w:rPr>
              <w:t xml:space="preserve"> and recover part of the initial </w:t>
            </w:r>
            <w:r w:rsidRPr="00BB5224">
              <w:rPr>
                <w:rFonts w:ascii="Cambria" w:hAnsi="Cambria"/>
                <w:bCs/>
              </w:rPr>
              <w:t xml:space="preserve">investment. </w:t>
            </w:r>
          </w:p>
        </w:tc>
      </w:tr>
      <w:tr w:rsidR="00D625A6" w:rsidRPr="00BB5224" w14:paraId="75FFC8E0" w14:textId="77777777">
        <w:trPr>
          <w:trHeight w:val="2575"/>
        </w:trPr>
        <w:tc>
          <w:tcPr>
            <w:tcW w:w="10879" w:type="dxa"/>
            <w:gridSpan w:val="2"/>
          </w:tcPr>
          <w:p w14:paraId="021BB675" w14:textId="77F90E83" w:rsidR="00D625A6" w:rsidRPr="00BB5224" w:rsidRDefault="00000000">
            <w:pPr>
              <w:spacing w:after="0" w:line="240" w:lineRule="auto"/>
              <w:rPr>
                <w:rFonts w:ascii="Cambria" w:hAnsi="Cambria"/>
                <w:bCs/>
              </w:rPr>
            </w:pPr>
            <w:r w:rsidRPr="00BB5224">
              <w:rPr>
                <w:rFonts w:ascii="Cambria" w:hAnsi="Cambria"/>
                <w:bCs/>
              </w:rPr>
              <w:lastRenderedPageBreak/>
              <w:t xml:space="preserve">Lessons learned (Any notable lessons </w:t>
            </w:r>
            <w:r w:rsidR="00182D61" w:rsidRPr="00BB5224">
              <w:rPr>
                <w:rFonts w:ascii="Cambria" w:hAnsi="Cambria"/>
                <w:bCs/>
              </w:rPr>
              <w:t>while</w:t>
            </w:r>
            <w:r w:rsidRPr="00BB5224">
              <w:rPr>
                <w:rFonts w:ascii="Cambria" w:hAnsi="Cambria"/>
                <w:bCs/>
              </w:rPr>
              <w:t xml:space="preserve"> implementing the activity):</w:t>
            </w:r>
          </w:p>
          <w:p w14:paraId="65DECBFC" w14:textId="77777777" w:rsidR="00D625A6" w:rsidRPr="00BB5224" w:rsidRDefault="00D625A6" w:rsidP="00182D61">
            <w:pPr>
              <w:spacing w:after="0" w:line="240" w:lineRule="auto"/>
              <w:rPr>
                <w:rFonts w:ascii="Cambria" w:hAnsi="Cambria"/>
                <w:bCs/>
              </w:rPr>
            </w:pPr>
          </w:p>
          <w:p w14:paraId="627F29A8" w14:textId="7444625A" w:rsidR="00182D61" w:rsidRPr="00BB5224" w:rsidRDefault="00182D61" w:rsidP="003449B3">
            <w:pPr>
              <w:pStyle w:val="ListParagraph"/>
              <w:numPr>
                <w:ilvl w:val="0"/>
                <w:numId w:val="6"/>
              </w:numPr>
              <w:spacing w:after="0" w:line="360" w:lineRule="auto"/>
              <w:rPr>
                <w:rFonts w:ascii="Cambria" w:hAnsi="Cambria"/>
                <w:bCs/>
              </w:rPr>
            </w:pPr>
            <w:r w:rsidRPr="00BB5224">
              <w:rPr>
                <w:rFonts w:ascii="Cambria" w:hAnsi="Cambria"/>
                <w:bCs/>
              </w:rPr>
              <w:t>Site risk assessment must precede investment. The original site's perimeter and livestock exposure surfaced only after clearing had begun. Land availability is not the same as site readiness</w:t>
            </w:r>
            <w:r w:rsidR="007B0D94">
              <w:rPr>
                <w:rFonts w:ascii="Cambria" w:hAnsi="Cambria"/>
                <w:bCs/>
              </w:rPr>
              <w:t>;</w:t>
            </w:r>
            <w:r w:rsidRPr="00BB5224">
              <w:rPr>
                <w:rFonts w:ascii="Cambria" w:hAnsi="Cambria"/>
                <w:bCs/>
              </w:rPr>
              <w:t xml:space="preserve"> future site selection should include a security and access assessment as a precondition, not a follow-up step.</w:t>
            </w:r>
          </w:p>
          <w:p w14:paraId="6EC710D6" w14:textId="7D7AE5C5" w:rsidR="00182D61" w:rsidRPr="00BB5224" w:rsidRDefault="00182D61" w:rsidP="003449B3">
            <w:pPr>
              <w:pStyle w:val="ListParagraph"/>
              <w:numPr>
                <w:ilvl w:val="0"/>
                <w:numId w:val="6"/>
              </w:numPr>
              <w:spacing w:after="0" w:line="360" w:lineRule="auto"/>
              <w:rPr>
                <w:rFonts w:ascii="Cambria" w:hAnsi="Cambria"/>
                <w:bCs/>
              </w:rPr>
            </w:pPr>
            <w:r w:rsidRPr="00BB5224">
              <w:rPr>
                <w:rFonts w:ascii="Cambria" w:hAnsi="Cambria"/>
                <w:bCs/>
              </w:rPr>
              <w:t>Parallel workstreams are a viable recovery tool when a timeline is compressed. Running nursery establishment, mulching, infrastructure</w:t>
            </w:r>
            <w:r w:rsidR="00BB5224" w:rsidRPr="00BB5224">
              <w:rPr>
                <w:rFonts w:ascii="Cambria" w:hAnsi="Cambria"/>
                <w:bCs/>
              </w:rPr>
              <w:t>,</w:t>
            </w:r>
            <w:r w:rsidRPr="00BB5224">
              <w:rPr>
                <w:rFonts w:ascii="Cambria" w:hAnsi="Cambria"/>
                <w:bCs/>
              </w:rPr>
              <w:t xml:space="preserve"> and input mobilization concurrently (rather than sequentially) recovered time lost to the site change. Where a schedule risk is identified early, concurrent implementation should be built into the plan rather than treated as a fallback.</w:t>
            </w:r>
          </w:p>
          <w:p w14:paraId="6311A028" w14:textId="28AFAD04" w:rsidR="00182D61" w:rsidRPr="00BB5224" w:rsidRDefault="00182D61" w:rsidP="003449B3">
            <w:pPr>
              <w:pStyle w:val="ListParagraph"/>
              <w:numPr>
                <w:ilvl w:val="0"/>
                <w:numId w:val="6"/>
              </w:numPr>
              <w:spacing w:after="0" w:line="360" w:lineRule="auto"/>
              <w:rPr>
                <w:rFonts w:ascii="Cambria" w:hAnsi="Cambria"/>
                <w:bCs/>
              </w:rPr>
            </w:pPr>
            <w:r w:rsidRPr="00BB5224">
              <w:rPr>
                <w:rFonts w:ascii="Cambria" w:hAnsi="Cambria"/>
                <w:bCs/>
              </w:rPr>
              <w:t xml:space="preserve">Viability conclusions require a complete cycle, not partial data. Early harvest and sales figures are directional at best. </w:t>
            </w:r>
            <w:r w:rsidR="007B0D94">
              <w:rPr>
                <w:rFonts w:ascii="Cambria" w:hAnsi="Cambria"/>
                <w:bCs/>
              </w:rPr>
              <w:t>P</w:t>
            </w:r>
            <w:r w:rsidRPr="00BB5224">
              <w:rPr>
                <w:rFonts w:ascii="Cambria" w:hAnsi="Cambria"/>
                <w:bCs/>
              </w:rPr>
              <w:t>roof-of-concept assessments should be</w:t>
            </w:r>
            <w:r w:rsidR="007B0D94">
              <w:rPr>
                <w:rFonts w:ascii="Cambria" w:hAnsi="Cambria"/>
                <w:bCs/>
              </w:rPr>
              <w:t xml:space="preserve"> conducted</w:t>
            </w:r>
            <w:r w:rsidRPr="00BB5224">
              <w:rPr>
                <w:rFonts w:ascii="Cambria" w:hAnsi="Cambria"/>
                <w:bCs/>
              </w:rPr>
              <w:t xml:space="preserve"> once full cost, yield, revenue</w:t>
            </w:r>
            <w:r w:rsidR="007B0D94">
              <w:rPr>
                <w:rFonts w:ascii="Cambria" w:hAnsi="Cambria"/>
                <w:bCs/>
              </w:rPr>
              <w:t>,</w:t>
            </w:r>
            <w:r w:rsidRPr="00BB5224">
              <w:rPr>
                <w:rFonts w:ascii="Cambria" w:hAnsi="Cambria"/>
                <w:bCs/>
              </w:rPr>
              <w:t xml:space="preserve"> and margin data </w:t>
            </w:r>
            <w:r w:rsidR="007B0D94">
              <w:rPr>
                <w:rFonts w:ascii="Cambria" w:hAnsi="Cambria"/>
                <w:bCs/>
              </w:rPr>
              <w:t>are</w:t>
            </w:r>
            <w:r w:rsidRPr="00BB5224">
              <w:rPr>
                <w:rFonts w:ascii="Cambria" w:hAnsi="Cambria"/>
                <w:bCs/>
              </w:rPr>
              <w:t xml:space="preserve"> available</w:t>
            </w:r>
            <w:r w:rsidR="00BB5224" w:rsidRPr="00BB5224">
              <w:rPr>
                <w:rFonts w:ascii="Cambria" w:hAnsi="Cambria"/>
                <w:bCs/>
              </w:rPr>
              <w:t>,</w:t>
            </w:r>
            <w:r w:rsidRPr="00BB5224">
              <w:rPr>
                <w:rFonts w:ascii="Cambria" w:hAnsi="Cambria"/>
                <w:bCs/>
              </w:rPr>
              <w:t xml:space="preserve"> avoiding premature conclusions on profitability.</w:t>
            </w:r>
          </w:p>
          <w:p w14:paraId="5F0FA37D" w14:textId="3721A974" w:rsidR="00182D61" w:rsidRPr="00BB5224" w:rsidRDefault="00182D61" w:rsidP="003449B3">
            <w:pPr>
              <w:pStyle w:val="ListParagraph"/>
              <w:numPr>
                <w:ilvl w:val="0"/>
                <w:numId w:val="6"/>
              </w:numPr>
              <w:spacing w:after="0" w:line="360" w:lineRule="auto"/>
              <w:rPr>
                <w:rFonts w:ascii="Cambria" w:hAnsi="Cambria"/>
                <w:bCs/>
              </w:rPr>
            </w:pPr>
            <w:r w:rsidRPr="00BB5224">
              <w:rPr>
                <w:rFonts w:ascii="Cambria" w:hAnsi="Cambria"/>
                <w:bCs/>
              </w:rPr>
              <w:t xml:space="preserve">Combining production, training, and market functions multiplies the return on a single investment. The same acre served HBC training, WASS integration, and market-channel testing simultaneously. </w:t>
            </w:r>
          </w:p>
        </w:tc>
      </w:tr>
      <w:tr w:rsidR="00D625A6" w:rsidRPr="00BB5224" w14:paraId="4044038F" w14:textId="77777777">
        <w:trPr>
          <w:trHeight w:val="2575"/>
        </w:trPr>
        <w:tc>
          <w:tcPr>
            <w:tcW w:w="10879" w:type="dxa"/>
            <w:gridSpan w:val="2"/>
          </w:tcPr>
          <w:p w14:paraId="70CA2ABD" w14:textId="3B6F6016" w:rsidR="00D625A6" w:rsidRPr="00BB5224" w:rsidRDefault="00000000">
            <w:pPr>
              <w:spacing w:after="0" w:line="240" w:lineRule="auto"/>
              <w:rPr>
                <w:rFonts w:ascii="Cambria" w:hAnsi="Cambria"/>
                <w:bCs/>
              </w:rPr>
            </w:pPr>
            <w:r w:rsidRPr="00BB5224">
              <w:rPr>
                <w:rFonts w:ascii="Cambria" w:hAnsi="Cambria"/>
                <w:bCs/>
              </w:rPr>
              <w:t xml:space="preserve">Challenges (What were the limitations or did not go well </w:t>
            </w:r>
            <w:r w:rsidR="00E7527D" w:rsidRPr="00BB5224">
              <w:rPr>
                <w:rFonts w:ascii="Cambria" w:hAnsi="Cambria"/>
                <w:bCs/>
              </w:rPr>
              <w:t>while</w:t>
            </w:r>
            <w:r w:rsidRPr="00BB5224">
              <w:rPr>
                <w:rFonts w:ascii="Cambria" w:hAnsi="Cambria"/>
                <w:bCs/>
              </w:rPr>
              <w:t xml:space="preserve"> implementing this activity):</w:t>
            </w:r>
          </w:p>
          <w:p w14:paraId="16D68E1F" w14:textId="77777777" w:rsidR="00D625A6" w:rsidRPr="00BB5224" w:rsidRDefault="00D625A6">
            <w:pPr>
              <w:spacing w:after="0" w:line="240" w:lineRule="auto"/>
              <w:rPr>
                <w:rFonts w:ascii="Cambria" w:hAnsi="Cambria"/>
                <w:bCs/>
              </w:rPr>
            </w:pPr>
          </w:p>
          <w:p w14:paraId="563B70F4" w14:textId="1F146C87" w:rsidR="00D625A6" w:rsidRPr="00BB5224" w:rsidRDefault="00E7527D" w:rsidP="003449B3">
            <w:pPr>
              <w:pStyle w:val="ListParagraph"/>
              <w:numPr>
                <w:ilvl w:val="0"/>
                <w:numId w:val="7"/>
              </w:numPr>
              <w:spacing w:after="0" w:line="240" w:lineRule="auto"/>
              <w:rPr>
                <w:rFonts w:ascii="Cambria" w:hAnsi="Cambria"/>
                <w:bCs/>
              </w:rPr>
            </w:pPr>
            <w:r w:rsidRPr="00BB5224">
              <w:rPr>
                <w:rFonts w:ascii="Cambria" w:hAnsi="Cambria"/>
                <w:bCs/>
              </w:rPr>
              <w:t xml:space="preserve">The original site posed an unmanageable security risk. </w:t>
            </w:r>
            <w:r w:rsidR="003449B3" w:rsidRPr="00BB5224">
              <w:rPr>
                <w:rFonts w:ascii="Cambria" w:hAnsi="Cambria"/>
                <w:bCs/>
              </w:rPr>
              <w:t>A compromised perimeter fence, undetected until after clearing, exposed produce and equipment to loss, and the school's budget constraints and approval processes meant it couldn't be fixed within HBP's timeline. This made the original site untenable and forced HBP to relocate mid-preparation, losing the land-clearing investment already made there.</w:t>
            </w:r>
          </w:p>
          <w:p w14:paraId="5E01B208" w14:textId="77777777" w:rsidR="00E7527D" w:rsidRPr="00BB5224" w:rsidRDefault="00E7527D" w:rsidP="00E7527D">
            <w:pPr>
              <w:pStyle w:val="ListParagraph"/>
              <w:spacing w:after="0" w:line="240" w:lineRule="auto"/>
              <w:ind w:left="780"/>
              <w:rPr>
                <w:rFonts w:ascii="Cambria" w:hAnsi="Cambria"/>
                <w:bCs/>
              </w:rPr>
            </w:pPr>
          </w:p>
          <w:p w14:paraId="38B49F9E" w14:textId="216EA7BA" w:rsidR="003449B3" w:rsidRPr="00BB5224" w:rsidRDefault="00E7527D" w:rsidP="003449B3">
            <w:pPr>
              <w:pStyle w:val="ListParagraph"/>
              <w:numPr>
                <w:ilvl w:val="0"/>
                <w:numId w:val="7"/>
              </w:numPr>
              <w:spacing w:after="0" w:line="240" w:lineRule="auto"/>
              <w:rPr>
                <w:rFonts w:ascii="Cambria" w:hAnsi="Cambria"/>
                <w:bCs/>
              </w:rPr>
            </w:pPr>
            <w:r w:rsidRPr="00BB5224">
              <w:rPr>
                <w:rFonts w:ascii="Cambria" w:hAnsi="Cambria"/>
                <w:bCs/>
              </w:rPr>
              <w:t>The site change forced a restart of land preparation, compressing nursery establishment, mulching, infrastructure</w:t>
            </w:r>
            <w:r w:rsidR="007B0D94">
              <w:rPr>
                <w:rFonts w:ascii="Cambria" w:hAnsi="Cambria"/>
                <w:bCs/>
              </w:rPr>
              <w:t>,</w:t>
            </w:r>
            <w:r w:rsidRPr="00BB5224">
              <w:rPr>
                <w:rFonts w:ascii="Cambria" w:hAnsi="Cambria"/>
                <w:bCs/>
              </w:rPr>
              <w:t xml:space="preserve"> and input mobilization into a shorter window. Running these concurrently recovered the schedule but raised operational pressure on the team throughout April and May.</w:t>
            </w:r>
          </w:p>
          <w:p w14:paraId="045C3423" w14:textId="77777777" w:rsidR="00E7527D" w:rsidRPr="00BB5224" w:rsidRDefault="00E7527D" w:rsidP="00E7527D">
            <w:pPr>
              <w:pStyle w:val="ListParagraph"/>
              <w:rPr>
                <w:rFonts w:ascii="Cambria" w:hAnsi="Cambria"/>
                <w:bCs/>
              </w:rPr>
            </w:pPr>
          </w:p>
          <w:p w14:paraId="1073B328" w14:textId="204DBC14" w:rsidR="00E7527D" w:rsidRPr="00BB5224" w:rsidRDefault="00E7527D" w:rsidP="003449B3">
            <w:pPr>
              <w:pStyle w:val="ListParagraph"/>
              <w:numPr>
                <w:ilvl w:val="0"/>
                <w:numId w:val="7"/>
              </w:numPr>
              <w:spacing w:after="0" w:line="240" w:lineRule="auto"/>
              <w:rPr>
                <w:rFonts w:ascii="Cambria" w:hAnsi="Cambria"/>
                <w:bCs/>
              </w:rPr>
            </w:pPr>
            <w:r w:rsidRPr="00BB5224">
              <w:rPr>
                <w:rFonts w:ascii="Cambria" w:hAnsi="Cambria"/>
                <w:bCs/>
              </w:rPr>
              <w:t>The first production cycle runs past the reporting period. Cucumber harvests (16 and 24 July 2026) fall outside this window, so the full financial picture</w:t>
            </w:r>
            <w:r w:rsidR="007B0D94">
              <w:rPr>
                <w:rFonts w:ascii="Cambria" w:hAnsi="Cambria"/>
                <w:bCs/>
              </w:rPr>
              <w:t>-</w:t>
            </w:r>
            <w:r w:rsidRPr="00BB5224">
              <w:rPr>
                <w:rFonts w:ascii="Cambria" w:hAnsi="Cambria"/>
                <w:bCs/>
              </w:rPr>
              <w:t xml:space="preserve"> costs, yields, revenue, margin, can't be closed out yet, leaving the primary success measure unresolved for this report.</w:t>
            </w:r>
          </w:p>
          <w:p w14:paraId="41ACBE54" w14:textId="77777777" w:rsidR="00E7527D" w:rsidRPr="00BB5224" w:rsidRDefault="00E7527D" w:rsidP="00E7527D">
            <w:pPr>
              <w:pStyle w:val="ListParagraph"/>
              <w:rPr>
                <w:rFonts w:ascii="Cambria" w:hAnsi="Cambria"/>
                <w:bCs/>
              </w:rPr>
            </w:pPr>
          </w:p>
          <w:p w14:paraId="555E45EE" w14:textId="3EA2CF39" w:rsidR="00E7527D" w:rsidRPr="00BB5224" w:rsidRDefault="00E7527D" w:rsidP="003449B3">
            <w:pPr>
              <w:pStyle w:val="ListParagraph"/>
              <w:numPr>
                <w:ilvl w:val="0"/>
                <w:numId w:val="7"/>
              </w:numPr>
              <w:spacing w:after="0" w:line="240" w:lineRule="auto"/>
              <w:rPr>
                <w:rFonts w:ascii="Cambria" w:hAnsi="Cambria"/>
                <w:bCs/>
              </w:rPr>
            </w:pPr>
            <w:r w:rsidRPr="00BB5224">
              <w:rPr>
                <w:rFonts w:ascii="Cambria" w:hAnsi="Cambria"/>
                <w:bCs/>
              </w:rPr>
              <w:t>Direct farm management competes with HBP's core mandate. Day-to-day operations risk competing for management time and capacity that HBP needs for its sector-coordination role, and risk duplicating what specialized farm operators already do better, a structural tension that shaped the decision not to scale under direct management.</w:t>
            </w:r>
          </w:p>
          <w:p w14:paraId="1CAD9F1E" w14:textId="77777777" w:rsidR="00E7527D" w:rsidRPr="00BB5224" w:rsidRDefault="00E7527D" w:rsidP="00E7527D">
            <w:pPr>
              <w:pStyle w:val="ListParagraph"/>
              <w:rPr>
                <w:rFonts w:ascii="Cambria" w:hAnsi="Cambria"/>
                <w:bCs/>
              </w:rPr>
            </w:pPr>
          </w:p>
          <w:p w14:paraId="4D5B3D1B" w14:textId="1311CEBC" w:rsidR="00E7527D" w:rsidRPr="00BB5224" w:rsidRDefault="00E7527D" w:rsidP="00E7527D">
            <w:pPr>
              <w:pStyle w:val="ListParagraph"/>
              <w:spacing w:after="0" w:line="240" w:lineRule="auto"/>
              <w:ind w:left="780"/>
              <w:rPr>
                <w:rFonts w:ascii="Cambria" w:hAnsi="Cambria"/>
                <w:bCs/>
              </w:rPr>
            </w:pPr>
          </w:p>
        </w:tc>
      </w:tr>
      <w:tr w:rsidR="00D625A6" w:rsidRPr="00BB5224" w14:paraId="16D4BE89" w14:textId="77777777">
        <w:trPr>
          <w:trHeight w:val="2575"/>
        </w:trPr>
        <w:tc>
          <w:tcPr>
            <w:tcW w:w="10879" w:type="dxa"/>
            <w:gridSpan w:val="2"/>
          </w:tcPr>
          <w:p w14:paraId="0C495B1F" w14:textId="6DF7C39C" w:rsidR="00D625A6" w:rsidRPr="00BB5224" w:rsidRDefault="00000000">
            <w:pPr>
              <w:spacing w:after="0" w:line="240" w:lineRule="auto"/>
              <w:rPr>
                <w:rFonts w:ascii="Cambria" w:hAnsi="Cambria"/>
                <w:bCs/>
              </w:rPr>
            </w:pPr>
            <w:r w:rsidRPr="00BB5224">
              <w:rPr>
                <w:rFonts w:ascii="Cambria" w:hAnsi="Cambria"/>
                <w:bCs/>
              </w:rPr>
              <w:lastRenderedPageBreak/>
              <w:t xml:space="preserve">General remarks/Recommendations (Any general observation or what else can you do </w:t>
            </w:r>
            <w:r w:rsidR="00BB5224">
              <w:rPr>
                <w:rFonts w:ascii="Cambria" w:hAnsi="Cambria"/>
                <w:bCs/>
              </w:rPr>
              <w:t>to implement this activity well</w:t>
            </w:r>
            <w:r w:rsidRPr="00BB5224">
              <w:rPr>
                <w:rFonts w:ascii="Cambria" w:hAnsi="Cambria"/>
                <w:bCs/>
              </w:rPr>
              <w:t xml:space="preserve"> in the future?):</w:t>
            </w:r>
          </w:p>
          <w:p w14:paraId="77D5138F" w14:textId="77777777" w:rsidR="00E7527D" w:rsidRPr="00BB5224" w:rsidRDefault="00E7527D">
            <w:pPr>
              <w:spacing w:after="0" w:line="240" w:lineRule="auto"/>
              <w:rPr>
                <w:rFonts w:ascii="Cambria" w:hAnsi="Cambria"/>
                <w:bCs/>
              </w:rPr>
            </w:pPr>
          </w:p>
          <w:p w14:paraId="26D3B88D" w14:textId="57B7D6A3" w:rsidR="00E7527D" w:rsidRPr="00BB5224" w:rsidRDefault="00EF2F70" w:rsidP="00EF2F70">
            <w:pPr>
              <w:pStyle w:val="ListParagraph"/>
              <w:numPr>
                <w:ilvl w:val="0"/>
                <w:numId w:val="8"/>
              </w:numPr>
              <w:spacing w:after="0" w:line="360" w:lineRule="auto"/>
              <w:rPr>
                <w:rFonts w:ascii="Cambria" w:hAnsi="Cambria"/>
                <w:bCs/>
              </w:rPr>
            </w:pPr>
            <w:r w:rsidRPr="00BB5224">
              <w:rPr>
                <w:rFonts w:ascii="Cambria" w:hAnsi="Cambria"/>
                <w:bCs/>
              </w:rPr>
              <w:t xml:space="preserve">Close out the first production cycle and </w:t>
            </w:r>
            <w:r w:rsidR="00BB5224" w:rsidRPr="00BB5224">
              <w:rPr>
                <w:rFonts w:ascii="Cambria" w:hAnsi="Cambria"/>
                <w:bCs/>
              </w:rPr>
              <w:t>finalize</w:t>
            </w:r>
            <w:r w:rsidRPr="00BB5224">
              <w:rPr>
                <w:rFonts w:ascii="Cambria" w:hAnsi="Cambria"/>
                <w:bCs/>
              </w:rPr>
              <w:t xml:space="preserve"> the viability assessment by </w:t>
            </w:r>
            <w:r w:rsidR="00BB5224">
              <w:rPr>
                <w:rFonts w:ascii="Cambria" w:hAnsi="Cambria"/>
                <w:bCs/>
              </w:rPr>
              <w:t xml:space="preserve">the </w:t>
            </w:r>
            <w:r w:rsidRPr="00BB5224">
              <w:rPr>
                <w:rFonts w:ascii="Cambria" w:hAnsi="Cambria"/>
                <w:bCs/>
              </w:rPr>
              <w:t>end of July 2026. This means capturing the 16 and 24 July cucumber harvests and consolidating complete input cost, yield, revenue</w:t>
            </w:r>
            <w:r w:rsidR="00BB5224">
              <w:rPr>
                <w:rFonts w:ascii="Cambria" w:hAnsi="Cambria"/>
                <w:bCs/>
              </w:rPr>
              <w:t>,</w:t>
            </w:r>
            <w:r w:rsidRPr="00BB5224">
              <w:rPr>
                <w:rFonts w:ascii="Cambria" w:hAnsi="Cambria"/>
                <w:bCs/>
              </w:rPr>
              <w:t xml:space="preserve"> and margin data into a single record. evidence.</w:t>
            </w:r>
          </w:p>
          <w:p w14:paraId="13753A36" w14:textId="448B3F4A" w:rsidR="00EF2F70" w:rsidRPr="00BB5224" w:rsidRDefault="00EF2F70" w:rsidP="00EF2F70">
            <w:pPr>
              <w:pStyle w:val="ListParagraph"/>
              <w:numPr>
                <w:ilvl w:val="0"/>
                <w:numId w:val="8"/>
              </w:numPr>
              <w:spacing w:after="0" w:line="360" w:lineRule="auto"/>
              <w:rPr>
                <w:rFonts w:ascii="Cambria" w:hAnsi="Cambria"/>
                <w:bCs/>
              </w:rPr>
            </w:pPr>
            <w:r w:rsidRPr="00BB5224">
              <w:rPr>
                <w:rFonts w:ascii="Cambria" w:hAnsi="Cambria"/>
                <w:bCs/>
              </w:rPr>
              <w:t>Formalize a partnership arrangement for farm operations before the second phase begins in July 2026. Treat this as a dependency, not a parallel track: management continuity depends on an agreement being in place at handover</w:t>
            </w:r>
            <w:r w:rsidR="00BB5224">
              <w:rPr>
                <w:rFonts w:ascii="Cambria" w:hAnsi="Cambria"/>
                <w:bCs/>
              </w:rPr>
              <w:t xml:space="preserve">. </w:t>
            </w:r>
          </w:p>
          <w:p w14:paraId="0C5214C6" w14:textId="2D07D18D" w:rsidR="00EF2F70" w:rsidRPr="00BB5224" w:rsidRDefault="00EF2F70" w:rsidP="00EF2F70">
            <w:pPr>
              <w:pStyle w:val="ListParagraph"/>
              <w:numPr>
                <w:ilvl w:val="0"/>
                <w:numId w:val="8"/>
              </w:numPr>
              <w:spacing w:after="0" w:line="360" w:lineRule="auto"/>
              <w:rPr>
                <w:rFonts w:ascii="Cambria" w:hAnsi="Cambria"/>
                <w:bCs/>
              </w:rPr>
            </w:pPr>
            <w:r w:rsidRPr="00BB5224">
              <w:rPr>
                <w:rFonts w:ascii="Cambria" w:hAnsi="Cambria"/>
                <w:bCs/>
              </w:rPr>
              <w:t xml:space="preserve">Run the two planned production cycles (July 2026–June 2027) as a bridge, not a default. Their purpose is specific: </w:t>
            </w:r>
            <w:r w:rsidR="00BB5224">
              <w:rPr>
                <w:rFonts w:ascii="Cambria" w:hAnsi="Cambria"/>
                <w:bCs/>
              </w:rPr>
              <w:t xml:space="preserve">to </w:t>
            </w:r>
            <w:r w:rsidRPr="00BB5224">
              <w:rPr>
                <w:rFonts w:ascii="Cambria" w:hAnsi="Cambria"/>
                <w:bCs/>
              </w:rPr>
              <w:t>keep the site active and recover part of the initial investment while the partnership above is finalized, not to normalize continued direct management. Set a review point at the end of this window to confirm the partner transition has occurred as planned.</w:t>
            </w:r>
          </w:p>
          <w:p w14:paraId="5700C147" w14:textId="61DAEA05" w:rsidR="00EF2F70" w:rsidRPr="00BB5224" w:rsidRDefault="00EF2F70" w:rsidP="00EF2F70">
            <w:pPr>
              <w:pStyle w:val="ListParagraph"/>
              <w:numPr>
                <w:ilvl w:val="0"/>
                <w:numId w:val="8"/>
              </w:numPr>
              <w:spacing w:after="0" w:line="360" w:lineRule="auto"/>
              <w:rPr>
                <w:rFonts w:ascii="Cambria" w:hAnsi="Cambria"/>
                <w:bCs/>
              </w:rPr>
            </w:pPr>
            <w:r w:rsidRPr="00BB5224">
              <w:rPr>
                <w:rFonts w:ascii="Cambria" w:hAnsi="Cambria"/>
                <w:bCs/>
              </w:rPr>
              <w:t>Preserve the site's dual-use function in any partnership agreement. Write learning and demonstration access into the terms explicitly, so future capacity-building and varietal trials aren't dependent on informal goodwill from whoever takes over operations.</w:t>
            </w:r>
          </w:p>
          <w:p w14:paraId="5C8C8B9C" w14:textId="77777777" w:rsidR="00D625A6" w:rsidRPr="00BB5224" w:rsidRDefault="00D625A6" w:rsidP="00E7527D">
            <w:pPr>
              <w:spacing w:after="0" w:line="240" w:lineRule="auto"/>
              <w:ind w:left="420"/>
              <w:rPr>
                <w:rFonts w:ascii="Cambria" w:hAnsi="Cambria"/>
                <w:bCs/>
              </w:rPr>
            </w:pPr>
          </w:p>
        </w:tc>
      </w:tr>
    </w:tbl>
    <w:p w14:paraId="7A9E3F98" w14:textId="77777777" w:rsidR="00D625A6" w:rsidRPr="00BB5224" w:rsidRDefault="00D625A6">
      <w:pPr>
        <w:rPr>
          <w:rFonts w:ascii="Cambria" w:hAnsi="Cambria"/>
          <w:bCs/>
        </w:rPr>
      </w:pPr>
    </w:p>
    <w:p w14:paraId="41F4616B" w14:textId="7625A776" w:rsidR="00F53009" w:rsidRPr="00BB5224" w:rsidRDefault="00F53009" w:rsidP="00F53009">
      <w:pPr>
        <w:rPr>
          <w:rFonts w:ascii="Cambria" w:hAnsi="Cambria"/>
          <w:bCs/>
        </w:rPr>
      </w:pPr>
      <w:r w:rsidRPr="00BB5224">
        <w:rPr>
          <w:rFonts w:ascii="Cambria" w:hAnsi="Cambria"/>
          <w:bCs/>
        </w:rPr>
        <w:drawing>
          <wp:inline distT="0" distB="0" distL="0" distR="0" wp14:anchorId="150A29DB" wp14:editId="077AF7D4">
            <wp:extent cx="4453128" cy="2971800"/>
            <wp:effectExtent l="0" t="0" r="5080" b="0"/>
            <wp:docPr id="17786355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53128" cy="2971800"/>
                    </a:xfrm>
                    <a:prstGeom prst="rect">
                      <a:avLst/>
                    </a:prstGeom>
                    <a:noFill/>
                    <a:ln>
                      <a:noFill/>
                    </a:ln>
                  </pic:spPr>
                </pic:pic>
              </a:graphicData>
            </a:graphic>
          </wp:inline>
        </w:drawing>
      </w:r>
    </w:p>
    <w:p w14:paraId="24C1C797" w14:textId="67BD2DD5" w:rsidR="00F53009" w:rsidRPr="00BB5224" w:rsidRDefault="00F53009" w:rsidP="00F53009">
      <w:pPr>
        <w:rPr>
          <w:rFonts w:ascii="Cambria" w:hAnsi="Cambria"/>
          <w:bCs/>
        </w:rPr>
      </w:pPr>
      <w:r w:rsidRPr="00BB5224">
        <w:rPr>
          <w:rFonts w:ascii="Cambria" w:hAnsi="Cambria"/>
          <w:bCs/>
        </w:rPr>
        <w:lastRenderedPageBreak/>
        <w:drawing>
          <wp:inline distT="0" distB="0" distL="0" distR="0" wp14:anchorId="3C5BB1D3" wp14:editId="0DC98834">
            <wp:extent cx="4453128" cy="2971800"/>
            <wp:effectExtent l="0" t="0" r="5080" b="0"/>
            <wp:docPr id="16265197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53128" cy="2971800"/>
                    </a:xfrm>
                    <a:prstGeom prst="rect">
                      <a:avLst/>
                    </a:prstGeom>
                    <a:noFill/>
                    <a:ln>
                      <a:noFill/>
                    </a:ln>
                  </pic:spPr>
                </pic:pic>
              </a:graphicData>
            </a:graphic>
          </wp:inline>
        </w:drawing>
      </w:r>
    </w:p>
    <w:p w14:paraId="23FAA268" w14:textId="567958F9" w:rsidR="00D625A6" w:rsidRPr="00BB5224" w:rsidRDefault="00F53009">
      <w:pPr>
        <w:rPr>
          <w:rFonts w:ascii="Cambria" w:hAnsi="Cambria"/>
          <w:bCs/>
        </w:rPr>
      </w:pPr>
      <w:r w:rsidRPr="00BB5224">
        <w:rPr>
          <w:rFonts w:ascii="Cambria" w:hAnsi="Cambria"/>
          <w:bCs/>
          <w:noProof/>
        </w:rPr>
        <w:drawing>
          <wp:inline distT="0" distB="0" distL="0" distR="0" wp14:anchorId="1676D986" wp14:editId="3DFC294F">
            <wp:extent cx="3895344" cy="3895344"/>
            <wp:effectExtent l="0" t="0" r="0" b="0"/>
            <wp:docPr id="155497108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95344" cy="3895344"/>
                    </a:xfrm>
                    <a:prstGeom prst="rect">
                      <a:avLst/>
                    </a:prstGeom>
                    <a:noFill/>
                    <a:ln>
                      <a:noFill/>
                    </a:ln>
                  </pic:spPr>
                </pic:pic>
              </a:graphicData>
            </a:graphic>
          </wp:inline>
        </w:drawing>
      </w:r>
    </w:p>
    <w:sectPr w:rsidR="00D625A6" w:rsidRPr="00BB5224">
      <w:pgSz w:w="12240" w:h="15840"/>
      <w:pgMar w:top="81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F880E" w14:textId="77777777" w:rsidR="00E704AB" w:rsidRDefault="00E704AB">
      <w:pPr>
        <w:spacing w:line="240" w:lineRule="auto"/>
      </w:pPr>
      <w:r>
        <w:separator/>
      </w:r>
    </w:p>
  </w:endnote>
  <w:endnote w:type="continuationSeparator" w:id="0">
    <w:p w14:paraId="3736CCAF" w14:textId="77777777" w:rsidR="00E704AB" w:rsidRDefault="00E704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6B792" w14:textId="77777777" w:rsidR="00E704AB" w:rsidRDefault="00E704AB">
      <w:pPr>
        <w:spacing w:after="0"/>
      </w:pPr>
      <w:r>
        <w:separator/>
      </w:r>
    </w:p>
  </w:footnote>
  <w:footnote w:type="continuationSeparator" w:id="0">
    <w:p w14:paraId="13B73A52" w14:textId="77777777" w:rsidR="00E704AB" w:rsidRDefault="00E704A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568C885"/>
    <w:multiLevelType w:val="singleLevel"/>
    <w:tmpl w:val="A568C885"/>
    <w:lvl w:ilvl="0">
      <w:start w:val="1"/>
      <w:numFmt w:val="decimal"/>
      <w:suff w:val="space"/>
      <w:lvlText w:val="%1."/>
      <w:lvlJc w:val="left"/>
    </w:lvl>
  </w:abstractNum>
  <w:abstractNum w:abstractNumId="1" w15:restartNumberingAfterBreak="0">
    <w:nsid w:val="C2CBD949"/>
    <w:multiLevelType w:val="singleLevel"/>
    <w:tmpl w:val="C2CBD949"/>
    <w:lvl w:ilvl="0">
      <w:start w:val="1"/>
      <w:numFmt w:val="decimal"/>
      <w:suff w:val="space"/>
      <w:lvlText w:val="%1."/>
      <w:lvlJc w:val="left"/>
    </w:lvl>
  </w:abstractNum>
  <w:abstractNum w:abstractNumId="2" w15:restartNumberingAfterBreak="0">
    <w:nsid w:val="C3F4D6F3"/>
    <w:multiLevelType w:val="singleLevel"/>
    <w:tmpl w:val="C3F4D6F3"/>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383222EF"/>
    <w:multiLevelType w:val="hybridMultilevel"/>
    <w:tmpl w:val="ABE04F60"/>
    <w:lvl w:ilvl="0" w:tplc="13FC0964">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52931914"/>
    <w:multiLevelType w:val="hybridMultilevel"/>
    <w:tmpl w:val="3404D6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056A4C"/>
    <w:multiLevelType w:val="hybridMultilevel"/>
    <w:tmpl w:val="EAF0B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A31A76"/>
    <w:multiLevelType w:val="singleLevel"/>
    <w:tmpl w:val="55A31A76"/>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6D952A23"/>
    <w:multiLevelType w:val="multilevel"/>
    <w:tmpl w:val="995E17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BAB114A"/>
    <w:multiLevelType w:val="hybridMultilevel"/>
    <w:tmpl w:val="91F609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49297637">
    <w:abstractNumId w:val="1"/>
  </w:num>
  <w:num w:numId="2" w16cid:durableId="440807481">
    <w:abstractNumId w:val="0"/>
  </w:num>
  <w:num w:numId="3" w16cid:durableId="1777015875">
    <w:abstractNumId w:val="2"/>
  </w:num>
  <w:num w:numId="4" w16cid:durableId="1400979728">
    <w:abstractNumId w:val="6"/>
  </w:num>
  <w:num w:numId="5" w16cid:durableId="1673021467">
    <w:abstractNumId w:val="5"/>
  </w:num>
  <w:num w:numId="6" w16cid:durableId="320547979">
    <w:abstractNumId w:val="4"/>
  </w:num>
  <w:num w:numId="7" w16cid:durableId="628977521">
    <w:abstractNumId w:val="3"/>
  </w:num>
  <w:num w:numId="8" w16cid:durableId="1097363868">
    <w:abstractNumId w:val="8"/>
  </w:num>
  <w:num w:numId="9" w16cid:durableId="6781959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CC5"/>
    <w:rsid w:val="00025469"/>
    <w:rsid w:val="00110B69"/>
    <w:rsid w:val="00113397"/>
    <w:rsid w:val="0013764E"/>
    <w:rsid w:val="00147785"/>
    <w:rsid w:val="00153319"/>
    <w:rsid w:val="001826C0"/>
    <w:rsid w:val="00182D61"/>
    <w:rsid w:val="00190B04"/>
    <w:rsid w:val="001A36E7"/>
    <w:rsid w:val="001E60A8"/>
    <w:rsid w:val="00234D68"/>
    <w:rsid w:val="0029061F"/>
    <w:rsid w:val="002B6887"/>
    <w:rsid w:val="002D535C"/>
    <w:rsid w:val="00320DAB"/>
    <w:rsid w:val="003449B3"/>
    <w:rsid w:val="00467081"/>
    <w:rsid w:val="004B57FD"/>
    <w:rsid w:val="00505BDE"/>
    <w:rsid w:val="00513EC9"/>
    <w:rsid w:val="00543A66"/>
    <w:rsid w:val="00575B92"/>
    <w:rsid w:val="005C7949"/>
    <w:rsid w:val="005D15AF"/>
    <w:rsid w:val="005D67D6"/>
    <w:rsid w:val="00685142"/>
    <w:rsid w:val="006E76AF"/>
    <w:rsid w:val="007A3573"/>
    <w:rsid w:val="007A77FA"/>
    <w:rsid w:val="007B0D94"/>
    <w:rsid w:val="007F1CC5"/>
    <w:rsid w:val="00821C3C"/>
    <w:rsid w:val="00A11C61"/>
    <w:rsid w:val="00A15D83"/>
    <w:rsid w:val="00A61846"/>
    <w:rsid w:val="00A811A5"/>
    <w:rsid w:val="00A867B0"/>
    <w:rsid w:val="00A95C6C"/>
    <w:rsid w:val="00BB5224"/>
    <w:rsid w:val="00BE2368"/>
    <w:rsid w:val="00C04F07"/>
    <w:rsid w:val="00C55802"/>
    <w:rsid w:val="00C77C4D"/>
    <w:rsid w:val="00D01A2E"/>
    <w:rsid w:val="00D625A6"/>
    <w:rsid w:val="00D66529"/>
    <w:rsid w:val="00E135F9"/>
    <w:rsid w:val="00E166C0"/>
    <w:rsid w:val="00E36638"/>
    <w:rsid w:val="00E4385E"/>
    <w:rsid w:val="00E704AB"/>
    <w:rsid w:val="00E72AB7"/>
    <w:rsid w:val="00E7527D"/>
    <w:rsid w:val="00EE7391"/>
    <w:rsid w:val="00EF2F70"/>
    <w:rsid w:val="00F53009"/>
    <w:rsid w:val="018625FB"/>
    <w:rsid w:val="01FB40D3"/>
    <w:rsid w:val="03EB3447"/>
    <w:rsid w:val="24607D3D"/>
    <w:rsid w:val="2BCE7FDF"/>
    <w:rsid w:val="30C943CC"/>
    <w:rsid w:val="31813D45"/>
    <w:rsid w:val="3850786B"/>
    <w:rsid w:val="3A34015B"/>
    <w:rsid w:val="45011FEF"/>
    <w:rsid w:val="5F995DE3"/>
    <w:rsid w:val="6CD47477"/>
    <w:rsid w:val="72D879D6"/>
    <w:rsid w:val="738B6F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25329"/>
  <w15:docId w15:val="{96753F9C-E649-4FE3-8D0A-668DBD20D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FollowedHyperlink">
    <w:name w:val="FollowedHyperlink"/>
    <w:uiPriority w:val="99"/>
    <w:semiHidden/>
    <w:unhideWhenUsed/>
    <w:qFormat/>
    <w:rPr>
      <w:color w:val="954F72"/>
      <w:u w:val="single"/>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uiPriority w:val="99"/>
    <w:semiHidden/>
    <w:unhideWhenUsed/>
    <w:qFormat/>
    <w:pPr>
      <w:spacing w:beforeAutospacing="1" w:afterAutospacing="1"/>
    </w:pPr>
    <w:rPr>
      <w:sz w:val="24"/>
      <w:szCs w:val="24"/>
      <w:lang w:eastAsia="zh-CN"/>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rPr>
      <w:rFonts w:ascii="Calibri" w:eastAsia="Calibri" w:hAnsi="Calibri" w:cs="Times New Roman"/>
    </w:rPr>
  </w:style>
  <w:style w:type="character" w:customStyle="1" w:styleId="FooterChar">
    <w:name w:val="Footer Char"/>
    <w:basedOn w:val="DefaultParagraphFont"/>
    <w:link w:val="Footer"/>
    <w:uiPriority w:val="99"/>
    <w:rPr>
      <w:rFonts w:ascii="Calibri" w:eastAsia="Calibri" w:hAnsi="Calibri" w:cs="Times New Roman"/>
    </w:rPr>
  </w:style>
  <w:style w:type="character" w:customStyle="1" w:styleId="BalloonTextChar">
    <w:name w:val="Balloon Text Char"/>
    <w:basedOn w:val="DefaultParagraphFont"/>
    <w:link w:val="BalloonText"/>
    <w:uiPriority w:val="99"/>
    <w:semiHidden/>
    <w:qFormat/>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380A2-E0FA-4483-AA9C-46D5A2B79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1992</Words>
  <Characters>11358</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dc:creator>
  <cp:lastModifiedBy>Benjamin Agamah</cp:lastModifiedBy>
  <cp:revision>5</cp:revision>
  <cp:lastPrinted>2023-03-15T12:39:00Z</cp:lastPrinted>
  <dcterms:created xsi:type="dcterms:W3CDTF">2026-07-13T13:40:00Z</dcterms:created>
  <dcterms:modified xsi:type="dcterms:W3CDTF">2026-07-15T12:30:00Z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2057-11.2.0.11537</vt:lpwstr>
  </property>
  <property fmtid="{D5CDD505-2E9C-101B-9397-08002B2CF9AE}" pid="3" name="ICV">
    <vt:lpwstr>4EB02747E4BA4715AFA2D00BFC0B749E</vt:lpwstr>
  </property>
  <property fmtid="{D5CDD505-2E9C-101B-9397-08002B2CF9AE}" pid="4" name="GrammarlyDocumentId">
    <vt:lpwstr>702f3047-2540-46fb-8944-b299e201a9b9</vt:lpwstr>
  </property>
</Properties>
</file>