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018764"/>
    <w:p w14:paraId="3DA41AC9" w14:textId="4188D195" w:rsidR="007671CB" w:rsidRPr="00196502" w:rsidRDefault="00E96178" w:rsidP="00196502">
      <w:pPr>
        <w:ind w:left="426"/>
        <w:jc w:val="center"/>
        <w:rPr>
          <w:rFonts w:cs="Arial"/>
          <w:b/>
          <w:caps/>
          <w:color w:val="8F23B3"/>
          <w:sz w:val="44"/>
          <w:szCs w:val="44"/>
        </w:rPr>
      </w:pPr>
      <w:sdt>
        <w:sdtPr>
          <w:rPr>
            <w:rFonts w:cs="Arial"/>
            <w:b/>
            <w:color w:val="8F23B3"/>
            <w:sz w:val="44"/>
            <w:szCs w:val="44"/>
          </w:rPr>
          <w:alias w:val="Title"/>
          <w:tag w:val=""/>
          <w:id w:val="-750581919"/>
          <w:placeholder>
            <w:docPart w:val="D1576BDEBD7B47C2B9E7F17654047C81"/>
          </w:placeholder>
          <w:dataBinding w:prefixMappings="xmlns:ns0='http://purl.org/dc/elements/1.1/' xmlns:ns1='http://schemas.openxmlformats.org/package/2006/metadata/core-properties' " w:xpath="/ns1:coreProperties[1]/ns0:title[1]" w:storeItemID="{6C3C8BC8-F283-45AE-878A-BAB7291924A1}"/>
          <w:text/>
        </w:sdtPr>
        <w:sdtEndPr/>
        <w:sdtContent>
          <w:r w:rsidR="001F0C6E">
            <w:rPr>
              <w:rFonts w:cs="Arial"/>
              <w:b/>
              <w:color w:val="8F23B3"/>
              <w:sz w:val="44"/>
              <w:szCs w:val="44"/>
            </w:rPr>
            <w:t>HUNTER CHAUCER PROGRAMME</w:t>
          </w:r>
        </w:sdtContent>
      </w:sdt>
      <w:bookmarkEnd w:id="0"/>
    </w:p>
    <w:sdt>
      <w:sdtPr>
        <w:rPr>
          <w:rFonts w:cs="Arial"/>
          <w:color w:val="8F23B3"/>
          <w:sz w:val="40"/>
          <w:szCs w:val="40"/>
        </w:rPr>
        <w:alias w:val="Subject"/>
        <w:tag w:val=""/>
        <w:id w:val="401877483"/>
        <w:placeholder>
          <w:docPart w:val="B6B0E3B0D06D490F98DD71B34FD06902"/>
        </w:placeholder>
        <w:dataBinding w:prefixMappings="xmlns:ns0='http://purl.org/dc/elements/1.1/' xmlns:ns1='http://schemas.openxmlformats.org/package/2006/metadata/core-properties' " w:xpath="/ns1:coreProperties[1]/ns0:subject[1]" w:storeItemID="{6C3C8BC8-F283-45AE-878A-BAB7291924A1}"/>
        <w:text/>
      </w:sdtPr>
      <w:sdtEndPr/>
      <w:sdtContent>
        <w:p w14:paraId="5BA46024" w14:textId="7BEB1A50" w:rsidR="007671CB" w:rsidRPr="00E0095A" w:rsidRDefault="001F0C6E" w:rsidP="00196502">
          <w:pPr>
            <w:ind w:left="426"/>
            <w:jc w:val="center"/>
            <w:rPr>
              <w:rFonts w:cs="Arial"/>
              <w:caps/>
              <w:color w:val="8F23B3"/>
              <w:sz w:val="52"/>
              <w:szCs w:val="52"/>
            </w:rPr>
          </w:pPr>
          <w:r>
            <w:rPr>
              <w:rFonts w:cs="Arial"/>
              <w:color w:val="8F23B3"/>
              <w:sz w:val="40"/>
              <w:szCs w:val="40"/>
            </w:rPr>
            <w:t xml:space="preserve">Benefits Realisation </w:t>
          </w:r>
          <w:r w:rsidR="005A024C">
            <w:rPr>
              <w:rFonts w:cs="Arial"/>
              <w:color w:val="8F23B3"/>
              <w:sz w:val="40"/>
              <w:szCs w:val="40"/>
            </w:rPr>
            <w:t xml:space="preserve">Summary </w:t>
          </w:r>
          <w:r>
            <w:rPr>
              <w:rFonts w:cs="Arial"/>
              <w:color w:val="8F23B3"/>
              <w:sz w:val="40"/>
              <w:szCs w:val="40"/>
            </w:rPr>
            <w:t>FY 2019 - 2020</w:t>
          </w:r>
        </w:p>
      </w:sdtContent>
    </w:sdt>
    <w:p w14:paraId="4C093E16" w14:textId="77777777" w:rsidR="007671CB" w:rsidRPr="00E0095A" w:rsidRDefault="007671CB" w:rsidP="007671CB">
      <w:pPr>
        <w:ind w:left="426"/>
        <w:rPr>
          <w:rFonts w:cs="Arial"/>
          <w:caps/>
          <w:color w:val="8F23B3"/>
          <w:sz w:val="52"/>
          <w:szCs w:val="52"/>
        </w:rPr>
      </w:pPr>
    </w:p>
    <w:p w14:paraId="1F9264E7" w14:textId="77777777" w:rsidR="00563AB0" w:rsidRDefault="00563AB0" w:rsidP="00FF0C58">
      <w:pPr>
        <w:spacing w:after="160" w:line="259" w:lineRule="auto"/>
        <w:ind w:left="426"/>
      </w:pPr>
    </w:p>
    <w:p w14:paraId="4E35C28A" w14:textId="77777777" w:rsidR="0003274D" w:rsidRDefault="0003274D" w:rsidP="00FF0C58">
      <w:pPr>
        <w:spacing w:after="160" w:line="259" w:lineRule="auto"/>
        <w:ind w:left="426"/>
      </w:pPr>
    </w:p>
    <w:p w14:paraId="7F75130D" w14:textId="77777777" w:rsidR="0003274D" w:rsidRDefault="0003274D" w:rsidP="00FF0C58">
      <w:pPr>
        <w:spacing w:after="160" w:line="259" w:lineRule="auto"/>
        <w:ind w:left="426"/>
      </w:pPr>
    </w:p>
    <w:p w14:paraId="4968E1A4" w14:textId="77777777" w:rsidR="0003274D" w:rsidRDefault="00240269" w:rsidP="0003274D">
      <w:pPr>
        <w:spacing w:after="160" w:line="259" w:lineRule="auto"/>
        <w:ind w:left="426"/>
      </w:pPr>
      <w:r>
        <w:t xml:space="preserve">     </w:t>
      </w:r>
    </w:p>
    <w:p w14:paraId="57A53D99" w14:textId="77777777" w:rsidR="0003274D" w:rsidRDefault="0003274D" w:rsidP="0003274D">
      <w:pPr>
        <w:spacing w:after="160" w:line="259" w:lineRule="auto"/>
        <w:ind w:left="426"/>
      </w:pPr>
    </w:p>
    <w:p w14:paraId="7938FB6F" w14:textId="77777777" w:rsidR="0003274D" w:rsidRDefault="0003274D" w:rsidP="0003274D">
      <w:pPr>
        <w:spacing w:after="160" w:line="259" w:lineRule="auto"/>
        <w:ind w:left="426"/>
      </w:pPr>
    </w:p>
    <w:p w14:paraId="1A12BDE6" w14:textId="52F33C67" w:rsidR="0003274D" w:rsidRDefault="0003274D" w:rsidP="0003274D">
      <w:pPr>
        <w:spacing w:after="160" w:line="259" w:lineRule="auto"/>
        <w:ind w:left="426"/>
      </w:pPr>
    </w:p>
    <w:p w14:paraId="58611C73" w14:textId="208D4A3C" w:rsidR="00716CF3" w:rsidRDefault="00716CF3" w:rsidP="0003274D">
      <w:pPr>
        <w:spacing w:after="160" w:line="259" w:lineRule="auto"/>
        <w:ind w:left="426"/>
      </w:pPr>
    </w:p>
    <w:p w14:paraId="6765AD32" w14:textId="42B2495B" w:rsidR="00716CF3" w:rsidRDefault="00716CF3" w:rsidP="0003274D">
      <w:pPr>
        <w:spacing w:after="160" w:line="259" w:lineRule="auto"/>
        <w:ind w:left="426"/>
      </w:pPr>
    </w:p>
    <w:p w14:paraId="4CB4FB01" w14:textId="560E3220" w:rsidR="00716CF3" w:rsidRDefault="00716CF3" w:rsidP="0003274D">
      <w:pPr>
        <w:spacing w:after="160" w:line="259" w:lineRule="auto"/>
        <w:ind w:left="426"/>
      </w:pPr>
    </w:p>
    <w:p w14:paraId="79A5CA84" w14:textId="68572270" w:rsidR="00716CF3" w:rsidRDefault="00716CF3" w:rsidP="0003274D">
      <w:pPr>
        <w:spacing w:after="160" w:line="259" w:lineRule="auto"/>
        <w:ind w:left="426"/>
      </w:pPr>
    </w:p>
    <w:p w14:paraId="71D0FF85" w14:textId="79E7938A" w:rsidR="00716CF3" w:rsidRDefault="00716CF3" w:rsidP="0003274D">
      <w:pPr>
        <w:spacing w:after="160" w:line="259" w:lineRule="auto"/>
        <w:ind w:left="426"/>
      </w:pPr>
    </w:p>
    <w:p w14:paraId="441409A5" w14:textId="4FC2EA2A" w:rsidR="00716CF3" w:rsidRDefault="00716CF3" w:rsidP="0003274D">
      <w:pPr>
        <w:spacing w:after="160" w:line="259" w:lineRule="auto"/>
        <w:ind w:left="426"/>
      </w:pPr>
    </w:p>
    <w:p w14:paraId="088E2875" w14:textId="50B2D79C" w:rsidR="00716CF3" w:rsidRDefault="00716CF3" w:rsidP="0003274D">
      <w:pPr>
        <w:spacing w:after="160" w:line="259" w:lineRule="auto"/>
        <w:ind w:left="426"/>
      </w:pPr>
    </w:p>
    <w:p w14:paraId="780663F8" w14:textId="77777777" w:rsidR="00716CF3" w:rsidRDefault="00716CF3" w:rsidP="0003274D">
      <w:pPr>
        <w:spacing w:after="160" w:line="259" w:lineRule="auto"/>
        <w:ind w:left="426"/>
      </w:pPr>
    </w:p>
    <w:p w14:paraId="5C0BDBAC" w14:textId="2B58A4A9" w:rsidR="0003274D" w:rsidRDefault="0003274D" w:rsidP="0003274D">
      <w:pPr>
        <w:spacing w:after="160" w:line="259" w:lineRule="auto"/>
        <w:ind w:left="426"/>
      </w:pPr>
    </w:p>
    <w:p w14:paraId="02B1ADC2" w14:textId="77777777" w:rsidR="00833C66" w:rsidRDefault="00833C66" w:rsidP="0003274D">
      <w:pPr>
        <w:spacing w:after="160" w:line="259" w:lineRule="auto"/>
        <w:ind w:left="426"/>
      </w:pPr>
    </w:p>
    <w:p w14:paraId="0FA909F5" w14:textId="3E0A72C1" w:rsidR="00646B4A" w:rsidRPr="00646B4A" w:rsidRDefault="00646B4A" w:rsidP="00646B4A">
      <w:pPr>
        <w:tabs>
          <w:tab w:val="left" w:pos="1752"/>
        </w:tabs>
        <w:sectPr w:rsidR="00646B4A" w:rsidRPr="00646B4A" w:rsidSect="00563AB0">
          <w:headerReference w:type="default" r:id="rId8"/>
          <w:footerReference w:type="default" r:id="rId9"/>
          <w:headerReference w:type="first" r:id="rId10"/>
          <w:pgSz w:w="11906" w:h="16838"/>
          <w:pgMar w:top="851" w:right="851" w:bottom="851" w:left="851" w:header="426" w:footer="464" w:gutter="0"/>
          <w:cols w:space="708"/>
          <w:titlePg/>
          <w:docGrid w:linePitch="360"/>
        </w:sectPr>
      </w:pPr>
    </w:p>
    <w:p w14:paraId="7ED30CFE" w14:textId="7303ED92" w:rsidR="004A1F85" w:rsidRDefault="00803C6F" w:rsidP="0084751A">
      <w:pPr>
        <w:pStyle w:val="Heading1"/>
      </w:pPr>
      <w:bookmarkStart w:id="1" w:name="_Toc437591263"/>
      <w:bookmarkStart w:id="2" w:name="_Toc437676129"/>
      <w:bookmarkStart w:id="3" w:name="_Toc41978732"/>
      <w:r>
        <w:lastRenderedPageBreak/>
        <w:t>Overview</w:t>
      </w:r>
      <w:bookmarkEnd w:id="1"/>
      <w:bookmarkEnd w:id="2"/>
      <w:bookmarkEnd w:id="3"/>
    </w:p>
    <w:p w14:paraId="01A672C6" w14:textId="52F08C71" w:rsidR="00274001" w:rsidRDefault="001C6D0C" w:rsidP="00CC7E52">
      <w:pPr>
        <w:pStyle w:val="Heading2"/>
      </w:pPr>
      <w:bookmarkStart w:id="4" w:name="_Toc41978733"/>
      <w:r>
        <w:t>Background</w:t>
      </w:r>
      <w:bookmarkEnd w:id="4"/>
    </w:p>
    <w:p w14:paraId="4C9B98A4" w14:textId="22E57F24" w:rsidR="0067148C" w:rsidRDefault="0067148C" w:rsidP="0067148C">
      <w:pPr>
        <w:rPr>
          <w:rFonts w:cs="Arial"/>
          <w:sz w:val="22"/>
        </w:rPr>
      </w:pPr>
      <w:r w:rsidRPr="00A30F17">
        <w:rPr>
          <w:rFonts w:cs="Arial"/>
          <w:sz w:val="22"/>
        </w:rPr>
        <w:t xml:space="preserve">The Hunter Chaucer Programme (HCP) aims to sustainably improve the ability of host country border authorities to tackle border crime and facilitate the movement of legitimate people and goods. It is overseen by the Department for International Development (DFID) and funded through Official Development Assistance (ODA) eligibility. In January 2016, Border Force International (BFI) secured ODA funding of £124.5m over 5 years (FY 2016-17 to FY 20-21) to develop targeting and profiling systems throughout developing countries that qualify for ODA funding. </w:t>
      </w:r>
    </w:p>
    <w:p w14:paraId="594B41B2" w14:textId="77777777" w:rsidR="00E573D1" w:rsidRPr="00A30F17" w:rsidRDefault="00E573D1" w:rsidP="0067148C">
      <w:pPr>
        <w:rPr>
          <w:rFonts w:cs="Arial"/>
          <w:sz w:val="22"/>
        </w:rPr>
      </w:pPr>
    </w:p>
    <w:p w14:paraId="284522DA" w14:textId="16470DFB" w:rsidR="00600772" w:rsidRPr="0067148C" w:rsidRDefault="0067148C" w:rsidP="0067148C">
      <w:pPr>
        <w:pStyle w:val="Heading2"/>
      </w:pPr>
      <w:bookmarkStart w:id="5" w:name="_Toc41978734"/>
      <w:r>
        <w:t>Development History 2019/2020</w:t>
      </w:r>
      <w:bookmarkEnd w:id="5"/>
    </w:p>
    <w:p w14:paraId="3239FC8F" w14:textId="73BFB5E2" w:rsidR="0067148C" w:rsidRPr="00A30F17" w:rsidRDefault="0067148C" w:rsidP="001C5775">
      <w:pPr>
        <w:rPr>
          <w:rFonts w:cs="Arial"/>
          <w:sz w:val="22"/>
        </w:rPr>
      </w:pPr>
      <w:r w:rsidRPr="00A30F17">
        <w:rPr>
          <w:rFonts w:cs="Arial"/>
          <w:sz w:val="22"/>
        </w:rPr>
        <w:t>The following key areas have been established and have been under continued development over the 2019/2020 financial year</w:t>
      </w:r>
      <w:r w:rsidR="000A6187">
        <w:rPr>
          <w:rFonts w:cs="Arial"/>
          <w:sz w:val="22"/>
        </w:rPr>
        <w:t>.</w:t>
      </w:r>
    </w:p>
    <w:p w14:paraId="4B43B187" w14:textId="3CE63C5D" w:rsidR="0067148C" w:rsidRPr="00A30F17" w:rsidRDefault="0067148C" w:rsidP="00663878">
      <w:pPr>
        <w:pStyle w:val="ListParagraph"/>
        <w:numPr>
          <w:ilvl w:val="0"/>
          <w:numId w:val="5"/>
        </w:numPr>
        <w:ind w:left="1077"/>
        <w:contextualSpacing w:val="0"/>
        <w:rPr>
          <w:rFonts w:cs="Arial"/>
          <w:sz w:val="22"/>
        </w:rPr>
      </w:pPr>
      <w:r w:rsidRPr="00A30F17">
        <w:rPr>
          <w:rFonts w:cs="Arial"/>
          <w:sz w:val="22"/>
        </w:rPr>
        <w:t>Development of the established global infrastructure and platform across Europe, Asia, Africa and the Americas. These regions are now capable of delivering benefits in over 30 countries, together with an established support infrastructure for over 100 staff. ICT together with BFI have developed a partnership which includes a Programme Management Office (PMO) established to support, manage and govern all capability enhancement programmes effectively.</w:t>
      </w:r>
    </w:p>
    <w:p w14:paraId="6F22A7E6" w14:textId="6484967D" w:rsidR="0067148C" w:rsidRPr="00A30F17" w:rsidRDefault="0067148C" w:rsidP="00663878">
      <w:pPr>
        <w:pStyle w:val="ListParagraph"/>
        <w:numPr>
          <w:ilvl w:val="0"/>
          <w:numId w:val="5"/>
        </w:numPr>
        <w:ind w:left="1077"/>
        <w:contextualSpacing w:val="0"/>
        <w:rPr>
          <w:rFonts w:cs="Arial"/>
          <w:sz w:val="22"/>
        </w:rPr>
      </w:pPr>
      <w:r w:rsidRPr="00A30F17">
        <w:rPr>
          <w:rFonts w:cs="Arial"/>
          <w:sz w:val="22"/>
        </w:rPr>
        <w:t>BFI identified and successfully aligned, both in-country and in the UK, the inordinate number of stakeholders with interests in border security outcomes. These included internal Home Office departments, wider HMG departments, in-country government departments and international bodies</w:t>
      </w:r>
    </w:p>
    <w:p w14:paraId="230C6129" w14:textId="026941A0" w:rsidR="0067148C" w:rsidRPr="00603EC3" w:rsidRDefault="0067148C" w:rsidP="00600772">
      <w:pPr>
        <w:pStyle w:val="ListParagraph"/>
        <w:numPr>
          <w:ilvl w:val="0"/>
          <w:numId w:val="5"/>
        </w:numPr>
        <w:rPr>
          <w:rFonts w:cs="Arial"/>
          <w:sz w:val="22"/>
        </w:rPr>
      </w:pPr>
      <w:r w:rsidRPr="00A30F17">
        <w:rPr>
          <w:rFonts w:cs="Arial"/>
          <w:sz w:val="22"/>
        </w:rPr>
        <w:t>Management of the appropriate governance and assurance through boards, internal audit (Operational Assurance Directorate), line reporting to International Directorate and external audit including DFID, Government Internal Audit Agency (GIAA) and Independent Commission for Aid Impact (ICAI).</w:t>
      </w:r>
    </w:p>
    <w:p w14:paraId="030B22AF" w14:textId="62904A8D" w:rsidR="00ED1226" w:rsidRPr="0067148C" w:rsidRDefault="0067148C" w:rsidP="0067148C">
      <w:pPr>
        <w:pStyle w:val="Heading2"/>
      </w:pPr>
      <w:bookmarkStart w:id="6" w:name="_Toc40972460"/>
      <w:bookmarkStart w:id="7" w:name="_Toc41978735"/>
      <w:bookmarkEnd w:id="6"/>
      <w:r w:rsidRPr="0067148C">
        <w:t>BFI’s Key Performance Measures</w:t>
      </w:r>
      <w:bookmarkEnd w:id="7"/>
      <w:r w:rsidRPr="0067148C">
        <w:t xml:space="preserve"> </w:t>
      </w:r>
    </w:p>
    <w:p w14:paraId="6751DB54" w14:textId="1CB181EF" w:rsidR="0067148C" w:rsidRPr="00A30F17" w:rsidRDefault="0067148C" w:rsidP="00803C6F">
      <w:pPr>
        <w:spacing w:after="0"/>
        <w:rPr>
          <w:rFonts w:cs="Arial"/>
          <w:sz w:val="22"/>
        </w:rPr>
      </w:pPr>
      <w:r w:rsidRPr="00A30F17">
        <w:rPr>
          <w:rFonts w:cs="Arial"/>
          <w:sz w:val="22"/>
        </w:rPr>
        <w:t xml:space="preserve">BFI have continued in the following key performance measures for HCP: </w:t>
      </w:r>
    </w:p>
    <w:p w14:paraId="4A581A1B" w14:textId="77777777" w:rsidR="0067148C" w:rsidRPr="00A30F17" w:rsidRDefault="0067148C" w:rsidP="0067148C">
      <w:pPr>
        <w:spacing w:after="0"/>
        <w:ind w:left="360"/>
        <w:rPr>
          <w:rFonts w:cs="Arial"/>
          <w:sz w:val="22"/>
        </w:rPr>
      </w:pPr>
    </w:p>
    <w:p w14:paraId="30EE4990" w14:textId="3E5A27C2" w:rsidR="0067148C" w:rsidRPr="00A30F17" w:rsidRDefault="0067148C" w:rsidP="00663878">
      <w:pPr>
        <w:pStyle w:val="ListParagraph"/>
        <w:numPr>
          <w:ilvl w:val="0"/>
          <w:numId w:val="6"/>
        </w:numPr>
        <w:spacing w:after="0"/>
        <w:rPr>
          <w:rFonts w:cs="Arial"/>
          <w:sz w:val="22"/>
        </w:rPr>
      </w:pPr>
      <w:r w:rsidRPr="00A30F17">
        <w:rPr>
          <w:rFonts w:cs="Arial"/>
          <w:sz w:val="22"/>
        </w:rPr>
        <w:t>increased capability and capacity to tackle border threat through the use of targeting and profiling methodologies in the host countries</w:t>
      </w:r>
    </w:p>
    <w:p w14:paraId="4088E54A" w14:textId="50763E82" w:rsidR="0067148C" w:rsidRPr="00A30F17" w:rsidRDefault="0067148C" w:rsidP="00663878">
      <w:pPr>
        <w:pStyle w:val="ListParagraph"/>
        <w:numPr>
          <w:ilvl w:val="0"/>
          <w:numId w:val="6"/>
        </w:numPr>
        <w:spacing w:after="0"/>
        <w:rPr>
          <w:rFonts w:cs="Arial"/>
          <w:sz w:val="22"/>
        </w:rPr>
      </w:pPr>
      <w:r w:rsidRPr="00A30F17">
        <w:rPr>
          <w:rFonts w:cs="Arial"/>
          <w:sz w:val="22"/>
        </w:rPr>
        <w:t xml:space="preserve">an increase in the quantity of illegal commodities seized </w:t>
      </w:r>
    </w:p>
    <w:p w14:paraId="5ED128C3" w14:textId="7F3693C1" w:rsidR="0067148C" w:rsidRPr="00A30F17" w:rsidRDefault="0067148C" w:rsidP="00663878">
      <w:pPr>
        <w:pStyle w:val="ListParagraph"/>
        <w:numPr>
          <w:ilvl w:val="0"/>
          <w:numId w:val="6"/>
        </w:numPr>
        <w:spacing w:after="0"/>
        <w:rPr>
          <w:rFonts w:cs="Arial"/>
          <w:sz w:val="22"/>
        </w:rPr>
      </w:pPr>
      <w:r w:rsidRPr="00A30F17">
        <w:rPr>
          <w:rFonts w:cs="Arial"/>
          <w:sz w:val="22"/>
        </w:rPr>
        <w:t>an increase in the number of people intercepted for both immigration and goods offences</w:t>
      </w:r>
    </w:p>
    <w:p w14:paraId="1915BBBA" w14:textId="0C969259" w:rsidR="0067148C" w:rsidRPr="00A30F17" w:rsidRDefault="0067148C" w:rsidP="00663878">
      <w:pPr>
        <w:pStyle w:val="ListParagraph"/>
        <w:numPr>
          <w:ilvl w:val="0"/>
          <w:numId w:val="6"/>
        </w:numPr>
        <w:spacing w:after="0"/>
        <w:rPr>
          <w:rFonts w:cs="Arial"/>
          <w:sz w:val="22"/>
        </w:rPr>
      </w:pPr>
      <w:r w:rsidRPr="00A30F17">
        <w:rPr>
          <w:rFonts w:cs="Arial"/>
          <w:sz w:val="22"/>
        </w:rPr>
        <w:t>a decrease in the number of illegal goods and people seized and detected at UK and EU ports</w:t>
      </w:r>
    </w:p>
    <w:p w14:paraId="71CF7DD9" w14:textId="4B053D5A" w:rsidR="0067148C" w:rsidRPr="00A30F17" w:rsidRDefault="0067148C" w:rsidP="00663878">
      <w:pPr>
        <w:pStyle w:val="ListParagraph"/>
        <w:numPr>
          <w:ilvl w:val="0"/>
          <w:numId w:val="6"/>
        </w:numPr>
        <w:spacing w:after="0"/>
        <w:rPr>
          <w:rFonts w:cs="Arial"/>
          <w:sz w:val="22"/>
        </w:rPr>
      </w:pPr>
      <w:r w:rsidRPr="00A30F17">
        <w:rPr>
          <w:rFonts w:cs="Arial"/>
          <w:sz w:val="22"/>
        </w:rPr>
        <w:t xml:space="preserve">evidence of increased operational coordination between partners and improved operational methods within host agencies  </w:t>
      </w:r>
    </w:p>
    <w:p w14:paraId="401BDF46" w14:textId="27D29775" w:rsidR="0067148C" w:rsidRPr="00A30F17" w:rsidRDefault="0067148C" w:rsidP="00663878">
      <w:pPr>
        <w:pStyle w:val="ListParagraph"/>
        <w:numPr>
          <w:ilvl w:val="0"/>
          <w:numId w:val="6"/>
        </w:numPr>
        <w:spacing w:after="0"/>
        <w:rPr>
          <w:rFonts w:cs="Arial"/>
          <w:sz w:val="22"/>
        </w:rPr>
      </w:pPr>
      <w:r w:rsidRPr="00A30F17">
        <w:rPr>
          <w:rFonts w:cs="Arial"/>
          <w:sz w:val="22"/>
        </w:rPr>
        <w:t>an enhanced intelligence capability and dialogue between the UK and host countries</w:t>
      </w:r>
    </w:p>
    <w:p w14:paraId="08515A92" w14:textId="77777777" w:rsidR="0067148C" w:rsidRPr="00A30F17" w:rsidRDefault="0067148C" w:rsidP="0067148C">
      <w:pPr>
        <w:spacing w:after="0"/>
        <w:ind w:left="360"/>
        <w:rPr>
          <w:rFonts w:cs="Arial"/>
          <w:sz w:val="22"/>
        </w:rPr>
      </w:pPr>
    </w:p>
    <w:p w14:paraId="088A41C0" w14:textId="00B1283A" w:rsidR="009C65FE" w:rsidRDefault="009C65FE" w:rsidP="00803C6F">
      <w:pPr>
        <w:autoSpaceDE w:val="0"/>
        <w:autoSpaceDN w:val="0"/>
        <w:jc w:val="both"/>
        <w:rPr>
          <w:rFonts w:cs="Arial"/>
          <w:bCs/>
          <w:sz w:val="22"/>
        </w:rPr>
      </w:pPr>
      <w:r w:rsidRPr="00A30F17">
        <w:rPr>
          <w:rFonts w:cs="Arial"/>
          <w:sz w:val="22"/>
        </w:rPr>
        <w:t>The programme expressed its expected benefits as Key Performance Indicators (KPI’s):</w:t>
      </w:r>
      <w:r w:rsidRPr="00A30F17">
        <w:rPr>
          <w:rFonts w:cs="Arial"/>
          <w:bCs/>
          <w:sz w:val="22"/>
        </w:rPr>
        <w:tab/>
      </w:r>
      <w:r>
        <w:rPr>
          <w:rFonts w:cs="Arial"/>
          <w:bCs/>
          <w:sz w:val="22"/>
        </w:rPr>
        <w:tab/>
      </w:r>
    </w:p>
    <w:tbl>
      <w:tblPr>
        <w:tblStyle w:val="TableGrid"/>
        <w:tblW w:w="10206" w:type="dxa"/>
        <w:tblInd w:w="-5" w:type="dxa"/>
        <w:tblLayout w:type="fixed"/>
        <w:tblLook w:val="04A0" w:firstRow="1" w:lastRow="0" w:firstColumn="1" w:lastColumn="0" w:noHBand="0" w:noVBand="1"/>
      </w:tblPr>
      <w:tblGrid>
        <w:gridCol w:w="5529"/>
        <w:gridCol w:w="1701"/>
        <w:gridCol w:w="1701"/>
        <w:gridCol w:w="1275"/>
      </w:tblGrid>
      <w:tr w:rsidR="009C65FE" w:rsidRPr="00A30F17" w14:paraId="0DA431CB" w14:textId="77777777" w:rsidTr="00803C6F">
        <w:trPr>
          <w:trHeight w:val="133"/>
        </w:trPr>
        <w:tc>
          <w:tcPr>
            <w:tcW w:w="5529" w:type="dxa"/>
          </w:tcPr>
          <w:p w14:paraId="68332EE5" w14:textId="40FD5541" w:rsidR="009C65FE" w:rsidRPr="00A30F17" w:rsidRDefault="009C65FE" w:rsidP="002C1B9E">
            <w:pPr>
              <w:autoSpaceDE w:val="0"/>
              <w:autoSpaceDN w:val="0"/>
              <w:rPr>
                <w:rFonts w:cs="Arial"/>
                <w:b/>
                <w:bCs/>
                <w:sz w:val="22"/>
              </w:rPr>
            </w:pPr>
            <w:r w:rsidRPr="00A30F17">
              <w:rPr>
                <w:rFonts w:cs="Arial"/>
                <w:b/>
                <w:bCs/>
                <w:sz w:val="22"/>
              </w:rPr>
              <w:t>Key Performance Indicator (KPI)</w:t>
            </w:r>
          </w:p>
        </w:tc>
        <w:tc>
          <w:tcPr>
            <w:tcW w:w="1701" w:type="dxa"/>
          </w:tcPr>
          <w:p w14:paraId="0E9AE754" w14:textId="77777777" w:rsidR="009C65FE" w:rsidRPr="00A30F17" w:rsidRDefault="009C65FE" w:rsidP="00C73109">
            <w:pPr>
              <w:autoSpaceDE w:val="0"/>
              <w:autoSpaceDN w:val="0"/>
              <w:jc w:val="center"/>
              <w:rPr>
                <w:rFonts w:cs="Arial"/>
                <w:b/>
                <w:bCs/>
                <w:sz w:val="22"/>
              </w:rPr>
            </w:pPr>
            <w:r w:rsidRPr="00A30F17">
              <w:rPr>
                <w:rFonts w:cs="Arial"/>
                <w:b/>
                <w:bCs/>
                <w:sz w:val="22"/>
              </w:rPr>
              <w:t>Qualitative</w:t>
            </w:r>
          </w:p>
        </w:tc>
        <w:tc>
          <w:tcPr>
            <w:tcW w:w="1701" w:type="dxa"/>
          </w:tcPr>
          <w:p w14:paraId="67A936B6" w14:textId="77777777" w:rsidR="009C65FE" w:rsidRPr="00A30F17" w:rsidRDefault="009C65FE" w:rsidP="00C73109">
            <w:pPr>
              <w:autoSpaceDE w:val="0"/>
              <w:autoSpaceDN w:val="0"/>
              <w:jc w:val="center"/>
              <w:rPr>
                <w:rFonts w:cs="Arial"/>
                <w:b/>
                <w:bCs/>
                <w:sz w:val="22"/>
              </w:rPr>
            </w:pPr>
            <w:r w:rsidRPr="00A30F17">
              <w:rPr>
                <w:rFonts w:cs="Arial"/>
                <w:b/>
                <w:bCs/>
                <w:sz w:val="22"/>
              </w:rPr>
              <w:t>Quantitative</w:t>
            </w:r>
          </w:p>
        </w:tc>
        <w:tc>
          <w:tcPr>
            <w:tcW w:w="1275" w:type="dxa"/>
          </w:tcPr>
          <w:p w14:paraId="61A4E2F8" w14:textId="77777777" w:rsidR="009C65FE" w:rsidRPr="00A30F17" w:rsidRDefault="009C65FE" w:rsidP="00C73109">
            <w:pPr>
              <w:autoSpaceDE w:val="0"/>
              <w:autoSpaceDN w:val="0"/>
              <w:jc w:val="center"/>
              <w:rPr>
                <w:rFonts w:cs="Arial"/>
                <w:b/>
                <w:bCs/>
                <w:sz w:val="22"/>
              </w:rPr>
            </w:pPr>
            <w:r w:rsidRPr="00A30F17">
              <w:rPr>
                <w:rFonts w:cs="Arial"/>
                <w:b/>
                <w:bCs/>
                <w:sz w:val="22"/>
              </w:rPr>
              <w:t>Both</w:t>
            </w:r>
          </w:p>
        </w:tc>
      </w:tr>
      <w:tr w:rsidR="009C65FE" w:rsidRPr="00A30F17" w14:paraId="496AADEC" w14:textId="77777777" w:rsidTr="00803C6F">
        <w:trPr>
          <w:trHeight w:val="639"/>
        </w:trPr>
        <w:tc>
          <w:tcPr>
            <w:tcW w:w="5529" w:type="dxa"/>
          </w:tcPr>
          <w:p w14:paraId="6F16E939" w14:textId="77777777" w:rsidR="009C65FE" w:rsidRPr="00A30F17" w:rsidRDefault="009C65FE" w:rsidP="00C73109">
            <w:pPr>
              <w:autoSpaceDE w:val="0"/>
              <w:autoSpaceDN w:val="0"/>
              <w:rPr>
                <w:rFonts w:cs="Arial"/>
                <w:bCs/>
                <w:sz w:val="22"/>
              </w:rPr>
            </w:pPr>
            <w:r w:rsidRPr="00A30F17">
              <w:rPr>
                <w:rFonts w:cs="Arial"/>
                <w:bCs/>
                <w:sz w:val="22"/>
              </w:rPr>
              <w:t>An increased capability and capacity to tackle border threats</w:t>
            </w:r>
          </w:p>
        </w:tc>
        <w:tc>
          <w:tcPr>
            <w:tcW w:w="1701" w:type="dxa"/>
            <w:vAlign w:val="center"/>
          </w:tcPr>
          <w:p w14:paraId="5CFE1D8D" w14:textId="77777777" w:rsidR="009C65FE" w:rsidRPr="00A30F17" w:rsidRDefault="009C65FE" w:rsidP="00C73109">
            <w:pPr>
              <w:autoSpaceDE w:val="0"/>
              <w:autoSpaceDN w:val="0"/>
              <w:jc w:val="center"/>
              <w:rPr>
                <w:rFonts w:cs="Arial"/>
                <w:b/>
                <w:bCs/>
                <w:sz w:val="22"/>
              </w:rPr>
            </w:pPr>
          </w:p>
        </w:tc>
        <w:tc>
          <w:tcPr>
            <w:tcW w:w="1701" w:type="dxa"/>
            <w:vAlign w:val="center"/>
          </w:tcPr>
          <w:p w14:paraId="45409858" w14:textId="77777777" w:rsidR="009C65FE" w:rsidRPr="00A30F17" w:rsidRDefault="009C65FE" w:rsidP="00C73109">
            <w:pPr>
              <w:autoSpaceDE w:val="0"/>
              <w:autoSpaceDN w:val="0"/>
              <w:jc w:val="center"/>
              <w:rPr>
                <w:rFonts w:cs="Arial"/>
                <w:bCs/>
                <w:sz w:val="22"/>
              </w:rPr>
            </w:pPr>
          </w:p>
        </w:tc>
        <w:tc>
          <w:tcPr>
            <w:tcW w:w="1275" w:type="dxa"/>
            <w:vAlign w:val="center"/>
          </w:tcPr>
          <w:p w14:paraId="5A214541" w14:textId="77777777" w:rsidR="009C65FE" w:rsidRPr="00A30F17" w:rsidRDefault="009C65FE" w:rsidP="00C73109">
            <w:pPr>
              <w:autoSpaceDE w:val="0"/>
              <w:autoSpaceDN w:val="0"/>
              <w:jc w:val="center"/>
              <w:rPr>
                <w:rFonts w:cs="Arial"/>
                <w:bCs/>
                <w:sz w:val="22"/>
              </w:rPr>
            </w:pPr>
            <w:r w:rsidRPr="00A30F17">
              <w:rPr>
                <w:rFonts w:cs="Arial"/>
                <w:b/>
                <w:bCs/>
                <w:sz w:val="22"/>
              </w:rPr>
              <w:t>√</w:t>
            </w:r>
          </w:p>
        </w:tc>
      </w:tr>
      <w:tr w:rsidR="009C65FE" w:rsidRPr="00A30F17" w14:paraId="7F241A4E" w14:textId="77777777" w:rsidTr="00803C6F">
        <w:trPr>
          <w:trHeight w:val="616"/>
        </w:trPr>
        <w:tc>
          <w:tcPr>
            <w:tcW w:w="5529" w:type="dxa"/>
          </w:tcPr>
          <w:p w14:paraId="1C9F1260" w14:textId="77777777" w:rsidR="009C65FE" w:rsidRPr="00A30F17" w:rsidRDefault="009C65FE" w:rsidP="00C73109">
            <w:pPr>
              <w:autoSpaceDE w:val="0"/>
              <w:autoSpaceDN w:val="0"/>
              <w:rPr>
                <w:rFonts w:cs="Arial"/>
                <w:bCs/>
                <w:sz w:val="22"/>
              </w:rPr>
            </w:pPr>
            <w:r w:rsidRPr="00A30F17">
              <w:rPr>
                <w:rFonts w:cs="Arial"/>
                <w:bCs/>
                <w:sz w:val="22"/>
              </w:rPr>
              <w:t>An increase in the quantity of drugs and other illegal commodities seized</w:t>
            </w:r>
          </w:p>
        </w:tc>
        <w:tc>
          <w:tcPr>
            <w:tcW w:w="1701" w:type="dxa"/>
            <w:vAlign w:val="center"/>
          </w:tcPr>
          <w:p w14:paraId="1D90A5F9" w14:textId="77777777" w:rsidR="009C65FE" w:rsidRPr="00A30F17" w:rsidRDefault="009C65FE" w:rsidP="00C73109">
            <w:pPr>
              <w:autoSpaceDE w:val="0"/>
              <w:autoSpaceDN w:val="0"/>
              <w:jc w:val="center"/>
              <w:rPr>
                <w:rFonts w:cs="Arial"/>
                <w:bCs/>
                <w:sz w:val="22"/>
              </w:rPr>
            </w:pPr>
          </w:p>
        </w:tc>
        <w:tc>
          <w:tcPr>
            <w:tcW w:w="1701" w:type="dxa"/>
            <w:vAlign w:val="center"/>
          </w:tcPr>
          <w:p w14:paraId="40D02C91" w14:textId="6C61BA7C" w:rsidR="009C65FE" w:rsidRPr="00A30F17" w:rsidRDefault="009C65FE" w:rsidP="009C65FE">
            <w:pPr>
              <w:autoSpaceDE w:val="0"/>
              <w:autoSpaceDN w:val="0"/>
              <w:jc w:val="center"/>
              <w:rPr>
                <w:rFonts w:cs="Arial"/>
                <w:bCs/>
                <w:sz w:val="22"/>
              </w:rPr>
            </w:pPr>
            <w:r w:rsidRPr="00A30F17">
              <w:rPr>
                <w:rFonts w:cs="Arial"/>
                <w:b/>
                <w:bCs/>
                <w:sz w:val="22"/>
              </w:rPr>
              <w:t>√</w:t>
            </w:r>
          </w:p>
        </w:tc>
        <w:tc>
          <w:tcPr>
            <w:tcW w:w="1275" w:type="dxa"/>
            <w:vAlign w:val="center"/>
          </w:tcPr>
          <w:p w14:paraId="0D4A86DA" w14:textId="77777777" w:rsidR="009C65FE" w:rsidRPr="00A30F17" w:rsidRDefault="009C65FE" w:rsidP="00C73109">
            <w:pPr>
              <w:autoSpaceDE w:val="0"/>
              <w:autoSpaceDN w:val="0"/>
              <w:jc w:val="center"/>
              <w:rPr>
                <w:rFonts w:cs="Arial"/>
                <w:bCs/>
                <w:sz w:val="22"/>
              </w:rPr>
            </w:pPr>
          </w:p>
        </w:tc>
      </w:tr>
      <w:tr w:rsidR="009C65FE" w:rsidRPr="00A30F17" w14:paraId="4CAB50F4" w14:textId="77777777" w:rsidTr="00803C6F">
        <w:trPr>
          <w:trHeight w:val="400"/>
        </w:trPr>
        <w:tc>
          <w:tcPr>
            <w:tcW w:w="5529" w:type="dxa"/>
          </w:tcPr>
          <w:p w14:paraId="27121C9F" w14:textId="77777777" w:rsidR="009C65FE" w:rsidRPr="00A30F17" w:rsidRDefault="009C65FE" w:rsidP="00C73109">
            <w:pPr>
              <w:autoSpaceDE w:val="0"/>
              <w:autoSpaceDN w:val="0"/>
              <w:rPr>
                <w:rFonts w:cs="Arial"/>
                <w:bCs/>
                <w:sz w:val="22"/>
              </w:rPr>
            </w:pPr>
            <w:r w:rsidRPr="00A30F17">
              <w:rPr>
                <w:rFonts w:cs="Arial"/>
                <w:bCs/>
                <w:sz w:val="22"/>
              </w:rPr>
              <w:t>An increase in the number of drugs couriers intercepted</w:t>
            </w:r>
          </w:p>
        </w:tc>
        <w:tc>
          <w:tcPr>
            <w:tcW w:w="1701" w:type="dxa"/>
            <w:vAlign w:val="center"/>
          </w:tcPr>
          <w:p w14:paraId="7CE0C405" w14:textId="77777777" w:rsidR="009C65FE" w:rsidRPr="00A30F17" w:rsidRDefault="009C65FE" w:rsidP="00C73109">
            <w:pPr>
              <w:autoSpaceDE w:val="0"/>
              <w:autoSpaceDN w:val="0"/>
              <w:jc w:val="center"/>
              <w:rPr>
                <w:rFonts w:cs="Arial"/>
                <w:bCs/>
                <w:sz w:val="22"/>
              </w:rPr>
            </w:pPr>
          </w:p>
        </w:tc>
        <w:tc>
          <w:tcPr>
            <w:tcW w:w="1701" w:type="dxa"/>
            <w:vAlign w:val="center"/>
          </w:tcPr>
          <w:p w14:paraId="55CCDFDD" w14:textId="77777777" w:rsidR="009C65FE" w:rsidRPr="00A30F17" w:rsidRDefault="009C65FE" w:rsidP="00C73109">
            <w:pPr>
              <w:autoSpaceDE w:val="0"/>
              <w:autoSpaceDN w:val="0"/>
              <w:jc w:val="center"/>
              <w:rPr>
                <w:rFonts w:cs="Arial"/>
                <w:bCs/>
                <w:sz w:val="22"/>
              </w:rPr>
            </w:pPr>
            <w:r w:rsidRPr="00A30F17">
              <w:rPr>
                <w:rFonts w:cs="Arial"/>
                <w:b/>
                <w:bCs/>
                <w:sz w:val="22"/>
              </w:rPr>
              <w:t>√</w:t>
            </w:r>
          </w:p>
        </w:tc>
        <w:tc>
          <w:tcPr>
            <w:tcW w:w="1275" w:type="dxa"/>
            <w:vAlign w:val="center"/>
          </w:tcPr>
          <w:p w14:paraId="2FB4F86E" w14:textId="77777777" w:rsidR="009C65FE" w:rsidRPr="00A30F17" w:rsidRDefault="009C65FE" w:rsidP="00C73109">
            <w:pPr>
              <w:autoSpaceDE w:val="0"/>
              <w:autoSpaceDN w:val="0"/>
              <w:jc w:val="center"/>
              <w:rPr>
                <w:rFonts w:cs="Arial"/>
                <w:bCs/>
                <w:sz w:val="22"/>
              </w:rPr>
            </w:pPr>
          </w:p>
        </w:tc>
      </w:tr>
      <w:tr w:rsidR="009C65FE" w:rsidRPr="00A30F17" w14:paraId="093E88D0" w14:textId="77777777" w:rsidTr="00803C6F">
        <w:trPr>
          <w:trHeight w:val="400"/>
        </w:trPr>
        <w:tc>
          <w:tcPr>
            <w:tcW w:w="5529" w:type="dxa"/>
          </w:tcPr>
          <w:p w14:paraId="634D74EF" w14:textId="77777777" w:rsidR="009C65FE" w:rsidRPr="00A30F17" w:rsidRDefault="009C65FE" w:rsidP="00C73109">
            <w:pPr>
              <w:autoSpaceDE w:val="0"/>
              <w:autoSpaceDN w:val="0"/>
              <w:rPr>
                <w:rFonts w:cs="Arial"/>
                <w:bCs/>
                <w:sz w:val="22"/>
              </w:rPr>
            </w:pPr>
            <w:r w:rsidRPr="00A30F17">
              <w:rPr>
                <w:rFonts w:cs="Arial"/>
                <w:bCs/>
                <w:sz w:val="22"/>
              </w:rPr>
              <w:lastRenderedPageBreak/>
              <w:t>A decrease in the number of narcotics and other illegal goods seized at UK and EU ports</w:t>
            </w:r>
          </w:p>
        </w:tc>
        <w:tc>
          <w:tcPr>
            <w:tcW w:w="1701" w:type="dxa"/>
            <w:vAlign w:val="center"/>
          </w:tcPr>
          <w:p w14:paraId="2D8BDBED" w14:textId="77777777" w:rsidR="009C65FE" w:rsidRPr="00A30F17" w:rsidRDefault="009C65FE" w:rsidP="00C73109">
            <w:pPr>
              <w:autoSpaceDE w:val="0"/>
              <w:autoSpaceDN w:val="0"/>
              <w:jc w:val="center"/>
              <w:rPr>
                <w:rFonts w:cs="Arial"/>
                <w:bCs/>
                <w:sz w:val="22"/>
              </w:rPr>
            </w:pPr>
          </w:p>
        </w:tc>
        <w:tc>
          <w:tcPr>
            <w:tcW w:w="1701" w:type="dxa"/>
            <w:vAlign w:val="center"/>
          </w:tcPr>
          <w:p w14:paraId="6980EA89" w14:textId="77777777" w:rsidR="009C65FE" w:rsidRPr="00A30F17" w:rsidRDefault="009C65FE" w:rsidP="00C73109">
            <w:pPr>
              <w:autoSpaceDE w:val="0"/>
              <w:autoSpaceDN w:val="0"/>
              <w:jc w:val="center"/>
              <w:rPr>
                <w:rFonts w:cs="Arial"/>
                <w:bCs/>
                <w:sz w:val="22"/>
              </w:rPr>
            </w:pPr>
            <w:r w:rsidRPr="00A30F17">
              <w:rPr>
                <w:rFonts w:cs="Arial"/>
                <w:b/>
                <w:bCs/>
                <w:sz w:val="22"/>
              </w:rPr>
              <w:t>√</w:t>
            </w:r>
          </w:p>
        </w:tc>
        <w:tc>
          <w:tcPr>
            <w:tcW w:w="1275" w:type="dxa"/>
            <w:vAlign w:val="center"/>
          </w:tcPr>
          <w:p w14:paraId="11B28900" w14:textId="77777777" w:rsidR="009C65FE" w:rsidRPr="00A30F17" w:rsidRDefault="009C65FE" w:rsidP="00C73109">
            <w:pPr>
              <w:autoSpaceDE w:val="0"/>
              <w:autoSpaceDN w:val="0"/>
              <w:jc w:val="center"/>
              <w:rPr>
                <w:rFonts w:cs="Arial"/>
                <w:bCs/>
                <w:sz w:val="22"/>
              </w:rPr>
            </w:pPr>
          </w:p>
        </w:tc>
      </w:tr>
      <w:tr w:rsidR="009C65FE" w:rsidRPr="00A30F17" w14:paraId="50AC0F8E" w14:textId="77777777" w:rsidTr="00803C6F">
        <w:trPr>
          <w:trHeight w:val="673"/>
        </w:trPr>
        <w:tc>
          <w:tcPr>
            <w:tcW w:w="5529" w:type="dxa"/>
          </w:tcPr>
          <w:p w14:paraId="3F1355CD" w14:textId="77777777" w:rsidR="009C65FE" w:rsidRPr="00A30F17" w:rsidRDefault="009C65FE" w:rsidP="00C73109">
            <w:pPr>
              <w:autoSpaceDE w:val="0"/>
              <w:autoSpaceDN w:val="0"/>
              <w:rPr>
                <w:rFonts w:cs="Arial"/>
                <w:bCs/>
                <w:sz w:val="22"/>
              </w:rPr>
            </w:pPr>
            <w:r w:rsidRPr="00A30F17">
              <w:rPr>
                <w:rFonts w:cs="Arial"/>
                <w:bCs/>
                <w:sz w:val="22"/>
              </w:rPr>
              <w:t>Evidence of increased operational co-ordination between partners and improved operational methods within host agencies</w:t>
            </w:r>
          </w:p>
        </w:tc>
        <w:tc>
          <w:tcPr>
            <w:tcW w:w="1701" w:type="dxa"/>
            <w:vAlign w:val="center"/>
          </w:tcPr>
          <w:p w14:paraId="63CF62D3" w14:textId="77777777" w:rsidR="009C65FE" w:rsidRPr="00A30F17" w:rsidRDefault="009C65FE" w:rsidP="00C73109">
            <w:pPr>
              <w:autoSpaceDE w:val="0"/>
              <w:autoSpaceDN w:val="0"/>
              <w:jc w:val="center"/>
              <w:rPr>
                <w:rFonts w:cs="Arial"/>
                <w:bCs/>
                <w:sz w:val="22"/>
              </w:rPr>
            </w:pPr>
            <w:r w:rsidRPr="00A30F17">
              <w:rPr>
                <w:rFonts w:cs="Arial"/>
                <w:b/>
                <w:bCs/>
                <w:sz w:val="22"/>
              </w:rPr>
              <w:t>√</w:t>
            </w:r>
          </w:p>
        </w:tc>
        <w:tc>
          <w:tcPr>
            <w:tcW w:w="1701" w:type="dxa"/>
            <w:vAlign w:val="center"/>
          </w:tcPr>
          <w:p w14:paraId="260F3230" w14:textId="77777777" w:rsidR="009C65FE" w:rsidRPr="00A30F17" w:rsidRDefault="009C65FE" w:rsidP="00C73109">
            <w:pPr>
              <w:autoSpaceDE w:val="0"/>
              <w:autoSpaceDN w:val="0"/>
              <w:jc w:val="center"/>
              <w:rPr>
                <w:rFonts w:cs="Arial"/>
                <w:bCs/>
                <w:sz w:val="22"/>
              </w:rPr>
            </w:pPr>
          </w:p>
        </w:tc>
        <w:tc>
          <w:tcPr>
            <w:tcW w:w="1275" w:type="dxa"/>
            <w:vAlign w:val="center"/>
          </w:tcPr>
          <w:p w14:paraId="300526BE" w14:textId="77777777" w:rsidR="009C65FE" w:rsidRPr="00A30F17" w:rsidRDefault="009C65FE" w:rsidP="00C73109">
            <w:pPr>
              <w:autoSpaceDE w:val="0"/>
              <w:autoSpaceDN w:val="0"/>
              <w:jc w:val="center"/>
              <w:rPr>
                <w:rFonts w:cs="Arial"/>
                <w:bCs/>
                <w:sz w:val="22"/>
              </w:rPr>
            </w:pPr>
          </w:p>
        </w:tc>
      </w:tr>
      <w:tr w:rsidR="009C65FE" w:rsidRPr="00A30F17" w14:paraId="705521FE" w14:textId="77777777" w:rsidTr="00803C6F">
        <w:trPr>
          <w:trHeight w:val="400"/>
        </w:trPr>
        <w:tc>
          <w:tcPr>
            <w:tcW w:w="5529" w:type="dxa"/>
          </w:tcPr>
          <w:p w14:paraId="73DD8DD4" w14:textId="77777777" w:rsidR="009C65FE" w:rsidRPr="00A30F17" w:rsidRDefault="009C65FE" w:rsidP="00C73109">
            <w:pPr>
              <w:autoSpaceDE w:val="0"/>
              <w:autoSpaceDN w:val="0"/>
              <w:rPr>
                <w:rFonts w:cs="Arial"/>
                <w:bCs/>
                <w:sz w:val="22"/>
              </w:rPr>
            </w:pPr>
            <w:r w:rsidRPr="00A30F17">
              <w:rPr>
                <w:rFonts w:cs="Arial"/>
                <w:bCs/>
                <w:sz w:val="22"/>
              </w:rPr>
              <w:t>An enhanced intelligence capability and dialogue between the UK and host countries</w:t>
            </w:r>
          </w:p>
        </w:tc>
        <w:tc>
          <w:tcPr>
            <w:tcW w:w="1701" w:type="dxa"/>
            <w:vAlign w:val="center"/>
          </w:tcPr>
          <w:p w14:paraId="1596F6A7" w14:textId="77777777" w:rsidR="009C65FE" w:rsidRPr="00A30F17" w:rsidRDefault="009C65FE" w:rsidP="00C73109">
            <w:pPr>
              <w:autoSpaceDE w:val="0"/>
              <w:autoSpaceDN w:val="0"/>
              <w:jc w:val="center"/>
              <w:rPr>
                <w:rFonts w:cs="Arial"/>
                <w:bCs/>
                <w:sz w:val="22"/>
              </w:rPr>
            </w:pPr>
            <w:r w:rsidRPr="00A30F17">
              <w:rPr>
                <w:rFonts w:cs="Arial"/>
                <w:b/>
                <w:bCs/>
                <w:sz w:val="22"/>
              </w:rPr>
              <w:t>√</w:t>
            </w:r>
          </w:p>
        </w:tc>
        <w:tc>
          <w:tcPr>
            <w:tcW w:w="1701" w:type="dxa"/>
            <w:vAlign w:val="center"/>
          </w:tcPr>
          <w:p w14:paraId="5B81293A" w14:textId="77777777" w:rsidR="009C65FE" w:rsidRPr="00A30F17" w:rsidRDefault="009C65FE" w:rsidP="00C73109">
            <w:pPr>
              <w:autoSpaceDE w:val="0"/>
              <w:autoSpaceDN w:val="0"/>
              <w:jc w:val="center"/>
              <w:rPr>
                <w:rFonts w:cs="Arial"/>
                <w:bCs/>
                <w:sz w:val="22"/>
              </w:rPr>
            </w:pPr>
          </w:p>
        </w:tc>
        <w:tc>
          <w:tcPr>
            <w:tcW w:w="1275" w:type="dxa"/>
            <w:vAlign w:val="center"/>
          </w:tcPr>
          <w:p w14:paraId="051777A2" w14:textId="77777777" w:rsidR="009C65FE" w:rsidRPr="00A30F17" w:rsidRDefault="009C65FE" w:rsidP="00C73109">
            <w:pPr>
              <w:autoSpaceDE w:val="0"/>
              <w:autoSpaceDN w:val="0"/>
              <w:jc w:val="center"/>
              <w:rPr>
                <w:rFonts w:cs="Arial"/>
                <w:bCs/>
                <w:sz w:val="22"/>
              </w:rPr>
            </w:pPr>
          </w:p>
        </w:tc>
      </w:tr>
    </w:tbl>
    <w:p w14:paraId="7FFCBC2E" w14:textId="77777777" w:rsidR="00603EC3" w:rsidRDefault="00603EC3" w:rsidP="0086638D">
      <w:pPr>
        <w:rPr>
          <w:rFonts w:cs="Arial"/>
          <w:sz w:val="22"/>
        </w:rPr>
      </w:pPr>
      <w:bookmarkStart w:id="8" w:name="_Hlk40970396"/>
      <w:bookmarkStart w:id="9" w:name="_GoBack"/>
      <w:bookmarkEnd w:id="9"/>
    </w:p>
    <w:p w14:paraId="715A3D61" w14:textId="748245BF" w:rsidR="00E971B7" w:rsidRPr="00A30F17" w:rsidRDefault="00643D0F" w:rsidP="00E573D1">
      <w:pPr>
        <w:rPr>
          <w:rFonts w:cs="Arial"/>
          <w:sz w:val="22"/>
        </w:rPr>
      </w:pPr>
      <w:r w:rsidRPr="00A30F17">
        <w:rPr>
          <w:rFonts w:cs="Arial"/>
          <w:sz w:val="22"/>
        </w:rPr>
        <w:t xml:space="preserve">BFI </w:t>
      </w:r>
      <w:r w:rsidR="007E44C8" w:rsidRPr="00A30F17">
        <w:rPr>
          <w:rFonts w:cs="Arial"/>
          <w:sz w:val="22"/>
        </w:rPr>
        <w:t>FY 2019/2020 benefits realisation against key performance measures for HCP have now been made and are summarised in the section 2</w:t>
      </w:r>
      <w:bookmarkStart w:id="10" w:name="_Hlk40971375"/>
      <w:bookmarkStart w:id="11" w:name="_Hlk40878023"/>
      <w:bookmarkEnd w:id="8"/>
      <w:r w:rsidR="00E573D1">
        <w:rPr>
          <w:rFonts w:cs="Arial"/>
          <w:sz w:val="22"/>
        </w:rPr>
        <w:t>.</w:t>
      </w:r>
    </w:p>
    <w:bookmarkEnd w:id="10"/>
    <w:p w14:paraId="2CF7424D" w14:textId="28ED9231" w:rsidR="00643D0F" w:rsidRPr="00A30F17" w:rsidRDefault="00643D0F" w:rsidP="00643D0F">
      <w:pPr>
        <w:spacing w:after="0" w:line="276" w:lineRule="auto"/>
        <w:rPr>
          <w:rFonts w:cs="Arial"/>
          <w:sz w:val="22"/>
        </w:rPr>
      </w:pPr>
    </w:p>
    <w:p w14:paraId="11F2298D" w14:textId="3C3B374C" w:rsidR="0067148C" w:rsidRDefault="00803C6F" w:rsidP="00F210CE">
      <w:pPr>
        <w:pStyle w:val="Heading1"/>
      </w:pPr>
      <w:bookmarkStart w:id="12" w:name="_Toc41978738"/>
      <w:bookmarkStart w:id="13" w:name="_Hlk40968847"/>
      <w:bookmarkEnd w:id="11"/>
      <w:r>
        <w:lastRenderedPageBreak/>
        <w:t>Summary</w:t>
      </w:r>
      <w:r w:rsidR="0067148C" w:rsidRPr="0067148C">
        <w:t xml:space="preserve"> FY 2019/2020</w:t>
      </w:r>
      <w:bookmarkEnd w:id="12"/>
    </w:p>
    <w:p w14:paraId="0EA90854" w14:textId="4A26F173" w:rsidR="0067148C" w:rsidRDefault="0067148C" w:rsidP="0067148C">
      <w:pPr>
        <w:pStyle w:val="Heading2"/>
      </w:pPr>
      <w:bookmarkStart w:id="14" w:name="_Hlk40356565"/>
      <w:bookmarkStart w:id="15" w:name="_Toc41978739"/>
      <w:bookmarkEnd w:id="13"/>
      <w:r w:rsidRPr="0067148C">
        <w:t>Introduction and Context</w:t>
      </w:r>
      <w:bookmarkEnd w:id="14"/>
      <w:bookmarkEnd w:id="15"/>
    </w:p>
    <w:p w14:paraId="43CC7790" w14:textId="77777777" w:rsidR="0067148C" w:rsidRPr="00803C6F" w:rsidRDefault="0067148C" w:rsidP="002D1835">
      <w:pPr>
        <w:jc w:val="both"/>
        <w:rPr>
          <w:rFonts w:cs="Arial"/>
          <w:sz w:val="22"/>
        </w:rPr>
      </w:pPr>
      <w:r w:rsidRPr="00803C6F">
        <w:rPr>
          <w:rFonts w:cs="Arial"/>
          <w:sz w:val="22"/>
        </w:rPr>
        <w:t xml:space="preserve">For the first three years of the HCP, much of the investment in resources (people, finance, technology, infrastructure) has been in setting up and establishing a global infrastructure capable of delivering the capability building required to deliver the anticipated benefits, identifying and aligning the many stakeholder interests and ensuring that this is underwritten through internal and independent assurance groups. </w:t>
      </w:r>
    </w:p>
    <w:p w14:paraId="0CD3FD41" w14:textId="77777777" w:rsidR="0067148C" w:rsidRPr="00803C6F" w:rsidRDefault="0067148C" w:rsidP="002D1835">
      <w:pPr>
        <w:jc w:val="both"/>
        <w:rPr>
          <w:rFonts w:cs="Arial"/>
          <w:sz w:val="22"/>
        </w:rPr>
      </w:pPr>
      <w:r w:rsidRPr="00803C6F">
        <w:rPr>
          <w:sz w:val="22"/>
        </w:rPr>
        <w:t xml:space="preserve">By the end of year four, it was expected that sustained growth in host capability to use systems would have had been achieved, identifiable core levels of expertise and capability across host border agencies across the full range of modes and at all ports in the host country existed and embedded robust relationships exist between Border Agencies that provides for </w:t>
      </w:r>
      <w:r w:rsidRPr="00803C6F">
        <w:rPr>
          <w:rFonts w:cs="Arial"/>
          <w:sz w:val="22"/>
        </w:rPr>
        <w:t>regular operational and intelligence collaboration to identify mutual threats.</w:t>
      </w:r>
    </w:p>
    <w:p w14:paraId="20659CF1" w14:textId="77777777" w:rsidR="0067148C" w:rsidRPr="00803C6F" w:rsidRDefault="0067148C" w:rsidP="002D1835">
      <w:pPr>
        <w:jc w:val="both"/>
        <w:rPr>
          <w:rFonts w:cs="Arial"/>
          <w:sz w:val="22"/>
        </w:rPr>
      </w:pPr>
      <w:r w:rsidRPr="00803C6F">
        <w:rPr>
          <w:rFonts w:cs="Arial"/>
          <w:sz w:val="22"/>
        </w:rPr>
        <w:t>Acknowledgement is made of the environments in which these infrastructures and stakeholders operate. By default, the countries that require the greatest support (as identified through key ODA criteria of Gross National Income (GNI) per capita) also express other challenging criteria. These include safety concerns, operating from poor or very low-level border security platforms, challenges around language and communications, human rights issues, unaligned and diverse in-country departments and lack of engagement via formal agreements.</w:t>
      </w:r>
    </w:p>
    <w:p w14:paraId="139DBD64" w14:textId="77777777" w:rsidR="0067148C" w:rsidRPr="00803C6F" w:rsidRDefault="0067148C" w:rsidP="002D1835">
      <w:pPr>
        <w:jc w:val="both"/>
        <w:rPr>
          <w:rFonts w:cs="Arial"/>
          <w:sz w:val="22"/>
        </w:rPr>
      </w:pPr>
      <w:r w:rsidRPr="00803C6F">
        <w:rPr>
          <w:rFonts w:cs="Arial"/>
          <w:sz w:val="22"/>
        </w:rPr>
        <w:t>Similarly, corruption within public services in many target countries is prevalent which leads to promotion of poor practice, porous borders and directly threatens the ability to successful implement impacts and outcomes.</w:t>
      </w:r>
    </w:p>
    <w:p w14:paraId="6D99B3E3" w14:textId="571A1AAA" w:rsidR="0067148C" w:rsidRPr="00803C6F" w:rsidRDefault="002D2BBC" w:rsidP="002D1835">
      <w:pPr>
        <w:jc w:val="both"/>
        <w:rPr>
          <w:rFonts w:cs="Arial"/>
          <w:sz w:val="22"/>
        </w:rPr>
      </w:pPr>
      <w:r w:rsidRPr="00803C6F">
        <w:rPr>
          <w:rFonts w:cs="Arial"/>
          <w:sz w:val="22"/>
        </w:rPr>
        <w:t xml:space="preserve">Acknowledgement is also made of the </w:t>
      </w:r>
      <w:r w:rsidR="0067148C" w:rsidRPr="00803C6F">
        <w:rPr>
          <w:rFonts w:cs="Arial"/>
          <w:sz w:val="22"/>
        </w:rPr>
        <w:t xml:space="preserve">latter part of the 2019/2020 campaign the programme was impacted by the global spread of the COVD 19 pandemic. This has seen a number of projects postponed and activity reduced due to travel and work restrictions. </w:t>
      </w:r>
    </w:p>
    <w:p w14:paraId="508D9973" w14:textId="4C003DC8" w:rsidR="0067148C" w:rsidRPr="00603EC3" w:rsidRDefault="0067148C" w:rsidP="00603EC3">
      <w:pPr>
        <w:jc w:val="both"/>
        <w:rPr>
          <w:rFonts w:cs="Arial"/>
          <w:sz w:val="22"/>
        </w:rPr>
      </w:pPr>
      <w:r w:rsidRPr="00803C6F">
        <w:rPr>
          <w:rFonts w:cs="Arial"/>
          <w:sz w:val="22"/>
        </w:rPr>
        <w:t>As a result, benefits realisation has been more limited than expected although acceleration in the pace of wider benefits realisation has been observed in 2019/2020.</w:t>
      </w:r>
    </w:p>
    <w:p w14:paraId="6F98B370" w14:textId="26112D9C" w:rsidR="009E2B16" w:rsidRDefault="00646B4A" w:rsidP="00646B4A">
      <w:pPr>
        <w:pStyle w:val="Heading2"/>
      </w:pPr>
      <w:bookmarkStart w:id="16" w:name="_Toc41978740"/>
      <w:r>
        <w:t>Results</w:t>
      </w:r>
      <w:bookmarkEnd w:id="16"/>
    </w:p>
    <w:p w14:paraId="769017A2" w14:textId="052649BD" w:rsidR="0096193E" w:rsidRPr="00803C6F" w:rsidRDefault="00D43F57" w:rsidP="00487DA8">
      <w:pPr>
        <w:spacing w:after="0"/>
        <w:jc w:val="both"/>
        <w:rPr>
          <w:rFonts w:cs="Arial"/>
          <w:sz w:val="22"/>
        </w:rPr>
      </w:pPr>
      <w:r w:rsidRPr="00803C6F">
        <w:rPr>
          <w:rFonts w:cs="Arial"/>
          <w:sz w:val="22"/>
        </w:rPr>
        <w:t>The</w:t>
      </w:r>
      <w:r w:rsidR="00487DA8" w:rsidRPr="00803C6F">
        <w:rPr>
          <w:rFonts w:cs="Arial"/>
          <w:sz w:val="22"/>
        </w:rPr>
        <w:t xml:space="preserve"> overall</w:t>
      </w:r>
      <w:r w:rsidRPr="00803C6F">
        <w:rPr>
          <w:rFonts w:cs="Arial"/>
          <w:sz w:val="22"/>
        </w:rPr>
        <w:t xml:space="preserve"> </w:t>
      </w:r>
      <w:r w:rsidR="00487DA8" w:rsidRPr="00803C6F">
        <w:rPr>
          <w:rFonts w:cs="Arial"/>
          <w:sz w:val="22"/>
        </w:rPr>
        <w:t>indication</w:t>
      </w:r>
      <w:r w:rsidRPr="00803C6F">
        <w:rPr>
          <w:rFonts w:cs="Arial"/>
          <w:sz w:val="22"/>
        </w:rPr>
        <w:t xml:space="preserve"> </w:t>
      </w:r>
      <w:r w:rsidR="00487DA8" w:rsidRPr="00803C6F">
        <w:rPr>
          <w:rFonts w:cs="Arial"/>
          <w:sz w:val="22"/>
        </w:rPr>
        <w:t xml:space="preserve">is </w:t>
      </w:r>
      <w:r w:rsidRPr="00803C6F">
        <w:rPr>
          <w:rFonts w:cs="Arial"/>
          <w:sz w:val="22"/>
        </w:rPr>
        <w:t xml:space="preserve">that activity undertaken in the first </w:t>
      </w:r>
      <w:r w:rsidR="00080AC1" w:rsidRPr="00803C6F">
        <w:rPr>
          <w:rFonts w:cs="Arial"/>
          <w:sz w:val="22"/>
        </w:rPr>
        <w:t>4</w:t>
      </w:r>
      <w:r w:rsidRPr="00803C6F">
        <w:rPr>
          <w:rFonts w:cs="Arial"/>
          <w:sz w:val="22"/>
        </w:rPr>
        <w:t xml:space="preserve"> financial years, focused on setting up and establishing a global infrastructure, is now producing significant results in </w:t>
      </w:r>
      <w:r w:rsidR="00487DA8" w:rsidRPr="00803C6F">
        <w:rPr>
          <w:rFonts w:cs="Arial"/>
          <w:sz w:val="22"/>
        </w:rPr>
        <w:t xml:space="preserve">Hunter Chaucer objectives. Although results differ from region to region, and </w:t>
      </w:r>
      <w:r w:rsidR="00674A90" w:rsidRPr="00803C6F">
        <w:rPr>
          <w:rFonts w:cs="Arial"/>
          <w:sz w:val="22"/>
        </w:rPr>
        <w:t xml:space="preserve">between </w:t>
      </w:r>
      <w:r w:rsidR="00487DA8" w:rsidRPr="00803C6F">
        <w:rPr>
          <w:rFonts w:cs="Arial"/>
          <w:sz w:val="22"/>
        </w:rPr>
        <w:t>agencies, it is worth</w:t>
      </w:r>
      <w:r w:rsidR="00487DA8" w:rsidRPr="00803C6F">
        <w:rPr>
          <w:sz w:val="22"/>
        </w:rPr>
        <w:t xml:space="preserve"> a</w:t>
      </w:r>
      <w:r w:rsidR="00487DA8" w:rsidRPr="00803C6F">
        <w:rPr>
          <w:rFonts w:cs="Arial"/>
          <w:sz w:val="22"/>
        </w:rPr>
        <w:t xml:space="preserve">cknowledging that environments in which the BFI operations are being carried out also differ </w:t>
      </w:r>
      <w:r w:rsidR="0096193E" w:rsidRPr="00803C6F">
        <w:rPr>
          <w:rFonts w:cs="Arial"/>
          <w:sz w:val="22"/>
        </w:rPr>
        <w:t>significantly</w:t>
      </w:r>
      <w:r w:rsidR="00487DA8" w:rsidRPr="00803C6F">
        <w:rPr>
          <w:rFonts w:cs="Arial"/>
          <w:sz w:val="22"/>
        </w:rPr>
        <w:t>.</w:t>
      </w:r>
    </w:p>
    <w:p w14:paraId="2D18F5D1" w14:textId="319B1C0F" w:rsidR="00487DA8" w:rsidRPr="00803C6F" w:rsidRDefault="00487DA8" w:rsidP="00487DA8">
      <w:pPr>
        <w:spacing w:after="0"/>
        <w:jc w:val="both"/>
        <w:rPr>
          <w:rFonts w:cs="Arial"/>
          <w:sz w:val="22"/>
        </w:rPr>
      </w:pPr>
    </w:p>
    <w:p w14:paraId="269029B7" w14:textId="1F9161E9" w:rsidR="00487DA8" w:rsidRPr="00803C6F" w:rsidRDefault="00487DA8" w:rsidP="00663878">
      <w:pPr>
        <w:pStyle w:val="Default"/>
        <w:numPr>
          <w:ilvl w:val="0"/>
          <w:numId w:val="7"/>
        </w:numPr>
        <w:spacing w:after="120"/>
        <w:rPr>
          <w:rFonts w:eastAsiaTheme="minorHAnsi"/>
          <w:color w:val="auto"/>
          <w:sz w:val="22"/>
          <w:szCs w:val="22"/>
          <w:lang w:eastAsia="en-US"/>
        </w:rPr>
      </w:pPr>
      <w:r w:rsidRPr="00803C6F">
        <w:rPr>
          <w:rFonts w:eastAsiaTheme="minorHAnsi"/>
          <w:color w:val="auto"/>
          <w:sz w:val="22"/>
          <w:szCs w:val="22"/>
          <w:lang w:eastAsia="en-US"/>
        </w:rPr>
        <w:t xml:space="preserve">There is tangible evidence that the </w:t>
      </w:r>
      <w:r w:rsidR="0096193E" w:rsidRPr="00803C6F">
        <w:rPr>
          <w:rFonts w:eastAsiaTheme="minorHAnsi"/>
          <w:color w:val="auto"/>
          <w:sz w:val="22"/>
          <w:szCs w:val="22"/>
          <w:lang w:eastAsia="en-US"/>
        </w:rPr>
        <w:t xml:space="preserve">majority of the </w:t>
      </w:r>
      <w:r w:rsidRPr="00803C6F">
        <w:rPr>
          <w:rFonts w:eastAsiaTheme="minorHAnsi"/>
          <w:color w:val="auto"/>
          <w:sz w:val="22"/>
          <w:szCs w:val="22"/>
          <w:lang w:eastAsia="en-US"/>
        </w:rPr>
        <w:t>host countr</w:t>
      </w:r>
      <w:r w:rsidR="0096193E" w:rsidRPr="00803C6F">
        <w:rPr>
          <w:rFonts w:eastAsiaTheme="minorHAnsi"/>
          <w:color w:val="auto"/>
          <w:sz w:val="22"/>
          <w:szCs w:val="22"/>
          <w:lang w:eastAsia="en-US"/>
        </w:rPr>
        <w:t>y’s</w:t>
      </w:r>
      <w:r w:rsidRPr="00803C6F">
        <w:rPr>
          <w:rFonts w:eastAsiaTheme="minorHAnsi"/>
          <w:color w:val="auto"/>
          <w:sz w:val="22"/>
          <w:szCs w:val="22"/>
          <w:lang w:eastAsia="en-US"/>
        </w:rPr>
        <w:t xml:space="preserve"> capacity and capabilities to tackle Border threats has increased in</w:t>
      </w:r>
      <w:r w:rsidR="0096193E" w:rsidRPr="00803C6F">
        <w:rPr>
          <w:rFonts w:eastAsiaTheme="minorHAnsi"/>
          <w:color w:val="auto"/>
          <w:sz w:val="22"/>
          <w:szCs w:val="22"/>
          <w:lang w:eastAsia="en-US"/>
        </w:rPr>
        <w:t xml:space="preserve"> the aviation and maritime </w:t>
      </w:r>
      <w:r w:rsidR="006F0189" w:rsidRPr="00803C6F">
        <w:rPr>
          <w:rFonts w:eastAsiaTheme="minorHAnsi"/>
          <w:color w:val="auto"/>
          <w:sz w:val="22"/>
          <w:szCs w:val="22"/>
          <w:lang w:eastAsia="en-US"/>
        </w:rPr>
        <w:t>areas</w:t>
      </w:r>
      <w:r w:rsidRPr="00803C6F">
        <w:rPr>
          <w:rFonts w:eastAsiaTheme="minorHAnsi"/>
          <w:color w:val="auto"/>
          <w:sz w:val="22"/>
          <w:szCs w:val="22"/>
          <w:lang w:eastAsia="en-US"/>
        </w:rPr>
        <w:t xml:space="preserve">. </w:t>
      </w:r>
    </w:p>
    <w:p w14:paraId="3A2D7BBD" w14:textId="1978A112" w:rsidR="0096193E" w:rsidRPr="00803C6F" w:rsidRDefault="0096193E" w:rsidP="00663878">
      <w:pPr>
        <w:pStyle w:val="Default"/>
        <w:numPr>
          <w:ilvl w:val="0"/>
          <w:numId w:val="7"/>
        </w:numPr>
        <w:spacing w:after="120"/>
        <w:rPr>
          <w:rFonts w:eastAsiaTheme="minorHAnsi"/>
          <w:color w:val="auto"/>
          <w:sz w:val="22"/>
          <w:szCs w:val="22"/>
          <w:lang w:eastAsia="en-US"/>
        </w:rPr>
      </w:pPr>
      <w:r w:rsidRPr="00803C6F">
        <w:rPr>
          <w:rFonts w:eastAsiaTheme="minorHAnsi"/>
          <w:color w:val="auto"/>
          <w:sz w:val="22"/>
          <w:szCs w:val="22"/>
          <w:lang w:eastAsia="en-US"/>
        </w:rPr>
        <w:t>There is tangible evidence that there has been a significant increase</w:t>
      </w:r>
      <w:r w:rsidR="00276948" w:rsidRPr="00803C6F">
        <w:rPr>
          <w:rFonts w:eastAsiaTheme="minorHAnsi"/>
          <w:color w:val="auto"/>
          <w:sz w:val="22"/>
          <w:szCs w:val="22"/>
          <w:lang w:eastAsia="en-US"/>
        </w:rPr>
        <w:t>, within the majority of the host countries,</w:t>
      </w:r>
      <w:r w:rsidRPr="00803C6F">
        <w:rPr>
          <w:rFonts w:eastAsiaTheme="minorHAnsi"/>
          <w:color w:val="auto"/>
          <w:sz w:val="22"/>
          <w:szCs w:val="22"/>
          <w:lang w:eastAsia="en-US"/>
        </w:rPr>
        <w:t xml:space="preserve"> in the quantity of illegal commodities seized upon previous HC years. </w:t>
      </w:r>
    </w:p>
    <w:p w14:paraId="20ADB715" w14:textId="3CC42625" w:rsidR="0096193E" w:rsidRPr="00803C6F" w:rsidRDefault="0096193E" w:rsidP="00663878">
      <w:pPr>
        <w:pStyle w:val="Default"/>
        <w:numPr>
          <w:ilvl w:val="0"/>
          <w:numId w:val="7"/>
        </w:numPr>
        <w:spacing w:after="120"/>
        <w:rPr>
          <w:rFonts w:eastAsiaTheme="minorHAnsi"/>
          <w:color w:val="auto"/>
          <w:sz w:val="22"/>
          <w:szCs w:val="22"/>
          <w:lang w:eastAsia="en-US"/>
        </w:rPr>
      </w:pPr>
      <w:r w:rsidRPr="00803C6F">
        <w:rPr>
          <w:rFonts w:eastAsiaTheme="minorHAnsi"/>
          <w:color w:val="auto"/>
          <w:sz w:val="22"/>
          <w:szCs w:val="22"/>
          <w:lang w:eastAsia="en-US"/>
        </w:rPr>
        <w:t>There is tangible evidence that there has been a significant increase in the number of people targeted interceptions upon previous HC years.</w:t>
      </w:r>
    </w:p>
    <w:p w14:paraId="3F821250" w14:textId="28E77BED" w:rsidR="0096193E" w:rsidRPr="00803C6F" w:rsidRDefault="00080AC1" w:rsidP="00663878">
      <w:pPr>
        <w:pStyle w:val="Default"/>
        <w:numPr>
          <w:ilvl w:val="0"/>
          <w:numId w:val="7"/>
        </w:numPr>
        <w:spacing w:after="120"/>
        <w:rPr>
          <w:rFonts w:eastAsiaTheme="minorHAnsi"/>
          <w:color w:val="auto"/>
          <w:sz w:val="22"/>
          <w:szCs w:val="22"/>
          <w:lang w:eastAsia="en-US"/>
        </w:rPr>
      </w:pPr>
      <w:r w:rsidRPr="00803C6F">
        <w:rPr>
          <w:rFonts w:eastAsiaTheme="minorHAnsi"/>
          <w:color w:val="auto"/>
          <w:sz w:val="22"/>
          <w:szCs w:val="22"/>
          <w:lang w:eastAsia="en-US"/>
        </w:rPr>
        <w:t xml:space="preserve">Further information is needed to show </w:t>
      </w:r>
      <w:r w:rsidR="006F0189" w:rsidRPr="00803C6F">
        <w:rPr>
          <w:rFonts w:eastAsiaTheme="minorHAnsi"/>
          <w:color w:val="auto"/>
          <w:sz w:val="22"/>
          <w:szCs w:val="22"/>
          <w:lang w:eastAsia="en-US"/>
        </w:rPr>
        <w:t>that the benefits realised overseas that have led to significant rise in interception of people or a significant decrease in illegal goods and people seized and detected UK ports of arrival.</w:t>
      </w:r>
      <w:r w:rsidR="0096193E" w:rsidRPr="00803C6F">
        <w:rPr>
          <w:rFonts w:eastAsiaTheme="minorHAnsi"/>
          <w:color w:val="auto"/>
          <w:sz w:val="22"/>
          <w:szCs w:val="22"/>
          <w:lang w:eastAsia="en-US"/>
        </w:rPr>
        <w:t xml:space="preserve"> </w:t>
      </w:r>
    </w:p>
    <w:p w14:paraId="057BDD8E" w14:textId="447FEADA" w:rsidR="00D43F57" w:rsidRPr="00803C6F" w:rsidRDefault="00487DA8" w:rsidP="00663878">
      <w:pPr>
        <w:pStyle w:val="Default"/>
        <w:numPr>
          <w:ilvl w:val="0"/>
          <w:numId w:val="7"/>
        </w:numPr>
        <w:spacing w:after="120"/>
        <w:rPr>
          <w:rFonts w:eastAsiaTheme="minorHAnsi"/>
          <w:color w:val="auto"/>
          <w:sz w:val="22"/>
          <w:szCs w:val="22"/>
          <w:lang w:eastAsia="en-US"/>
        </w:rPr>
      </w:pPr>
      <w:r w:rsidRPr="00803C6F">
        <w:rPr>
          <w:rFonts w:eastAsiaTheme="minorHAnsi"/>
          <w:color w:val="auto"/>
          <w:sz w:val="22"/>
          <w:szCs w:val="22"/>
          <w:lang w:eastAsia="en-US"/>
        </w:rPr>
        <w:t>T</w:t>
      </w:r>
      <w:r w:rsidR="00D43F57" w:rsidRPr="00803C6F">
        <w:rPr>
          <w:rFonts w:eastAsiaTheme="minorHAnsi"/>
          <w:color w:val="auto"/>
          <w:sz w:val="22"/>
          <w:szCs w:val="22"/>
          <w:lang w:eastAsia="en-US"/>
        </w:rPr>
        <w:t xml:space="preserve">here is tangible evidence that benefits have </w:t>
      </w:r>
      <w:r w:rsidR="00276948" w:rsidRPr="00803C6F">
        <w:rPr>
          <w:rFonts w:eastAsiaTheme="minorHAnsi"/>
          <w:color w:val="auto"/>
          <w:sz w:val="22"/>
          <w:szCs w:val="22"/>
          <w:lang w:eastAsia="en-US"/>
        </w:rPr>
        <w:t xml:space="preserve">increased as operational co-ordination between partners </w:t>
      </w:r>
      <w:r w:rsidR="00D43F57" w:rsidRPr="00803C6F">
        <w:rPr>
          <w:rFonts w:eastAsiaTheme="minorHAnsi"/>
          <w:color w:val="auto"/>
          <w:sz w:val="22"/>
          <w:szCs w:val="22"/>
          <w:lang w:eastAsia="en-US"/>
        </w:rPr>
        <w:t xml:space="preserve">stakeholder/partner </w:t>
      </w:r>
      <w:r w:rsidR="00276948" w:rsidRPr="00803C6F">
        <w:rPr>
          <w:rFonts w:eastAsiaTheme="minorHAnsi"/>
          <w:color w:val="auto"/>
          <w:sz w:val="22"/>
          <w:szCs w:val="22"/>
          <w:lang w:eastAsia="en-US"/>
        </w:rPr>
        <w:t>has improved.</w:t>
      </w:r>
    </w:p>
    <w:p w14:paraId="22E9BA86" w14:textId="7C1CD898" w:rsidR="00D43F57" w:rsidRPr="00803C6F" w:rsidRDefault="00D43F57" w:rsidP="00663878">
      <w:pPr>
        <w:pStyle w:val="Default"/>
        <w:numPr>
          <w:ilvl w:val="0"/>
          <w:numId w:val="7"/>
        </w:numPr>
        <w:rPr>
          <w:rFonts w:eastAsiaTheme="minorHAnsi"/>
          <w:color w:val="auto"/>
          <w:sz w:val="22"/>
          <w:szCs w:val="22"/>
          <w:lang w:eastAsia="en-US"/>
        </w:rPr>
      </w:pPr>
      <w:r w:rsidRPr="00803C6F">
        <w:rPr>
          <w:rFonts w:eastAsiaTheme="minorHAnsi"/>
          <w:color w:val="auto"/>
          <w:sz w:val="22"/>
          <w:szCs w:val="22"/>
          <w:lang w:eastAsia="en-US"/>
        </w:rPr>
        <w:t xml:space="preserve">There is growing </w:t>
      </w:r>
      <w:r w:rsidR="00487DA8" w:rsidRPr="00803C6F">
        <w:rPr>
          <w:rFonts w:eastAsiaTheme="minorHAnsi"/>
          <w:color w:val="auto"/>
          <w:sz w:val="22"/>
          <w:szCs w:val="22"/>
          <w:lang w:eastAsia="en-US"/>
        </w:rPr>
        <w:t>evidence</w:t>
      </w:r>
      <w:r w:rsidRPr="00803C6F">
        <w:rPr>
          <w:rFonts w:eastAsiaTheme="minorHAnsi"/>
          <w:color w:val="auto"/>
          <w:sz w:val="22"/>
          <w:szCs w:val="22"/>
          <w:lang w:eastAsia="en-US"/>
        </w:rPr>
        <w:t xml:space="preserve"> that </w:t>
      </w:r>
      <w:r w:rsidR="00276948" w:rsidRPr="00803C6F">
        <w:rPr>
          <w:rFonts w:eastAsiaTheme="minorHAnsi"/>
          <w:color w:val="auto"/>
          <w:sz w:val="22"/>
          <w:szCs w:val="22"/>
          <w:lang w:eastAsia="en-US"/>
        </w:rPr>
        <w:t xml:space="preserve">enhanced intelligence capability and dialogue has increased upon previous HC years. However, the low numbers of activity and seizures within the UK as a result HC and host country intelligence sharing </w:t>
      </w:r>
      <w:r w:rsidR="00674A90" w:rsidRPr="00803C6F">
        <w:rPr>
          <w:rFonts w:eastAsiaTheme="minorHAnsi"/>
          <w:color w:val="auto"/>
          <w:sz w:val="22"/>
          <w:szCs w:val="22"/>
          <w:lang w:eastAsia="en-US"/>
        </w:rPr>
        <w:t xml:space="preserve">indicates that this is an </w:t>
      </w:r>
      <w:r w:rsidR="00276948" w:rsidRPr="00803C6F">
        <w:rPr>
          <w:rFonts w:eastAsiaTheme="minorHAnsi"/>
          <w:color w:val="auto"/>
          <w:sz w:val="22"/>
          <w:szCs w:val="22"/>
          <w:lang w:eastAsia="en-US"/>
        </w:rPr>
        <w:t>area for significant improvement.</w:t>
      </w:r>
      <w:r w:rsidRPr="00803C6F">
        <w:rPr>
          <w:rFonts w:eastAsiaTheme="minorHAnsi"/>
          <w:color w:val="auto"/>
          <w:sz w:val="22"/>
          <w:szCs w:val="22"/>
          <w:lang w:eastAsia="en-US"/>
        </w:rPr>
        <w:t xml:space="preserve"> </w:t>
      </w:r>
    </w:p>
    <w:sectPr w:rsidR="00D43F57" w:rsidRPr="00803C6F" w:rsidSect="006B6B13">
      <w:pgSz w:w="11906" w:h="16838"/>
      <w:pgMar w:top="851" w:right="851" w:bottom="851" w:left="851" w:header="426"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8354" w14:textId="77777777" w:rsidR="002D1835" w:rsidRDefault="002D1835" w:rsidP="00186D61">
      <w:pPr>
        <w:spacing w:after="0"/>
      </w:pPr>
      <w:r>
        <w:separator/>
      </w:r>
    </w:p>
  </w:endnote>
  <w:endnote w:type="continuationSeparator" w:id="0">
    <w:p w14:paraId="6692CEEF" w14:textId="77777777" w:rsidR="002D1835" w:rsidRDefault="002D1835" w:rsidP="00186D61">
      <w:pPr>
        <w:spacing w:after="0"/>
      </w:pPr>
      <w:r>
        <w:continuationSeparator/>
      </w:r>
    </w:p>
  </w:endnote>
  <w:endnote w:type="continuationNotice" w:id="1">
    <w:p w14:paraId="538EFE3D" w14:textId="77777777" w:rsidR="002D1835" w:rsidRDefault="002D18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146007"/>
      <w:docPartObj>
        <w:docPartGallery w:val="Page Numbers (Bottom of Page)"/>
        <w:docPartUnique/>
      </w:docPartObj>
    </w:sdtPr>
    <w:sdtEndPr>
      <w:rPr>
        <w:noProof/>
        <w:sz w:val="18"/>
        <w:szCs w:val="18"/>
      </w:rPr>
    </w:sdtEndPr>
    <w:sdtContent>
      <w:p w14:paraId="5CC5EF40" w14:textId="34A174B3" w:rsidR="002D1835" w:rsidRDefault="002D1835" w:rsidP="000A6187">
        <w:pPr>
          <w:pStyle w:val="Footer"/>
          <w:rPr>
            <w:sz w:val="16"/>
            <w:szCs w:val="16"/>
          </w:rPr>
        </w:pPr>
      </w:p>
      <w:p w14:paraId="4271489A" w14:textId="3816C665" w:rsidR="002D1835" w:rsidRPr="00186D61" w:rsidRDefault="002D1835" w:rsidP="00F74BF5">
        <w:pPr>
          <w:pStyle w:val="Footer"/>
          <w:rPr>
            <w:sz w:val="18"/>
            <w:szCs w:val="18"/>
          </w:rPr>
        </w:pPr>
        <w:r>
          <w:rPr>
            <w:sz w:val="16"/>
            <w:szCs w:val="16"/>
          </w:rPr>
          <w:tab/>
        </w:r>
        <w:r>
          <w:rPr>
            <w:sz w:val="16"/>
            <w:szCs w:val="16"/>
          </w:rPr>
          <w:tab/>
        </w:r>
        <w:r>
          <w:rPr>
            <w:sz w:val="16"/>
            <w:szCs w:val="16"/>
          </w:rPr>
          <w:tab/>
        </w:r>
        <w:r>
          <w:rPr>
            <w:sz w:val="16"/>
            <w:szCs w:val="16"/>
          </w:rPr>
          <w:tab/>
        </w:r>
        <w:r w:rsidRPr="00186D61">
          <w:rPr>
            <w:sz w:val="18"/>
            <w:szCs w:val="18"/>
          </w:rPr>
          <w:fldChar w:fldCharType="begin"/>
        </w:r>
        <w:r w:rsidRPr="00186D61">
          <w:rPr>
            <w:sz w:val="18"/>
            <w:szCs w:val="18"/>
          </w:rPr>
          <w:instrText xml:space="preserve"> PAGE   \* MERGEFORMAT </w:instrText>
        </w:r>
        <w:r w:rsidRPr="00186D61">
          <w:rPr>
            <w:sz w:val="18"/>
            <w:szCs w:val="18"/>
          </w:rPr>
          <w:fldChar w:fldCharType="separate"/>
        </w:r>
        <w:r>
          <w:rPr>
            <w:noProof/>
            <w:sz w:val="18"/>
            <w:szCs w:val="18"/>
          </w:rPr>
          <w:t>8</w:t>
        </w:r>
        <w:r w:rsidRPr="00186D6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B75E2" w14:textId="77777777" w:rsidR="002D1835" w:rsidRDefault="002D1835" w:rsidP="00186D61">
      <w:pPr>
        <w:spacing w:after="0"/>
      </w:pPr>
      <w:r>
        <w:separator/>
      </w:r>
    </w:p>
  </w:footnote>
  <w:footnote w:type="continuationSeparator" w:id="0">
    <w:p w14:paraId="432AD946" w14:textId="77777777" w:rsidR="002D1835" w:rsidRDefault="002D1835" w:rsidP="00186D61">
      <w:pPr>
        <w:spacing w:after="0"/>
      </w:pPr>
      <w:r>
        <w:continuationSeparator/>
      </w:r>
    </w:p>
  </w:footnote>
  <w:footnote w:type="continuationNotice" w:id="1">
    <w:p w14:paraId="2CCE61D7" w14:textId="77777777" w:rsidR="002D1835" w:rsidRDefault="002D18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839A" w14:textId="1559E48B" w:rsidR="002D1835" w:rsidRPr="00A45624" w:rsidRDefault="002D1835" w:rsidP="00186D61">
    <w:pPr>
      <w:pStyle w:val="Header"/>
      <w:tabs>
        <w:tab w:val="clear" w:pos="4513"/>
        <w:tab w:val="clear" w:pos="9026"/>
      </w:tabs>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902E" w14:textId="77777777" w:rsidR="002D1835" w:rsidRDefault="002D1835" w:rsidP="007671CB">
    <w:pPr>
      <w:pStyle w:val="Header"/>
      <w:jc w:val="center"/>
      <w:rPr>
        <w:rFonts w:cs="Arial"/>
      </w:rPr>
    </w:pPr>
    <w:r>
      <w:rPr>
        <w:noProof/>
        <w:lang w:eastAsia="en-GB"/>
      </w:rPr>
      <w:drawing>
        <wp:anchor distT="0" distB="0" distL="114300" distR="114300" simplePos="0" relativeHeight="251657216" behindDoc="1" locked="0" layoutInCell="1" allowOverlap="1" wp14:anchorId="6923B1C5" wp14:editId="1967BE3E">
          <wp:simplePos x="0" y="0"/>
          <wp:positionH relativeFrom="column">
            <wp:posOffset>306070</wp:posOffset>
          </wp:positionH>
          <wp:positionV relativeFrom="paragraph">
            <wp:posOffset>109855</wp:posOffset>
          </wp:positionV>
          <wp:extent cx="1910715" cy="825500"/>
          <wp:effectExtent l="19050" t="0" r="0" b="0"/>
          <wp:wrapNone/>
          <wp:docPr id="14" name="Picture 14"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a:srcRect/>
                  <a:stretch>
                    <a:fillRect/>
                  </a:stretch>
                </pic:blipFill>
                <pic:spPr bwMode="auto">
                  <a:xfrm>
                    <a:off x="0" y="0"/>
                    <a:ext cx="1910715" cy="825500"/>
                  </a:xfrm>
                  <a:prstGeom prst="rect">
                    <a:avLst/>
                  </a:prstGeom>
                  <a:noFill/>
                  <a:ln w="9525">
                    <a:noFill/>
                    <a:miter lim="800000"/>
                    <a:headEnd/>
                    <a:tailEnd/>
                  </a:ln>
                </pic:spPr>
              </pic:pic>
            </a:graphicData>
          </a:graphic>
        </wp:anchor>
      </w:drawing>
    </w:r>
  </w:p>
  <w:p w14:paraId="769FE530" w14:textId="77777777" w:rsidR="002D1835" w:rsidRDefault="002D1835" w:rsidP="007671CB">
    <w:pPr>
      <w:pStyle w:val="Header"/>
      <w:jc w:val="center"/>
      <w:rPr>
        <w:rFonts w:cs="Arial"/>
      </w:rPr>
    </w:pPr>
  </w:p>
  <w:p w14:paraId="6F285048" w14:textId="77777777" w:rsidR="002D1835" w:rsidRDefault="002D1835" w:rsidP="007671CB">
    <w:pPr>
      <w:pStyle w:val="Header"/>
      <w:jc w:val="center"/>
      <w:rPr>
        <w:rFonts w:cs="Arial"/>
      </w:rPr>
    </w:pPr>
  </w:p>
  <w:p w14:paraId="789CBF15" w14:textId="77777777" w:rsidR="002D1835" w:rsidRDefault="002D1835" w:rsidP="007671CB">
    <w:pPr>
      <w:pStyle w:val="Header"/>
      <w:rPr>
        <w:rFonts w:cs="Arial"/>
      </w:rPr>
    </w:pPr>
  </w:p>
  <w:p w14:paraId="305B7C3F" w14:textId="77777777" w:rsidR="002D1835" w:rsidRDefault="002D1835" w:rsidP="007671CB">
    <w:pPr>
      <w:pStyle w:val="Header"/>
      <w:rPr>
        <w:rFonts w:cs="Arial"/>
      </w:rPr>
    </w:pPr>
  </w:p>
  <w:p w14:paraId="40BA3ADA" w14:textId="77777777" w:rsidR="002D1835" w:rsidRDefault="002D1835" w:rsidP="007671CB">
    <w:pPr>
      <w:pStyle w:val="Header"/>
      <w:jc w:val="center"/>
      <w:rPr>
        <w:rFonts w:cs="Arial"/>
      </w:rPr>
    </w:pPr>
  </w:p>
  <w:p w14:paraId="43709F5A" w14:textId="77777777" w:rsidR="002D1835" w:rsidRDefault="002D1835" w:rsidP="007671CB">
    <w:pPr>
      <w:pStyle w:val="Header"/>
      <w:jc w:val="center"/>
      <w:rPr>
        <w:rFonts w:cs="Arial"/>
      </w:rPr>
    </w:pPr>
  </w:p>
  <w:p w14:paraId="529E1796" w14:textId="77777777" w:rsidR="002D1835" w:rsidRDefault="002D1835" w:rsidP="007671CB">
    <w:pPr>
      <w:pStyle w:val="Header"/>
      <w:jc w:val="center"/>
      <w:rPr>
        <w:rFonts w:cs="Arial"/>
      </w:rPr>
    </w:pPr>
  </w:p>
  <w:p w14:paraId="15FBB1CF" w14:textId="77777777" w:rsidR="002D1835" w:rsidRDefault="002D1835" w:rsidP="007671CB">
    <w:pPr>
      <w:pStyle w:val="Header"/>
      <w:jc w:val="center"/>
      <w:rPr>
        <w:rFonts w:cs="Arial"/>
      </w:rPr>
    </w:pPr>
  </w:p>
  <w:p w14:paraId="73E0FD48" w14:textId="77777777" w:rsidR="002D1835" w:rsidRPr="00185E9C" w:rsidRDefault="002D1835" w:rsidP="007671CB">
    <w:pPr>
      <w:pStyle w:val="Header"/>
      <w:jc w:val="center"/>
      <w:rPr>
        <w:rFonts w:cs="Arial"/>
      </w:rPr>
    </w:pPr>
  </w:p>
  <w:p w14:paraId="19619E02" w14:textId="77777777" w:rsidR="002D1835" w:rsidRPr="00185E9C" w:rsidRDefault="002D1835" w:rsidP="007671CB">
    <w:pPr>
      <w:pStyle w:val="Header"/>
      <w:jc w:val="center"/>
      <w:rPr>
        <w:rFonts w:cs="Arial"/>
      </w:rPr>
    </w:pPr>
  </w:p>
  <w:p w14:paraId="50F7671A" w14:textId="77777777" w:rsidR="002D1835" w:rsidRPr="00185E9C" w:rsidRDefault="002D1835" w:rsidP="007671CB">
    <w:pPr>
      <w:pStyle w:val="Header"/>
      <w:jc w:val="center"/>
      <w:rPr>
        <w:rFonts w:cs="Arial"/>
      </w:rPr>
    </w:pPr>
  </w:p>
  <w:p w14:paraId="3E3B2903" w14:textId="77777777" w:rsidR="002D1835" w:rsidRPr="00185E9C" w:rsidRDefault="002D1835" w:rsidP="007671CB">
    <w:pPr>
      <w:pStyle w:val="Header"/>
      <w:jc w:val="center"/>
      <w:rPr>
        <w:rFonts w:cs="Arial"/>
      </w:rPr>
    </w:pPr>
  </w:p>
  <w:p w14:paraId="7EA12663" w14:textId="77777777" w:rsidR="002D1835" w:rsidRPr="00185E9C" w:rsidRDefault="002D1835" w:rsidP="007671CB">
    <w:pPr>
      <w:pStyle w:val="Header"/>
      <w:jc w:val="center"/>
      <w:rPr>
        <w:rFonts w:cs="Arial"/>
      </w:rPr>
    </w:pPr>
  </w:p>
  <w:p w14:paraId="074A9D0E" w14:textId="77777777" w:rsidR="002D1835" w:rsidRPr="00185E9C" w:rsidRDefault="002D1835" w:rsidP="007671CB">
    <w:pPr>
      <w:pStyle w:val="Header"/>
      <w:jc w:val="center"/>
      <w:rPr>
        <w:rFonts w:cs="Arial"/>
      </w:rPr>
    </w:pPr>
  </w:p>
  <w:p w14:paraId="5477C394" w14:textId="77777777" w:rsidR="002D1835" w:rsidRDefault="002D1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904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820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50D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E03A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5EF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886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4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48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5808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20A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F3CF9"/>
    <w:multiLevelType w:val="multilevel"/>
    <w:tmpl w:val="FB9E8B5E"/>
    <w:numStyleLink w:val="Headings"/>
  </w:abstractNum>
  <w:abstractNum w:abstractNumId="11" w15:restartNumberingAfterBreak="0">
    <w:nsid w:val="0EC379AD"/>
    <w:multiLevelType w:val="hybridMultilevel"/>
    <w:tmpl w:val="7F8E0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205499"/>
    <w:multiLevelType w:val="multilevel"/>
    <w:tmpl w:val="FB9E8B5E"/>
    <w:styleLink w:val="Headings"/>
    <w:lvl w:ilvl="0">
      <w:start w:val="1"/>
      <w:numFmt w:val="decimal"/>
      <w:pStyle w:val="Heading1"/>
      <w:lvlText w:val="%1."/>
      <w:lvlJc w:val="left"/>
      <w:pPr>
        <w:ind w:left="0" w:firstLine="0"/>
      </w:pPr>
      <w:rPr>
        <w:rFonts w:ascii="Arial" w:hAnsi="Arial" w:hint="default"/>
        <w:b/>
        <w:i w:val="0"/>
        <w:color w:val="8F23B3"/>
        <w:sz w:val="52"/>
      </w:rPr>
    </w:lvl>
    <w:lvl w:ilvl="1">
      <w:start w:val="1"/>
      <w:numFmt w:val="decimal"/>
      <w:pStyle w:val="Heading2"/>
      <w:lvlText w:val="%1.%2."/>
      <w:lvlJc w:val="left"/>
      <w:pPr>
        <w:ind w:left="0" w:firstLine="0"/>
      </w:pPr>
      <w:rPr>
        <w:rFonts w:ascii="Arial" w:hAnsi="Arial" w:hint="default"/>
        <w:b/>
        <w:i w:val="0"/>
        <w:color w:val="8F23B3"/>
        <w:sz w:val="32"/>
      </w:rPr>
    </w:lvl>
    <w:lvl w:ilvl="2">
      <w:start w:val="1"/>
      <w:numFmt w:val="decimal"/>
      <w:pStyle w:val="Heading3"/>
      <w:lvlText w:val="%1.%2.%3."/>
      <w:lvlJc w:val="left"/>
      <w:pPr>
        <w:ind w:left="1559" w:firstLine="0"/>
      </w:pPr>
      <w:rPr>
        <w:rFonts w:ascii="Arial" w:hAnsi="Arial"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upperLetter"/>
      <w:lvlRestart w:val="3"/>
      <w:pStyle w:val="Heading6"/>
      <w:lvlText w:val="Annex %6."/>
      <w:lvlJc w:val="left"/>
      <w:pPr>
        <w:tabs>
          <w:tab w:val="num" w:pos="851"/>
        </w:tabs>
        <w:ind w:left="0" w:firstLine="0"/>
      </w:pPr>
      <w:rPr>
        <w:rFonts w:ascii="Arial" w:hAnsi="Arial" w:hint="default"/>
        <w:b/>
        <w:i w:val="0"/>
        <w:color w:val="8F23B3"/>
        <w:sz w:val="52"/>
      </w:rPr>
    </w:lvl>
    <w:lvl w:ilvl="6">
      <w:start w:val="1"/>
      <w:numFmt w:val="decimal"/>
      <w:pStyle w:val="Heading7"/>
      <w:lvlText w:val="%6.%7."/>
      <w:lvlJc w:val="left"/>
      <w:pPr>
        <w:tabs>
          <w:tab w:val="num" w:pos="851"/>
        </w:tabs>
        <w:ind w:left="0" w:firstLine="0"/>
      </w:pPr>
      <w:rPr>
        <w:rFonts w:ascii="Arial" w:hAnsi="Arial" w:hint="default"/>
        <w:b/>
        <w:i w:val="0"/>
        <w:color w:val="8F23B3"/>
        <w:sz w:val="32"/>
      </w:rPr>
    </w:lvl>
    <w:lvl w:ilvl="7">
      <w:start w:val="1"/>
      <w:numFmt w:val="decimal"/>
      <w:pStyle w:val="Heading8"/>
      <w:lvlText w:val="%6.%7.%8."/>
      <w:lvlJc w:val="left"/>
      <w:pPr>
        <w:tabs>
          <w:tab w:val="num" w:pos="851"/>
        </w:tabs>
        <w:ind w:left="0" w:firstLine="0"/>
      </w:pPr>
      <w:rPr>
        <w:rFonts w:ascii="Arial" w:hAnsi="Arial" w:hint="default"/>
        <w:sz w:val="24"/>
      </w:rPr>
    </w:lvl>
    <w:lvl w:ilvl="8">
      <w:start w:val="1"/>
      <w:numFmt w:val="decimal"/>
      <w:lvlText w:val="%1.%2.%3.%4.%5.%6.%7.%8.%9."/>
      <w:lvlJc w:val="left"/>
      <w:pPr>
        <w:ind w:left="4320" w:hanging="1440"/>
      </w:pPr>
      <w:rPr>
        <w:rFonts w:hint="default"/>
      </w:rPr>
    </w:lvl>
  </w:abstractNum>
  <w:abstractNum w:abstractNumId="13" w15:restartNumberingAfterBreak="0">
    <w:nsid w:val="14140618"/>
    <w:multiLevelType w:val="hybridMultilevel"/>
    <w:tmpl w:val="87567446"/>
    <w:lvl w:ilvl="0" w:tplc="664271A6">
      <w:start w:val="1"/>
      <w:numFmt w:val="upperLetter"/>
      <w:pStyle w:val="AnnexHeading"/>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980066"/>
    <w:multiLevelType w:val="multilevel"/>
    <w:tmpl w:val="08D06A60"/>
    <w:styleLink w:val="Annex"/>
    <w:lvl w:ilvl="0">
      <w:start w:val="1"/>
      <w:numFmt w:val="upperLetter"/>
      <w:lvlText w:val="Annex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085A49"/>
    <w:multiLevelType w:val="hybridMultilevel"/>
    <w:tmpl w:val="E3361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A57A22"/>
    <w:multiLevelType w:val="hybridMultilevel"/>
    <w:tmpl w:val="D6AAB148"/>
    <w:lvl w:ilvl="0" w:tplc="67CEC3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A07A61"/>
    <w:multiLevelType w:val="hybridMultilevel"/>
    <w:tmpl w:val="82406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14"/>
  </w:num>
  <w:num w:numId="4">
    <w:abstractNumId w:val="10"/>
    <w:lvlOverride w:ilvl="0">
      <w:lvl w:ilvl="0">
        <w:start w:val="1"/>
        <w:numFmt w:val="decimal"/>
        <w:pStyle w:val="Heading1"/>
        <w:lvlText w:val="%1."/>
        <w:lvlJc w:val="left"/>
        <w:pPr>
          <w:ind w:left="0" w:firstLine="0"/>
        </w:pPr>
        <w:rPr>
          <w:rFonts w:ascii="Arial" w:hAnsi="Arial" w:hint="default"/>
          <w:b/>
          <w:i w:val="0"/>
          <w:color w:val="8F23B3"/>
          <w:sz w:val="52"/>
        </w:rPr>
      </w:lvl>
    </w:lvlOverride>
    <w:lvlOverride w:ilvl="1">
      <w:lvl w:ilvl="1">
        <w:start w:val="1"/>
        <w:numFmt w:val="decimal"/>
        <w:pStyle w:val="Heading2"/>
        <w:lvlText w:val="%1.%2."/>
        <w:lvlJc w:val="left"/>
        <w:pPr>
          <w:ind w:left="0" w:firstLine="0"/>
        </w:pPr>
        <w:rPr>
          <w:rFonts w:ascii="Arial" w:hAnsi="Arial" w:hint="default"/>
          <w:b/>
          <w:i w:val="0"/>
          <w:color w:val="8F23B3"/>
          <w:sz w:val="32"/>
        </w:rPr>
      </w:lvl>
    </w:lvlOverride>
    <w:lvlOverride w:ilvl="2">
      <w:lvl w:ilvl="2">
        <w:start w:val="1"/>
        <w:numFmt w:val="decimal"/>
        <w:pStyle w:val="Heading3"/>
        <w:lvlText w:val="%1.%2.%3."/>
        <w:lvlJc w:val="left"/>
        <w:pPr>
          <w:ind w:left="1559" w:firstLine="0"/>
        </w:pPr>
        <w:rPr>
          <w:rFonts w:ascii="Arial" w:hAnsi="Arial" w:hint="default"/>
          <w:b w:val="0"/>
          <w:i w:val="0"/>
          <w:sz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upperLetter"/>
        <w:lvlRestart w:val="3"/>
        <w:pStyle w:val="Heading6"/>
        <w:lvlText w:val="Annex %6."/>
        <w:lvlJc w:val="left"/>
        <w:pPr>
          <w:tabs>
            <w:tab w:val="num" w:pos="851"/>
          </w:tabs>
          <w:ind w:left="0" w:firstLine="0"/>
        </w:pPr>
        <w:rPr>
          <w:rFonts w:ascii="Arial" w:hAnsi="Arial" w:hint="default"/>
          <w:b/>
          <w:i w:val="0"/>
          <w:color w:val="8F23B3"/>
          <w:sz w:val="52"/>
        </w:rPr>
      </w:lvl>
    </w:lvlOverride>
    <w:lvlOverride w:ilvl="6">
      <w:lvl w:ilvl="6">
        <w:start w:val="1"/>
        <w:numFmt w:val="decimal"/>
        <w:pStyle w:val="Heading7"/>
        <w:lvlText w:val="%6.%7."/>
        <w:lvlJc w:val="left"/>
        <w:pPr>
          <w:tabs>
            <w:tab w:val="num" w:pos="851"/>
          </w:tabs>
          <w:ind w:left="0" w:firstLine="0"/>
        </w:pPr>
        <w:rPr>
          <w:rFonts w:ascii="Arial" w:hAnsi="Arial" w:hint="default"/>
          <w:b/>
          <w:i w:val="0"/>
          <w:color w:val="8F23B3"/>
          <w:sz w:val="32"/>
        </w:rPr>
      </w:lvl>
    </w:lvlOverride>
    <w:lvlOverride w:ilvl="7">
      <w:lvl w:ilvl="7">
        <w:start w:val="1"/>
        <w:numFmt w:val="decimal"/>
        <w:pStyle w:val="Heading8"/>
        <w:lvlText w:val="%6.%7.%8."/>
        <w:lvlJc w:val="left"/>
        <w:pPr>
          <w:tabs>
            <w:tab w:val="num" w:pos="851"/>
          </w:tabs>
          <w:ind w:left="0" w:firstLine="0"/>
        </w:pPr>
        <w:rPr>
          <w:rFonts w:ascii="Arial" w:hAnsi="Arial" w:hint="default"/>
          <w:sz w:val="24"/>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15"/>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lvl w:ilvl="0">
        <w:start w:val="1"/>
        <w:numFmt w:val="decimal"/>
        <w:pStyle w:val="Heading1"/>
        <w:lvlText w:val="%1."/>
        <w:lvlJc w:val="left"/>
        <w:pPr>
          <w:ind w:left="0" w:firstLine="0"/>
        </w:pPr>
        <w:rPr>
          <w:rFonts w:ascii="Arial" w:hAnsi="Arial" w:hint="default"/>
          <w:b/>
          <w:i w:val="0"/>
          <w:color w:val="8F23B3"/>
          <w:sz w:val="52"/>
        </w:rPr>
      </w:lvl>
    </w:lvlOverride>
    <w:lvlOverride w:ilvl="1">
      <w:lvl w:ilvl="1">
        <w:start w:val="1"/>
        <w:numFmt w:val="decimal"/>
        <w:pStyle w:val="Heading2"/>
        <w:lvlText w:val="%1.%2."/>
        <w:lvlJc w:val="left"/>
        <w:pPr>
          <w:ind w:left="0" w:firstLine="0"/>
        </w:pPr>
        <w:rPr>
          <w:rFonts w:ascii="Arial" w:hAnsi="Arial" w:hint="default"/>
          <w:b/>
          <w:i w:val="0"/>
          <w:color w:val="8F23B3"/>
          <w:sz w:val="32"/>
        </w:rPr>
      </w:lvl>
    </w:lvlOverride>
    <w:lvlOverride w:ilvl="2">
      <w:lvl w:ilvl="2">
        <w:start w:val="1"/>
        <w:numFmt w:val="decimal"/>
        <w:pStyle w:val="Heading3"/>
        <w:lvlText w:val="%1.%2.%3."/>
        <w:lvlJc w:val="left"/>
        <w:pPr>
          <w:ind w:left="1559" w:firstLine="0"/>
        </w:pPr>
        <w:rPr>
          <w:rFonts w:ascii="Arial" w:hAnsi="Arial" w:hint="default"/>
          <w:b w:val="0"/>
          <w:i w:val="0"/>
          <w:sz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upperLetter"/>
        <w:lvlRestart w:val="3"/>
        <w:pStyle w:val="Heading6"/>
        <w:lvlText w:val="Annex %6."/>
        <w:lvlJc w:val="left"/>
        <w:pPr>
          <w:tabs>
            <w:tab w:val="num" w:pos="851"/>
          </w:tabs>
          <w:ind w:left="0" w:firstLine="0"/>
        </w:pPr>
        <w:rPr>
          <w:rFonts w:ascii="Arial" w:hAnsi="Arial" w:hint="default"/>
          <w:b/>
          <w:i w:val="0"/>
          <w:color w:val="8F23B3"/>
          <w:sz w:val="52"/>
        </w:rPr>
      </w:lvl>
    </w:lvlOverride>
    <w:lvlOverride w:ilvl="6">
      <w:lvl w:ilvl="6">
        <w:start w:val="1"/>
        <w:numFmt w:val="decimal"/>
        <w:pStyle w:val="Heading7"/>
        <w:lvlText w:val="%6.%7."/>
        <w:lvlJc w:val="left"/>
        <w:pPr>
          <w:tabs>
            <w:tab w:val="num" w:pos="851"/>
          </w:tabs>
          <w:ind w:left="0" w:firstLine="0"/>
        </w:pPr>
        <w:rPr>
          <w:rFonts w:ascii="Arial" w:hAnsi="Arial" w:hint="default"/>
          <w:b/>
          <w:i w:val="0"/>
          <w:color w:val="8F23B3"/>
          <w:sz w:val="32"/>
        </w:rPr>
      </w:lvl>
    </w:lvlOverride>
    <w:lvlOverride w:ilvl="7">
      <w:lvl w:ilvl="7">
        <w:start w:val="1"/>
        <w:numFmt w:val="decimal"/>
        <w:pStyle w:val="Heading8"/>
        <w:lvlText w:val="%6.%7.%8."/>
        <w:lvlJc w:val="left"/>
        <w:pPr>
          <w:tabs>
            <w:tab w:val="num" w:pos="851"/>
          </w:tabs>
          <w:ind w:left="0" w:firstLine="0"/>
        </w:pPr>
        <w:rPr>
          <w:rFonts w:ascii="Arial" w:hAnsi="Arial" w:hint="default"/>
          <w:sz w:val="24"/>
        </w:rPr>
      </w:lvl>
    </w:lvlOverride>
    <w:lvlOverride w:ilvl="8">
      <w:lvl w:ilvl="8">
        <w:start w:val="1"/>
        <w:numFmt w:val="decimal"/>
        <w:lvlText w:val="%1.%2.%3.%4.%5.%6.%7.%8.%9."/>
        <w:lvlJc w:val="left"/>
        <w:pPr>
          <w:ind w:left="4320" w:hanging="144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0C"/>
    <w:rsid w:val="000045C8"/>
    <w:rsid w:val="00004FAF"/>
    <w:rsid w:val="00005AC5"/>
    <w:rsid w:val="00006FC0"/>
    <w:rsid w:val="00013AC5"/>
    <w:rsid w:val="000152B8"/>
    <w:rsid w:val="00016D5B"/>
    <w:rsid w:val="000175B2"/>
    <w:rsid w:val="0002209A"/>
    <w:rsid w:val="00022C88"/>
    <w:rsid w:val="00025F49"/>
    <w:rsid w:val="0003274D"/>
    <w:rsid w:val="00034C05"/>
    <w:rsid w:val="000454CC"/>
    <w:rsid w:val="00053B5B"/>
    <w:rsid w:val="00065FA3"/>
    <w:rsid w:val="0006794F"/>
    <w:rsid w:val="00077EF9"/>
    <w:rsid w:val="00080241"/>
    <w:rsid w:val="000805D7"/>
    <w:rsid w:val="00080AC1"/>
    <w:rsid w:val="00094622"/>
    <w:rsid w:val="000A6187"/>
    <w:rsid w:val="000A739F"/>
    <w:rsid w:val="000C4478"/>
    <w:rsid w:val="000D292F"/>
    <w:rsid w:val="000D325B"/>
    <w:rsid w:val="000D5269"/>
    <w:rsid w:val="000E280C"/>
    <w:rsid w:val="000E5430"/>
    <w:rsid w:val="000F29AA"/>
    <w:rsid w:val="000F29C7"/>
    <w:rsid w:val="000F5DC5"/>
    <w:rsid w:val="00106DCF"/>
    <w:rsid w:val="00112630"/>
    <w:rsid w:val="00114394"/>
    <w:rsid w:val="001201A7"/>
    <w:rsid w:val="00123691"/>
    <w:rsid w:val="00127E83"/>
    <w:rsid w:val="00134617"/>
    <w:rsid w:val="00140A18"/>
    <w:rsid w:val="0014200E"/>
    <w:rsid w:val="00144248"/>
    <w:rsid w:val="00147DE8"/>
    <w:rsid w:val="001577B5"/>
    <w:rsid w:val="00171B5E"/>
    <w:rsid w:val="001723F3"/>
    <w:rsid w:val="001759A1"/>
    <w:rsid w:val="00180F60"/>
    <w:rsid w:val="00186D61"/>
    <w:rsid w:val="00186EB7"/>
    <w:rsid w:val="0019133E"/>
    <w:rsid w:val="00192357"/>
    <w:rsid w:val="001936BF"/>
    <w:rsid w:val="00193C3A"/>
    <w:rsid w:val="00196502"/>
    <w:rsid w:val="0019729E"/>
    <w:rsid w:val="001978B9"/>
    <w:rsid w:val="00197F5E"/>
    <w:rsid w:val="00197FEF"/>
    <w:rsid w:val="001A2D3D"/>
    <w:rsid w:val="001A64CF"/>
    <w:rsid w:val="001B420E"/>
    <w:rsid w:val="001B6DEA"/>
    <w:rsid w:val="001B7600"/>
    <w:rsid w:val="001B7917"/>
    <w:rsid w:val="001C05AE"/>
    <w:rsid w:val="001C55EC"/>
    <w:rsid w:val="001C5775"/>
    <w:rsid w:val="001C6933"/>
    <w:rsid w:val="001C6D0C"/>
    <w:rsid w:val="001D0ED8"/>
    <w:rsid w:val="001E0B84"/>
    <w:rsid w:val="001E501C"/>
    <w:rsid w:val="001E5193"/>
    <w:rsid w:val="001F0C6E"/>
    <w:rsid w:val="001F3131"/>
    <w:rsid w:val="002030F2"/>
    <w:rsid w:val="00207232"/>
    <w:rsid w:val="00207852"/>
    <w:rsid w:val="00210C0B"/>
    <w:rsid w:val="00216ACB"/>
    <w:rsid w:val="00221EF4"/>
    <w:rsid w:val="00225623"/>
    <w:rsid w:val="00225CAE"/>
    <w:rsid w:val="00234EE6"/>
    <w:rsid w:val="00240269"/>
    <w:rsid w:val="0024328F"/>
    <w:rsid w:val="0024396D"/>
    <w:rsid w:val="00243D8D"/>
    <w:rsid w:val="00250D70"/>
    <w:rsid w:val="00266B8B"/>
    <w:rsid w:val="00271712"/>
    <w:rsid w:val="00274001"/>
    <w:rsid w:val="00274537"/>
    <w:rsid w:val="00275D7A"/>
    <w:rsid w:val="00276948"/>
    <w:rsid w:val="00277EDF"/>
    <w:rsid w:val="00280FF0"/>
    <w:rsid w:val="00290C4F"/>
    <w:rsid w:val="00291A36"/>
    <w:rsid w:val="002A3844"/>
    <w:rsid w:val="002A65AE"/>
    <w:rsid w:val="002B0E69"/>
    <w:rsid w:val="002B2E07"/>
    <w:rsid w:val="002B76B0"/>
    <w:rsid w:val="002C1B9E"/>
    <w:rsid w:val="002C2CDD"/>
    <w:rsid w:val="002C431B"/>
    <w:rsid w:val="002D1835"/>
    <w:rsid w:val="002D2BBC"/>
    <w:rsid w:val="002D43EA"/>
    <w:rsid w:val="002E0BCC"/>
    <w:rsid w:val="002E44B6"/>
    <w:rsid w:val="002E5CCA"/>
    <w:rsid w:val="002E5CF4"/>
    <w:rsid w:val="002F176D"/>
    <w:rsid w:val="002F2880"/>
    <w:rsid w:val="002F5CF4"/>
    <w:rsid w:val="003062FB"/>
    <w:rsid w:val="00306628"/>
    <w:rsid w:val="003071FB"/>
    <w:rsid w:val="00312149"/>
    <w:rsid w:val="003158A7"/>
    <w:rsid w:val="0031700D"/>
    <w:rsid w:val="003209E1"/>
    <w:rsid w:val="00330409"/>
    <w:rsid w:val="00331CC8"/>
    <w:rsid w:val="003354C4"/>
    <w:rsid w:val="00336E11"/>
    <w:rsid w:val="0034038F"/>
    <w:rsid w:val="003424BF"/>
    <w:rsid w:val="00342D7E"/>
    <w:rsid w:val="003459F8"/>
    <w:rsid w:val="00355501"/>
    <w:rsid w:val="003622FA"/>
    <w:rsid w:val="0037295B"/>
    <w:rsid w:val="00380DF0"/>
    <w:rsid w:val="00384886"/>
    <w:rsid w:val="00385244"/>
    <w:rsid w:val="0039697E"/>
    <w:rsid w:val="003B510D"/>
    <w:rsid w:val="003C0C96"/>
    <w:rsid w:val="003D334E"/>
    <w:rsid w:val="003D3B0C"/>
    <w:rsid w:val="003E15AA"/>
    <w:rsid w:val="003E2716"/>
    <w:rsid w:val="003F0F89"/>
    <w:rsid w:val="003F134A"/>
    <w:rsid w:val="003F2838"/>
    <w:rsid w:val="003F2AC7"/>
    <w:rsid w:val="003F393F"/>
    <w:rsid w:val="003F42C1"/>
    <w:rsid w:val="003F5C63"/>
    <w:rsid w:val="003F684B"/>
    <w:rsid w:val="003F7CCF"/>
    <w:rsid w:val="00412E42"/>
    <w:rsid w:val="004148EA"/>
    <w:rsid w:val="004159D7"/>
    <w:rsid w:val="00416498"/>
    <w:rsid w:val="00420B8B"/>
    <w:rsid w:val="00421AA0"/>
    <w:rsid w:val="00422BAF"/>
    <w:rsid w:val="00424832"/>
    <w:rsid w:val="00427677"/>
    <w:rsid w:val="00434728"/>
    <w:rsid w:val="00435170"/>
    <w:rsid w:val="00436BC3"/>
    <w:rsid w:val="0043711B"/>
    <w:rsid w:val="00437C8D"/>
    <w:rsid w:val="004409FA"/>
    <w:rsid w:val="00450389"/>
    <w:rsid w:val="00456420"/>
    <w:rsid w:val="00465B71"/>
    <w:rsid w:val="0047102E"/>
    <w:rsid w:val="00472739"/>
    <w:rsid w:val="00477481"/>
    <w:rsid w:val="00483FEB"/>
    <w:rsid w:val="00486768"/>
    <w:rsid w:val="00486FC1"/>
    <w:rsid w:val="00487DA8"/>
    <w:rsid w:val="004922EC"/>
    <w:rsid w:val="004A1F85"/>
    <w:rsid w:val="004A3539"/>
    <w:rsid w:val="004A3A22"/>
    <w:rsid w:val="004A7E28"/>
    <w:rsid w:val="004C08D7"/>
    <w:rsid w:val="004C1A19"/>
    <w:rsid w:val="004C1B2B"/>
    <w:rsid w:val="004C2AE6"/>
    <w:rsid w:val="004C31F0"/>
    <w:rsid w:val="004C5AE1"/>
    <w:rsid w:val="004D09C8"/>
    <w:rsid w:val="004D1755"/>
    <w:rsid w:val="004D58B7"/>
    <w:rsid w:val="004D64DB"/>
    <w:rsid w:val="004E0409"/>
    <w:rsid w:val="004E6B58"/>
    <w:rsid w:val="004F4CE3"/>
    <w:rsid w:val="004F79A8"/>
    <w:rsid w:val="005079C1"/>
    <w:rsid w:val="00514774"/>
    <w:rsid w:val="00521117"/>
    <w:rsid w:val="00524D31"/>
    <w:rsid w:val="0052563E"/>
    <w:rsid w:val="0053109A"/>
    <w:rsid w:val="00534071"/>
    <w:rsid w:val="00534534"/>
    <w:rsid w:val="005374DD"/>
    <w:rsid w:val="00556BFC"/>
    <w:rsid w:val="005606E0"/>
    <w:rsid w:val="00562193"/>
    <w:rsid w:val="0056356A"/>
    <w:rsid w:val="00563AB0"/>
    <w:rsid w:val="00571E1A"/>
    <w:rsid w:val="00573F8A"/>
    <w:rsid w:val="005761B2"/>
    <w:rsid w:val="00576A1A"/>
    <w:rsid w:val="00590C3F"/>
    <w:rsid w:val="00594091"/>
    <w:rsid w:val="005A024C"/>
    <w:rsid w:val="005A03EA"/>
    <w:rsid w:val="005A11E2"/>
    <w:rsid w:val="005A6873"/>
    <w:rsid w:val="005A72E7"/>
    <w:rsid w:val="005B31D5"/>
    <w:rsid w:val="005C4777"/>
    <w:rsid w:val="005C5BCD"/>
    <w:rsid w:val="005D1EC2"/>
    <w:rsid w:val="005D2749"/>
    <w:rsid w:val="005D3370"/>
    <w:rsid w:val="005D3F92"/>
    <w:rsid w:val="005D5743"/>
    <w:rsid w:val="005D656E"/>
    <w:rsid w:val="005E0F16"/>
    <w:rsid w:val="005E317D"/>
    <w:rsid w:val="005E4061"/>
    <w:rsid w:val="005E72FC"/>
    <w:rsid w:val="005F2241"/>
    <w:rsid w:val="00600772"/>
    <w:rsid w:val="006028A6"/>
    <w:rsid w:val="00603EC3"/>
    <w:rsid w:val="00611A74"/>
    <w:rsid w:val="006150C8"/>
    <w:rsid w:val="00616F48"/>
    <w:rsid w:val="0062549E"/>
    <w:rsid w:val="006305A3"/>
    <w:rsid w:val="00631D1E"/>
    <w:rsid w:val="00633045"/>
    <w:rsid w:val="0063465E"/>
    <w:rsid w:val="00637CCD"/>
    <w:rsid w:val="0064091D"/>
    <w:rsid w:val="0064308B"/>
    <w:rsid w:val="00643D0F"/>
    <w:rsid w:val="0064495C"/>
    <w:rsid w:val="00646B4A"/>
    <w:rsid w:val="0066217B"/>
    <w:rsid w:val="00663878"/>
    <w:rsid w:val="0067148C"/>
    <w:rsid w:val="00671BD9"/>
    <w:rsid w:val="006726CE"/>
    <w:rsid w:val="00674A90"/>
    <w:rsid w:val="00677892"/>
    <w:rsid w:val="00686F03"/>
    <w:rsid w:val="006871BA"/>
    <w:rsid w:val="00693C0F"/>
    <w:rsid w:val="006A0231"/>
    <w:rsid w:val="006A081D"/>
    <w:rsid w:val="006A3B0A"/>
    <w:rsid w:val="006A7CB3"/>
    <w:rsid w:val="006B15AA"/>
    <w:rsid w:val="006B6B13"/>
    <w:rsid w:val="006B70AB"/>
    <w:rsid w:val="006D29F5"/>
    <w:rsid w:val="006D68A2"/>
    <w:rsid w:val="006D696C"/>
    <w:rsid w:val="006E0375"/>
    <w:rsid w:val="006E3279"/>
    <w:rsid w:val="006E336C"/>
    <w:rsid w:val="006F0189"/>
    <w:rsid w:val="006F13C0"/>
    <w:rsid w:val="006F4F0D"/>
    <w:rsid w:val="006F5FC5"/>
    <w:rsid w:val="006F6DFF"/>
    <w:rsid w:val="007058A3"/>
    <w:rsid w:val="00705A81"/>
    <w:rsid w:val="00707A35"/>
    <w:rsid w:val="00712A81"/>
    <w:rsid w:val="00716CF3"/>
    <w:rsid w:val="007206EF"/>
    <w:rsid w:val="00723239"/>
    <w:rsid w:val="00724DF8"/>
    <w:rsid w:val="00726314"/>
    <w:rsid w:val="0073183C"/>
    <w:rsid w:val="007349D1"/>
    <w:rsid w:val="007403C6"/>
    <w:rsid w:val="00740A44"/>
    <w:rsid w:val="0074461B"/>
    <w:rsid w:val="0074754F"/>
    <w:rsid w:val="00757471"/>
    <w:rsid w:val="00762ED8"/>
    <w:rsid w:val="0076501B"/>
    <w:rsid w:val="007671CB"/>
    <w:rsid w:val="007727A4"/>
    <w:rsid w:val="00781767"/>
    <w:rsid w:val="00786720"/>
    <w:rsid w:val="00786EE8"/>
    <w:rsid w:val="007903AE"/>
    <w:rsid w:val="00796C04"/>
    <w:rsid w:val="007A4F88"/>
    <w:rsid w:val="007A5A1D"/>
    <w:rsid w:val="007A72EB"/>
    <w:rsid w:val="007B1437"/>
    <w:rsid w:val="007B4975"/>
    <w:rsid w:val="007B79A1"/>
    <w:rsid w:val="007C0C46"/>
    <w:rsid w:val="007E44C8"/>
    <w:rsid w:val="007E4509"/>
    <w:rsid w:val="007E5998"/>
    <w:rsid w:val="007F0427"/>
    <w:rsid w:val="007F1A43"/>
    <w:rsid w:val="007F6AC5"/>
    <w:rsid w:val="0080084A"/>
    <w:rsid w:val="00802FDE"/>
    <w:rsid w:val="00803C6F"/>
    <w:rsid w:val="00806E94"/>
    <w:rsid w:val="0080734A"/>
    <w:rsid w:val="0081146E"/>
    <w:rsid w:val="008223ED"/>
    <w:rsid w:val="008233E9"/>
    <w:rsid w:val="00830D2D"/>
    <w:rsid w:val="00830EAF"/>
    <w:rsid w:val="00833B5E"/>
    <w:rsid w:val="00833C66"/>
    <w:rsid w:val="00836A1D"/>
    <w:rsid w:val="00842934"/>
    <w:rsid w:val="00843846"/>
    <w:rsid w:val="0084751A"/>
    <w:rsid w:val="00847EBE"/>
    <w:rsid w:val="00861D8A"/>
    <w:rsid w:val="0086379C"/>
    <w:rsid w:val="008648A4"/>
    <w:rsid w:val="00866345"/>
    <w:rsid w:val="0086638D"/>
    <w:rsid w:val="00866DC0"/>
    <w:rsid w:val="00867652"/>
    <w:rsid w:val="0087308A"/>
    <w:rsid w:val="00873201"/>
    <w:rsid w:val="008810E3"/>
    <w:rsid w:val="00882323"/>
    <w:rsid w:val="00884BE7"/>
    <w:rsid w:val="008A0509"/>
    <w:rsid w:val="008A1179"/>
    <w:rsid w:val="008A16A0"/>
    <w:rsid w:val="008B0B02"/>
    <w:rsid w:val="008B386D"/>
    <w:rsid w:val="008B721C"/>
    <w:rsid w:val="008C2B84"/>
    <w:rsid w:val="008C7211"/>
    <w:rsid w:val="008D269C"/>
    <w:rsid w:val="008E0A44"/>
    <w:rsid w:val="008E0A96"/>
    <w:rsid w:val="008E2396"/>
    <w:rsid w:val="008F0500"/>
    <w:rsid w:val="008F1737"/>
    <w:rsid w:val="008F2CDD"/>
    <w:rsid w:val="008F347A"/>
    <w:rsid w:val="008F76E0"/>
    <w:rsid w:val="0090106F"/>
    <w:rsid w:val="009135B1"/>
    <w:rsid w:val="0091369D"/>
    <w:rsid w:val="0091462A"/>
    <w:rsid w:val="00922CED"/>
    <w:rsid w:val="00923994"/>
    <w:rsid w:val="009301B2"/>
    <w:rsid w:val="00933961"/>
    <w:rsid w:val="009363AA"/>
    <w:rsid w:val="009408FE"/>
    <w:rsid w:val="00945DA3"/>
    <w:rsid w:val="00950958"/>
    <w:rsid w:val="00950D96"/>
    <w:rsid w:val="00954B42"/>
    <w:rsid w:val="0096193E"/>
    <w:rsid w:val="009622BB"/>
    <w:rsid w:val="00972DDE"/>
    <w:rsid w:val="0097432C"/>
    <w:rsid w:val="009805EF"/>
    <w:rsid w:val="00986EBC"/>
    <w:rsid w:val="009908CD"/>
    <w:rsid w:val="009911B6"/>
    <w:rsid w:val="00992DF6"/>
    <w:rsid w:val="009A4E80"/>
    <w:rsid w:val="009A59FB"/>
    <w:rsid w:val="009B064A"/>
    <w:rsid w:val="009B316D"/>
    <w:rsid w:val="009C36B2"/>
    <w:rsid w:val="009C65FE"/>
    <w:rsid w:val="009C70A6"/>
    <w:rsid w:val="009D1D7A"/>
    <w:rsid w:val="009D26B0"/>
    <w:rsid w:val="009D687C"/>
    <w:rsid w:val="009D7802"/>
    <w:rsid w:val="009D7C90"/>
    <w:rsid w:val="009D7F46"/>
    <w:rsid w:val="009E2214"/>
    <w:rsid w:val="009E2B16"/>
    <w:rsid w:val="009E2DE9"/>
    <w:rsid w:val="009E392E"/>
    <w:rsid w:val="009E7428"/>
    <w:rsid w:val="009F2E16"/>
    <w:rsid w:val="009F5F6E"/>
    <w:rsid w:val="009F5FA0"/>
    <w:rsid w:val="009F6B76"/>
    <w:rsid w:val="00A041E0"/>
    <w:rsid w:val="00A0492B"/>
    <w:rsid w:val="00A1010D"/>
    <w:rsid w:val="00A12FAE"/>
    <w:rsid w:val="00A13B96"/>
    <w:rsid w:val="00A14B53"/>
    <w:rsid w:val="00A17A50"/>
    <w:rsid w:val="00A210A6"/>
    <w:rsid w:val="00A218B7"/>
    <w:rsid w:val="00A23526"/>
    <w:rsid w:val="00A2408E"/>
    <w:rsid w:val="00A30F17"/>
    <w:rsid w:val="00A33656"/>
    <w:rsid w:val="00A4189F"/>
    <w:rsid w:val="00A41D24"/>
    <w:rsid w:val="00A439E0"/>
    <w:rsid w:val="00A43D13"/>
    <w:rsid w:val="00A45624"/>
    <w:rsid w:val="00A4617E"/>
    <w:rsid w:val="00A51655"/>
    <w:rsid w:val="00A564F5"/>
    <w:rsid w:val="00A61C13"/>
    <w:rsid w:val="00A64E00"/>
    <w:rsid w:val="00A721EB"/>
    <w:rsid w:val="00A768E2"/>
    <w:rsid w:val="00A80E58"/>
    <w:rsid w:val="00A81EB9"/>
    <w:rsid w:val="00A917BC"/>
    <w:rsid w:val="00A926E0"/>
    <w:rsid w:val="00AA2E39"/>
    <w:rsid w:val="00AD6D54"/>
    <w:rsid w:val="00AF31C1"/>
    <w:rsid w:val="00B02297"/>
    <w:rsid w:val="00B02E02"/>
    <w:rsid w:val="00B17B37"/>
    <w:rsid w:val="00B219FE"/>
    <w:rsid w:val="00B27B49"/>
    <w:rsid w:val="00B341E0"/>
    <w:rsid w:val="00B36302"/>
    <w:rsid w:val="00B3698D"/>
    <w:rsid w:val="00B557FD"/>
    <w:rsid w:val="00B55C6A"/>
    <w:rsid w:val="00B672B2"/>
    <w:rsid w:val="00B676A7"/>
    <w:rsid w:val="00B8200A"/>
    <w:rsid w:val="00B8338B"/>
    <w:rsid w:val="00B9481F"/>
    <w:rsid w:val="00B95E93"/>
    <w:rsid w:val="00B97399"/>
    <w:rsid w:val="00B97980"/>
    <w:rsid w:val="00BA0A75"/>
    <w:rsid w:val="00BA29DF"/>
    <w:rsid w:val="00BC51EB"/>
    <w:rsid w:val="00BC6A30"/>
    <w:rsid w:val="00BC7B00"/>
    <w:rsid w:val="00BD0650"/>
    <w:rsid w:val="00BD383C"/>
    <w:rsid w:val="00BD750D"/>
    <w:rsid w:val="00BE0965"/>
    <w:rsid w:val="00BE2DCE"/>
    <w:rsid w:val="00BE532A"/>
    <w:rsid w:val="00BE7C9F"/>
    <w:rsid w:val="00C00E98"/>
    <w:rsid w:val="00C0476A"/>
    <w:rsid w:val="00C05DAB"/>
    <w:rsid w:val="00C06BC5"/>
    <w:rsid w:val="00C160D9"/>
    <w:rsid w:val="00C207E1"/>
    <w:rsid w:val="00C2161B"/>
    <w:rsid w:val="00C23CFE"/>
    <w:rsid w:val="00C2468B"/>
    <w:rsid w:val="00C25CCF"/>
    <w:rsid w:val="00C302C5"/>
    <w:rsid w:val="00C405D7"/>
    <w:rsid w:val="00C44564"/>
    <w:rsid w:val="00C4488B"/>
    <w:rsid w:val="00C45B14"/>
    <w:rsid w:val="00C54B1B"/>
    <w:rsid w:val="00C65B46"/>
    <w:rsid w:val="00C67EEF"/>
    <w:rsid w:val="00C70A19"/>
    <w:rsid w:val="00C71372"/>
    <w:rsid w:val="00C73109"/>
    <w:rsid w:val="00C743F1"/>
    <w:rsid w:val="00C75E75"/>
    <w:rsid w:val="00C75FCF"/>
    <w:rsid w:val="00C77E76"/>
    <w:rsid w:val="00C80E9D"/>
    <w:rsid w:val="00C816F6"/>
    <w:rsid w:val="00C8197A"/>
    <w:rsid w:val="00C83426"/>
    <w:rsid w:val="00CA4699"/>
    <w:rsid w:val="00CA6E24"/>
    <w:rsid w:val="00CA7496"/>
    <w:rsid w:val="00CB0D60"/>
    <w:rsid w:val="00CB161B"/>
    <w:rsid w:val="00CC0C27"/>
    <w:rsid w:val="00CC1B91"/>
    <w:rsid w:val="00CC26FF"/>
    <w:rsid w:val="00CC7004"/>
    <w:rsid w:val="00CC7E52"/>
    <w:rsid w:val="00CD1BB2"/>
    <w:rsid w:val="00CD7B15"/>
    <w:rsid w:val="00CE09CA"/>
    <w:rsid w:val="00CF2DC8"/>
    <w:rsid w:val="00CF5C69"/>
    <w:rsid w:val="00CF7B33"/>
    <w:rsid w:val="00D04696"/>
    <w:rsid w:val="00D05E5A"/>
    <w:rsid w:val="00D07EB4"/>
    <w:rsid w:val="00D1129B"/>
    <w:rsid w:val="00D118FF"/>
    <w:rsid w:val="00D11C2D"/>
    <w:rsid w:val="00D143E3"/>
    <w:rsid w:val="00D175A6"/>
    <w:rsid w:val="00D20B48"/>
    <w:rsid w:val="00D24A6D"/>
    <w:rsid w:val="00D26DD1"/>
    <w:rsid w:val="00D421F8"/>
    <w:rsid w:val="00D43F57"/>
    <w:rsid w:val="00D50327"/>
    <w:rsid w:val="00D525E3"/>
    <w:rsid w:val="00D55C3D"/>
    <w:rsid w:val="00D63CF8"/>
    <w:rsid w:val="00D64934"/>
    <w:rsid w:val="00D64C71"/>
    <w:rsid w:val="00D66AC9"/>
    <w:rsid w:val="00D67837"/>
    <w:rsid w:val="00D72337"/>
    <w:rsid w:val="00D76C05"/>
    <w:rsid w:val="00D76E67"/>
    <w:rsid w:val="00D77D39"/>
    <w:rsid w:val="00D8241F"/>
    <w:rsid w:val="00D86D31"/>
    <w:rsid w:val="00D92000"/>
    <w:rsid w:val="00D9536D"/>
    <w:rsid w:val="00DA10CE"/>
    <w:rsid w:val="00DA3DC3"/>
    <w:rsid w:val="00DA4402"/>
    <w:rsid w:val="00DA5A05"/>
    <w:rsid w:val="00DA6D7D"/>
    <w:rsid w:val="00DC7A55"/>
    <w:rsid w:val="00DC7E52"/>
    <w:rsid w:val="00DD0EB2"/>
    <w:rsid w:val="00DD476C"/>
    <w:rsid w:val="00DD7256"/>
    <w:rsid w:val="00DE3F39"/>
    <w:rsid w:val="00DF0434"/>
    <w:rsid w:val="00DF1F55"/>
    <w:rsid w:val="00DF632F"/>
    <w:rsid w:val="00E006BD"/>
    <w:rsid w:val="00E015E8"/>
    <w:rsid w:val="00E15CE7"/>
    <w:rsid w:val="00E1628A"/>
    <w:rsid w:val="00E16AA6"/>
    <w:rsid w:val="00E27ECB"/>
    <w:rsid w:val="00E30D0C"/>
    <w:rsid w:val="00E33161"/>
    <w:rsid w:val="00E40C29"/>
    <w:rsid w:val="00E44EB7"/>
    <w:rsid w:val="00E474A3"/>
    <w:rsid w:val="00E52F61"/>
    <w:rsid w:val="00E55799"/>
    <w:rsid w:val="00E573D1"/>
    <w:rsid w:val="00E57584"/>
    <w:rsid w:val="00E60231"/>
    <w:rsid w:val="00E72888"/>
    <w:rsid w:val="00E75C48"/>
    <w:rsid w:val="00E77823"/>
    <w:rsid w:val="00E851AA"/>
    <w:rsid w:val="00E9369C"/>
    <w:rsid w:val="00E96178"/>
    <w:rsid w:val="00E971B7"/>
    <w:rsid w:val="00EB12F3"/>
    <w:rsid w:val="00ED1226"/>
    <w:rsid w:val="00ED4717"/>
    <w:rsid w:val="00EE1A80"/>
    <w:rsid w:val="00EE641B"/>
    <w:rsid w:val="00EF3532"/>
    <w:rsid w:val="00EF3BEA"/>
    <w:rsid w:val="00EF5635"/>
    <w:rsid w:val="00EF7F11"/>
    <w:rsid w:val="00F028EF"/>
    <w:rsid w:val="00F057AA"/>
    <w:rsid w:val="00F10E6C"/>
    <w:rsid w:val="00F17284"/>
    <w:rsid w:val="00F210CE"/>
    <w:rsid w:val="00F23E38"/>
    <w:rsid w:val="00F306E5"/>
    <w:rsid w:val="00F31462"/>
    <w:rsid w:val="00F35976"/>
    <w:rsid w:val="00F362A8"/>
    <w:rsid w:val="00F379C0"/>
    <w:rsid w:val="00F37C83"/>
    <w:rsid w:val="00F42DDD"/>
    <w:rsid w:val="00F44126"/>
    <w:rsid w:val="00F4495D"/>
    <w:rsid w:val="00F44B89"/>
    <w:rsid w:val="00F45017"/>
    <w:rsid w:val="00F45E98"/>
    <w:rsid w:val="00F4793B"/>
    <w:rsid w:val="00F5396D"/>
    <w:rsid w:val="00F53F69"/>
    <w:rsid w:val="00F55D59"/>
    <w:rsid w:val="00F5708A"/>
    <w:rsid w:val="00F74BF5"/>
    <w:rsid w:val="00F84499"/>
    <w:rsid w:val="00F875B3"/>
    <w:rsid w:val="00F87B1F"/>
    <w:rsid w:val="00F97AC3"/>
    <w:rsid w:val="00FA1194"/>
    <w:rsid w:val="00FA283D"/>
    <w:rsid w:val="00FA56CF"/>
    <w:rsid w:val="00FA6B37"/>
    <w:rsid w:val="00FA7162"/>
    <w:rsid w:val="00FC0FA6"/>
    <w:rsid w:val="00FC1F29"/>
    <w:rsid w:val="00FD12DC"/>
    <w:rsid w:val="00FE31BE"/>
    <w:rsid w:val="00FE7C69"/>
    <w:rsid w:val="00FF0C58"/>
    <w:rsid w:val="00FF36AE"/>
    <w:rsid w:val="00FF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1922483"/>
  <w15:docId w15:val="{D806076B-662B-4B3B-93DD-63E018E7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7"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qFormat="1"/>
    <w:lsdException w:name="heading 5" w:semiHidden="1" w:uiPriority="9" w:unhideWhenUsed="1" w:qFormat="1"/>
    <w:lsdException w:name="heading 6" w:semiHidden="1" w:uiPriority="3" w:unhideWhenUsed="1" w:qFormat="1"/>
    <w:lsdException w:name="heading 7" w:semiHidden="1" w:uiPriority="4" w:unhideWhenUsed="1" w:qFormat="1"/>
    <w:lsdException w:name="heading 8" w:semiHidden="1" w:uiPriority="5"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C73109"/>
    <w:pPr>
      <w:spacing w:after="120" w:line="240" w:lineRule="auto"/>
    </w:pPr>
    <w:rPr>
      <w:rFonts w:ascii="Arial" w:hAnsi="Arial"/>
      <w:sz w:val="24"/>
    </w:rPr>
  </w:style>
  <w:style w:type="paragraph" w:styleId="Heading1">
    <w:name w:val="heading 1"/>
    <w:aliases w:val="Chapter"/>
    <w:basedOn w:val="Normal"/>
    <w:next w:val="Heading2"/>
    <w:link w:val="Heading1Char"/>
    <w:qFormat/>
    <w:rsid w:val="00616F48"/>
    <w:pPr>
      <w:keepNext/>
      <w:keepLines/>
      <w:pageBreakBefore/>
      <w:numPr>
        <w:numId w:val="4"/>
      </w:numPr>
      <w:spacing w:before="240" w:after="240"/>
      <w:outlineLvl w:val="0"/>
    </w:pPr>
    <w:rPr>
      <w:rFonts w:eastAsiaTheme="majorEastAsia" w:cstheme="majorBidi"/>
      <w:b/>
      <w:color w:val="8F23B3"/>
      <w:sz w:val="52"/>
      <w:szCs w:val="32"/>
    </w:rPr>
  </w:style>
  <w:style w:type="paragraph" w:styleId="Heading2">
    <w:name w:val="heading 2"/>
    <w:aliases w:val="Section"/>
    <w:basedOn w:val="Heading1"/>
    <w:next w:val="Heading3"/>
    <w:link w:val="Heading2Char"/>
    <w:uiPriority w:val="1"/>
    <w:qFormat/>
    <w:rsid w:val="00616F48"/>
    <w:pPr>
      <w:pageBreakBefore w:val="0"/>
      <w:numPr>
        <w:ilvl w:val="1"/>
      </w:numPr>
      <w:tabs>
        <w:tab w:val="left" w:pos="851"/>
      </w:tabs>
      <w:spacing w:before="0"/>
      <w:outlineLvl w:val="1"/>
    </w:pPr>
    <w:rPr>
      <w:sz w:val="32"/>
      <w:szCs w:val="26"/>
    </w:rPr>
  </w:style>
  <w:style w:type="paragraph" w:styleId="Heading3">
    <w:name w:val="heading 3"/>
    <w:aliases w:val="Paragraph"/>
    <w:basedOn w:val="Heading2"/>
    <w:link w:val="Heading3Char"/>
    <w:uiPriority w:val="2"/>
    <w:qFormat/>
    <w:rsid w:val="00923994"/>
    <w:pPr>
      <w:keepNext w:val="0"/>
      <w:numPr>
        <w:ilvl w:val="2"/>
      </w:numPr>
      <w:outlineLvl w:val="2"/>
    </w:pPr>
    <w:rPr>
      <w:b w:val="0"/>
      <w:color w:val="auto"/>
      <w:sz w:val="24"/>
      <w:szCs w:val="24"/>
    </w:rPr>
  </w:style>
  <w:style w:type="paragraph" w:styleId="Heading4">
    <w:name w:val="heading 4"/>
    <w:basedOn w:val="Normal"/>
    <w:next w:val="Normal"/>
    <w:link w:val="Heading4Char"/>
    <w:uiPriority w:val="9"/>
    <w:semiHidden/>
    <w:qFormat/>
    <w:rsid w:val="00616F4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aliases w:val="Annex 1"/>
    <w:basedOn w:val="Heading1"/>
    <w:next w:val="Heading7"/>
    <w:link w:val="Heading6Char"/>
    <w:uiPriority w:val="3"/>
    <w:qFormat/>
    <w:rsid w:val="00616F48"/>
    <w:pPr>
      <w:numPr>
        <w:ilvl w:val="5"/>
      </w:numPr>
      <w:outlineLvl w:val="5"/>
    </w:pPr>
  </w:style>
  <w:style w:type="paragraph" w:styleId="Heading7">
    <w:name w:val="heading 7"/>
    <w:aliases w:val="Annex 2"/>
    <w:basedOn w:val="Heading6"/>
    <w:next w:val="Heading8"/>
    <w:link w:val="Heading7Char"/>
    <w:uiPriority w:val="4"/>
    <w:qFormat/>
    <w:rsid w:val="00616F48"/>
    <w:pPr>
      <w:pageBreakBefore w:val="0"/>
      <w:numPr>
        <w:ilvl w:val="6"/>
      </w:numPr>
      <w:spacing w:before="0"/>
      <w:outlineLvl w:val="6"/>
    </w:pPr>
    <w:rPr>
      <w:iCs/>
      <w:sz w:val="32"/>
    </w:rPr>
  </w:style>
  <w:style w:type="paragraph" w:styleId="Heading8">
    <w:name w:val="heading 8"/>
    <w:aliases w:val="Annex 3"/>
    <w:basedOn w:val="Heading7"/>
    <w:next w:val="Normal"/>
    <w:link w:val="Heading8Char"/>
    <w:uiPriority w:val="5"/>
    <w:qFormat/>
    <w:rsid w:val="00616F48"/>
    <w:pPr>
      <w:numPr>
        <w:ilvl w:val="7"/>
      </w:numPr>
      <w:outlineLvl w:val="7"/>
    </w:pPr>
    <w:rPr>
      <w:b w:val="0"/>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rsid w:val="00616F48"/>
    <w:rPr>
      <w:rFonts w:ascii="Arial" w:eastAsiaTheme="majorEastAsia" w:hAnsi="Arial" w:cstheme="majorBidi"/>
      <w:b/>
      <w:color w:val="8F23B3"/>
      <w:sz w:val="52"/>
      <w:szCs w:val="32"/>
    </w:rPr>
  </w:style>
  <w:style w:type="paragraph" w:styleId="TOC1">
    <w:name w:val="toc 1"/>
    <w:basedOn w:val="Normal"/>
    <w:next w:val="Normal"/>
    <w:link w:val="TOC1Char"/>
    <w:autoRedefine/>
    <w:uiPriority w:val="39"/>
    <w:unhideWhenUsed/>
    <w:rsid w:val="00B9481F"/>
    <w:pPr>
      <w:keepNext/>
      <w:tabs>
        <w:tab w:val="left" w:pos="440"/>
        <w:tab w:val="right" w:pos="10204"/>
      </w:tabs>
      <w:spacing w:before="120"/>
    </w:pPr>
    <w:rPr>
      <w:b/>
    </w:rPr>
  </w:style>
  <w:style w:type="character" w:customStyle="1" w:styleId="Heading2Char">
    <w:name w:val="Heading 2 Char"/>
    <w:aliases w:val="Section Char"/>
    <w:basedOn w:val="DefaultParagraphFont"/>
    <w:link w:val="Heading2"/>
    <w:uiPriority w:val="1"/>
    <w:rsid w:val="00616F48"/>
    <w:rPr>
      <w:rFonts w:ascii="Arial" w:eastAsiaTheme="majorEastAsia" w:hAnsi="Arial" w:cstheme="majorBidi"/>
      <w:b/>
      <w:color w:val="8F23B3"/>
      <w:sz w:val="32"/>
      <w:szCs w:val="26"/>
    </w:rPr>
  </w:style>
  <w:style w:type="paragraph" w:styleId="TOC2">
    <w:name w:val="toc 2"/>
    <w:basedOn w:val="Normal"/>
    <w:next w:val="Normal"/>
    <w:autoRedefine/>
    <w:uiPriority w:val="39"/>
    <w:unhideWhenUsed/>
    <w:rsid w:val="003F2838"/>
    <w:pPr>
      <w:tabs>
        <w:tab w:val="left" w:pos="851"/>
        <w:tab w:val="right" w:pos="10206"/>
      </w:tabs>
      <w:spacing w:after="0"/>
    </w:pPr>
  </w:style>
  <w:style w:type="paragraph" w:customStyle="1" w:styleId="TOC">
    <w:name w:val="TOC"/>
    <w:basedOn w:val="Heading1"/>
    <w:next w:val="Normal"/>
    <w:link w:val="TOCChar"/>
    <w:uiPriority w:val="9"/>
    <w:qFormat/>
    <w:rsid w:val="00F4793B"/>
    <w:pPr>
      <w:numPr>
        <w:numId w:val="0"/>
      </w:numPr>
      <w:outlineLvl w:val="9"/>
    </w:pPr>
  </w:style>
  <w:style w:type="character" w:customStyle="1" w:styleId="TOC1Char">
    <w:name w:val="TOC 1 Char"/>
    <w:basedOn w:val="DefaultParagraphFont"/>
    <w:link w:val="TOC1"/>
    <w:uiPriority w:val="39"/>
    <w:rsid w:val="00B9481F"/>
    <w:rPr>
      <w:rFonts w:ascii="Arial" w:hAnsi="Arial"/>
      <w:b/>
      <w:sz w:val="24"/>
    </w:rPr>
  </w:style>
  <w:style w:type="character" w:customStyle="1" w:styleId="TOCChar">
    <w:name w:val="TOC Char"/>
    <w:basedOn w:val="TOC1Char"/>
    <w:link w:val="TOC"/>
    <w:uiPriority w:val="9"/>
    <w:rsid w:val="00705A81"/>
    <w:rPr>
      <w:rFonts w:ascii="Arial" w:eastAsiaTheme="majorEastAsia" w:hAnsi="Arial" w:cstheme="majorBidi"/>
      <w:b/>
      <w:color w:val="8F23B3"/>
      <w:sz w:val="52"/>
      <w:szCs w:val="32"/>
    </w:rPr>
  </w:style>
  <w:style w:type="table" w:styleId="TableGrid">
    <w:name w:val="Table Grid"/>
    <w:basedOn w:val="TableNormal"/>
    <w:uiPriority w:val="59"/>
    <w:rsid w:val="0093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9"/>
    <w:qFormat/>
    <w:rsid w:val="000045C8"/>
    <w:rPr>
      <w:b/>
    </w:rPr>
  </w:style>
  <w:style w:type="paragraph" w:customStyle="1" w:styleId="Numberedparagraph">
    <w:name w:val="Numbered paragraph"/>
    <w:basedOn w:val="Heading2"/>
    <w:link w:val="NumberedparagraphChar"/>
    <w:semiHidden/>
    <w:qFormat/>
    <w:rsid w:val="00616F48"/>
    <w:pPr>
      <w:keepNext w:val="0"/>
      <w:tabs>
        <w:tab w:val="left" w:pos="992"/>
      </w:tabs>
      <w:outlineLvl w:val="2"/>
    </w:pPr>
    <w:rPr>
      <w:b w:val="0"/>
      <w:color w:val="auto"/>
      <w:sz w:val="24"/>
    </w:rPr>
  </w:style>
  <w:style w:type="character" w:customStyle="1" w:styleId="TableHeadingChar">
    <w:name w:val="Table Heading Char"/>
    <w:basedOn w:val="DefaultParagraphFont"/>
    <w:link w:val="TableHeading"/>
    <w:uiPriority w:val="9"/>
    <w:rsid w:val="00705A81"/>
    <w:rPr>
      <w:rFonts w:ascii="Arial" w:hAnsi="Arial"/>
      <w:b/>
      <w:sz w:val="24"/>
    </w:rPr>
  </w:style>
  <w:style w:type="numbering" w:customStyle="1" w:styleId="Headings">
    <w:name w:val="Headings"/>
    <w:uiPriority w:val="99"/>
    <w:rsid w:val="00616F48"/>
    <w:pPr>
      <w:numPr>
        <w:numId w:val="1"/>
      </w:numPr>
    </w:pPr>
  </w:style>
  <w:style w:type="character" w:customStyle="1" w:styleId="NumberedparagraphChar">
    <w:name w:val="Numbered paragraph Char"/>
    <w:basedOn w:val="Heading2Char"/>
    <w:link w:val="Numberedparagraph"/>
    <w:semiHidden/>
    <w:rsid w:val="00616F48"/>
    <w:rPr>
      <w:rFonts w:ascii="Arial" w:eastAsiaTheme="majorEastAsia" w:hAnsi="Arial" w:cstheme="majorBidi"/>
      <w:b w:val="0"/>
      <w:color w:val="8F23B3"/>
      <w:sz w:val="24"/>
      <w:szCs w:val="26"/>
    </w:rPr>
  </w:style>
  <w:style w:type="paragraph" w:styleId="ListParagraph">
    <w:name w:val="List Paragraph"/>
    <w:aliases w:val="Normal numbered,L,Bullet Style,Párrafo de lista,Recommendation,List Paragra,MAIN CONTEN,Recommendatio,Normal numbere,Recommendati,List Paragraph2,F5 List Paragraph,List Paragraph1,Dot pt,MAIN CONTENT,List Paragraph12,No Spacing1,Bullet 1"/>
    <w:basedOn w:val="Normal"/>
    <w:link w:val="ListParagraphChar"/>
    <w:uiPriority w:val="34"/>
    <w:qFormat/>
    <w:rsid w:val="00F44B89"/>
    <w:pPr>
      <w:ind w:left="720"/>
      <w:contextualSpacing/>
    </w:pPr>
  </w:style>
  <w:style w:type="paragraph" w:styleId="NoSpacing">
    <w:name w:val="No Spacing"/>
    <w:uiPriority w:val="1"/>
    <w:rsid w:val="00F44B89"/>
    <w:pPr>
      <w:spacing w:after="0" w:line="240" w:lineRule="auto"/>
    </w:pPr>
    <w:rPr>
      <w:rFonts w:ascii="Arial" w:hAnsi="Arial"/>
      <w:sz w:val="24"/>
    </w:rPr>
  </w:style>
  <w:style w:type="paragraph" w:styleId="Header">
    <w:name w:val="header"/>
    <w:basedOn w:val="Normal"/>
    <w:link w:val="HeaderChar"/>
    <w:uiPriority w:val="99"/>
    <w:unhideWhenUsed/>
    <w:rsid w:val="00186D61"/>
    <w:pPr>
      <w:tabs>
        <w:tab w:val="center" w:pos="4513"/>
        <w:tab w:val="right" w:pos="9026"/>
      </w:tabs>
      <w:spacing w:after="0"/>
    </w:pPr>
  </w:style>
  <w:style w:type="character" w:customStyle="1" w:styleId="HeaderChar">
    <w:name w:val="Header Char"/>
    <w:basedOn w:val="DefaultParagraphFont"/>
    <w:link w:val="Header"/>
    <w:uiPriority w:val="99"/>
    <w:rsid w:val="00186D61"/>
    <w:rPr>
      <w:rFonts w:ascii="Arial" w:hAnsi="Arial"/>
      <w:sz w:val="24"/>
    </w:rPr>
  </w:style>
  <w:style w:type="paragraph" w:styleId="Footer">
    <w:name w:val="footer"/>
    <w:basedOn w:val="Normal"/>
    <w:link w:val="FooterChar"/>
    <w:uiPriority w:val="99"/>
    <w:unhideWhenUsed/>
    <w:rsid w:val="00186D61"/>
    <w:pPr>
      <w:tabs>
        <w:tab w:val="center" w:pos="4513"/>
        <w:tab w:val="right" w:pos="9026"/>
      </w:tabs>
      <w:spacing w:after="0"/>
    </w:pPr>
  </w:style>
  <w:style w:type="character" w:customStyle="1" w:styleId="FooterChar">
    <w:name w:val="Footer Char"/>
    <w:basedOn w:val="DefaultParagraphFont"/>
    <w:link w:val="Footer"/>
    <w:uiPriority w:val="99"/>
    <w:rsid w:val="00186D61"/>
    <w:rPr>
      <w:rFonts w:ascii="Arial" w:hAnsi="Arial"/>
      <w:sz w:val="24"/>
    </w:rPr>
  </w:style>
  <w:style w:type="paragraph" w:styleId="Caption">
    <w:name w:val="caption"/>
    <w:basedOn w:val="Normal"/>
    <w:next w:val="Normal"/>
    <w:uiPriority w:val="35"/>
    <w:unhideWhenUsed/>
    <w:qFormat/>
    <w:rsid w:val="00CA6E24"/>
    <w:pPr>
      <w:spacing w:before="120" w:after="240"/>
    </w:pPr>
    <w:rPr>
      <w:b/>
      <w:iCs/>
      <w:szCs w:val="18"/>
    </w:rPr>
  </w:style>
  <w:style w:type="paragraph" w:customStyle="1" w:styleId="TOCSub-heading">
    <w:name w:val="TOC Sub-heading"/>
    <w:basedOn w:val="TOC"/>
    <w:link w:val="TOCSub-headingChar"/>
    <w:uiPriority w:val="9"/>
    <w:qFormat/>
    <w:rsid w:val="0056356A"/>
    <w:pPr>
      <w:pageBreakBefore w:val="0"/>
      <w:spacing w:before="0" w:after="120"/>
    </w:pPr>
    <w:rPr>
      <w:sz w:val="32"/>
    </w:rPr>
  </w:style>
  <w:style w:type="paragraph" w:styleId="TableofFigures">
    <w:name w:val="table of figures"/>
    <w:basedOn w:val="Normal"/>
    <w:next w:val="Normal"/>
    <w:uiPriority w:val="99"/>
    <w:unhideWhenUsed/>
    <w:rsid w:val="00004FAF"/>
    <w:pPr>
      <w:spacing w:after="0"/>
    </w:pPr>
  </w:style>
  <w:style w:type="character" w:customStyle="1" w:styleId="TOCSub-headingChar">
    <w:name w:val="TOC Sub-heading Char"/>
    <w:basedOn w:val="TOCChar"/>
    <w:link w:val="TOCSub-heading"/>
    <w:uiPriority w:val="9"/>
    <w:rsid w:val="0056356A"/>
    <w:rPr>
      <w:rFonts w:ascii="Arial" w:eastAsiaTheme="majorEastAsia" w:hAnsi="Arial" w:cstheme="majorBidi"/>
      <w:b/>
      <w:color w:val="8F23B3"/>
      <w:sz w:val="32"/>
      <w:szCs w:val="32"/>
    </w:rPr>
  </w:style>
  <w:style w:type="character" w:styleId="Hyperlink">
    <w:name w:val="Hyperlink"/>
    <w:basedOn w:val="DefaultParagraphFont"/>
    <w:uiPriority w:val="99"/>
    <w:unhideWhenUsed/>
    <w:rsid w:val="00004FAF"/>
    <w:rPr>
      <w:color w:val="0563C1" w:themeColor="hyperlink"/>
      <w:u w:val="single"/>
    </w:rPr>
  </w:style>
  <w:style w:type="paragraph" w:customStyle="1" w:styleId="Headingnonumber">
    <w:name w:val="Heading no number"/>
    <w:basedOn w:val="Heading1"/>
    <w:next w:val="Normal"/>
    <w:link w:val="HeadingnonumberChar"/>
    <w:uiPriority w:val="6"/>
    <w:qFormat/>
    <w:rsid w:val="009E2214"/>
    <w:pPr>
      <w:numPr>
        <w:numId w:val="0"/>
      </w:numPr>
    </w:pPr>
  </w:style>
  <w:style w:type="character" w:customStyle="1" w:styleId="HeadingnonumberChar">
    <w:name w:val="Heading no number Char"/>
    <w:basedOn w:val="Heading1Char"/>
    <w:link w:val="Headingnonumber"/>
    <w:uiPriority w:val="6"/>
    <w:rsid w:val="00616F48"/>
    <w:rPr>
      <w:rFonts w:ascii="Arial" w:eastAsiaTheme="majorEastAsia" w:hAnsi="Arial" w:cstheme="majorBidi"/>
      <w:b/>
      <w:color w:val="8F23B3"/>
      <w:sz w:val="52"/>
      <w:szCs w:val="32"/>
    </w:rPr>
  </w:style>
  <w:style w:type="character" w:customStyle="1" w:styleId="Heading3Char">
    <w:name w:val="Heading 3 Char"/>
    <w:aliases w:val="Paragraph Char"/>
    <w:basedOn w:val="DefaultParagraphFont"/>
    <w:link w:val="Heading3"/>
    <w:uiPriority w:val="2"/>
    <w:rsid w:val="00616F48"/>
    <w:rPr>
      <w:rFonts w:ascii="Arial" w:eastAsiaTheme="majorEastAsia" w:hAnsi="Arial" w:cstheme="majorBidi"/>
      <w:sz w:val="24"/>
      <w:szCs w:val="24"/>
    </w:rPr>
  </w:style>
  <w:style w:type="table" w:customStyle="1" w:styleId="TableGrid1">
    <w:name w:val="Table Grid1"/>
    <w:basedOn w:val="TableNormal"/>
    <w:next w:val="TableGrid"/>
    <w:uiPriority w:val="39"/>
    <w:rsid w:val="00B5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unhideWhenUsed/>
    <w:qFormat/>
    <w:rsid w:val="009408FE"/>
    <w:rPr>
      <w:b/>
      <w:bCs/>
      <w:i w:val="0"/>
      <w:iCs w:val="0"/>
    </w:rPr>
  </w:style>
  <w:style w:type="character" w:customStyle="1" w:styleId="st1">
    <w:name w:val="st1"/>
    <w:basedOn w:val="DefaultParagraphFont"/>
    <w:rsid w:val="009408FE"/>
  </w:style>
  <w:style w:type="character" w:styleId="CommentReference">
    <w:name w:val="annotation reference"/>
    <w:basedOn w:val="DefaultParagraphFont"/>
    <w:uiPriority w:val="99"/>
    <w:semiHidden/>
    <w:unhideWhenUsed/>
    <w:rsid w:val="00221EF4"/>
    <w:rPr>
      <w:sz w:val="16"/>
      <w:szCs w:val="16"/>
    </w:rPr>
  </w:style>
  <w:style w:type="paragraph" w:styleId="CommentText">
    <w:name w:val="annotation text"/>
    <w:basedOn w:val="Normal"/>
    <w:link w:val="CommentTextChar"/>
    <w:uiPriority w:val="99"/>
    <w:semiHidden/>
    <w:unhideWhenUsed/>
    <w:rsid w:val="00221EF4"/>
    <w:rPr>
      <w:sz w:val="20"/>
      <w:szCs w:val="20"/>
    </w:rPr>
  </w:style>
  <w:style w:type="character" w:customStyle="1" w:styleId="CommentTextChar">
    <w:name w:val="Comment Text Char"/>
    <w:basedOn w:val="DefaultParagraphFont"/>
    <w:link w:val="CommentText"/>
    <w:uiPriority w:val="99"/>
    <w:semiHidden/>
    <w:rsid w:val="00221E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1EF4"/>
    <w:rPr>
      <w:b/>
      <w:bCs/>
    </w:rPr>
  </w:style>
  <w:style w:type="character" w:customStyle="1" w:styleId="CommentSubjectChar">
    <w:name w:val="Comment Subject Char"/>
    <w:basedOn w:val="CommentTextChar"/>
    <w:link w:val="CommentSubject"/>
    <w:uiPriority w:val="99"/>
    <w:semiHidden/>
    <w:rsid w:val="00221EF4"/>
    <w:rPr>
      <w:rFonts w:ascii="Arial" w:hAnsi="Arial"/>
      <w:b/>
      <w:bCs/>
      <w:sz w:val="20"/>
      <w:szCs w:val="20"/>
    </w:rPr>
  </w:style>
  <w:style w:type="paragraph" w:styleId="BalloonText">
    <w:name w:val="Balloon Text"/>
    <w:basedOn w:val="Normal"/>
    <w:link w:val="BalloonTextChar"/>
    <w:uiPriority w:val="99"/>
    <w:semiHidden/>
    <w:unhideWhenUsed/>
    <w:rsid w:val="00221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F4"/>
    <w:rPr>
      <w:rFonts w:ascii="Segoe UI" w:hAnsi="Segoe UI" w:cs="Segoe UI"/>
      <w:sz w:val="18"/>
      <w:szCs w:val="18"/>
    </w:rPr>
  </w:style>
  <w:style w:type="paragraph" w:customStyle="1" w:styleId="AnnexHeading">
    <w:name w:val="Annex Heading"/>
    <w:basedOn w:val="Heading1"/>
    <w:next w:val="Normal"/>
    <w:unhideWhenUsed/>
    <w:rsid w:val="00950958"/>
    <w:pPr>
      <w:numPr>
        <w:numId w:val="2"/>
      </w:numPr>
    </w:pPr>
  </w:style>
  <w:style w:type="character" w:customStyle="1" w:styleId="Heading6Char">
    <w:name w:val="Heading 6 Char"/>
    <w:aliases w:val="Annex 1 Char"/>
    <w:basedOn w:val="DefaultParagraphFont"/>
    <w:link w:val="Heading6"/>
    <w:uiPriority w:val="3"/>
    <w:rsid w:val="00616F48"/>
    <w:rPr>
      <w:rFonts w:ascii="Arial" w:eastAsiaTheme="majorEastAsia" w:hAnsi="Arial" w:cstheme="majorBidi"/>
      <w:b/>
      <w:color w:val="8F23B3"/>
      <w:sz w:val="52"/>
      <w:szCs w:val="32"/>
    </w:rPr>
  </w:style>
  <w:style w:type="character" w:styleId="PlaceholderText">
    <w:name w:val="Placeholder Text"/>
    <w:basedOn w:val="DefaultParagraphFont"/>
    <w:uiPriority w:val="99"/>
    <w:semiHidden/>
    <w:rsid w:val="00D8241F"/>
    <w:rPr>
      <w:color w:val="808080"/>
    </w:rPr>
  </w:style>
  <w:style w:type="character" w:customStyle="1" w:styleId="Heading7Char">
    <w:name w:val="Heading 7 Char"/>
    <w:aliases w:val="Annex 2 Char"/>
    <w:basedOn w:val="DefaultParagraphFont"/>
    <w:link w:val="Heading7"/>
    <w:uiPriority w:val="4"/>
    <w:rsid w:val="00616F48"/>
    <w:rPr>
      <w:rFonts w:ascii="Arial" w:eastAsiaTheme="majorEastAsia" w:hAnsi="Arial" w:cstheme="majorBidi"/>
      <w:b/>
      <w:iCs/>
      <w:color w:val="8F23B3"/>
      <w:sz w:val="32"/>
      <w:szCs w:val="32"/>
    </w:rPr>
  </w:style>
  <w:style w:type="numbering" w:customStyle="1" w:styleId="Annex">
    <w:name w:val="Annex"/>
    <w:uiPriority w:val="99"/>
    <w:rsid w:val="00BC6A30"/>
    <w:pPr>
      <w:numPr>
        <w:numId w:val="3"/>
      </w:numPr>
    </w:pPr>
  </w:style>
  <w:style w:type="character" w:customStyle="1" w:styleId="Heading4Char">
    <w:name w:val="Heading 4 Char"/>
    <w:basedOn w:val="DefaultParagraphFont"/>
    <w:link w:val="Heading4"/>
    <w:uiPriority w:val="9"/>
    <w:semiHidden/>
    <w:rsid w:val="00616F48"/>
    <w:rPr>
      <w:rFonts w:asciiTheme="majorHAnsi" w:eastAsiaTheme="majorEastAsia" w:hAnsiTheme="majorHAnsi" w:cstheme="majorBidi"/>
      <w:i/>
      <w:iCs/>
      <w:color w:val="2E74B5" w:themeColor="accent1" w:themeShade="BF"/>
      <w:sz w:val="24"/>
    </w:rPr>
  </w:style>
  <w:style w:type="character" w:customStyle="1" w:styleId="Heading8Char">
    <w:name w:val="Heading 8 Char"/>
    <w:aliases w:val="Annex 3 Char"/>
    <w:basedOn w:val="DefaultParagraphFont"/>
    <w:link w:val="Heading8"/>
    <w:uiPriority w:val="5"/>
    <w:rsid w:val="00616F48"/>
    <w:rPr>
      <w:rFonts w:ascii="Arial" w:eastAsiaTheme="majorEastAsia" w:hAnsi="Arial" w:cstheme="majorBidi"/>
      <w:iCs/>
      <w:color w:val="272727" w:themeColor="text1" w:themeTint="D8"/>
      <w:sz w:val="24"/>
      <w:szCs w:val="21"/>
    </w:rPr>
  </w:style>
  <w:style w:type="paragraph" w:styleId="Revision">
    <w:name w:val="Revision"/>
    <w:hidden/>
    <w:uiPriority w:val="99"/>
    <w:semiHidden/>
    <w:rsid w:val="000805D7"/>
    <w:pPr>
      <w:spacing w:after="0" w:line="240" w:lineRule="auto"/>
    </w:pPr>
    <w:rPr>
      <w:rFonts w:ascii="Arial" w:hAnsi="Arial"/>
      <w:sz w:val="24"/>
    </w:rPr>
  </w:style>
  <w:style w:type="paragraph" w:styleId="NormalWeb">
    <w:name w:val="Normal (Web)"/>
    <w:basedOn w:val="Normal"/>
    <w:uiPriority w:val="99"/>
    <w:semiHidden/>
    <w:unhideWhenUsed/>
    <w:rsid w:val="003459F8"/>
    <w:pPr>
      <w:spacing w:before="100" w:beforeAutospacing="1" w:after="100" w:afterAutospacing="1"/>
    </w:pPr>
    <w:rPr>
      <w:rFonts w:ascii="Times New Roman" w:eastAsiaTheme="minorEastAsia" w:hAnsi="Times New Roman" w:cs="Times New Roman"/>
      <w:szCs w:val="24"/>
      <w:lang w:eastAsia="en-GB"/>
    </w:rPr>
  </w:style>
  <w:style w:type="paragraph" w:customStyle="1" w:styleId="Bodycopy">
    <w:name w:val="Body copy"/>
    <w:link w:val="BodycopyChar"/>
    <w:rsid w:val="0067148C"/>
    <w:pPr>
      <w:spacing w:after="0" w:line="240" w:lineRule="auto"/>
    </w:pPr>
    <w:rPr>
      <w:rFonts w:ascii="Arial" w:eastAsia="Times New Roman" w:hAnsi="Arial" w:cs="Arial"/>
      <w:sz w:val="24"/>
      <w:szCs w:val="24"/>
      <w:lang w:eastAsia="en-GB"/>
    </w:rPr>
  </w:style>
  <w:style w:type="character" w:customStyle="1" w:styleId="BodycopyChar">
    <w:name w:val="Body copy Char"/>
    <w:basedOn w:val="DefaultParagraphFont"/>
    <w:link w:val="Bodycopy"/>
    <w:rsid w:val="0067148C"/>
    <w:rPr>
      <w:rFonts w:ascii="Arial" w:eastAsia="Times New Roman" w:hAnsi="Arial" w:cs="Arial"/>
      <w:sz w:val="24"/>
      <w:szCs w:val="24"/>
      <w:lang w:eastAsia="en-GB"/>
    </w:rPr>
  </w:style>
  <w:style w:type="paragraph" w:customStyle="1" w:styleId="Default">
    <w:name w:val="Default"/>
    <w:rsid w:val="00873201"/>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ListParagraphChar">
    <w:name w:val="List Paragraph Char"/>
    <w:aliases w:val="Normal numbered Char,L Char,Bullet Style Char,Párrafo de lista Char,Recommendation Char,List Paragra Char,MAIN CONTEN Char,Recommendatio Char,Normal numbere Char,Recommendati Char,List Paragraph2 Char,F5 List Paragraph Char"/>
    <w:basedOn w:val="DefaultParagraphFont"/>
    <w:link w:val="ListParagraph"/>
    <w:uiPriority w:val="34"/>
    <w:locked/>
    <w:rsid w:val="00954B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06403">
      <w:bodyDiv w:val="1"/>
      <w:marLeft w:val="0"/>
      <w:marRight w:val="0"/>
      <w:marTop w:val="0"/>
      <w:marBottom w:val="0"/>
      <w:divBdr>
        <w:top w:val="none" w:sz="0" w:space="0" w:color="auto"/>
        <w:left w:val="none" w:sz="0" w:space="0" w:color="auto"/>
        <w:bottom w:val="none" w:sz="0" w:space="0" w:color="auto"/>
        <w:right w:val="none" w:sz="0" w:space="0" w:color="auto"/>
      </w:divBdr>
      <w:divsChild>
        <w:div w:id="1517961278">
          <w:marLeft w:val="547"/>
          <w:marRight w:val="0"/>
          <w:marTop w:val="0"/>
          <w:marBottom w:val="0"/>
          <w:divBdr>
            <w:top w:val="none" w:sz="0" w:space="0" w:color="auto"/>
            <w:left w:val="none" w:sz="0" w:space="0" w:color="auto"/>
            <w:bottom w:val="none" w:sz="0" w:space="0" w:color="auto"/>
            <w:right w:val="none" w:sz="0" w:space="0" w:color="auto"/>
          </w:divBdr>
        </w:div>
      </w:divsChild>
    </w:div>
    <w:div w:id="527183981">
      <w:bodyDiv w:val="1"/>
      <w:marLeft w:val="0"/>
      <w:marRight w:val="0"/>
      <w:marTop w:val="0"/>
      <w:marBottom w:val="0"/>
      <w:divBdr>
        <w:top w:val="none" w:sz="0" w:space="0" w:color="auto"/>
        <w:left w:val="none" w:sz="0" w:space="0" w:color="auto"/>
        <w:bottom w:val="none" w:sz="0" w:space="0" w:color="auto"/>
        <w:right w:val="none" w:sz="0" w:space="0" w:color="auto"/>
      </w:divBdr>
    </w:div>
    <w:div w:id="534579720">
      <w:bodyDiv w:val="1"/>
      <w:marLeft w:val="0"/>
      <w:marRight w:val="0"/>
      <w:marTop w:val="0"/>
      <w:marBottom w:val="0"/>
      <w:divBdr>
        <w:top w:val="none" w:sz="0" w:space="0" w:color="auto"/>
        <w:left w:val="none" w:sz="0" w:space="0" w:color="auto"/>
        <w:bottom w:val="none" w:sz="0" w:space="0" w:color="auto"/>
        <w:right w:val="none" w:sz="0" w:space="0" w:color="auto"/>
      </w:divBdr>
    </w:div>
    <w:div w:id="583994324">
      <w:bodyDiv w:val="1"/>
      <w:marLeft w:val="0"/>
      <w:marRight w:val="0"/>
      <w:marTop w:val="0"/>
      <w:marBottom w:val="0"/>
      <w:divBdr>
        <w:top w:val="none" w:sz="0" w:space="0" w:color="auto"/>
        <w:left w:val="none" w:sz="0" w:space="0" w:color="auto"/>
        <w:bottom w:val="none" w:sz="0" w:space="0" w:color="auto"/>
        <w:right w:val="none" w:sz="0" w:space="0" w:color="auto"/>
      </w:divBdr>
    </w:div>
    <w:div w:id="627249792">
      <w:bodyDiv w:val="1"/>
      <w:marLeft w:val="0"/>
      <w:marRight w:val="0"/>
      <w:marTop w:val="0"/>
      <w:marBottom w:val="0"/>
      <w:divBdr>
        <w:top w:val="none" w:sz="0" w:space="0" w:color="auto"/>
        <w:left w:val="none" w:sz="0" w:space="0" w:color="auto"/>
        <w:bottom w:val="none" w:sz="0" w:space="0" w:color="auto"/>
        <w:right w:val="none" w:sz="0" w:space="0" w:color="auto"/>
      </w:divBdr>
    </w:div>
    <w:div w:id="730495408">
      <w:bodyDiv w:val="1"/>
      <w:marLeft w:val="0"/>
      <w:marRight w:val="0"/>
      <w:marTop w:val="0"/>
      <w:marBottom w:val="0"/>
      <w:divBdr>
        <w:top w:val="none" w:sz="0" w:space="0" w:color="auto"/>
        <w:left w:val="none" w:sz="0" w:space="0" w:color="auto"/>
        <w:bottom w:val="none" w:sz="0" w:space="0" w:color="auto"/>
        <w:right w:val="none" w:sz="0" w:space="0" w:color="auto"/>
      </w:divBdr>
    </w:div>
    <w:div w:id="733697411">
      <w:bodyDiv w:val="1"/>
      <w:marLeft w:val="0"/>
      <w:marRight w:val="0"/>
      <w:marTop w:val="0"/>
      <w:marBottom w:val="0"/>
      <w:divBdr>
        <w:top w:val="none" w:sz="0" w:space="0" w:color="auto"/>
        <w:left w:val="none" w:sz="0" w:space="0" w:color="auto"/>
        <w:bottom w:val="none" w:sz="0" w:space="0" w:color="auto"/>
        <w:right w:val="none" w:sz="0" w:space="0" w:color="auto"/>
      </w:divBdr>
    </w:div>
    <w:div w:id="976300579">
      <w:bodyDiv w:val="1"/>
      <w:marLeft w:val="0"/>
      <w:marRight w:val="0"/>
      <w:marTop w:val="0"/>
      <w:marBottom w:val="0"/>
      <w:divBdr>
        <w:top w:val="none" w:sz="0" w:space="0" w:color="auto"/>
        <w:left w:val="none" w:sz="0" w:space="0" w:color="auto"/>
        <w:bottom w:val="none" w:sz="0" w:space="0" w:color="auto"/>
        <w:right w:val="none" w:sz="0" w:space="0" w:color="auto"/>
      </w:divBdr>
    </w:div>
    <w:div w:id="1056859759">
      <w:bodyDiv w:val="1"/>
      <w:marLeft w:val="0"/>
      <w:marRight w:val="0"/>
      <w:marTop w:val="0"/>
      <w:marBottom w:val="0"/>
      <w:divBdr>
        <w:top w:val="none" w:sz="0" w:space="0" w:color="auto"/>
        <w:left w:val="none" w:sz="0" w:space="0" w:color="auto"/>
        <w:bottom w:val="none" w:sz="0" w:space="0" w:color="auto"/>
        <w:right w:val="none" w:sz="0" w:space="0" w:color="auto"/>
      </w:divBdr>
    </w:div>
    <w:div w:id="1243837064">
      <w:bodyDiv w:val="1"/>
      <w:marLeft w:val="0"/>
      <w:marRight w:val="0"/>
      <w:marTop w:val="0"/>
      <w:marBottom w:val="0"/>
      <w:divBdr>
        <w:top w:val="none" w:sz="0" w:space="0" w:color="auto"/>
        <w:left w:val="none" w:sz="0" w:space="0" w:color="auto"/>
        <w:bottom w:val="none" w:sz="0" w:space="0" w:color="auto"/>
        <w:right w:val="none" w:sz="0" w:space="0" w:color="auto"/>
      </w:divBdr>
    </w:div>
    <w:div w:id="1381981081">
      <w:bodyDiv w:val="1"/>
      <w:marLeft w:val="0"/>
      <w:marRight w:val="0"/>
      <w:marTop w:val="0"/>
      <w:marBottom w:val="0"/>
      <w:divBdr>
        <w:top w:val="none" w:sz="0" w:space="0" w:color="auto"/>
        <w:left w:val="none" w:sz="0" w:space="0" w:color="auto"/>
        <w:bottom w:val="none" w:sz="0" w:space="0" w:color="auto"/>
        <w:right w:val="none" w:sz="0" w:space="0" w:color="auto"/>
      </w:divBdr>
    </w:div>
    <w:div w:id="1555895405">
      <w:bodyDiv w:val="1"/>
      <w:marLeft w:val="0"/>
      <w:marRight w:val="0"/>
      <w:marTop w:val="0"/>
      <w:marBottom w:val="0"/>
      <w:divBdr>
        <w:top w:val="none" w:sz="0" w:space="0" w:color="auto"/>
        <w:left w:val="none" w:sz="0" w:space="0" w:color="auto"/>
        <w:bottom w:val="none" w:sz="0" w:space="0" w:color="auto"/>
        <w:right w:val="none" w:sz="0" w:space="0" w:color="auto"/>
      </w:divBdr>
    </w:div>
    <w:div w:id="1652175298">
      <w:bodyDiv w:val="1"/>
      <w:marLeft w:val="0"/>
      <w:marRight w:val="0"/>
      <w:marTop w:val="0"/>
      <w:marBottom w:val="0"/>
      <w:divBdr>
        <w:top w:val="none" w:sz="0" w:space="0" w:color="auto"/>
        <w:left w:val="none" w:sz="0" w:space="0" w:color="auto"/>
        <w:bottom w:val="none" w:sz="0" w:space="0" w:color="auto"/>
        <w:right w:val="none" w:sz="0" w:space="0" w:color="auto"/>
      </w:divBdr>
    </w:div>
    <w:div w:id="1796754367">
      <w:bodyDiv w:val="1"/>
      <w:marLeft w:val="0"/>
      <w:marRight w:val="0"/>
      <w:marTop w:val="0"/>
      <w:marBottom w:val="0"/>
      <w:divBdr>
        <w:top w:val="none" w:sz="0" w:space="0" w:color="auto"/>
        <w:left w:val="none" w:sz="0" w:space="0" w:color="auto"/>
        <w:bottom w:val="none" w:sz="0" w:space="0" w:color="auto"/>
        <w:right w:val="none" w:sz="0" w:space="0" w:color="auto"/>
      </w:divBdr>
    </w:div>
    <w:div w:id="1858764748">
      <w:bodyDiv w:val="1"/>
      <w:marLeft w:val="0"/>
      <w:marRight w:val="0"/>
      <w:marTop w:val="0"/>
      <w:marBottom w:val="0"/>
      <w:divBdr>
        <w:top w:val="none" w:sz="0" w:space="0" w:color="auto"/>
        <w:left w:val="none" w:sz="0" w:space="0" w:color="auto"/>
        <w:bottom w:val="none" w:sz="0" w:space="0" w:color="auto"/>
        <w:right w:val="none" w:sz="0" w:space="0" w:color="auto"/>
      </w:divBdr>
    </w:div>
    <w:div w:id="21130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QFR%20document%20templates\Technic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B0E3B0D06D490F98DD71B34FD06902"/>
        <w:category>
          <w:name w:val="General"/>
          <w:gallery w:val="placeholder"/>
        </w:category>
        <w:types>
          <w:type w:val="bbPlcHdr"/>
        </w:types>
        <w:behaviors>
          <w:behavior w:val="content"/>
        </w:behaviors>
        <w:guid w:val="{C99F0BF2-5AA3-49D3-9937-9F0A2C38591F}"/>
      </w:docPartPr>
      <w:docPartBody>
        <w:p w:rsidR="008D122A" w:rsidRDefault="006D7C68">
          <w:r w:rsidRPr="0073192D">
            <w:rPr>
              <w:rStyle w:val="PlaceholderText"/>
            </w:rPr>
            <w:t>[Subject]</w:t>
          </w:r>
        </w:p>
      </w:docPartBody>
    </w:docPart>
    <w:docPart>
      <w:docPartPr>
        <w:name w:val="D1576BDEBD7B47C2B9E7F17654047C81"/>
        <w:category>
          <w:name w:val="General"/>
          <w:gallery w:val="placeholder"/>
        </w:category>
        <w:types>
          <w:type w:val="bbPlcHdr"/>
        </w:types>
        <w:behaviors>
          <w:behavior w:val="content"/>
        </w:behaviors>
        <w:guid w:val="{A59747D5-9403-4A68-A0ED-8C01132EB9DF}"/>
      </w:docPartPr>
      <w:docPartBody>
        <w:p w:rsidR="00D31B89" w:rsidRDefault="00815470" w:rsidP="00815470">
          <w:pPr>
            <w:pStyle w:val="D1576BDEBD7B47C2B9E7F17654047C81"/>
          </w:pPr>
          <w:r w:rsidRPr="0073192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7C68"/>
    <w:rsid w:val="000071E2"/>
    <w:rsid w:val="000670D8"/>
    <w:rsid w:val="000676CF"/>
    <w:rsid w:val="002238ED"/>
    <w:rsid w:val="00244993"/>
    <w:rsid w:val="00351873"/>
    <w:rsid w:val="003A61D0"/>
    <w:rsid w:val="00482BD4"/>
    <w:rsid w:val="004D00FB"/>
    <w:rsid w:val="004D140B"/>
    <w:rsid w:val="005006AE"/>
    <w:rsid w:val="00503F62"/>
    <w:rsid w:val="005B3231"/>
    <w:rsid w:val="006D7C68"/>
    <w:rsid w:val="007C1BA1"/>
    <w:rsid w:val="00815470"/>
    <w:rsid w:val="00834ADF"/>
    <w:rsid w:val="00884592"/>
    <w:rsid w:val="00891B74"/>
    <w:rsid w:val="008D122A"/>
    <w:rsid w:val="00AB1348"/>
    <w:rsid w:val="00B16C71"/>
    <w:rsid w:val="00B60E93"/>
    <w:rsid w:val="00B92F47"/>
    <w:rsid w:val="00C24229"/>
    <w:rsid w:val="00CA7AC7"/>
    <w:rsid w:val="00CB4665"/>
    <w:rsid w:val="00CC5EEC"/>
    <w:rsid w:val="00CF1ACC"/>
    <w:rsid w:val="00D31B89"/>
    <w:rsid w:val="00DB758D"/>
    <w:rsid w:val="00DE3111"/>
    <w:rsid w:val="00E17356"/>
    <w:rsid w:val="00E824C7"/>
    <w:rsid w:val="00EA417F"/>
    <w:rsid w:val="00EC1D22"/>
    <w:rsid w:val="00F21DF0"/>
    <w:rsid w:val="00F57AD1"/>
    <w:rsid w:val="00FA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EEC"/>
    <w:rPr>
      <w:color w:val="808080"/>
    </w:rPr>
  </w:style>
  <w:style w:type="paragraph" w:customStyle="1" w:styleId="FFCDAE8495724E37A0CFAFD91A38BDDF">
    <w:name w:val="FFCDAE8495724E37A0CFAFD91A38BDDF"/>
    <w:rsid w:val="00482BD4"/>
  </w:style>
  <w:style w:type="paragraph" w:customStyle="1" w:styleId="D1576BDEBD7B47C2B9E7F17654047C81">
    <w:name w:val="D1576BDEBD7B47C2B9E7F17654047C81"/>
    <w:rsid w:val="00815470"/>
  </w:style>
  <w:style w:type="paragraph" w:customStyle="1" w:styleId="748E81CF7109422BBF79D5DAA69D8926">
    <w:name w:val="748E81CF7109422BBF79D5DAA69D8926"/>
    <w:rsid w:val="00CC5EEC"/>
  </w:style>
  <w:style w:type="paragraph" w:customStyle="1" w:styleId="6AA8F93FC8CB4E7EA15D3564298F8D4C">
    <w:name w:val="6AA8F93FC8CB4E7EA15D3564298F8D4C"/>
    <w:rsid w:val="00CC5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418E-51AC-4EDF-AB54-AD938E0C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report</Template>
  <TotalTime>12</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HUNTER CHAUCER PROGRAMME</vt:lpstr>
    </vt:vector>
  </TitlesOfParts>
  <Company>FCO</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 CHAUCER PROGRAMME</dc:title>
  <dc:subject>Benefits Realisation Summary FY 2019 - 2020</dc:subject>
  <dc:creator>Andy Derby</dc:creator>
  <cp:lastModifiedBy>Soliman Ramy</cp:lastModifiedBy>
  <cp:revision>4</cp:revision>
  <cp:lastPrinted>2019-07-23T11:33:00Z</cp:lastPrinted>
  <dcterms:created xsi:type="dcterms:W3CDTF">2020-06-05T07:55:00Z</dcterms:created>
  <dcterms:modified xsi:type="dcterms:W3CDTF">2020-06-05T08:21:00Z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ies>
</file>