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5E" w:rsidRPr="002C625A" w:rsidRDefault="00010B5E" w:rsidP="00010B5E">
      <w:pPr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EA1277" w:rsidRPr="002C625A" w:rsidRDefault="00EA1277" w:rsidP="00010B5E">
      <w:pPr>
        <w:rPr>
          <w:rFonts w:ascii="Arial" w:hAnsi="Arial" w:cs="Arial"/>
          <w:b/>
          <w:noProof/>
          <w:color w:val="FF0000"/>
          <w:sz w:val="20"/>
          <w:szCs w:val="20"/>
        </w:rPr>
      </w:pPr>
    </w:p>
    <w:p w:rsidR="007E0F76" w:rsidRPr="002C625A" w:rsidRDefault="007E0F76" w:rsidP="007E0F76">
      <w:pPr>
        <w:rPr>
          <w:rFonts w:ascii="Arial" w:hAnsi="Arial" w:cs="Arial"/>
        </w:rPr>
      </w:pPr>
    </w:p>
    <w:p w:rsidR="007E0F76" w:rsidRDefault="007E0F76" w:rsidP="007E0F76">
      <w:pPr>
        <w:rPr>
          <w:rFonts w:ascii="Arial" w:hAnsi="Arial" w:cs="Arial"/>
        </w:rPr>
      </w:pPr>
    </w:p>
    <w:p w:rsidR="00A07E4A" w:rsidRDefault="00A07E4A" w:rsidP="007E0F76">
      <w:pPr>
        <w:rPr>
          <w:rFonts w:ascii="Arial" w:hAnsi="Arial" w:cs="Arial"/>
        </w:rPr>
      </w:pPr>
    </w:p>
    <w:p w:rsidR="00A07E4A" w:rsidRDefault="00A07E4A" w:rsidP="007E0F76">
      <w:pPr>
        <w:rPr>
          <w:rFonts w:ascii="Arial" w:hAnsi="Arial" w:cs="Arial"/>
        </w:rPr>
      </w:pPr>
    </w:p>
    <w:p w:rsidR="00A07E4A" w:rsidRDefault="00A07E4A" w:rsidP="007E0F76">
      <w:pPr>
        <w:rPr>
          <w:rFonts w:ascii="Arial" w:hAnsi="Arial" w:cs="Arial"/>
        </w:rPr>
      </w:pPr>
    </w:p>
    <w:p w:rsidR="00A07E4A" w:rsidRDefault="00A07E4A" w:rsidP="007E0F76">
      <w:pPr>
        <w:rPr>
          <w:rFonts w:ascii="Arial" w:hAnsi="Arial" w:cs="Arial"/>
        </w:rPr>
      </w:pPr>
    </w:p>
    <w:p w:rsidR="00A07E4A" w:rsidRPr="002C625A" w:rsidRDefault="00A07E4A" w:rsidP="007E0F76">
      <w:pPr>
        <w:rPr>
          <w:rFonts w:ascii="Arial" w:hAnsi="Arial" w:cs="Arial"/>
        </w:rPr>
      </w:pPr>
    </w:p>
    <w:p w:rsidR="007E0F76" w:rsidRPr="002C625A" w:rsidRDefault="00667A88" w:rsidP="00A07E4A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159385</wp:posOffset>
                </wp:positionV>
                <wp:extent cx="5600700" cy="20872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" name="Content Placeholder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00700" cy="2087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5922" w:rsidRPr="002C625A" w:rsidRDefault="001D5922" w:rsidP="007E0F76">
                            <w:pPr>
                              <w:pStyle w:val="NormalWeb"/>
                              <w:spacing w:before="154" w:beforeAutospacing="0" w:after="0" w:afterAutospacing="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  <w:t>Hunter Chaucer Programme</w:t>
                            </w:r>
                          </w:p>
                          <w:p w:rsidR="001D5922" w:rsidRPr="00C7210C" w:rsidRDefault="001D5922" w:rsidP="008B2310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56"/>
                                <w:lang w:val="en-GB"/>
                              </w:rPr>
                              <w:t>Governance Framework</w:t>
                            </w:r>
                            <w:r w:rsidR="00016DD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56"/>
                                <w:lang w:val="en-GB"/>
                              </w:rPr>
                              <w:t xml:space="preserve"> Summary (Programme Plan)</w:t>
                            </w:r>
                            <w:r w:rsidRPr="00C721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56"/>
                                <w:lang w:val="en-GB"/>
                              </w:rPr>
                              <w:t xml:space="preserve"> </w:t>
                            </w:r>
                          </w:p>
                          <w:p w:rsidR="001D5922" w:rsidRPr="00C7210C" w:rsidRDefault="001D5922" w:rsidP="007E0F76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lIns="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ent Placeholder 6" o:spid="_x0000_s1026" style="position:absolute;margin-left:4pt;margin-top:12.55pt;width:441pt;height:16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" filled="f" stroked="f">
                <o:lock v:ext="edit" grouping="t"/>
                <v:textbox inset="0">
                  <w:txbxContent>
                    <w:p w:rsidR="001D5922" w:rsidRPr="002C625A" w:rsidRDefault="001D5922" w:rsidP="007E0F76">
                      <w:pPr>
                        <w:pStyle w:val="NormalWeb"/>
                        <w:spacing w:before="154" w:beforeAutospacing="0" w:after="0" w:afterAutospacing="0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lang w:val="en-GB"/>
                        </w:rPr>
                        <w:t>Hunter Chaucer Programme</w:t>
                      </w:r>
                    </w:p>
                    <w:p w:rsidR="001D5922" w:rsidRPr="00C7210C" w:rsidRDefault="001D5922" w:rsidP="008B2310">
                      <w:pPr>
                        <w:pStyle w:val="NormalWeb"/>
                        <w:spacing w:before="115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56"/>
                          <w:lang w:val="en-GB"/>
                        </w:rPr>
                        <w:t>Governance Framework</w:t>
                      </w:r>
                      <w:r w:rsidR="00016DDB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56"/>
                          <w:lang w:val="en-GB"/>
                        </w:rPr>
                        <w:t xml:space="preserve"> Summary (Programme Plan)</w:t>
                      </w:r>
                      <w:r w:rsidRPr="00C7210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48"/>
                          <w:szCs w:val="56"/>
                          <w:lang w:val="en-GB"/>
                        </w:rPr>
                        <w:t xml:space="preserve"> </w:t>
                      </w:r>
                    </w:p>
                    <w:p w:rsidR="001D5922" w:rsidRPr="00C7210C" w:rsidRDefault="001D5922" w:rsidP="007E0F76">
                      <w:pPr>
                        <w:pStyle w:val="NormalWeb"/>
                        <w:spacing w:before="115" w:beforeAutospacing="0" w:after="0" w:afterAutospacing="0"/>
                        <w:rPr>
                          <w:rFonts w:ascii="Arial" w:hAnsi="Arial" w:cs="Arial"/>
                          <w:sz w:val="36"/>
                          <w:szCs w:val="5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7E0F76" w:rsidRPr="002C625A" w:rsidRDefault="007E0F76" w:rsidP="007E0F76">
      <w:pPr>
        <w:rPr>
          <w:rFonts w:ascii="Arial" w:hAnsi="Arial" w:cs="Arial"/>
        </w:rPr>
      </w:pPr>
    </w:p>
    <w:p w:rsidR="007E0F76" w:rsidRPr="002C625A" w:rsidRDefault="007E0F76" w:rsidP="007E0F76">
      <w:pPr>
        <w:rPr>
          <w:rFonts w:ascii="Arial" w:hAnsi="Arial" w:cs="Arial"/>
        </w:rPr>
      </w:pPr>
    </w:p>
    <w:p w:rsidR="007E0F76" w:rsidRPr="002C625A" w:rsidRDefault="007E0F76" w:rsidP="007E0F76">
      <w:pPr>
        <w:jc w:val="right"/>
        <w:rPr>
          <w:rFonts w:ascii="Arial" w:hAnsi="Arial" w:cs="Arial"/>
        </w:rPr>
      </w:pPr>
    </w:p>
    <w:p w:rsidR="007E0F76" w:rsidRPr="002C625A" w:rsidRDefault="00F67AEA" w:rsidP="007E0F76">
      <w:pPr>
        <w:jc w:val="right"/>
        <w:rPr>
          <w:rFonts w:ascii="Arial" w:hAnsi="Arial" w:cs="Arial"/>
        </w:rPr>
      </w:pPr>
      <w:r w:rsidRPr="002C625A">
        <w:rPr>
          <w:rFonts w:ascii="Arial" w:hAnsi="Arial" w:cs="Arial"/>
          <w:noProof/>
        </w:rPr>
        <w:drawing>
          <wp:inline distT="0" distB="0" distL="0" distR="0">
            <wp:extent cx="5725795" cy="3307715"/>
            <wp:effectExtent l="0" t="0" r="0" b="0"/>
            <wp:docPr id="8" name="Picture 3" descr="C:\Users\charles.graham\Desktop\Qatar\+ SKYLINE_v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es.graham\Desktop\Qatar\+ SKYLINE_v2-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29" b="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76" w:rsidRPr="002C625A" w:rsidRDefault="007E0F76" w:rsidP="007E0F76">
      <w:pPr>
        <w:jc w:val="right"/>
        <w:rPr>
          <w:rFonts w:ascii="Arial" w:hAnsi="Arial" w:cs="Arial"/>
        </w:rPr>
      </w:pPr>
    </w:p>
    <w:p w:rsidR="007E0F76" w:rsidRPr="002C625A" w:rsidRDefault="00F67AEA" w:rsidP="007E0F76">
      <w:pPr>
        <w:jc w:val="right"/>
        <w:rPr>
          <w:rFonts w:ascii="Arial" w:hAnsi="Arial" w:cs="Arial"/>
        </w:rPr>
      </w:pPr>
      <w:r w:rsidRPr="002C625A">
        <w:rPr>
          <w:rFonts w:ascii="Arial" w:hAnsi="Arial" w:cs="Arial"/>
          <w:noProof/>
        </w:rPr>
        <w:drawing>
          <wp:inline distT="0" distB="0" distL="0" distR="0">
            <wp:extent cx="1908810" cy="429895"/>
            <wp:effectExtent l="0" t="0" r="0" b="0"/>
            <wp:docPr id="7" name="Picture 4" descr="F:\COSI_SHR\Publications Print and Design\Brand Management\Home Office\Templates\New\PowerPoint\Home Office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SI_SHR\Publications Print and Design\Brand Management\Home Office\Templates\New\PowerPoint\Home Office horizonta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77" w:rsidRPr="002C625A" w:rsidRDefault="00EA1277" w:rsidP="00010B5E">
      <w:pPr>
        <w:rPr>
          <w:rFonts w:ascii="Arial" w:hAnsi="Arial" w:cs="Arial"/>
          <w:b/>
          <w:color w:val="FF0000"/>
          <w:sz w:val="20"/>
          <w:szCs w:val="20"/>
        </w:rPr>
      </w:pPr>
    </w:p>
    <w:p w:rsidR="00EA4B7A" w:rsidRDefault="00EA4B7A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:rsidR="000C6A23" w:rsidRDefault="000C6A23" w:rsidP="00010B5E">
      <w:pPr>
        <w:rPr>
          <w:rFonts w:ascii="Arial" w:hAnsi="Arial" w:cs="Arial"/>
          <w:b/>
          <w:color w:val="7030A0"/>
          <w:sz w:val="28"/>
          <w:szCs w:val="28"/>
        </w:rPr>
      </w:pPr>
    </w:p>
    <w:p w:rsidR="00684418" w:rsidRPr="00F67AEA" w:rsidRDefault="00625EAC" w:rsidP="003B33C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Introduction</w:t>
      </w:r>
    </w:p>
    <w:p w:rsidR="00283AF6" w:rsidRDefault="00283AF6" w:rsidP="00A622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556D62" w:rsidRPr="00EE4654" w:rsidRDefault="00556D62" w:rsidP="00556D62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b/>
          <w:color w:val="7030A0"/>
          <w:sz w:val="26"/>
          <w:szCs w:val="26"/>
        </w:rPr>
      </w:pPr>
      <w:r>
        <w:rPr>
          <w:rFonts w:ascii="Arial" w:hAnsi="Arial" w:cs="Arial"/>
          <w:b/>
          <w:color w:val="7030A0"/>
          <w:sz w:val="26"/>
          <w:szCs w:val="26"/>
        </w:rPr>
        <w:t>Forew</w:t>
      </w:r>
      <w:r w:rsidR="00EA0D27">
        <w:rPr>
          <w:rFonts w:ascii="Arial" w:hAnsi="Arial" w:cs="Arial"/>
          <w:b/>
          <w:color w:val="7030A0"/>
          <w:sz w:val="26"/>
          <w:szCs w:val="26"/>
        </w:rPr>
        <w:t>o</w:t>
      </w:r>
      <w:r>
        <w:rPr>
          <w:rFonts w:ascii="Arial" w:hAnsi="Arial" w:cs="Arial"/>
          <w:b/>
          <w:color w:val="7030A0"/>
          <w:sz w:val="26"/>
          <w:szCs w:val="26"/>
        </w:rPr>
        <w:t>rd</w:t>
      </w:r>
    </w:p>
    <w:p w:rsidR="00556D62" w:rsidRDefault="00556D62" w:rsidP="00556D62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</w:p>
    <w:p w:rsidR="00BC028D" w:rsidRDefault="00556D62" w:rsidP="00556D62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Governance Framework (GF) exclusively covers activities undertake</w:t>
      </w:r>
      <w:r w:rsidR="00030EC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as part of the Hunter Chaucer Programme</w:t>
      </w:r>
      <w:r w:rsidR="005006D2">
        <w:rPr>
          <w:rFonts w:ascii="Arial" w:hAnsi="Arial" w:cs="Arial"/>
          <w:sz w:val="22"/>
          <w:szCs w:val="22"/>
        </w:rPr>
        <w:t xml:space="preserve"> (HCP)</w:t>
      </w:r>
      <w:r>
        <w:rPr>
          <w:rFonts w:ascii="Arial" w:hAnsi="Arial" w:cs="Arial"/>
          <w:sz w:val="22"/>
          <w:szCs w:val="22"/>
        </w:rPr>
        <w:t>. It is not intended to inform on operating as a Government business unit – its purpose is to set out the broad requirements and guiding principles in governing a major prog</w:t>
      </w:r>
      <w:r w:rsidR="00BC028D">
        <w:rPr>
          <w:rFonts w:ascii="Arial" w:hAnsi="Arial" w:cs="Arial"/>
          <w:sz w:val="22"/>
          <w:szCs w:val="22"/>
        </w:rPr>
        <w:t>ramme funded by the Official Development Assistance</w:t>
      </w:r>
      <w:r w:rsidR="005006D2">
        <w:rPr>
          <w:rFonts w:ascii="Arial" w:hAnsi="Arial" w:cs="Arial"/>
          <w:sz w:val="22"/>
          <w:szCs w:val="22"/>
        </w:rPr>
        <w:t xml:space="preserve"> (ODA)</w:t>
      </w:r>
      <w:r w:rsidR="00BC028D">
        <w:rPr>
          <w:rFonts w:ascii="Arial" w:hAnsi="Arial" w:cs="Arial"/>
          <w:sz w:val="22"/>
          <w:szCs w:val="22"/>
        </w:rPr>
        <w:t xml:space="preserve">. </w:t>
      </w:r>
    </w:p>
    <w:p w:rsidR="002D2817" w:rsidRDefault="002D2817" w:rsidP="00556D62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</w:p>
    <w:p w:rsidR="00BC028D" w:rsidRDefault="00BC028D" w:rsidP="00556D62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GF should be the first point of reference for: </w:t>
      </w:r>
    </w:p>
    <w:p w:rsidR="00BC028D" w:rsidRDefault="00BC028D" w:rsidP="00556D62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</w:p>
    <w:p w:rsidR="00BC028D" w:rsidRDefault="00BC028D" w:rsidP="00BC028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for any internal or external audit of </w:t>
      </w:r>
      <w:r w:rsidR="005006D2">
        <w:rPr>
          <w:rFonts w:cs="Arial"/>
          <w:sz w:val="22"/>
        </w:rPr>
        <w:t xml:space="preserve">the </w:t>
      </w:r>
      <w:r>
        <w:rPr>
          <w:rFonts w:cs="Arial"/>
          <w:sz w:val="22"/>
        </w:rPr>
        <w:t>HCP governance and associated activities</w:t>
      </w:r>
    </w:p>
    <w:p w:rsidR="00BC028D" w:rsidRPr="00BC028D" w:rsidRDefault="00BC028D" w:rsidP="00BC028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senior management guidance on governance requirements for the HC Programme  </w:t>
      </w:r>
    </w:p>
    <w:p w:rsidR="00193AA0" w:rsidRDefault="00BC028D" w:rsidP="00556D62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0671D">
        <w:rPr>
          <w:rFonts w:ascii="Arial" w:hAnsi="Arial" w:cs="Arial"/>
          <w:sz w:val="22"/>
          <w:szCs w:val="22"/>
        </w:rPr>
        <w:t>GF contributes to, but does not add</w:t>
      </w:r>
      <w:r w:rsidR="005006D2">
        <w:rPr>
          <w:rFonts w:ascii="Arial" w:hAnsi="Arial" w:cs="Arial"/>
          <w:sz w:val="22"/>
          <w:szCs w:val="22"/>
        </w:rPr>
        <w:t>,</w:t>
      </w:r>
      <w:r w:rsidR="0050671D">
        <w:rPr>
          <w:rFonts w:ascii="Arial" w:hAnsi="Arial" w:cs="Arial"/>
          <w:sz w:val="22"/>
          <w:szCs w:val="22"/>
        </w:rPr>
        <w:t xml:space="preserve"> specific advice in areas such as v</w:t>
      </w:r>
      <w:r w:rsidR="00CF6CDD">
        <w:rPr>
          <w:rFonts w:ascii="Arial" w:hAnsi="Arial" w:cs="Arial"/>
          <w:sz w:val="22"/>
          <w:szCs w:val="22"/>
        </w:rPr>
        <w:t>alue for money</w:t>
      </w:r>
      <w:r w:rsidR="0050671D">
        <w:rPr>
          <w:rFonts w:ascii="Arial" w:hAnsi="Arial" w:cs="Arial"/>
          <w:sz w:val="22"/>
          <w:szCs w:val="22"/>
        </w:rPr>
        <w:t xml:space="preserve">, formal audit requirements, accountability and managing public money. These are set out in other documents which should be referred to outside this </w:t>
      </w:r>
      <w:r w:rsidR="005006D2">
        <w:rPr>
          <w:rFonts w:ascii="Arial" w:hAnsi="Arial" w:cs="Arial"/>
          <w:sz w:val="22"/>
          <w:szCs w:val="22"/>
        </w:rPr>
        <w:t>GF</w:t>
      </w:r>
      <w:r w:rsidR="0050671D">
        <w:rPr>
          <w:rFonts w:ascii="Arial" w:hAnsi="Arial" w:cs="Arial"/>
          <w:sz w:val="22"/>
          <w:szCs w:val="22"/>
        </w:rPr>
        <w:t>.</w:t>
      </w:r>
    </w:p>
    <w:p w:rsidR="00CF6CDD" w:rsidRDefault="00CF6CDD" w:rsidP="00A622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50671D" w:rsidRDefault="0050671D" w:rsidP="0050671D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Finally, whilst the GF includes reporting on operating costs</w:t>
      </w:r>
      <w:r w:rsidR="00EE4F19">
        <w:rPr>
          <w:rFonts w:ascii="Arial" w:hAnsi="Arial" w:cs="Arial"/>
          <w:sz w:val="22"/>
          <w:szCs w:val="22"/>
        </w:rPr>
        <w:t xml:space="preserve"> and programme management</w:t>
      </w:r>
      <w:r>
        <w:rPr>
          <w:rFonts w:ascii="Arial" w:hAnsi="Arial" w:cs="Arial"/>
          <w:sz w:val="22"/>
          <w:szCs w:val="22"/>
        </w:rPr>
        <w:t>, the GF does not cover any governance requirements on the day to day management of the HCP, i.e. that typically linked to managing</w:t>
      </w:r>
      <w:r w:rsidR="00EE4F19">
        <w:rPr>
          <w:rFonts w:ascii="Arial" w:hAnsi="Arial" w:cs="Arial"/>
          <w:sz w:val="22"/>
          <w:szCs w:val="22"/>
        </w:rPr>
        <w:t xml:space="preserve"> an HMG department, business unit or team.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F6CDD" w:rsidRPr="00193AA0" w:rsidRDefault="00CF6CDD" w:rsidP="00A622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A62221" w:rsidRPr="00EE4654" w:rsidRDefault="00731C70" w:rsidP="003B33CA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b/>
          <w:color w:val="7030A0"/>
          <w:sz w:val="26"/>
          <w:szCs w:val="26"/>
        </w:rPr>
      </w:pPr>
      <w:r w:rsidRPr="00EE4654">
        <w:rPr>
          <w:rFonts w:ascii="Arial" w:hAnsi="Arial" w:cs="Arial"/>
          <w:b/>
          <w:color w:val="7030A0"/>
          <w:sz w:val="26"/>
          <w:szCs w:val="26"/>
        </w:rPr>
        <w:t>Background</w:t>
      </w:r>
    </w:p>
    <w:p w:rsidR="007915AF" w:rsidRDefault="007915AF" w:rsidP="003B33CA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</w:p>
    <w:p w:rsidR="007915AF" w:rsidRPr="00EE4654" w:rsidRDefault="007915AF" w:rsidP="003B33CA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b/>
        </w:rPr>
      </w:pPr>
      <w:r w:rsidRPr="00EE4654">
        <w:rPr>
          <w:rFonts w:ascii="Arial" w:hAnsi="Arial" w:cs="Arial"/>
          <w:b/>
        </w:rPr>
        <w:t>Pre Hunter Chaucer</w:t>
      </w:r>
    </w:p>
    <w:p w:rsidR="00D1455E" w:rsidRPr="00F67AEA" w:rsidRDefault="00D1455E" w:rsidP="003B33CA">
      <w:pPr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 w:rsidRPr="00F67AEA">
        <w:rPr>
          <w:rFonts w:ascii="Arial" w:hAnsi="Arial" w:cs="Arial"/>
          <w:sz w:val="22"/>
          <w:szCs w:val="22"/>
        </w:rPr>
        <w:tab/>
      </w:r>
    </w:p>
    <w:p w:rsidR="007915AF" w:rsidRDefault="007915AF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Border Force International (BFI) was </w:t>
      </w:r>
      <w:r w:rsidR="00436512">
        <w:rPr>
          <w:rFonts w:ascii="Arial" w:hAnsi="Arial" w:cs="Arial"/>
          <w:bCs/>
          <w:sz w:val="22"/>
        </w:rPr>
        <w:t xml:space="preserve">originally </w:t>
      </w:r>
      <w:r>
        <w:rPr>
          <w:rFonts w:ascii="Arial" w:hAnsi="Arial" w:cs="Arial"/>
          <w:bCs/>
          <w:sz w:val="22"/>
        </w:rPr>
        <w:t>established in 2000 when it deployed officers to Pakistan. The operation involved officers working with Pakistani Customs, identifying prohibited goods or harmful individuals transiting the country.</w:t>
      </w:r>
      <w:r w:rsidR="005006D2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In 2001, using lessons and concepts developed above, officers were deployed on long term postings to Jamaica and in 2015, operations expanded across other Caribbean territories.</w:t>
      </w:r>
      <w:r w:rsidR="00791EE6">
        <w:rPr>
          <w:rFonts w:ascii="Arial" w:hAnsi="Arial" w:cs="Arial"/>
          <w:bCs/>
          <w:sz w:val="22"/>
        </w:rPr>
        <w:t xml:space="preserve"> </w:t>
      </w:r>
      <w:r w:rsidR="005006D2">
        <w:rPr>
          <w:rFonts w:ascii="Arial" w:hAnsi="Arial" w:cs="Arial"/>
          <w:bCs/>
          <w:sz w:val="22"/>
        </w:rPr>
        <w:t>I</w:t>
      </w:r>
      <w:r>
        <w:rPr>
          <w:rFonts w:ascii="Arial" w:hAnsi="Arial" w:cs="Arial"/>
          <w:bCs/>
          <w:sz w:val="22"/>
        </w:rPr>
        <w:t>n 2006, BFI operations were set up in Ghana and expanded across wider territories in West Africa.</w:t>
      </w:r>
    </w:p>
    <w:p w:rsidR="007915AF" w:rsidRDefault="007915AF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</w:p>
    <w:p w:rsidR="003C169B" w:rsidRDefault="005006D2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Building on all the above, i</w:t>
      </w:r>
      <w:r w:rsidR="007915AF">
        <w:rPr>
          <w:rFonts w:ascii="Arial" w:hAnsi="Arial" w:cs="Arial"/>
          <w:bCs/>
          <w:sz w:val="22"/>
        </w:rPr>
        <w:t xml:space="preserve">n January 2016, </w:t>
      </w:r>
      <w:r w:rsidR="003C169B">
        <w:rPr>
          <w:rFonts w:ascii="Arial" w:hAnsi="Arial" w:cs="Arial"/>
          <w:bCs/>
          <w:sz w:val="22"/>
        </w:rPr>
        <w:t xml:space="preserve">as part of the HM Treasury </w:t>
      </w:r>
      <w:r>
        <w:rPr>
          <w:rFonts w:ascii="Arial" w:hAnsi="Arial" w:cs="Arial"/>
          <w:bCs/>
          <w:sz w:val="22"/>
        </w:rPr>
        <w:t xml:space="preserve">(HMT) </w:t>
      </w:r>
      <w:r w:rsidR="003C169B">
        <w:rPr>
          <w:rFonts w:ascii="Arial" w:hAnsi="Arial" w:cs="Arial"/>
          <w:bCs/>
          <w:sz w:val="22"/>
        </w:rPr>
        <w:t xml:space="preserve">Spending Review </w:t>
      </w:r>
      <w:r w:rsidR="00791EE6">
        <w:rPr>
          <w:rFonts w:ascii="Arial" w:hAnsi="Arial" w:cs="Arial"/>
          <w:bCs/>
          <w:sz w:val="22"/>
        </w:rPr>
        <w:t>20</w:t>
      </w:r>
      <w:r w:rsidR="003C169B">
        <w:rPr>
          <w:rFonts w:ascii="Arial" w:hAnsi="Arial" w:cs="Arial"/>
          <w:bCs/>
          <w:sz w:val="22"/>
        </w:rPr>
        <w:t>15</w:t>
      </w:r>
      <w:r w:rsidR="00333842">
        <w:rPr>
          <w:rFonts w:ascii="Arial" w:hAnsi="Arial" w:cs="Arial"/>
          <w:bCs/>
          <w:sz w:val="22"/>
        </w:rPr>
        <w:t xml:space="preserve"> (SR 15)</w:t>
      </w:r>
      <w:r w:rsidR="003C169B">
        <w:rPr>
          <w:rFonts w:ascii="Arial" w:hAnsi="Arial" w:cs="Arial"/>
          <w:bCs/>
          <w:sz w:val="22"/>
        </w:rPr>
        <w:t xml:space="preserve">, </w:t>
      </w:r>
      <w:r w:rsidR="007915AF">
        <w:rPr>
          <w:rFonts w:ascii="Arial" w:hAnsi="Arial" w:cs="Arial"/>
          <w:bCs/>
          <w:sz w:val="22"/>
        </w:rPr>
        <w:t>BFI secured ODA funding of £12</w:t>
      </w:r>
      <w:r w:rsidR="00EE4654">
        <w:rPr>
          <w:rFonts w:ascii="Arial" w:hAnsi="Arial" w:cs="Arial"/>
          <w:bCs/>
          <w:sz w:val="22"/>
        </w:rPr>
        <w:t>4.</w:t>
      </w:r>
      <w:r w:rsidR="007915AF">
        <w:rPr>
          <w:rFonts w:ascii="Arial" w:hAnsi="Arial" w:cs="Arial"/>
          <w:bCs/>
          <w:sz w:val="22"/>
        </w:rPr>
        <w:t>5m over 5 years (FY 2016-17 to FY 20-21)</w:t>
      </w:r>
      <w:r w:rsidR="002C633E">
        <w:rPr>
          <w:rFonts w:ascii="Arial" w:hAnsi="Arial" w:cs="Arial"/>
          <w:bCs/>
          <w:sz w:val="22"/>
        </w:rPr>
        <w:t xml:space="preserve"> to develop targeting and profiling</w:t>
      </w:r>
      <w:r w:rsidR="003C169B">
        <w:rPr>
          <w:rFonts w:ascii="Arial" w:hAnsi="Arial" w:cs="Arial"/>
          <w:bCs/>
          <w:sz w:val="22"/>
        </w:rPr>
        <w:t xml:space="preserve"> systems throughout developing countries that qualify for ODA funding.</w:t>
      </w:r>
    </w:p>
    <w:p w:rsidR="003C169B" w:rsidRDefault="003C169B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</w:p>
    <w:p w:rsidR="003C169B" w:rsidRDefault="003C169B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SR 15 funding covered two specific projects and therefore two specific submissions for funding: Project Hunter and Project Chaucer.</w:t>
      </w:r>
    </w:p>
    <w:p w:rsidR="003C169B" w:rsidRDefault="003C169B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</w:p>
    <w:p w:rsidR="003C169B" w:rsidRPr="003C169B" w:rsidRDefault="003C169B" w:rsidP="003B33CA">
      <w:pPr>
        <w:autoSpaceDE w:val="0"/>
        <w:autoSpaceDN w:val="0"/>
        <w:ind w:left="426"/>
        <w:jc w:val="both"/>
        <w:rPr>
          <w:rFonts w:ascii="Arial" w:hAnsi="Arial" w:cs="Arial"/>
          <w:b/>
          <w:bCs/>
          <w:sz w:val="22"/>
        </w:rPr>
      </w:pPr>
      <w:r w:rsidRPr="003C169B">
        <w:rPr>
          <w:rFonts w:ascii="Arial" w:hAnsi="Arial" w:cs="Arial"/>
          <w:b/>
          <w:bCs/>
          <w:sz w:val="22"/>
        </w:rPr>
        <w:t>Project Hunter</w:t>
      </w:r>
    </w:p>
    <w:p w:rsidR="003C169B" w:rsidRDefault="003C169B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:rsidR="003C169B" w:rsidRDefault="003C169B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Project Hunter </w:t>
      </w:r>
      <w:r w:rsidR="005006D2">
        <w:rPr>
          <w:rFonts w:ascii="Arial" w:hAnsi="Arial" w:cs="Arial"/>
          <w:bCs/>
          <w:sz w:val="22"/>
        </w:rPr>
        <w:t xml:space="preserve">(PH) </w:t>
      </w:r>
      <w:r>
        <w:rPr>
          <w:rFonts w:ascii="Arial" w:hAnsi="Arial" w:cs="Arial"/>
          <w:bCs/>
          <w:sz w:val="22"/>
        </w:rPr>
        <w:t>aims to build international targeting in ODA countries to help deter the movement across national borders of individuals and goods</w:t>
      </w:r>
      <w:r w:rsidR="00DB0FB9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that would harm the</w:t>
      </w:r>
      <w:r w:rsidR="00DB0FB9">
        <w:rPr>
          <w:rFonts w:ascii="Arial" w:hAnsi="Arial" w:cs="Arial"/>
          <w:bCs/>
          <w:sz w:val="22"/>
        </w:rPr>
        <w:t>ir</w:t>
      </w:r>
      <w:r>
        <w:rPr>
          <w:rFonts w:ascii="Arial" w:hAnsi="Arial" w:cs="Arial"/>
          <w:bCs/>
          <w:sz w:val="22"/>
        </w:rPr>
        <w:t xml:space="preserve"> national interest</w:t>
      </w:r>
      <w:r w:rsidR="00DB0FB9">
        <w:rPr>
          <w:rFonts w:ascii="Arial" w:hAnsi="Arial" w:cs="Arial"/>
          <w:bCs/>
          <w:sz w:val="22"/>
        </w:rPr>
        <w:t>s,</w:t>
      </w:r>
      <w:r>
        <w:rPr>
          <w:rFonts w:ascii="Arial" w:hAnsi="Arial" w:cs="Arial"/>
          <w:bCs/>
          <w:sz w:val="22"/>
        </w:rPr>
        <w:t xml:space="preserve"> by enhancing </w:t>
      </w:r>
      <w:r w:rsidR="00DB0FB9">
        <w:rPr>
          <w:rFonts w:ascii="Arial" w:hAnsi="Arial" w:cs="Arial"/>
          <w:bCs/>
          <w:sz w:val="22"/>
        </w:rPr>
        <w:t>their</w:t>
      </w:r>
      <w:r>
        <w:rPr>
          <w:rFonts w:ascii="Arial" w:hAnsi="Arial" w:cs="Arial"/>
          <w:bCs/>
          <w:sz w:val="22"/>
        </w:rPr>
        <w:t xml:space="preserve"> border control</w:t>
      </w:r>
      <w:r w:rsidR="00993728">
        <w:rPr>
          <w:rFonts w:ascii="Arial" w:hAnsi="Arial" w:cs="Arial"/>
          <w:bCs/>
          <w:sz w:val="22"/>
        </w:rPr>
        <w:t xml:space="preserve">. This is achieved by developing data analysis and targeting capabilities </w:t>
      </w:r>
      <w:r w:rsidR="00DB0FB9">
        <w:rPr>
          <w:rFonts w:ascii="Arial" w:hAnsi="Arial" w:cs="Arial"/>
          <w:bCs/>
          <w:sz w:val="22"/>
        </w:rPr>
        <w:t xml:space="preserve">in-country </w:t>
      </w:r>
      <w:r w:rsidR="00993728">
        <w:rPr>
          <w:rFonts w:ascii="Arial" w:hAnsi="Arial" w:cs="Arial"/>
          <w:bCs/>
          <w:sz w:val="22"/>
        </w:rPr>
        <w:t xml:space="preserve">and </w:t>
      </w:r>
      <w:r w:rsidR="00DB0FB9">
        <w:rPr>
          <w:rFonts w:ascii="Arial" w:hAnsi="Arial" w:cs="Arial"/>
          <w:bCs/>
          <w:sz w:val="22"/>
        </w:rPr>
        <w:t>leveraging</w:t>
      </w:r>
      <w:r w:rsidR="00993728">
        <w:rPr>
          <w:rFonts w:ascii="Arial" w:hAnsi="Arial" w:cs="Arial"/>
          <w:bCs/>
          <w:sz w:val="22"/>
        </w:rPr>
        <w:t xml:space="preserve"> other </w:t>
      </w:r>
      <w:r w:rsidR="00DB0FB9">
        <w:rPr>
          <w:rFonts w:ascii="Arial" w:hAnsi="Arial" w:cs="Arial"/>
          <w:bCs/>
          <w:sz w:val="22"/>
        </w:rPr>
        <w:t xml:space="preserve">associated </w:t>
      </w:r>
      <w:r w:rsidR="00993728">
        <w:rPr>
          <w:rFonts w:ascii="Arial" w:hAnsi="Arial" w:cs="Arial"/>
          <w:bCs/>
          <w:sz w:val="22"/>
        </w:rPr>
        <w:t>Border Force best practice</w:t>
      </w:r>
      <w:r w:rsidR="00DB0FB9">
        <w:rPr>
          <w:rFonts w:ascii="Arial" w:hAnsi="Arial" w:cs="Arial"/>
          <w:bCs/>
          <w:sz w:val="22"/>
        </w:rPr>
        <w:t>s</w:t>
      </w:r>
      <w:r w:rsidR="00993728">
        <w:rPr>
          <w:rFonts w:ascii="Arial" w:hAnsi="Arial" w:cs="Arial"/>
          <w:bCs/>
          <w:sz w:val="22"/>
        </w:rPr>
        <w:t>.</w:t>
      </w:r>
    </w:p>
    <w:p w:rsidR="00993728" w:rsidRDefault="00993728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</w:p>
    <w:p w:rsidR="00993728" w:rsidRDefault="00993728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The portfolio scope of countries varies throughout the period of the project but the original  </w:t>
      </w:r>
    </w:p>
    <w:p w:rsidR="00073733" w:rsidRDefault="003C169B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</w:t>
      </w:r>
      <w:r w:rsidR="006C7A0D">
        <w:rPr>
          <w:rFonts w:ascii="Arial" w:hAnsi="Arial" w:cs="Arial"/>
          <w:bCs/>
          <w:sz w:val="22"/>
        </w:rPr>
        <w:t>H</w:t>
      </w:r>
      <w:r w:rsidR="005006D2">
        <w:rPr>
          <w:rFonts w:ascii="Arial" w:hAnsi="Arial" w:cs="Arial"/>
          <w:bCs/>
          <w:sz w:val="22"/>
        </w:rPr>
        <w:t xml:space="preserve"> </w:t>
      </w:r>
      <w:r w:rsidR="00073733">
        <w:rPr>
          <w:rFonts w:ascii="Arial" w:hAnsi="Arial" w:cs="Arial"/>
          <w:bCs/>
          <w:sz w:val="22"/>
        </w:rPr>
        <w:t>scope covered 25 ODA eligible countries.</w:t>
      </w:r>
      <w:r w:rsidR="006070FD">
        <w:rPr>
          <w:rFonts w:ascii="Arial" w:hAnsi="Arial" w:cs="Arial"/>
          <w:bCs/>
          <w:sz w:val="22"/>
        </w:rPr>
        <w:t xml:space="preserve"> PH also incorporates the original work in the Caribbean. </w:t>
      </w:r>
    </w:p>
    <w:p w:rsidR="00073733" w:rsidRDefault="00073733" w:rsidP="003B33C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</w:p>
    <w:p w:rsidR="00073733" w:rsidRPr="00073733" w:rsidRDefault="00073733" w:rsidP="00073733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73733">
        <w:rPr>
          <w:rFonts w:ascii="Arial" w:hAnsi="Arial" w:cs="Arial"/>
          <w:bCs/>
          <w:sz w:val="22"/>
          <w:szCs w:val="22"/>
        </w:rPr>
        <w:lastRenderedPageBreak/>
        <w:t xml:space="preserve">The </w:t>
      </w:r>
      <w:r w:rsidR="006C7A0D">
        <w:rPr>
          <w:rFonts w:ascii="Arial" w:hAnsi="Arial" w:cs="Arial"/>
          <w:bCs/>
          <w:sz w:val="22"/>
          <w:szCs w:val="22"/>
        </w:rPr>
        <w:t>Key Performance Measures (KPM’s) for PH</w:t>
      </w:r>
      <w:r w:rsidRPr="00073733">
        <w:rPr>
          <w:rFonts w:ascii="Arial" w:hAnsi="Arial" w:cs="Arial"/>
          <w:bCs/>
          <w:sz w:val="22"/>
          <w:szCs w:val="22"/>
        </w:rPr>
        <w:t xml:space="preserve"> were</w:t>
      </w:r>
      <w:r w:rsidR="006C7A0D">
        <w:rPr>
          <w:rFonts w:ascii="Arial" w:hAnsi="Arial" w:cs="Arial"/>
          <w:bCs/>
          <w:sz w:val="22"/>
          <w:szCs w:val="22"/>
        </w:rPr>
        <w:t xml:space="preserve"> set out in SR15 as follows</w:t>
      </w:r>
      <w:r w:rsidRPr="00073733">
        <w:rPr>
          <w:rFonts w:ascii="Arial" w:hAnsi="Arial" w:cs="Arial"/>
          <w:bCs/>
          <w:sz w:val="22"/>
          <w:szCs w:val="22"/>
        </w:rPr>
        <w:t>:</w:t>
      </w:r>
    </w:p>
    <w:p w:rsidR="00073733" w:rsidRPr="00073733" w:rsidRDefault="00073733" w:rsidP="00073733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073733" w:rsidRDefault="00EE7D92" w:rsidP="00073733">
      <w:pPr>
        <w:pStyle w:val="ListParagraph"/>
        <w:numPr>
          <w:ilvl w:val="0"/>
          <w:numId w:val="15"/>
        </w:numPr>
        <w:autoSpaceDE w:val="0"/>
        <w:autoSpaceDN w:val="0"/>
        <w:spacing w:after="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a</w:t>
      </w:r>
      <w:r w:rsidR="00073733" w:rsidRPr="00073733">
        <w:rPr>
          <w:rFonts w:cs="Arial"/>
          <w:bCs/>
          <w:sz w:val="22"/>
        </w:rPr>
        <w:t>fter year one</w:t>
      </w:r>
    </w:p>
    <w:p w:rsidR="00073733" w:rsidRPr="00073733" w:rsidRDefault="00073733" w:rsidP="00073733">
      <w:pPr>
        <w:autoSpaceDE w:val="0"/>
        <w:autoSpaceDN w:val="0"/>
        <w:ind w:left="426"/>
        <w:jc w:val="both"/>
        <w:rPr>
          <w:rFonts w:cs="Arial"/>
          <w:bCs/>
          <w:sz w:val="22"/>
        </w:rPr>
      </w:pPr>
      <w:r w:rsidRPr="00073733">
        <w:rPr>
          <w:rFonts w:cs="Arial"/>
          <w:bCs/>
          <w:sz w:val="22"/>
        </w:rPr>
        <w:t xml:space="preserve"> </w:t>
      </w:r>
      <w:r w:rsidR="003C169B" w:rsidRPr="00073733">
        <w:rPr>
          <w:rFonts w:cs="Arial"/>
          <w:bCs/>
          <w:sz w:val="22"/>
        </w:rPr>
        <w:t xml:space="preserve">  </w:t>
      </w:r>
      <w:r w:rsidR="002C633E" w:rsidRPr="00073733">
        <w:rPr>
          <w:rFonts w:cs="Arial"/>
          <w:bCs/>
          <w:sz w:val="22"/>
        </w:rPr>
        <w:t xml:space="preserve"> </w:t>
      </w:r>
    </w:p>
    <w:p w:rsidR="00073733" w:rsidRDefault="00D2423D" w:rsidP="00073733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d</w:t>
      </w:r>
      <w:r w:rsidR="00073733">
        <w:rPr>
          <w:rFonts w:cs="Arial"/>
          <w:bCs/>
          <w:sz w:val="22"/>
        </w:rPr>
        <w:t>elivery</w:t>
      </w:r>
      <w:r>
        <w:rPr>
          <w:rFonts w:cs="Arial"/>
          <w:bCs/>
          <w:sz w:val="22"/>
        </w:rPr>
        <w:t xml:space="preserve"> of e</w:t>
      </w:r>
      <w:r w:rsidR="00073733">
        <w:rPr>
          <w:rFonts w:cs="Arial"/>
          <w:bCs/>
          <w:sz w:val="22"/>
        </w:rPr>
        <w:t>xpertise, training and mentoring</w:t>
      </w:r>
      <w:r>
        <w:rPr>
          <w:rFonts w:cs="Arial"/>
          <w:bCs/>
          <w:sz w:val="22"/>
        </w:rPr>
        <w:t xml:space="preserve"> in the use of existing systems, carrier data/information and intelligence</w:t>
      </w:r>
      <w:r w:rsidR="00073733">
        <w:rPr>
          <w:rFonts w:cs="Arial"/>
          <w:bCs/>
          <w:sz w:val="22"/>
        </w:rPr>
        <w:t xml:space="preserve">, </w:t>
      </w:r>
      <w:r w:rsidRPr="00BB6BCB">
        <w:rPr>
          <w:rFonts w:cs="Arial"/>
          <w:bCs/>
          <w:sz w:val="22"/>
          <w:u w:val="single"/>
        </w:rPr>
        <w:t xml:space="preserve">led to </w:t>
      </w:r>
      <w:r w:rsidR="00073733" w:rsidRPr="00BB6BCB">
        <w:rPr>
          <w:rFonts w:cs="Arial"/>
          <w:bCs/>
          <w:sz w:val="22"/>
          <w:u w:val="single"/>
        </w:rPr>
        <w:t xml:space="preserve">increased border detection and interdiction capability </w:t>
      </w:r>
    </w:p>
    <w:p w:rsidR="00D2423D" w:rsidRDefault="00D2423D" w:rsidP="007C7F91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 w:rsidRPr="00D2423D">
        <w:rPr>
          <w:rFonts w:cs="Arial"/>
          <w:bCs/>
          <w:sz w:val="22"/>
        </w:rPr>
        <w:t xml:space="preserve">use of BF targeting methodologies and expertise </w:t>
      </w:r>
      <w:r w:rsidRPr="00BB6BCB">
        <w:rPr>
          <w:rFonts w:cs="Arial"/>
          <w:bCs/>
          <w:sz w:val="22"/>
          <w:u w:val="single"/>
        </w:rPr>
        <w:t xml:space="preserve">led to </w:t>
      </w:r>
      <w:r w:rsidR="00073733" w:rsidRPr="00BB6BCB">
        <w:rPr>
          <w:rFonts w:cs="Arial"/>
          <w:bCs/>
          <w:sz w:val="22"/>
          <w:u w:val="single"/>
        </w:rPr>
        <w:t xml:space="preserve">improved expertise in upstream identification </w:t>
      </w:r>
      <w:r w:rsidR="00073733" w:rsidRPr="00D2423D">
        <w:rPr>
          <w:rFonts w:cs="Arial"/>
          <w:bCs/>
          <w:sz w:val="22"/>
        </w:rPr>
        <w:t>of suspect goods/persons</w:t>
      </w:r>
    </w:p>
    <w:p w:rsidR="00073733" w:rsidRPr="00D2423D" w:rsidRDefault="00073733" w:rsidP="007C7F91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 w:rsidRPr="00D2423D">
        <w:rPr>
          <w:rFonts w:cs="Arial"/>
          <w:bCs/>
          <w:sz w:val="22"/>
        </w:rPr>
        <w:t xml:space="preserve">closer collaboration between host agencies </w:t>
      </w:r>
      <w:r w:rsidRPr="00BB6BCB">
        <w:rPr>
          <w:rFonts w:cs="Arial"/>
          <w:bCs/>
          <w:sz w:val="22"/>
          <w:u w:val="single"/>
        </w:rPr>
        <w:t>increase</w:t>
      </w:r>
      <w:r w:rsidR="00D2423D" w:rsidRPr="00BB6BCB">
        <w:rPr>
          <w:rFonts w:cs="Arial"/>
          <w:bCs/>
          <w:sz w:val="22"/>
          <w:u w:val="single"/>
        </w:rPr>
        <w:t>d</w:t>
      </w:r>
      <w:r w:rsidRPr="00D2423D">
        <w:rPr>
          <w:rFonts w:cs="Arial"/>
          <w:bCs/>
          <w:sz w:val="22"/>
        </w:rPr>
        <w:t xml:space="preserve"> the flow of intelligence and information exchange and operational collaboration</w:t>
      </w:r>
    </w:p>
    <w:p w:rsidR="00073733" w:rsidRDefault="00073733" w:rsidP="00073733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:rsidR="00073733" w:rsidRDefault="00EE7D92" w:rsidP="00073733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a</w:t>
      </w:r>
      <w:r w:rsidR="00073733">
        <w:rPr>
          <w:rFonts w:cs="Arial"/>
          <w:bCs/>
          <w:sz w:val="22"/>
        </w:rPr>
        <w:t>fter year four</w:t>
      </w:r>
    </w:p>
    <w:p w:rsidR="00073733" w:rsidRDefault="00073733" w:rsidP="00073733">
      <w:pPr>
        <w:pStyle w:val="ListParagraph"/>
        <w:autoSpaceDE w:val="0"/>
        <w:autoSpaceDN w:val="0"/>
        <w:ind w:left="786"/>
        <w:jc w:val="both"/>
        <w:rPr>
          <w:rFonts w:cs="Arial"/>
          <w:bCs/>
          <w:sz w:val="22"/>
        </w:rPr>
      </w:pPr>
    </w:p>
    <w:p w:rsidR="00F31A47" w:rsidRDefault="00F31A47" w:rsidP="00F31A47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continued and sustained growth in host capability to use systems effectively </w:t>
      </w:r>
      <w:r w:rsidR="00D837B6" w:rsidRPr="00BB6BCB">
        <w:rPr>
          <w:rFonts w:cs="Arial"/>
          <w:bCs/>
          <w:sz w:val="22"/>
          <w:u w:val="single"/>
        </w:rPr>
        <w:t xml:space="preserve">led </w:t>
      </w:r>
      <w:r w:rsidRPr="00BB6BCB">
        <w:rPr>
          <w:rFonts w:cs="Arial"/>
          <w:bCs/>
          <w:sz w:val="22"/>
          <w:u w:val="single"/>
        </w:rPr>
        <w:t>to detect</w:t>
      </w:r>
      <w:r w:rsidR="00D837B6" w:rsidRPr="00BB6BCB">
        <w:rPr>
          <w:rFonts w:cs="Arial"/>
          <w:bCs/>
          <w:sz w:val="22"/>
          <w:u w:val="single"/>
        </w:rPr>
        <w:t>ion</w:t>
      </w:r>
      <w:r w:rsidRPr="00BB6BCB">
        <w:rPr>
          <w:rFonts w:cs="Arial"/>
          <w:bCs/>
          <w:sz w:val="22"/>
          <w:u w:val="single"/>
        </w:rPr>
        <w:t xml:space="preserve"> and interdict</w:t>
      </w:r>
      <w:r w:rsidR="00D837B6" w:rsidRPr="00BB6BCB">
        <w:rPr>
          <w:rFonts w:cs="Arial"/>
          <w:bCs/>
          <w:sz w:val="22"/>
          <w:u w:val="single"/>
        </w:rPr>
        <w:t>ion</w:t>
      </w:r>
      <w:r>
        <w:rPr>
          <w:rFonts w:cs="Arial"/>
          <w:bCs/>
          <w:sz w:val="22"/>
        </w:rPr>
        <w:t xml:space="preserve"> </w:t>
      </w:r>
      <w:r w:rsidR="00D837B6">
        <w:rPr>
          <w:rFonts w:cs="Arial"/>
          <w:bCs/>
          <w:sz w:val="22"/>
        </w:rPr>
        <w:t xml:space="preserve">in </w:t>
      </w:r>
      <w:r>
        <w:rPr>
          <w:rFonts w:cs="Arial"/>
          <w:bCs/>
          <w:sz w:val="22"/>
        </w:rPr>
        <w:t>illegal goods and people including potential victims of trafficking</w:t>
      </w:r>
    </w:p>
    <w:p w:rsidR="00F31A47" w:rsidRDefault="00D837B6" w:rsidP="00F31A47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a </w:t>
      </w:r>
      <w:r w:rsidR="008B3F36">
        <w:rPr>
          <w:rFonts w:cs="Arial"/>
          <w:bCs/>
          <w:sz w:val="22"/>
        </w:rPr>
        <w:t xml:space="preserve">core level of expertise and capability across host border agencies </w:t>
      </w:r>
      <w:r w:rsidRPr="00BB6BCB">
        <w:rPr>
          <w:rFonts w:cs="Arial"/>
          <w:bCs/>
          <w:sz w:val="22"/>
          <w:u w:val="single"/>
        </w:rPr>
        <w:t xml:space="preserve">exists </w:t>
      </w:r>
      <w:r w:rsidR="008B3F36" w:rsidRPr="00BB6BCB">
        <w:rPr>
          <w:rFonts w:cs="Arial"/>
          <w:bCs/>
          <w:sz w:val="22"/>
          <w:u w:val="single"/>
        </w:rPr>
        <w:t>that can be promulgated</w:t>
      </w:r>
      <w:r w:rsidR="008B3F36">
        <w:rPr>
          <w:rFonts w:cs="Arial"/>
          <w:bCs/>
          <w:sz w:val="22"/>
        </w:rPr>
        <w:t xml:space="preserve"> across the full range of modes and all ports in the host country</w:t>
      </w:r>
    </w:p>
    <w:p w:rsidR="00F31A47" w:rsidRDefault="008B3F36" w:rsidP="00F31A47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an embedded robust relationship between Border Agencies </w:t>
      </w:r>
      <w:r w:rsidR="00D837B6" w:rsidRPr="00BB6BCB">
        <w:rPr>
          <w:rFonts w:cs="Arial"/>
          <w:bCs/>
          <w:sz w:val="22"/>
          <w:u w:val="single"/>
        </w:rPr>
        <w:t xml:space="preserve">exists </w:t>
      </w:r>
      <w:r w:rsidRPr="00BB6BCB">
        <w:rPr>
          <w:rFonts w:cs="Arial"/>
          <w:bCs/>
          <w:sz w:val="22"/>
          <w:u w:val="single"/>
        </w:rPr>
        <w:t>that provides for regular operational and intelligence collaboration</w:t>
      </w:r>
      <w:r>
        <w:rPr>
          <w:rFonts w:cs="Arial"/>
          <w:bCs/>
          <w:sz w:val="22"/>
        </w:rPr>
        <w:t xml:space="preserve"> to identify mutual threats </w:t>
      </w:r>
    </w:p>
    <w:p w:rsidR="00073733" w:rsidRDefault="00073733" w:rsidP="00F31A47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6070FD" w:rsidRDefault="00EE7D92" w:rsidP="006070FD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associated k</w:t>
      </w:r>
      <w:r w:rsidR="006070FD">
        <w:rPr>
          <w:rFonts w:ascii="Arial" w:hAnsi="Arial" w:cs="Arial"/>
          <w:bCs/>
          <w:sz w:val="22"/>
          <w:szCs w:val="22"/>
        </w:rPr>
        <w:t xml:space="preserve">ey </w:t>
      </w:r>
      <w:r w:rsidR="006C7A0D">
        <w:rPr>
          <w:rFonts w:ascii="Arial" w:hAnsi="Arial" w:cs="Arial"/>
          <w:bCs/>
          <w:sz w:val="22"/>
          <w:szCs w:val="22"/>
        </w:rPr>
        <w:t xml:space="preserve">performance </w:t>
      </w:r>
      <w:r w:rsidR="006070FD">
        <w:rPr>
          <w:rFonts w:ascii="Arial" w:hAnsi="Arial" w:cs="Arial"/>
          <w:bCs/>
          <w:sz w:val="22"/>
          <w:szCs w:val="22"/>
        </w:rPr>
        <w:t>me</w:t>
      </w:r>
      <w:r>
        <w:rPr>
          <w:rFonts w:ascii="Arial" w:hAnsi="Arial" w:cs="Arial"/>
          <w:bCs/>
          <w:sz w:val="22"/>
          <w:szCs w:val="22"/>
        </w:rPr>
        <w:t>a</w:t>
      </w:r>
      <w:r w:rsidR="006070FD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ures</w:t>
      </w:r>
      <w:r w:rsidR="006070FD">
        <w:rPr>
          <w:rFonts w:ascii="Arial" w:hAnsi="Arial" w:cs="Arial"/>
          <w:bCs/>
          <w:sz w:val="22"/>
          <w:szCs w:val="22"/>
        </w:rPr>
        <w:t xml:space="preserve"> </w:t>
      </w:r>
      <w:r w:rsidR="00033E8C">
        <w:rPr>
          <w:rFonts w:ascii="Arial" w:hAnsi="Arial" w:cs="Arial"/>
          <w:bCs/>
          <w:sz w:val="22"/>
          <w:szCs w:val="22"/>
        </w:rPr>
        <w:t>set at the time of SR15 sign off were:</w:t>
      </w:r>
    </w:p>
    <w:p w:rsidR="00033E8C" w:rsidRDefault="00257840" w:rsidP="006070FD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leGrid"/>
        <w:tblW w:w="8089" w:type="dxa"/>
        <w:jc w:val="center"/>
        <w:tblLayout w:type="fixed"/>
        <w:tblLook w:val="04A0" w:firstRow="1" w:lastRow="0" w:firstColumn="1" w:lastColumn="0" w:noHBand="0" w:noVBand="1"/>
      </w:tblPr>
      <w:tblGrid>
        <w:gridCol w:w="2914"/>
        <w:gridCol w:w="1455"/>
        <w:gridCol w:w="1877"/>
        <w:gridCol w:w="1843"/>
      </w:tblGrid>
      <w:tr w:rsidR="00033E8C" w:rsidTr="00D837B6">
        <w:trPr>
          <w:trHeight w:val="133"/>
          <w:jc w:val="center"/>
        </w:trPr>
        <w:tc>
          <w:tcPr>
            <w:tcW w:w="2914" w:type="dxa"/>
          </w:tcPr>
          <w:p w:rsidR="00033E8C" w:rsidRPr="00257840" w:rsidRDefault="00EE7D92" w:rsidP="00EE7D9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Key Performance Indicator (KPI)</w:t>
            </w:r>
          </w:p>
          <w:p w:rsidR="00257840" w:rsidRPr="00257840" w:rsidRDefault="00257840" w:rsidP="006070FD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5" w:type="dxa"/>
          </w:tcPr>
          <w:p w:rsidR="00033E8C" w:rsidRPr="00257840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Qualitative</w:t>
            </w:r>
          </w:p>
        </w:tc>
        <w:tc>
          <w:tcPr>
            <w:tcW w:w="1877" w:type="dxa"/>
          </w:tcPr>
          <w:p w:rsidR="00033E8C" w:rsidRPr="00257840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Quantitative</w:t>
            </w:r>
          </w:p>
        </w:tc>
        <w:tc>
          <w:tcPr>
            <w:tcW w:w="1843" w:type="dxa"/>
          </w:tcPr>
          <w:p w:rsidR="00033E8C" w:rsidRPr="00257840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Both</w:t>
            </w:r>
          </w:p>
        </w:tc>
      </w:tr>
      <w:tr w:rsidR="00033E8C" w:rsidTr="00D837B6">
        <w:trPr>
          <w:trHeight w:val="667"/>
          <w:jc w:val="center"/>
        </w:trPr>
        <w:tc>
          <w:tcPr>
            <w:tcW w:w="2914" w:type="dxa"/>
          </w:tcPr>
          <w:p w:rsidR="00033E8C" w:rsidRDefault="00257840" w:rsidP="0025784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033E8C">
              <w:rPr>
                <w:rFonts w:ascii="Arial" w:hAnsi="Arial" w:cs="Arial"/>
                <w:bCs/>
                <w:sz w:val="22"/>
                <w:szCs w:val="22"/>
              </w:rPr>
              <w:t>n increase</w:t>
            </w:r>
            <w:r w:rsidR="00BB6BCB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033E8C">
              <w:rPr>
                <w:rFonts w:ascii="Arial" w:hAnsi="Arial" w:cs="Arial"/>
                <w:bCs/>
                <w:sz w:val="22"/>
                <w:szCs w:val="22"/>
              </w:rPr>
              <w:t xml:space="preserve"> capability and capacity to tackle border threats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through the introduction and use of targeting and profiling technologies</w:t>
            </w:r>
          </w:p>
        </w:tc>
        <w:tc>
          <w:tcPr>
            <w:tcW w:w="1455" w:type="dxa"/>
            <w:vAlign w:val="center"/>
          </w:tcPr>
          <w:p w:rsidR="00033E8C" w:rsidRPr="00257840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57840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7840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033E8C" w:rsidTr="00D837B6">
        <w:trPr>
          <w:trHeight w:val="400"/>
          <w:jc w:val="center"/>
        </w:trPr>
        <w:tc>
          <w:tcPr>
            <w:tcW w:w="2914" w:type="dxa"/>
          </w:tcPr>
          <w:p w:rsidR="00033E8C" w:rsidRDefault="00257840" w:rsidP="0025784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 increase in the quantity of illegal commodities seized</w:t>
            </w:r>
          </w:p>
        </w:tc>
        <w:tc>
          <w:tcPr>
            <w:tcW w:w="1455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57840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  <w:p w:rsidR="00257840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3E8C" w:rsidTr="00D837B6">
        <w:trPr>
          <w:trHeight w:val="400"/>
          <w:jc w:val="center"/>
        </w:trPr>
        <w:tc>
          <w:tcPr>
            <w:tcW w:w="2914" w:type="dxa"/>
          </w:tcPr>
          <w:p w:rsidR="00033E8C" w:rsidRDefault="00257840" w:rsidP="0025784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 increase in the number of people intercepted for both immigration and goods offences</w:t>
            </w:r>
          </w:p>
        </w:tc>
        <w:tc>
          <w:tcPr>
            <w:tcW w:w="1455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:rsidR="00033E8C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43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3E8C" w:rsidTr="00D837B6">
        <w:trPr>
          <w:trHeight w:val="400"/>
          <w:jc w:val="center"/>
        </w:trPr>
        <w:tc>
          <w:tcPr>
            <w:tcW w:w="2914" w:type="dxa"/>
          </w:tcPr>
          <w:p w:rsidR="00033E8C" w:rsidRDefault="00257840" w:rsidP="0025784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decrease in the number of illegal goods and people seized and detected at UK and EU ports</w:t>
            </w:r>
          </w:p>
        </w:tc>
        <w:tc>
          <w:tcPr>
            <w:tcW w:w="1455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:rsidR="00033E8C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43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3E8C" w:rsidTr="00D837B6">
        <w:trPr>
          <w:trHeight w:val="673"/>
          <w:jc w:val="center"/>
        </w:trPr>
        <w:tc>
          <w:tcPr>
            <w:tcW w:w="2914" w:type="dxa"/>
          </w:tcPr>
          <w:p w:rsidR="00033E8C" w:rsidRDefault="00257840" w:rsidP="0025784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Evidence of increased operational co-ordination between partners and impr</w:t>
            </w:r>
            <w:r w:rsidR="00EE7D92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ved operational methods within host agencies</w:t>
            </w:r>
          </w:p>
        </w:tc>
        <w:tc>
          <w:tcPr>
            <w:tcW w:w="1455" w:type="dxa"/>
            <w:vAlign w:val="center"/>
          </w:tcPr>
          <w:p w:rsidR="00033E8C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77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3E8C" w:rsidTr="00D837B6">
        <w:trPr>
          <w:trHeight w:val="400"/>
          <w:jc w:val="center"/>
        </w:trPr>
        <w:tc>
          <w:tcPr>
            <w:tcW w:w="2914" w:type="dxa"/>
          </w:tcPr>
          <w:p w:rsidR="00033E8C" w:rsidRDefault="00257840" w:rsidP="0025784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 enhanced intelligence capability and dialogue between the UK and host countries</w:t>
            </w:r>
          </w:p>
        </w:tc>
        <w:tc>
          <w:tcPr>
            <w:tcW w:w="1455" w:type="dxa"/>
            <w:vAlign w:val="center"/>
          </w:tcPr>
          <w:p w:rsidR="00033E8C" w:rsidRDefault="00257840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7840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77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3E8C" w:rsidRDefault="00033E8C" w:rsidP="00257840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33E8C" w:rsidRDefault="00033E8C" w:rsidP="006070FD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8B3F36" w:rsidRDefault="008B3F36" w:rsidP="008B3F36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Financial projections for the 5-year </w:t>
      </w:r>
      <w:r w:rsidR="00D837B6">
        <w:rPr>
          <w:rFonts w:ascii="Arial" w:hAnsi="Arial" w:cs="Arial"/>
          <w:bCs/>
          <w:sz w:val="22"/>
          <w:szCs w:val="22"/>
        </w:rPr>
        <w:t xml:space="preserve">SR 15 </w:t>
      </w:r>
      <w:r>
        <w:rPr>
          <w:rFonts w:ascii="Arial" w:hAnsi="Arial" w:cs="Arial"/>
          <w:bCs/>
          <w:sz w:val="22"/>
          <w:szCs w:val="22"/>
        </w:rPr>
        <w:t xml:space="preserve">period </w:t>
      </w:r>
      <w:r w:rsidR="004F509C">
        <w:rPr>
          <w:rFonts w:ascii="Arial" w:hAnsi="Arial" w:cs="Arial"/>
          <w:bCs/>
          <w:sz w:val="22"/>
          <w:szCs w:val="22"/>
        </w:rPr>
        <w:t>for PH ar</w:t>
      </w:r>
      <w:r>
        <w:rPr>
          <w:rFonts w:ascii="Arial" w:hAnsi="Arial" w:cs="Arial"/>
          <w:bCs/>
          <w:sz w:val="22"/>
          <w:szCs w:val="22"/>
        </w:rPr>
        <w:t>e set out in the table below.</w:t>
      </w:r>
    </w:p>
    <w:p w:rsidR="008B3F36" w:rsidRPr="008B3F36" w:rsidRDefault="008B3F36" w:rsidP="008B3F36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1106"/>
        <w:gridCol w:w="1107"/>
        <w:gridCol w:w="1106"/>
        <w:gridCol w:w="1107"/>
        <w:gridCol w:w="1107"/>
      </w:tblGrid>
      <w:tr w:rsidR="008B3F36" w:rsidRPr="008B3F36" w:rsidTr="00D837B6">
        <w:trPr>
          <w:trHeight w:val="151"/>
        </w:trPr>
        <w:tc>
          <w:tcPr>
            <w:tcW w:w="308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Financial year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2016-17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2017-18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2018-19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2019-20</w:t>
            </w:r>
          </w:p>
        </w:tc>
        <w:tc>
          <w:tcPr>
            <w:tcW w:w="1107" w:type="dxa"/>
            <w:shd w:val="clear" w:color="auto" w:fill="D9D9D9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2020-21</w:t>
            </w:r>
          </w:p>
        </w:tc>
      </w:tr>
      <w:tr w:rsidR="008B3F36" w:rsidRPr="008B3F36" w:rsidTr="00D837B6">
        <w:trPr>
          <w:trHeight w:val="130"/>
        </w:trPr>
        <w:tc>
          <w:tcPr>
            <w:tcW w:w="308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£ million RDEL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F36">
              <w:rPr>
                <w:rFonts w:ascii="Arial" w:hAnsi="Arial" w:cs="Arial"/>
                <w:sz w:val="22"/>
                <w:szCs w:val="22"/>
              </w:rPr>
              <w:t>14.7m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F36">
              <w:rPr>
                <w:rFonts w:ascii="Arial" w:hAnsi="Arial" w:cs="Arial"/>
                <w:sz w:val="22"/>
                <w:szCs w:val="22"/>
              </w:rPr>
              <w:t>18.7m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F36">
              <w:rPr>
                <w:rFonts w:ascii="Arial" w:hAnsi="Arial" w:cs="Arial"/>
                <w:sz w:val="22"/>
                <w:szCs w:val="22"/>
              </w:rPr>
              <w:t>18.7m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F36">
              <w:rPr>
                <w:rFonts w:ascii="Arial" w:hAnsi="Arial" w:cs="Arial"/>
                <w:sz w:val="22"/>
                <w:szCs w:val="22"/>
              </w:rPr>
              <w:t>20.7m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F36">
              <w:rPr>
                <w:rFonts w:ascii="Arial" w:hAnsi="Arial" w:cs="Arial"/>
                <w:sz w:val="22"/>
                <w:szCs w:val="22"/>
              </w:rPr>
              <w:t>20.7m</w:t>
            </w:r>
          </w:p>
        </w:tc>
      </w:tr>
      <w:tr w:rsidR="008B3F36" w:rsidRPr="008B3F36" w:rsidTr="00D837B6">
        <w:trPr>
          <w:trHeight w:val="130"/>
        </w:trPr>
        <w:tc>
          <w:tcPr>
            <w:tcW w:w="308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£ million CDEL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B3F36">
              <w:rPr>
                <w:rFonts w:ascii="Arial" w:hAnsi="Arial" w:cs="Arial"/>
                <w:sz w:val="22"/>
                <w:szCs w:val="22"/>
              </w:rPr>
              <w:t>1.5m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B3F3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8B3F36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B3F3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8B3F36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B3F36">
              <w:rPr>
                <w:rFonts w:ascii="Arial" w:hAnsi="Arial" w:cs="Arial"/>
                <w:sz w:val="22"/>
                <w:szCs w:val="22"/>
              </w:rPr>
              <w:t>2.5m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D36EFA" w:rsidP="00436512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B3F36" w:rsidRPr="008B3F36">
              <w:rPr>
                <w:rFonts w:ascii="Arial" w:hAnsi="Arial" w:cs="Arial"/>
                <w:sz w:val="22"/>
                <w:szCs w:val="22"/>
              </w:rPr>
              <w:t>2.5m</w:t>
            </w:r>
          </w:p>
        </w:tc>
      </w:tr>
      <w:tr w:rsidR="008B3F36" w:rsidRPr="008B3F36" w:rsidTr="00D837B6">
        <w:trPr>
          <w:trHeight w:val="130"/>
        </w:trPr>
        <w:tc>
          <w:tcPr>
            <w:tcW w:w="308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F36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20.7m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8B3F36" w:rsidRPr="008B3F36" w:rsidRDefault="008B3F36" w:rsidP="004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B3F3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.7m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D36EFA" w:rsidP="004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23.2m</w:t>
            </w:r>
          </w:p>
        </w:tc>
        <w:tc>
          <w:tcPr>
            <w:tcW w:w="1107" w:type="dxa"/>
            <w:shd w:val="clear" w:color="auto" w:fill="D9D9D9"/>
            <w:vAlign w:val="center"/>
          </w:tcPr>
          <w:p w:rsidR="008B3F36" w:rsidRPr="008B3F36" w:rsidRDefault="00D36EFA" w:rsidP="0043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23.5m</w:t>
            </w:r>
          </w:p>
        </w:tc>
      </w:tr>
    </w:tbl>
    <w:p w:rsidR="008B3F36" w:rsidRPr="00D36EFA" w:rsidRDefault="008B3F36" w:rsidP="00F31A47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6070FD" w:rsidRDefault="00D36EFA" w:rsidP="00D36EF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36EFA">
        <w:rPr>
          <w:rFonts w:ascii="Arial" w:hAnsi="Arial" w:cs="Arial"/>
          <w:bCs/>
          <w:sz w:val="22"/>
          <w:szCs w:val="22"/>
        </w:rPr>
        <w:t>Revenue</w:t>
      </w:r>
      <w:r>
        <w:rPr>
          <w:rFonts w:ascii="Arial" w:hAnsi="Arial" w:cs="Arial"/>
          <w:bCs/>
          <w:sz w:val="22"/>
          <w:szCs w:val="22"/>
        </w:rPr>
        <w:t xml:space="preserve"> costs (RDEL) included for the provision of up to 50 staff overseas and an additional provision of UK-based support staff together, subject matter expertise in UK-based intelligence and targeting systems and expertise and independent assurance support from Border Force Operational Assurance Directorate (OAD)</w:t>
      </w:r>
    </w:p>
    <w:p w:rsidR="006070FD" w:rsidRDefault="006070FD" w:rsidP="00D36EF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6070FD" w:rsidRDefault="006070FD" w:rsidP="00D36EF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Capital expenditure (CDEL) includes the provision of communication equipment and support equipment such as vehicles, scanners and consumables.</w:t>
      </w:r>
    </w:p>
    <w:p w:rsidR="006070FD" w:rsidRDefault="006070FD" w:rsidP="00D36EFA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443D84" w:rsidRPr="003C169B" w:rsidRDefault="00443D84" w:rsidP="00443D84">
      <w:pPr>
        <w:autoSpaceDE w:val="0"/>
        <w:autoSpaceDN w:val="0"/>
        <w:ind w:left="426"/>
        <w:jc w:val="both"/>
        <w:rPr>
          <w:rFonts w:ascii="Arial" w:hAnsi="Arial" w:cs="Arial"/>
          <w:b/>
          <w:bCs/>
          <w:sz w:val="22"/>
        </w:rPr>
      </w:pPr>
      <w:r w:rsidRPr="003C169B">
        <w:rPr>
          <w:rFonts w:ascii="Arial" w:hAnsi="Arial" w:cs="Arial"/>
          <w:b/>
          <w:bCs/>
          <w:sz w:val="22"/>
        </w:rPr>
        <w:t xml:space="preserve">Project </w:t>
      </w:r>
      <w:r>
        <w:rPr>
          <w:rFonts w:ascii="Arial" w:hAnsi="Arial" w:cs="Arial"/>
          <w:b/>
          <w:bCs/>
          <w:sz w:val="22"/>
        </w:rPr>
        <w:t>Chaucer</w:t>
      </w:r>
    </w:p>
    <w:p w:rsidR="00443D84" w:rsidRDefault="00443D84" w:rsidP="00443D84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:rsidR="00C81356" w:rsidRDefault="00443D84" w:rsidP="00443D84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 w:rsidRPr="00741846">
        <w:rPr>
          <w:rFonts w:ascii="Arial" w:hAnsi="Arial" w:cs="Arial"/>
          <w:bCs/>
          <w:sz w:val="22"/>
        </w:rPr>
        <w:t xml:space="preserve">Project </w:t>
      </w:r>
      <w:r w:rsidR="00741846">
        <w:rPr>
          <w:rFonts w:ascii="Arial" w:hAnsi="Arial" w:cs="Arial"/>
          <w:bCs/>
          <w:sz w:val="22"/>
        </w:rPr>
        <w:t>Chauc</w:t>
      </w:r>
      <w:r w:rsidRPr="00741846">
        <w:rPr>
          <w:rFonts w:ascii="Arial" w:hAnsi="Arial" w:cs="Arial"/>
          <w:bCs/>
          <w:sz w:val="22"/>
        </w:rPr>
        <w:t xml:space="preserve">er </w:t>
      </w:r>
      <w:r w:rsidR="00EC4A05">
        <w:rPr>
          <w:rFonts w:ascii="Arial" w:hAnsi="Arial" w:cs="Arial"/>
          <w:bCs/>
          <w:sz w:val="22"/>
        </w:rPr>
        <w:t xml:space="preserve">(PC) </w:t>
      </w:r>
      <w:r w:rsidRPr="00741846">
        <w:rPr>
          <w:rFonts w:ascii="Arial" w:hAnsi="Arial" w:cs="Arial"/>
          <w:bCs/>
          <w:sz w:val="22"/>
        </w:rPr>
        <w:t xml:space="preserve">aims to </w:t>
      </w:r>
      <w:r w:rsidR="00741846">
        <w:rPr>
          <w:rFonts w:ascii="Arial" w:hAnsi="Arial" w:cs="Arial"/>
          <w:bCs/>
          <w:sz w:val="22"/>
        </w:rPr>
        <w:t xml:space="preserve">develop West African local law enforcement border control capabilities </w:t>
      </w:r>
      <w:r w:rsidR="00C81356">
        <w:rPr>
          <w:rFonts w:ascii="Arial" w:hAnsi="Arial" w:cs="Arial"/>
          <w:bCs/>
          <w:sz w:val="22"/>
        </w:rPr>
        <w:t>and</w:t>
      </w:r>
      <w:r w:rsidR="00741846">
        <w:rPr>
          <w:rFonts w:ascii="Arial" w:hAnsi="Arial" w:cs="Arial"/>
          <w:bCs/>
          <w:sz w:val="22"/>
        </w:rPr>
        <w:t xml:space="preserve"> better protect their citizens by preventing and fighting organised drugs crime</w:t>
      </w:r>
      <w:r w:rsidR="00C81356">
        <w:rPr>
          <w:rFonts w:ascii="Arial" w:hAnsi="Arial" w:cs="Arial"/>
          <w:bCs/>
          <w:sz w:val="22"/>
        </w:rPr>
        <w:t>.</w:t>
      </w:r>
    </w:p>
    <w:p w:rsidR="00C81356" w:rsidRDefault="00C81356" w:rsidP="00443D84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</w:p>
    <w:p w:rsidR="00741846" w:rsidRDefault="00C81356" w:rsidP="00443D84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</w:t>
      </w:r>
      <w:r w:rsidR="00741846">
        <w:rPr>
          <w:rFonts w:ascii="Arial" w:hAnsi="Arial" w:cs="Arial"/>
          <w:bCs/>
          <w:sz w:val="22"/>
        </w:rPr>
        <w:t xml:space="preserve">hrough capability-building and mentoring </w:t>
      </w:r>
      <w:r>
        <w:rPr>
          <w:rFonts w:ascii="Arial" w:hAnsi="Arial" w:cs="Arial"/>
          <w:bCs/>
          <w:sz w:val="22"/>
        </w:rPr>
        <w:t xml:space="preserve">and </w:t>
      </w:r>
      <w:r w:rsidR="00741846">
        <w:rPr>
          <w:rFonts w:ascii="Arial" w:hAnsi="Arial" w:cs="Arial"/>
          <w:bCs/>
          <w:sz w:val="22"/>
        </w:rPr>
        <w:t>promot</w:t>
      </w:r>
      <w:r>
        <w:rPr>
          <w:rFonts w:ascii="Arial" w:hAnsi="Arial" w:cs="Arial"/>
          <w:bCs/>
          <w:sz w:val="22"/>
        </w:rPr>
        <w:t xml:space="preserve">ion of </w:t>
      </w:r>
      <w:r w:rsidR="00741846">
        <w:rPr>
          <w:rFonts w:ascii="Arial" w:hAnsi="Arial" w:cs="Arial"/>
          <w:bCs/>
          <w:sz w:val="22"/>
        </w:rPr>
        <w:t>best-practice based on BF</w:t>
      </w:r>
      <w:r w:rsidR="00EC4A05">
        <w:rPr>
          <w:rFonts w:ascii="Arial" w:hAnsi="Arial" w:cs="Arial"/>
          <w:bCs/>
          <w:sz w:val="22"/>
        </w:rPr>
        <w:t>I</w:t>
      </w:r>
      <w:r w:rsidR="00741846">
        <w:rPr>
          <w:rFonts w:ascii="Arial" w:hAnsi="Arial" w:cs="Arial"/>
          <w:bCs/>
          <w:sz w:val="22"/>
        </w:rPr>
        <w:t xml:space="preserve"> expertise and experience in West Africa and the Caribbean</w:t>
      </w:r>
      <w:r>
        <w:rPr>
          <w:rFonts w:ascii="Arial" w:hAnsi="Arial" w:cs="Arial"/>
          <w:bCs/>
          <w:sz w:val="22"/>
        </w:rPr>
        <w:t>, P</w:t>
      </w:r>
      <w:r w:rsidR="00EC4A05">
        <w:rPr>
          <w:rFonts w:ascii="Arial" w:hAnsi="Arial" w:cs="Arial"/>
          <w:bCs/>
          <w:sz w:val="22"/>
        </w:rPr>
        <w:t>C</w:t>
      </w:r>
      <w:r w:rsidR="00741846">
        <w:rPr>
          <w:rFonts w:ascii="Arial" w:hAnsi="Arial" w:cs="Arial"/>
          <w:bCs/>
          <w:sz w:val="22"/>
        </w:rPr>
        <w:t xml:space="preserve"> focus</w:t>
      </w:r>
      <w:r>
        <w:rPr>
          <w:rFonts w:ascii="Arial" w:hAnsi="Arial" w:cs="Arial"/>
          <w:bCs/>
          <w:sz w:val="22"/>
        </w:rPr>
        <w:t>es</w:t>
      </w:r>
      <w:r w:rsidR="00741846">
        <w:rPr>
          <w:rFonts w:ascii="Arial" w:hAnsi="Arial" w:cs="Arial"/>
          <w:bCs/>
          <w:sz w:val="22"/>
        </w:rPr>
        <w:t xml:space="preserve"> on specific countries where drugs trafficking </w:t>
      </w:r>
      <w:r>
        <w:rPr>
          <w:rFonts w:ascii="Arial" w:hAnsi="Arial" w:cs="Arial"/>
          <w:bCs/>
          <w:sz w:val="22"/>
        </w:rPr>
        <w:t>are</w:t>
      </w:r>
      <w:r w:rsidR="00741846">
        <w:rPr>
          <w:rFonts w:ascii="Arial" w:hAnsi="Arial" w:cs="Arial"/>
          <w:bCs/>
          <w:sz w:val="22"/>
        </w:rPr>
        <w:t xml:space="preserve"> a particular issue and look</w:t>
      </w:r>
      <w:r>
        <w:rPr>
          <w:rFonts w:ascii="Arial" w:hAnsi="Arial" w:cs="Arial"/>
          <w:bCs/>
          <w:sz w:val="22"/>
        </w:rPr>
        <w:t>s</w:t>
      </w:r>
      <w:r w:rsidR="00741846">
        <w:rPr>
          <w:rFonts w:ascii="Arial" w:hAnsi="Arial" w:cs="Arial"/>
          <w:bCs/>
          <w:sz w:val="22"/>
        </w:rPr>
        <w:t xml:space="preserve"> to build capability to counter </w:t>
      </w:r>
      <w:r>
        <w:rPr>
          <w:rFonts w:ascii="Arial" w:hAnsi="Arial" w:cs="Arial"/>
          <w:bCs/>
          <w:sz w:val="22"/>
        </w:rPr>
        <w:t>this</w:t>
      </w:r>
      <w:r w:rsidR="00741846">
        <w:rPr>
          <w:rFonts w:ascii="Arial" w:hAnsi="Arial" w:cs="Arial"/>
          <w:bCs/>
          <w:sz w:val="22"/>
        </w:rPr>
        <w:t xml:space="preserve">. </w:t>
      </w:r>
      <w:r>
        <w:rPr>
          <w:rFonts w:ascii="Arial" w:hAnsi="Arial" w:cs="Arial"/>
          <w:bCs/>
          <w:sz w:val="22"/>
        </w:rPr>
        <w:t>W</w:t>
      </w:r>
      <w:r w:rsidR="00741846">
        <w:rPr>
          <w:rFonts w:ascii="Arial" w:hAnsi="Arial" w:cs="Arial"/>
          <w:bCs/>
          <w:sz w:val="22"/>
        </w:rPr>
        <w:t xml:space="preserve">ork across </w:t>
      </w:r>
      <w:r>
        <w:rPr>
          <w:rFonts w:ascii="Arial" w:hAnsi="Arial" w:cs="Arial"/>
          <w:bCs/>
          <w:sz w:val="22"/>
        </w:rPr>
        <w:t xml:space="preserve">the </w:t>
      </w:r>
      <w:r w:rsidR="00741846">
        <w:rPr>
          <w:rFonts w:ascii="Arial" w:hAnsi="Arial" w:cs="Arial"/>
          <w:bCs/>
          <w:sz w:val="22"/>
        </w:rPr>
        <w:t xml:space="preserve">West Africa </w:t>
      </w:r>
      <w:r>
        <w:rPr>
          <w:rFonts w:ascii="Arial" w:hAnsi="Arial" w:cs="Arial"/>
          <w:bCs/>
          <w:sz w:val="22"/>
        </w:rPr>
        <w:t xml:space="preserve">region </w:t>
      </w:r>
      <w:r w:rsidR="00741846">
        <w:rPr>
          <w:rFonts w:ascii="Arial" w:hAnsi="Arial" w:cs="Arial"/>
          <w:bCs/>
          <w:sz w:val="22"/>
        </w:rPr>
        <w:t>includ</w:t>
      </w:r>
      <w:r>
        <w:rPr>
          <w:rFonts w:ascii="Arial" w:hAnsi="Arial" w:cs="Arial"/>
          <w:bCs/>
          <w:sz w:val="22"/>
        </w:rPr>
        <w:t>es</w:t>
      </w:r>
      <w:r w:rsidR="00741846">
        <w:rPr>
          <w:rFonts w:ascii="Arial" w:hAnsi="Arial" w:cs="Arial"/>
          <w:bCs/>
          <w:sz w:val="22"/>
        </w:rPr>
        <w:t xml:space="preserve"> Togo, Benin, Senegal, Sierra Leone and Nigeria </w:t>
      </w:r>
      <w:r>
        <w:rPr>
          <w:rFonts w:ascii="Arial" w:hAnsi="Arial" w:cs="Arial"/>
          <w:bCs/>
          <w:sz w:val="22"/>
        </w:rPr>
        <w:t>b</w:t>
      </w:r>
      <w:r w:rsidR="00741846">
        <w:rPr>
          <w:rFonts w:ascii="Arial" w:hAnsi="Arial" w:cs="Arial"/>
          <w:bCs/>
          <w:sz w:val="22"/>
        </w:rPr>
        <w:t xml:space="preserve">ut </w:t>
      </w:r>
      <w:r>
        <w:rPr>
          <w:rFonts w:ascii="Arial" w:hAnsi="Arial" w:cs="Arial"/>
          <w:bCs/>
          <w:sz w:val="22"/>
        </w:rPr>
        <w:t>other</w:t>
      </w:r>
      <w:r w:rsidR="0074184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ODA eligible </w:t>
      </w:r>
      <w:r w:rsidR="00741846">
        <w:rPr>
          <w:rFonts w:ascii="Arial" w:hAnsi="Arial" w:cs="Arial"/>
          <w:bCs/>
          <w:sz w:val="22"/>
        </w:rPr>
        <w:t xml:space="preserve">countries </w:t>
      </w:r>
      <w:r>
        <w:rPr>
          <w:rFonts w:ascii="Arial" w:hAnsi="Arial" w:cs="Arial"/>
          <w:bCs/>
          <w:sz w:val="22"/>
        </w:rPr>
        <w:t>will be identified</w:t>
      </w:r>
      <w:r w:rsidR="0074184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in consultation </w:t>
      </w:r>
      <w:r w:rsidR="00741846">
        <w:rPr>
          <w:rFonts w:ascii="Arial" w:hAnsi="Arial" w:cs="Arial"/>
          <w:bCs/>
          <w:sz w:val="22"/>
        </w:rPr>
        <w:t xml:space="preserve">with </w:t>
      </w:r>
      <w:r>
        <w:rPr>
          <w:rFonts w:ascii="Arial" w:hAnsi="Arial" w:cs="Arial"/>
          <w:bCs/>
          <w:sz w:val="22"/>
        </w:rPr>
        <w:t xml:space="preserve">the </w:t>
      </w:r>
      <w:r w:rsidR="00741846">
        <w:rPr>
          <w:rFonts w:ascii="Arial" w:hAnsi="Arial" w:cs="Arial"/>
          <w:bCs/>
          <w:sz w:val="22"/>
        </w:rPr>
        <w:t>D</w:t>
      </w:r>
      <w:r>
        <w:rPr>
          <w:rFonts w:ascii="Arial" w:hAnsi="Arial" w:cs="Arial"/>
          <w:bCs/>
          <w:sz w:val="22"/>
        </w:rPr>
        <w:t xml:space="preserve">epartment </w:t>
      </w:r>
      <w:r w:rsidR="00741846">
        <w:rPr>
          <w:rFonts w:ascii="Arial" w:hAnsi="Arial" w:cs="Arial"/>
          <w:bCs/>
          <w:sz w:val="22"/>
        </w:rPr>
        <w:t>f</w:t>
      </w:r>
      <w:r>
        <w:rPr>
          <w:rFonts w:ascii="Arial" w:hAnsi="Arial" w:cs="Arial"/>
          <w:bCs/>
          <w:sz w:val="22"/>
        </w:rPr>
        <w:t xml:space="preserve">or </w:t>
      </w:r>
      <w:r w:rsidR="00741846">
        <w:rPr>
          <w:rFonts w:ascii="Arial" w:hAnsi="Arial" w:cs="Arial"/>
          <w:bCs/>
          <w:sz w:val="22"/>
        </w:rPr>
        <w:t>I</w:t>
      </w:r>
      <w:r>
        <w:rPr>
          <w:rFonts w:ascii="Arial" w:hAnsi="Arial" w:cs="Arial"/>
          <w:bCs/>
          <w:sz w:val="22"/>
        </w:rPr>
        <w:t xml:space="preserve">nternational </w:t>
      </w:r>
      <w:r w:rsidR="00741846">
        <w:rPr>
          <w:rFonts w:ascii="Arial" w:hAnsi="Arial" w:cs="Arial"/>
          <w:bCs/>
          <w:sz w:val="22"/>
        </w:rPr>
        <w:t>D</w:t>
      </w:r>
      <w:r>
        <w:rPr>
          <w:rFonts w:ascii="Arial" w:hAnsi="Arial" w:cs="Arial"/>
          <w:bCs/>
          <w:sz w:val="22"/>
        </w:rPr>
        <w:t>evelopment (D</w:t>
      </w:r>
      <w:r w:rsidR="00EC4A05">
        <w:rPr>
          <w:rFonts w:ascii="Arial" w:hAnsi="Arial" w:cs="Arial"/>
          <w:bCs/>
          <w:sz w:val="22"/>
        </w:rPr>
        <w:t>I</w:t>
      </w:r>
      <w:r>
        <w:rPr>
          <w:rFonts w:ascii="Arial" w:hAnsi="Arial" w:cs="Arial"/>
          <w:bCs/>
          <w:sz w:val="22"/>
        </w:rPr>
        <w:t>FD)</w:t>
      </w:r>
      <w:r w:rsidR="00741846">
        <w:rPr>
          <w:rFonts w:ascii="Arial" w:hAnsi="Arial" w:cs="Arial"/>
          <w:bCs/>
          <w:sz w:val="22"/>
        </w:rPr>
        <w:t>.</w:t>
      </w:r>
    </w:p>
    <w:p w:rsidR="00741846" w:rsidRDefault="00741846" w:rsidP="00443D84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</w:rPr>
      </w:pPr>
    </w:p>
    <w:p w:rsidR="00C81356" w:rsidRPr="00073733" w:rsidRDefault="00C81356" w:rsidP="00C81356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73733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KPM’s for PC</w:t>
      </w:r>
      <w:r w:rsidRPr="00073733">
        <w:rPr>
          <w:rFonts w:ascii="Arial" w:hAnsi="Arial" w:cs="Arial"/>
          <w:bCs/>
          <w:sz w:val="22"/>
          <w:szCs w:val="22"/>
        </w:rPr>
        <w:t xml:space="preserve"> were</w:t>
      </w:r>
      <w:r>
        <w:rPr>
          <w:rFonts w:ascii="Arial" w:hAnsi="Arial" w:cs="Arial"/>
          <w:bCs/>
          <w:sz w:val="22"/>
          <w:szCs w:val="22"/>
        </w:rPr>
        <w:t xml:space="preserve"> set out in SR15 as follows</w:t>
      </w:r>
      <w:r w:rsidRPr="00073733">
        <w:rPr>
          <w:rFonts w:ascii="Arial" w:hAnsi="Arial" w:cs="Arial"/>
          <w:bCs/>
          <w:sz w:val="22"/>
          <w:szCs w:val="22"/>
        </w:rPr>
        <w:t>:</w:t>
      </w:r>
    </w:p>
    <w:p w:rsidR="00C81356" w:rsidRPr="00073733" w:rsidRDefault="00C81356" w:rsidP="00C81356">
      <w:pPr>
        <w:autoSpaceDE w:val="0"/>
        <w:autoSpaceDN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C81356" w:rsidRDefault="00C81356" w:rsidP="00C81356">
      <w:pPr>
        <w:pStyle w:val="ListParagraph"/>
        <w:numPr>
          <w:ilvl w:val="0"/>
          <w:numId w:val="19"/>
        </w:numPr>
        <w:autoSpaceDE w:val="0"/>
        <w:autoSpaceDN w:val="0"/>
        <w:spacing w:after="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a</w:t>
      </w:r>
      <w:r w:rsidRPr="00073733">
        <w:rPr>
          <w:rFonts w:cs="Arial"/>
          <w:bCs/>
          <w:sz w:val="22"/>
        </w:rPr>
        <w:t>fter year one</w:t>
      </w:r>
    </w:p>
    <w:p w:rsidR="00C81356" w:rsidRPr="00073733" w:rsidRDefault="00C81356" w:rsidP="00C81356">
      <w:pPr>
        <w:autoSpaceDE w:val="0"/>
        <w:autoSpaceDN w:val="0"/>
        <w:ind w:left="426"/>
        <w:jc w:val="both"/>
        <w:rPr>
          <w:rFonts w:cs="Arial"/>
          <w:bCs/>
          <w:sz w:val="22"/>
        </w:rPr>
      </w:pPr>
      <w:r w:rsidRPr="00073733">
        <w:rPr>
          <w:rFonts w:cs="Arial"/>
          <w:bCs/>
          <w:sz w:val="22"/>
        </w:rPr>
        <w:t xml:space="preserve">    </w:t>
      </w:r>
    </w:p>
    <w:p w:rsidR="00C81356" w:rsidRDefault="00C81356" w:rsidP="00C81356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delivery of expertise, training and mentoring in the use of existing systems, carrier data/information and </w:t>
      </w:r>
      <w:r w:rsidRPr="00EC4A05">
        <w:rPr>
          <w:rFonts w:cs="Arial"/>
          <w:bCs/>
          <w:sz w:val="22"/>
        </w:rPr>
        <w:t xml:space="preserve">intelligence, </w:t>
      </w:r>
      <w:r w:rsidRPr="00EC4A05">
        <w:rPr>
          <w:rFonts w:cs="Arial"/>
          <w:bCs/>
          <w:sz w:val="22"/>
          <w:u w:val="single"/>
        </w:rPr>
        <w:t>led to increased border detection and interdiction capability</w:t>
      </w:r>
      <w:r>
        <w:rPr>
          <w:rFonts w:cs="Arial"/>
          <w:bCs/>
          <w:sz w:val="22"/>
        </w:rPr>
        <w:t xml:space="preserve"> </w:t>
      </w:r>
    </w:p>
    <w:p w:rsidR="00C81356" w:rsidRDefault="00C81356" w:rsidP="00C81356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 w:rsidRPr="00D2423D">
        <w:rPr>
          <w:rFonts w:cs="Arial"/>
          <w:bCs/>
          <w:sz w:val="22"/>
        </w:rPr>
        <w:t xml:space="preserve">use of BF targeting methodologies and expertise led to </w:t>
      </w:r>
      <w:r w:rsidRPr="00EC4A05">
        <w:rPr>
          <w:rFonts w:cs="Arial"/>
          <w:bCs/>
          <w:sz w:val="22"/>
          <w:u w:val="single"/>
        </w:rPr>
        <w:t xml:space="preserve">improved expertise in upstream identification of </w:t>
      </w:r>
      <w:r w:rsidR="007E2BF9" w:rsidRPr="00EC4A05">
        <w:rPr>
          <w:rFonts w:cs="Arial"/>
          <w:bCs/>
          <w:sz w:val="22"/>
          <w:u w:val="single"/>
        </w:rPr>
        <w:t>drug</w:t>
      </w:r>
      <w:r w:rsidRPr="00EC4A05">
        <w:rPr>
          <w:rFonts w:cs="Arial"/>
          <w:bCs/>
          <w:sz w:val="22"/>
          <w:u w:val="single"/>
        </w:rPr>
        <w:t>s</w:t>
      </w:r>
    </w:p>
    <w:p w:rsidR="00C81356" w:rsidRPr="00D2423D" w:rsidRDefault="00C81356" w:rsidP="00C81356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 w:rsidRPr="00EC4A05">
        <w:rPr>
          <w:rFonts w:cs="Arial"/>
          <w:bCs/>
          <w:sz w:val="22"/>
          <w:u w:val="single"/>
        </w:rPr>
        <w:t>closer collaboration</w:t>
      </w:r>
      <w:r w:rsidRPr="00D2423D">
        <w:rPr>
          <w:rFonts w:cs="Arial"/>
          <w:bCs/>
          <w:sz w:val="22"/>
        </w:rPr>
        <w:t xml:space="preserve"> between host agencies </w:t>
      </w:r>
      <w:r w:rsidRPr="00EC4A05">
        <w:rPr>
          <w:rFonts w:cs="Arial"/>
          <w:bCs/>
          <w:sz w:val="22"/>
          <w:u w:val="single"/>
        </w:rPr>
        <w:t>increased the flow of intelligence and information exchange</w:t>
      </w:r>
      <w:r w:rsidRPr="00D2423D">
        <w:rPr>
          <w:rFonts w:cs="Arial"/>
          <w:bCs/>
          <w:sz w:val="22"/>
        </w:rPr>
        <w:t xml:space="preserve"> and operational collaboration</w:t>
      </w:r>
    </w:p>
    <w:p w:rsidR="00C81356" w:rsidRPr="00073733" w:rsidRDefault="00C81356" w:rsidP="00C81356">
      <w:pPr>
        <w:autoSpaceDE w:val="0"/>
        <w:autoSpaceDN w:val="0"/>
        <w:jc w:val="both"/>
        <w:rPr>
          <w:rFonts w:ascii="Arial" w:hAnsi="Arial" w:cs="Arial"/>
          <w:bCs/>
          <w:sz w:val="22"/>
        </w:rPr>
      </w:pPr>
    </w:p>
    <w:p w:rsidR="00C81356" w:rsidRDefault="00C81356" w:rsidP="00C81356">
      <w:pPr>
        <w:pStyle w:val="ListParagraph"/>
        <w:numPr>
          <w:ilvl w:val="0"/>
          <w:numId w:val="19"/>
        </w:numPr>
        <w:autoSpaceDE w:val="0"/>
        <w:autoSpaceDN w:val="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after year four</w:t>
      </w:r>
    </w:p>
    <w:p w:rsidR="00C81356" w:rsidRDefault="00C81356" w:rsidP="00C81356">
      <w:pPr>
        <w:pStyle w:val="ListParagraph"/>
        <w:autoSpaceDE w:val="0"/>
        <w:autoSpaceDN w:val="0"/>
        <w:ind w:left="786"/>
        <w:jc w:val="both"/>
        <w:rPr>
          <w:rFonts w:cs="Arial"/>
          <w:bCs/>
          <w:sz w:val="22"/>
        </w:rPr>
      </w:pPr>
    </w:p>
    <w:p w:rsidR="00C81356" w:rsidRDefault="00C81356" w:rsidP="00C81356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continued and sustained </w:t>
      </w:r>
      <w:r w:rsidRPr="00EC4A05">
        <w:rPr>
          <w:rFonts w:cs="Arial"/>
          <w:bCs/>
          <w:sz w:val="22"/>
          <w:u w:val="single"/>
        </w:rPr>
        <w:t xml:space="preserve">growth in host capability to </w:t>
      </w:r>
      <w:r w:rsidR="007E2BF9" w:rsidRPr="00EC4A05">
        <w:rPr>
          <w:rFonts w:cs="Arial"/>
          <w:bCs/>
          <w:sz w:val="22"/>
          <w:u w:val="single"/>
        </w:rPr>
        <w:t>detect and interdict drugs at the border</w:t>
      </w:r>
    </w:p>
    <w:p w:rsidR="00C81356" w:rsidRDefault="00C81356" w:rsidP="00C81356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a </w:t>
      </w:r>
      <w:r w:rsidRPr="00EC4A05">
        <w:rPr>
          <w:rFonts w:cs="Arial"/>
          <w:bCs/>
          <w:sz w:val="22"/>
          <w:u w:val="single"/>
        </w:rPr>
        <w:t>core level of expertise and capability across host border agencies exists</w:t>
      </w:r>
      <w:r>
        <w:rPr>
          <w:rFonts w:cs="Arial"/>
          <w:bCs/>
          <w:sz w:val="22"/>
        </w:rPr>
        <w:t xml:space="preserve"> that can be promulgated across the full range of modes and all ports in the host country</w:t>
      </w:r>
    </w:p>
    <w:p w:rsidR="00C81356" w:rsidRDefault="00C81356" w:rsidP="00C81356">
      <w:pPr>
        <w:pStyle w:val="ListParagraph"/>
        <w:numPr>
          <w:ilvl w:val="0"/>
          <w:numId w:val="16"/>
        </w:numPr>
        <w:autoSpaceDE w:val="0"/>
        <w:autoSpaceDN w:val="0"/>
        <w:spacing w:after="0"/>
        <w:ind w:left="993" w:hanging="20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an </w:t>
      </w:r>
      <w:r w:rsidRPr="00EC4A05">
        <w:rPr>
          <w:rFonts w:cs="Arial"/>
          <w:bCs/>
          <w:sz w:val="22"/>
          <w:u w:val="single"/>
        </w:rPr>
        <w:t>embedded robust relationship between Border Agencies exists</w:t>
      </w:r>
      <w:r>
        <w:rPr>
          <w:rFonts w:cs="Arial"/>
          <w:bCs/>
          <w:sz w:val="22"/>
        </w:rPr>
        <w:t xml:space="preserve"> that provides for regular operational and intelligence collaboration to identify mutual threats </w:t>
      </w:r>
    </w:p>
    <w:p w:rsidR="00C81356" w:rsidRDefault="00C81356" w:rsidP="00C81356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674486" w:rsidRPr="00515905" w:rsidRDefault="00674486" w:rsidP="00515905">
      <w:pPr>
        <w:rPr>
          <w:rFonts w:ascii="Arial" w:hAnsi="Arial" w:cs="Arial"/>
          <w:b/>
          <w:i/>
          <w:color w:val="FF0000"/>
          <w:sz w:val="22"/>
          <w:szCs w:val="22"/>
        </w:rPr>
      </w:pPr>
      <w:bookmarkStart w:id="0" w:name="_GoBack"/>
      <w:bookmarkEnd w:id="0"/>
    </w:p>
    <w:sectPr w:rsidR="00674486" w:rsidRPr="00515905" w:rsidSect="001B69A0">
      <w:headerReference w:type="default" r:id="rId13"/>
      <w:pgSz w:w="11906" w:h="16838"/>
      <w:pgMar w:top="1440" w:right="1416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22" w:rsidRDefault="001D5922" w:rsidP="00010B5E">
      <w:r>
        <w:separator/>
      </w:r>
    </w:p>
  </w:endnote>
  <w:endnote w:type="continuationSeparator" w:id="0">
    <w:p w:rsidR="001D5922" w:rsidRDefault="001D5922" w:rsidP="000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Gautam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22" w:rsidRDefault="001D5922" w:rsidP="00010B5E">
      <w:r>
        <w:separator/>
      </w:r>
    </w:p>
  </w:footnote>
  <w:footnote w:type="continuationSeparator" w:id="0">
    <w:p w:rsidR="001D5922" w:rsidRDefault="001D5922" w:rsidP="0001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922" w:rsidRPr="00010B5E" w:rsidRDefault="001D5922" w:rsidP="00AD0DC6">
    <w:pPr>
      <w:pStyle w:val="Header"/>
      <w:tabs>
        <w:tab w:val="clear" w:pos="4513"/>
        <w:tab w:val="center" w:pos="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2"/>
        <w:szCs w:val="22"/>
      </w:rPr>
      <w:t>Hunter Chaucer Governance Framework</w:t>
    </w:r>
    <w:r w:rsidRPr="00010B5E">
      <w:rPr>
        <w:rFonts w:ascii="Arial" w:hAnsi="Arial" w:cs="Arial"/>
        <w:sz w:val="22"/>
        <w:szCs w:val="22"/>
      </w:rPr>
      <w:t xml:space="preserve"> </w:t>
    </w:r>
    <w:r w:rsidR="00016DDB">
      <w:rPr>
        <w:rFonts w:ascii="Arial" w:hAnsi="Arial" w:cs="Arial"/>
        <w:sz w:val="22"/>
        <w:szCs w:val="22"/>
      </w:rPr>
      <w:t>Summary (Programme Plan)</w:t>
    </w:r>
    <w:r>
      <w:rPr>
        <w:rFonts w:ascii="Arial" w:hAnsi="Arial" w:cs="Arial"/>
        <w:b/>
        <w:noProof/>
        <w:sz w:val="20"/>
        <w:szCs w:val="20"/>
        <w:lang w:val="en-US" w:eastAsia="zh-CN"/>
      </w:rPr>
      <mc:AlternateContent>
        <mc:Choice Requires="wps">
          <w:drawing>
            <wp:inline distT="0" distB="0" distL="0" distR="0" wp14:anchorId="1375CFEB" wp14:editId="29B61AA0">
              <wp:extent cx="9020175" cy="45719"/>
              <wp:effectExtent l="0" t="0" r="9525" b="0"/>
              <wp:docPr id="10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V="1">
                        <a:off x="0" y="0"/>
                        <a:ext cx="9020175" cy="45719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2D38FA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width:71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" fillcolor="#8f23b3" stroked="f">
              <v:path arrowok="t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8DA"/>
    <w:multiLevelType w:val="hybridMultilevel"/>
    <w:tmpl w:val="03D6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1F3"/>
    <w:multiLevelType w:val="hybridMultilevel"/>
    <w:tmpl w:val="D6AC2084"/>
    <w:lvl w:ilvl="0" w:tplc="1BCCC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C6FBF"/>
    <w:multiLevelType w:val="hybridMultilevel"/>
    <w:tmpl w:val="98D6B88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3C21D8"/>
    <w:multiLevelType w:val="hybridMultilevel"/>
    <w:tmpl w:val="46EE92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8232B"/>
    <w:multiLevelType w:val="hybridMultilevel"/>
    <w:tmpl w:val="8BC82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1728"/>
    <w:multiLevelType w:val="hybridMultilevel"/>
    <w:tmpl w:val="FD94D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4385D"/>
    <w:multiLevelType w:val="hybridMultilevel"/>
    <w:tmpl w:val="1FA8B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30D0C"/>
    <w:multiLevelType w:val="hybridMultilevel"/>
    <w:tmpl w:val="DE96E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3642C"/>
    <w:multiLevelType w:val="hybridMultilevel"/>
    <w:tmpl w:val="353A3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54E1"/>
    <w:multiLevelType w:val="hybridMultilevel"/>
    <w:tmpl w:val="23FE4A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F604C"/>
    <w:multiLevelType w:val="hybridMultilevel"/>
    <w:tmpl w:val="15AA7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631A"/>
    <w:multiLevelType w:val="multilevel"/>
    <w:tmpl w:val="53C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570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877704"/>
    <w:multiLevelType w:val="hybridMultilevel"/>
    <w:tmpl w:val="8184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D7BD8"/>
    <w:multiLevelType w:val="hybridMultilevel"/>
    <w:tmpl w:val="9690B4CA"/>
    <w:lvl w:ilvl="0" w:tplc="57ACE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7E12C2"/>
    <w:multiLevelType w:val="hybridMultilevel"/>
    <w:tmpl w:val="39C22036"/>
    <w:lvl w:ilvl="0" w:tplc="9CEC8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702FE"/>
    <w:multiLevelType w:val="hybridMultilevel"/>
    <w:tmpl w:val="102A5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50763"/>
    <w:multiLevelType w:val="hybridMultilevel"/>
    <w:tmpl w:val="2AC04C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0F0604"/>
    <w:multiLevelType w:val="hybridMultilevel"/>
    <w:tmpl w:val="DD884A5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4F33E1"/>
    <w:multiLevelType w:val="hybridMultilevel"/>
    <w:tmpl w:val="0F9AE24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D439C4"/>
    <w:multiLevelType w:val="hybridMultilevel"/>
    <w:tmpl w:val="A4EA1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D3F1F"/>
    <w:multiLevelType w:val="hybridMultilevel"/>
    <w:tmpl w:val="96B88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61707"/>
    <w:multiLevelType w:val="hybridMultilevel"/>
    <w:tmpl w:val="6A38874C"/>
    <w:lvl w:ilvl="0" w:tplc="0A7C886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C5CB2"/>
    <w:multiLevelType w:val="hybridMultilevel"/>
    <w:tmpl w:val="9690B4CA"/>
    <w:lvl w:ilvl="0" w:tplc="57ACE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985976"/>
    <w:multiLevelType w:val="hybridMultilevel"/>
    <w:tmpl w:val="BD226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197F"/>
    <w:multiLevelType w:val="hybridMultilevel"/>
    <w:tmpl w:val="9C90E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E66D0D"/>
    <w:multiLevelType w:val="hybridMultilevel"/>
    <w:tmpl w:val="C2443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EA6C60"/>
    <w:multiLevelType w:val="hybridMultilevel"/>
    <w:tmpl w:val="38D464A6"/>
    <w:lvl w:ilvl="0" w:tplc="A24E0A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A650C51"/>
    <w:multiLevelType w:val="hybridMultilevel"/>
    <w:tmpl w:val="80723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566E46"/>
    <w:multiLevelType w:val="hybridMultilevel"/>
    <w:tmpl w:val="1454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77347"/>
    <w:multiLevelType w:val="hybridMultilevel"/>
    <w:tmpl w:val="55A88F62"/>
    <w:lvl w:ilvl="0" w:tplc="7B503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35936"/>
    <w:multiLevelType w:val="hybridMultilevel"/>
    <w:tmpl w:val="8F48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3C20"/>
    <w:multiLevelType w:val="hybridMultilevel"/>
    <w:tmpl w:val="D506C0B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79D118EE"/>
    <w:multiLevelType w:val="hybridMultilevel"/>
    <w:tmpl w:val="118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0670"/>
    <w:multiLevelType w:val="hybridMultilevel"/>
    <w:tmpl w:val="51326188"/>
    <w:lvl w:ilvl="0" w:tplc="0D560C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29"/>
  </w:num>
  <w:num w:numId="5">
    <w:abstractNumId w:val="13"/>
  </w:num>
  <w:num w:numId="6">
    <w:abstractNumId w:val="2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33"/>
  </w:num>
  <w:num w:numId="12">
    <w:abstractNumId w:val="6"/>
  </w:num>
  <w:num w:numId="13">
    <w:abstractNumId w:val="11"/>
  </w:num>
  <w:num w:numId="14">
    <w:abstractNumId w:val="20"/>
  </w:num>
  <w:num w:numId="15">
    <w:abstractNumId w:val="23"/>
  </w:num>
  <w:num w:numId="16">
    <w:abstractNumId w:val="2"/>
  </w:num>
  <w:num w:numId="17">
    <w:abstractNumId w:val="32"/>
  </w:num>
  <w:num w:numId="18">
    <w:abstractNumId w:val="19"/>
  </w:num>
  <w:num w:numId="19">
    <w:abstractNumId w:val="14"/>
  </w:num>
  <w:num w:numId="20">
    <w:abstractNumId w:val="27"/>
  </w:num>
  <w:num w:numId="21">
    <w:abstractNumId w:val="22"/>
  </w:num>
  <w:num w:numId="22">
    <w:abstractNumId w:val="17"/>
  </w:num>
  <w:num w:numId="23">
    <w:abstractNumId w:val="28"/>
  </w:num>
  <w:num w:numId="24">
    <w:abstractNumId w:val="12"/>
  </w:num>
  <w:num w:numId="25">
    <w:abstractNumId w:val="31"/>
  </w:num>
  <w:num w:numId="26">
    <w:abstractNumId w:val="10"/>
  </w:num>
  <w:num w:numId="27">
    <w:abstractNumId w:val="30"/>
  </w:num>
  <w:num w:numId="28">
    <w:abstractNumId w:val="7"/>
  </w:num>
  <w:num w:numId="29">
    <w:abstractNumId w:val="24"/>
  </w:num>
  <w:num w:numId="30">
    <w:abstractNumId w:val="8"/>
  </w:num>
  <w:num w:numId="31">
    <w:abstractNumId w:val="18"/>
  </w:num>
  <w:num w:numId="32">
    <w:abstractNumId w:val="15"/>
  </w:num>
  <w:num w:numId="33">
    <w:abstractNumId w:val="1"/>
  </w:num>
  <w:num w:numId="34">
    <w:abstractNumId w:val="34"/>
  </w:num>
  <w:num w:numId="35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5E"/>
    <w:rsid w:val="0000580C"/>
    <w:rsid w:val="00010B5E"/>
    <w:rsid w:val="000125D8"/>
    <w:rsid w:val="000151E2"/>
    <w:rsid w:val="00015F6C"/>
    <w:rsid w:val="00016DDB"/>
    <w:rsid w:val="0002215D"/>
    <w:rsid w:val="000233D2"/>
    <w:rsid w:val="0002350A"/>
    <w:rsid w:val="00024928"/>
    <w:rsid w:val="00027053"/>
    <w:rsid w:val="00027C84"/>
    <w:rsid w:val="00030EC4"/>
    <w:rsid w:val="00033E8C"/>
    <w:rsid w:val="00034304"/>
    <w:rsid w:val="00035B50"/>
    <w:rsid w:val="00041F84"/>
    <w:rsid w:val="00042A63"/>
    <w:rsid w:val="000435B3"/>
    <w:rsid w:val="00043C6E"/>
    <w:rsid w:val="0004408D"/>
    <w:rsid w:val="00045705"/>
    <w:rsid w:val="00053A28"/>
    <w:rsid w:val="00055C8B"/>
    <w:rsid w:val="00056212"/>
    <w:rsid w:val="00060291"/>
    <w:rsid w:val="00064C72"/>
    <w:rsid w:val="0006568F"/>
    <w:rsid w:val="0006573D"/>
    <w:rsid w:val="00065AEC"/>
    <w:rsid w:val="000719C8"/>
    <w:rsid w:val="000730B1"/>
    <w:rsid w:val="00073733"/>
    <w:rsid w:val="00074C65"/>
    <w:rsid w:val="00074E37"/>
    <w:rsid w:val="00075910"/>
    <w:rsid w:val="00076E42"/>
    <w:rsid w:val="000800B4"/>
    <w:rsid w:val="00081000"/>
    <w:rsid w:val="000819C9"/>
    <w:rsid w:val="0008290E"/>
    <w:rsid w:val="00083D0D"/>
    <w:rsid w:val="0008595D"/>
    <w:rsid w:val="00086B24"/>
    <w:rsid w:val="000876C2"/>
    <w:rsid w:val="00087EBC"/>
    <w:rsid w:val="00090923"/>
    <w:rsid w:val="0009164D"/>
    <w:rsid w:val="00092018"/>
    <w:rsid w:val="00092809"/>
    <w:rsid w:val="000938EC"/>
    <w:rsid w:val="00094BE4"/>
    <w:rsid w:val="000952A7"/>
    <w:rsid w:val="000A005A"/>
    <w:rsid w:val="000A0428"/>
    <w:rsid w:val="000A0695"/>
    <w:rsid w:val="000A3CCE"/>
    <w:rsid w:val="000A4F6B"/>
    <w:rsid w:val="000A591C"/>
    <w:rsid w:val="000A5D6F"/>
    <w:rsid w:val="000A5DDA"/>
    <w:rsid w:val="000A6EE1"/>
    <w:rsid w:val="000B05BD"/>
    <w:rsid w:val="000B322B"/>
    <w:rsid w:val="000B5E1B"/>
    <w:rsid w:val="000B5E2E"/>
    <w:rsid w:val="000B72D1"/>
    <w:rsid w:val="000B760C"/>
    <w:rsid w:val="000C0CBB"/>
    <w:rsid w:val="000C36D1"/>
    <w:rsid w:val="000C5C8D"/>
    <w:rsid w:val="000C6A23"/>
    <w:rsid w:val="000D0C29"/>
    <w:rsid w:val="000D1559"/>
    <w:rsid w:val="000D3028"/>
    <w:rsid w:val="000D3C28"/>
    <w:rsid w:val="000D480D"/>
    <w:rsid w:val="000D579E"/>
    <w:rsid w:val="000D6196"/>
    <w:rsid w:val="000D782D"/>
    <w:rsid w:val="000D7E81"/>
    <w:rsid w:val="000E0CE4"/>
    <w:rsid w:val="000E1C83"/>
    <w:rsid w:val="000E1E06"/>
    <w:rsid w:val="000E20E2"/>
    <w:rsid w:val="000E28B3"/>
    <w:rsid w:val="000E5E05"/>
    <w:rsid w:val="000E63F5"/>
    <w:rsid w:val="000F073F"/>
    <w:rsid w:val="000F1E83"/>
    <w:rsid w:val="000F5A2A"/>
    <w:rsid w:val="000F7D14"/>
    <w:rsid w:val="00110222"/>
    <w:rsid w:val="00110689"/>
    <w:rsid w:val="0011200A"/>
    <w:rsid w:val="0011272C"/>
    <w:rsid w:val="00113323"/>
    <w:rsid w:val="00114BB5"/>
    <w:rsid w:val="00114FC5"/>
    <w:rsid w:val="00116016"/>
    <w:rsid w:val="00117AC9"/>
    <w:rsid w:val="001224A4"/>
    <w:rsid w:val="001239F3"/>
    <w:rsid w:val="001252C9"/>
    <w:rsid w:val="00132959"/>
    <w:rsid w:val="00133127"/>
    <w:rsid w:val="00133236"/>
    <w:rsid w:val="00134BEE"/>
    <w:rsid w:val="0013516B"/>
    <w:rsid w:val="00136263"/>
    <w:rsid w:val="00136A0B"/>
    <w:rsid w:val="00136A68"/>
    <w:rsid w:val="00136CB6"/>
    <w:rsid w:val="00137AE2"/>
    <w:rsid w:val="0014073D"/>
    <w:rsid w:val="0014122E"/>
    <w:rsid w:val="00142F33"/>
    <w:rsid w:val="0014304F"/>
    <w:rsid w:val="00144716"/>
    <w:rsid w:val="001454E9"/>
    <w:rsid w:val="00145BF5"/>
    <w:rsid w:val="0015020B"/>
    <w:rsid w:val="00151B9B"/>
    <w:rsid w:val="00152162"/>
    <w:rsid w:val="00156835"/>
    <w:rsid w:val="00157F12"/>
    <w:rsid w:val="00180F3C"/>
    <w:rsid w:val="00181239"/>
    <w:rsid w:val="00182E7A"/>
    <w:rsid w:val="00184966"/>
    <w:rsid w:val="001864B6"/>
    <w:rsid w:val="00186595"/>
    <w:rsid w:val="00193AA0"/>
    <w:rsid w:val="0019404B"/>
    <w:rsid w:val="00194401"/>
    <w:rsid w:val="001950A2"/>
    <w:rsid w:val="001A0AEA"/>
    <w:rsid w:val="001A0C95"/>
    <w:rsid w:val="001A0DB1"/>
    <w:rsid w:val="001A1BF4"/>
    <w:rsid w:val="001A2CC4"/>
    <w:rsid w:val="001A5122"/>
    <w:rsid w:val="001A56E8"/>
    <w:rsid w:val="001A7145"/>
    <w:rsid w:val="001B1892"/>
    <w:rsid w:val="001B3890"/>
    <w:rsid w:val="001B484A"/>
    <w:rsid w:val="001B69A0"/>
    <w:rsid w:val="001C0656"/>
    <w:rsid w:val="001C0B06"/>
    <w:rsid w:val="001C1BD4"/>
    <w:rsid w:val="001C1FEC"/>
    <w:rsid w:val="001C2C02"/>
    <w:rsid w:val="001C39EC"/>
    <w:rsid w:val="001C478D"/>
    <w:rsid w:val="001D4005"/>
    <w:rsid w:val="001D41EE"/>
    <w:rsid w:val="001D537E"/>
    <w:rsid w:val="001D5706"/>
    <w:rsid w:val="001D5922"/>
    <w:rsid w:val="001E042B"/>
    <w:rsid w:val="001E1958"/>
    <w:rsid w:val="001E2A98"/>
    <w:rsid w:val="001E2AE1"/>
    <w:rsid w:val="001E6206"/>
    <w:rsid w:val="001E6705"/>
    <w:rsid w:val="001E7165"/>
    <w:rsid w:val="001E79E5"/>
    <w:rsid w:val="001F01FF"/>
    <w:rsid w:val="001F0D79"/>
    <w:rsid w:val="001F1872"/>
    <w:rsid w:val="001F3088"/>
    <w:rsid w:val="001F3DDA"/>
    <w:rsid w:val="001F6B76"/>
    <w:rsid w:val="0020168D"/>
    <w:rsid w:val="00201D18"/>
    <w:rsid w:val="00202710"/>
    <w:rsid w:val="00203012"/>
    <w:rsid w:val="002032F4"/>
    <w:rsid w:val="002063B0"/>
    <w:rsid w:val="0020683E"/>
    <w:rsid w:val="0021330A"/>
    <w:rsid w:val="002154AE"/>
    <w:rsid w:val="002202A3"/>
    <w:rsid w:val="002205AB"/>
    <w:rsid w:val="0022083B"/>
    <w:rsid w:val="00220AB7"/>
    <w:rsid w:val="0022102B"/>
    <w:rsid w:val="0022408B"/>
    <w:rsid w:val="0022644F"/>
    <w:rsid w:val="00226580"/>
    <w:rsid w:val="00227A1F"/>
    <w:rsid w:val="0023061E"/>
    <w:rsid w:val="00230640"/>
    <w:rsid w:val="00230890"/>
    <w:rsid w:val="00231292"/>
    <w:rsid w:val="0023238B"/>
    <w:rsid w:val="00232E92"/>
    <w:rsid w:val="00233210"/>
    <w:rsid w:val="00235318"/>
    <w:rsid w:val="00235B95"/>
    <w:rsid w:val="00241515"/>
    <w:rsid w:val="0024523E"/>
    <w:rsid w:val="00251A61"/>
    <w:rsid w:val="00255F5D"/>
    <w:rsid w:val="00256944"/>
    <w:rsid w:val="00257840"/>
    <w:rsid w:val="00261FA2"/>
    <w:rsid w:val="00265B1A"/>
    <w:rsid w:val="00270CF0"/>
    <w:rsid w:val="00272296"/>
    <w:rsid w:val="00274382"/>
    <w:rsid w:val="00275004"/>
    <w:rsid w:val="00275298"/>
    <w:rsid w:val="00277590"/>
    <w:rsid w:val="00277993"/>
    <w:rsid w:val="00283426"/>
    <w:rsid w:val="002835D7"/>
    <w:rsid w:val="00283AF6"/>
    <w:rsid w:val="002847DF"/>
    <w:rsid w:val="002862FA"/>
    <w:rsid w:val="00286D50"/>
    <w:rsid w:val="0029006C"/>
    <w:rsid w:val="00293FD2"/>
    <w:rsid w:val="00295064"/>
    <w:rsid w:val="00297E46"/>
    <w:rsid w:val="002A1B7E"/>
    <w:rsid w:val="002A2BB5"/>
    <w:rsid w:val="002A489D"/>
    <w:rsid w:val="002B3513"/>
    <w:rsid w:val="002B3693"/>
    <w:rsid w:val="002B5643"/>
    <w:rsid w:val="002C2EC5"/>
    <w:rsid w:val="002C499A"/>
    <w:rsid w:val="002C625A"/>
    <w:rsid w:val="002C633E"/>
    <w:rsid w:val="002C6A51"/>
    <w:rsid w:val="002C6A5E"/>
    <w:rsid w:val="002C7031"/>
    <w:rsid w:val="002D1C1F"/>
    <w:rsid w:val="002D2817"/>
    <w:rsid w:val="002D56D3"/>
    <w:rsid w:val="002E0EB4"/>
    <w:rsid w:val="002E6EA1"/>
    <w:rsid w:val="002E717D"/>
    <w:rsid w:val="002F1191"/>
    <w:rsid w:val="002F3CD4"/>
    <w:rsid w:val="002F47D6"/>
    <w:rsid w:val="002F4970"/>
    <w:rsid w:val="002F49E5"/>
    <w:rsid w:val="002F5741"/>
    <w:rsid w:val="002F59BF"/>
    <w:rsid w:val="002F7649"/>
    <w:rsid w:val="002F7D56"/>
    <w:rsid w:val="00301723"/>
    <w:rsid w:val="003046C7"/>
    <w:rsid w:val="003069E5"/>
    <w:rsid w:val="00306F9A"/>
    <w:rsid w:val="00311D6F"/>
    <w:rsid w:val="0031258A"/>
    <w:rsid w:val="00314602"/>
    <w:rsid w:val="00317DC8"/>
    <w:rsid w:val="00320683"/>
    <w:rsid w:val="003244BC"/>
    <w:rsid w:val="003251F9"/>
    <w:rsid w:val="00333301"/>
    <w:rsid w:val="00333842"/>
    <w:rsid w:val="003354C7"/>
    <w:rsid w:val="0033553C"/>
    <w:rsid w:val="00336988"/>
    <w:rsid w:val="00340269"/>
    <w:rsid w:val="003416F5"/>
    <w:rsid w:val="00341C96"/>
    <w:rsid w:val="003427B0"/>
    <w:rsid w:val="003431D3"/>
    <w:rsid w:val="00346C56"/>
    <w:rsid w:val="00347AEF"/>
    <w:rsid w:val="0035030A"/>
    <w:rsid w:val="00350D32"/>
    <w:rsid w:val="00350F24"/>
    <w:rsid w:val="00355497"/>
    <w:rsid w:val="00356B10"/>
    <w:rsid w:val="00357074"/>
    <w:rsid w:val="00357575"/>
    <w:rsid w:val="00360462"/>
    <w:rsid w:val="003644B8"/>
    <w:rsid w:val="003737BE"/>
    <w:rsid w:val="00373AF4"/>
    <w:rsid w:val="003743B0"/>
    <w:rsid w:val="00374DFC"/>
    <w:rsid w:val="00374F60"/>
    <w:rsid w:val="003751B0"/>
    <w:rsid w:val="0037595B"/>
    <w:rsid w:val="003773CE"/>
    <w:rsid w:val="003838CE"/>
    <w:rsid w:val="00384672"/>
    <w:rsid w:val="003847EF"/>
    <w:rsid w:val="00385504"/>
    <w:rsid w:val="003862A5"/>
    <w:rsid w:val="00386969"/>
    <w:rsid w:val="00386FD7"/>
    <w:rsid w:val="0038778D"/>
    <w:rsid w:val="00387A0C"/>
    <w:rsid w:val="00391317"/>
    <w:rsid w:val="00392786"/>
    <w:rsid w:val="00392880"/>
    <w:rsid w:val="00396556"/>
    <w:rsid w:val="003A29F7"/>
    <w:rsid w:val="003A5BA5"/>
    <w:rsid w:val="003A5D85"/>
    <w:rsid w:val="003B0421"/>
    <w:rsid w:val="003B1D25"/>
    <w:rsid w:val="003B33CA"/>
    <w:rsid w:val="003B35C5"/>
    <w:rsid w:val="003B42B9"/>
    <w:rsid w:val="003B441B"/>
    <w:rsid w:val="003B4E70"/>
    <w:rsid w:val="003B4EA5"/>
    <w:rsid w:val="003B7B62"/>
    <w:rsid w:val="003C1074"/>
    <w:rsid w:val="003C169B"/>
    <w:rsid w:val="003C4101"/>
    <w:rsid w:val="003C4390"/>
    <w:rsid w:val="003D127E"/>
    <w:rsid w:val="003D1807"/>
    <w:rsid w:val="003D3FCD"/>
    <w:rsid w:val="003D5FD2"/>
    <w:rsid w:val="003E3DB7"/>
    <w:rsid w:val="003E4F3F"/>
    <w:rsid w:val="003E710E"/>
    <w:rsid w:val="003F10A3"/>
    <w:rsid w:val="003F2951"/>
    <w:rsid w:val="003F7272"/>
    <w:rsid w:val="00402EC6"/>
    <w:rsid w:val="00404D6C"/>
    <w:rsid w:val="00405C00"/>
    <w:rsid w:val="00405F3D"/>
    <w:rsid w:val="004060E3"/>
    <w:rsid w:val="00407B8B"/>
    <w:rsid w:val="00412256"/>
    <w:rsid w:val="0041498C"/>
    <w:rsid w:val="004150C7"/>
    <w:rsid w:val="00420B81"/>
    <w:rsid w:val="0042207D"/>
    <w:rsid w:val="00423267"/>
    <w:rsid w:val="00423D36"/>
    <w:rsid w:val="00423EFB"/>
    <w:rsid w:val="004251C4"/>
    <w:rsid w:val="00427AB1"/>
    <w:rsid w:val="00430A55"/>
    <w:rsid w:val="00431436"/>
    <w:rsid w:val="00431BAC"/>
    <w:rsid w:val="0043572F"/>
    <w:rsid w:val="00436383"/>
    <w:rsid w:val="00436512"/>
    <w:rsid w:val="00441A13"/>
    <w:rsid w:val="00443D84"/>
    <w:rsid w:val="0044426E"/>
    <w:rsid w:val="00444CF4"/>
    <w:rsid w:val="00444F43"/>
    <w:rsid w:val="0045108C"/>
    <w:rsid w:val="00452E0E"/>
    <w:rsid w:val="004530CD"/>
    <w:rsid w:val="00454651"/>
    <w:rsid w:val="004546F8"/>
    <w:rsid w:val="00455B1D"/>
    <w:rsid w:val="00456CF0"/>
    <w:rsid w:val="00457465"/>
    <w:rsid w:val="00460B36"/>
    <w:rsid w:val="00474527"/>
    <w:rsid w:val="00475D19"/>
    <w:rsid w:val="004802D3"/>
    <w:rsid w:val="00481587"/>
    <w:rsid w:val="0048169E"/>
    <w:rsid w:val="00482B76"/>
    <w:rsid w:val="00482E7E"/>
    <w:rsid w:val="00483BE7"/>
    <w:rsid w:val="004840B0"/>
    <w:rsid w:val="00490D21"/>
    <w:rsid w:val="00490D63"/>
    <w:rsid w:val="0049144B"/>
    <w:rsid w:val="00491608"/>
    <w:rsid w:val="00491B40"/>
    <w:rsid w:val="00492A18"/>
    <w:rsid w:val="00495023"/>
    <w:rsid w:val="004962F7"/>
    <w:rsid w:val="004A1D1B"/>
    <w:rsid w:val="004A37A6"/>
    <w:rsid w:val="004A3FF0"/>
    <w:rsid w:val="004A425D"/>
    <w:rsid w:val="004B3E84"/>
    <w:rsid w:val="004B42CC"/>
    <w:rsid w:val="004B7D02"/>
    <w:rsid w:val="004C10AA"/>
    <w:rsid w:val="004C1A15"/>
    <w:rsid w:val="004C28B3"/>
    <w:rsid w:val="004C2D92"/>
    <w:rsid w:val="004C328B"/>
    <w:rsid w:val="004C3C8F"/>
    <w:rsid w:val="004C4586"/>
    <w:rsid w:val="004C51F0"/>
    <w:rsid w:val="004C6A61"/>
    <w:rsid w:val="004C7212"/>
    <w:rsid w:val="004D2AAD"/>
    <w:rsid w:val="004D3C3C"/>
    <w:rsid w:val="004D641F"/>
    <w:rsid w:val="004D6B72"/>
    <w:rsid w:val="004D76B4"/>
    <w:rsid w:val="004E29EF"/>
    <w:rsid w:val="004E35CC"/>
    <w:rsid w:val="004E4B1A"/>
    <w:rsid w:val="004E4EAA"/>
    <w:rsid w:val="004E59C3"/>
    <w:rsid w:val="004E5AD5"/>
    <w:rsid w:val="004E64FA"/>
    <w:rsid w:val="004F42AE"/>
    <w:rsid w:val="004F509C"/>
    <w:rsid w:val="004F6C94"/>
    <w:rsid w:val="005006D2"/>
    <w:rsid w:val="005042CE"/>
    <w:rsid w:val="005050CD"/>
    <w:rsid w:val="00505BF6"/>
    <w:rsid w:val="00505FB6"/>
    <w:rsid w:val="0050671D"/>
    <w:rsid w:val="0051013E"/>
    <w:rsid w:val="00513BCA"/>
    <w:rsid w:val="00515905"/>
    <w:rsid w:val="00516C57"/>
    <w:rsid w:val="00516D72"/>
    <w:rsid w:val="005170D9"/>
    <w:rsid w:val="00520426"/>
    <w:rsid w:val="00523AC6"/>
    <w:rsid w:val="00524D31"/>
    <w:rsid w:val="005250EE"/>
    <w:rsid w:val="00525546"/>
    <w:rsid w:val="00525684"/>
    <w:rsid w:val="00526158"/>
    <w:rsid w:val="00526394"/>
    <w:rsid w:val="00530850"/>
    <w:rsid w:val="005311E0"/>
    <w:rsid w:val="0053145B"/>
    <w:rsid w:val="00533F5E"/>
    <w:rsid w:val="005373A3"/>
    <w:rsid w:val="00537BC2"/>
    <w:rsid w:val="00542E2E"/>
    <w:rsid w:val="00543219"/>
    <w:rsid w:val="0054340C"/>
    <w:rsid w:val="00543659"/>
    <w:rsid w:val="00546E22"/>
    <w:rsid w:val="00547FB8"/>
    <w:rsid w:val="005507F0"/>
    <w:rsid w:val="00553508"/>
    <w:rsid w:val="005555EC"/>
    <w:rsid w:val="00555FC5"/>
    <w:rsid w:val="00556D62"/>
    <w:rsid w:val="00562C3D"/>
    <w:rsid w:val="00563B33"/>
    <w:rsid w:val="005677A0"/>
    <w:rsid w:val="00574616"/>
    <w:rsid w:val="005754D3"/>
    <w:rsid w:val="00577086"/>
    <w:rsid w:val="00581339"/>
    <w:rsid w:val="0058320E"/>
    <w:rsid w:val="0058336E"/>
    <w:rsid w:val="00583688"/>
    <w:rsid w:val="00585C09"/>
    <w:rsid w:val="00586D8C"/>
    <w:rsid w:val="00593B84"/>
    <w:rsid w:val="00593E83"/>
    <w:rsid w:val="00594C72"/>
    <w:rsid w:val="0059511C"/>
    <w:rsid w:val="005959BC"/>
    <w:rsid w:val="00596D62"/>
    <w:rsid w:val="005976EE"/>
    <w:rsid w:val="00597931"/>
    <w:rsid w:val="005A45D7"/>
    <w:rsid w:val="005A4FF7"/>
    <w:rsid w:val="005B0898"/>
    <w:rsid w:val="005B1B95"/>
    <w:rsid w:val="005B28E4"/>
    <w:rsid w:val="005B3A85"/>
    <w:rsid w:val="005B4C32"/>
    <w:rsid w:val="005B5F2E"/>
    <w:rsid w:val="005B6F66"/>
    <w:rsid w:val="005B729B"/>
    <w:rsid w:val="005B7FED"/>
    <w:rsid w:val="005C3808"/>
    <w:rsid w:val="005C75DD"/>
    <w:rsid w:val="005D007A"/>
    <w:rsid w:val="005D11D1"/>
    <w:rsid w:val="005D26BD"/>
    <w:rsid w:val="005D3A6F"/>
    <w:rsid w:val="005D5BD4"/>
    <w:rsid w:val="005D7208"/>
    <w:rsid w:val="005E004F"/>
    <w:rsid w:val="005E2E59"/>
    <w:rsid w:val="005E31AD"/>
    <w:rsid w:val="005E3A00"/>
    <w:rsid w:val="005E4409"/>
    <w:rsid w:val="005E4626"/>
    <w:rsid w:val="005E65E9"/>
    <w:rsid w:val="005E7160"/>
    <w:rsid w:val="005E7CE6"/>
    <w:rsid w:val="005F1592"/>
    <w:rsid w:val="005F2550"/>
    <w:rsid w:val="005F278E"/>
    <w:rsid w:val="005F3272"/>
    <w:rsid w:val="005F3F4E"/>
    <w:rsid w:val="00605DB5"/>
    <w:rsid w:val="00606C43"/>
    <w:rsid w:val="006070FD"/>
    <w:rsid w:val="00611B6D"/>
    <w:rsid w:val="00612B58"/>
    <w:rsid w:val="00613220"/>
    <w:rsid w:val="00615A00"/>
    <w:rsid w:val="00622673"/>
    <w:rsid w:val="006251DF"/>
    <w:rsid w:val="00625EAC"/>
    <w:rsid w:val="00630AA0"/>
    <w:rsid w:val="00631540"/>
    <w:rsid w:val="006323F1"/>
    <w:rsid w:val="0063302D"/>
    <w:rsid w:val="00640F65"/>
    <w:rsid w:val="00645485"/>
    <w:rsid w:val="006455AC"/>
    <w:rsid w:val="0064569F"/>
    <w:rsid w:val="00645C76"/>
    <w:rsid w:val="006460DA"/>
    <w:rsid w:val="00652335"/>
    <w:rsid w:val="00657E99"/>
    <w:rsid w:val="006602D5"/>
    <w:rsid w:val="0066255F"/>
    <w:rsid w:val="0066420B"/>
    <w:rsid w:val="00664839"/>
    <w:rsid w:val="00665083"/>
    <w:rsid w:val="00665687"/>
    <w:rsid w:val="00665DD1"/>
    <w:rsid w:val="00665FBA"/>
    <w:rsid w:val="00667139"/>
    <w:rsid w:val="00667A88"/>
    <w:rsid w:val="00670AB3"/>
    <w:rsid w:val="006736EF"/>
    <w:rsid w:val="00674486"/>
    <w:rsid w:val="00674654"/>
    <w:rsid w:val="006764D9"/>
    <w:rsid w:val="006769C6"/>
    <w:rsid w:val="00680461"/>
    <w:rsid w:val="006813DC"/>
    <w:rsid w:val="006820FE"/>
    <w:rsid w:val="006822E5"/>
    <w:rsid w:val="00684418"/>
    <w:rsid w:val="00684879"/>
    <w:rsid w:val="0068647E"/>
    <w:rsid w:val="006873BA"/>
    <w:rsid w:val="00695CC2"/>
    <w:rsid w:val="006A22F0"/>
    <w:rsid w:val="006A3AB1"/>
    <w:rsid w:val="006A3C98"/>
    <w:rsid w:val="006A5788"/>
    <w:rsid w:val="006A793A"/>
    <w:rsid w:val="006B27DE"/>
    <w:rsid w:val="006B682F"/>
    <w:rsid w:val="006B77A5"/>
    <w:rsid w:val="006B7CDD"/>
    <w:rsid w:val="006C0240"/>
    <w:rsid w:val="006C1224"/>
    <w:rsid w:val="006C3E08"/>
    <w:rsid w:val="006C4601"/>
    <w:rsid w:val="006C5276"/>
    <w:rsid w:val="006C60CF"/>
    <w:rsid w:val="006C7A0D"/>
    <w:rsid w:val="006D0005"/>
    <w:rsid w:val="006D0B6E"/>
    <w:rsid w:val="006D23C7"/>
    <w:rsid w:val="006D25E0"/>
    <w:rsid w:val="006D5398"/>
    <w:rsid w:val="006E340E"/>
    <w:rsid w:val="006E367F"/>
    <w:rsid w:val="006E3B95"/>
    <w:rsid w:val="006E5014"/>
    <w:rsid w:val="006E52E7"/>
    <w:rsid w:val="006E6676"/>
    <w:rsid w:val="006E6F6D"/>
    <w:rsid w:val="006F19F1"/>
    <w:rsid w:val="006F2AB4"/>
    <w:rsid w:val="006F3076"/>
    <w:rsid w:val="006F34D3"/>
    <w:rsid w:val="00700D7D"/>
    <w:rsid w:val="00702C59"/>
    <w:rsid w:val="00702FD7"/>
    <w:rsid w:val="00704EC3"/>
    <w:rsid w:val="00711292"/>
    <w:rsid w:val="00713FDE"/>
    <w:rsid w:val="00715029"/>
    <w:rsid w:val="007150F1"/>
    <w:rsid w:val="00722F04"/>
    <w:rsid w:val="00727780"/>
    <w:rsid w:val="00727F71"/>
    <w:rsid w:val="007300AC"/>
    <w:rsid w:val="00731C70"/>
    <w:rsid w:val="00732B9F"/>
    <w:rsid w:val="00732C0E"/>
    <w:rsid w:val="00733842"/>
    <w:rsid w:val="0073511A"/>
    <w:rsid w:val="00735663"/>
    <w:rsid w:val="007376CC"/>
    <w:rsid w:val="00740934"/>
    <w:rsid w:val="007410C7"/>
    <w:rsid w:val="00741846"/>
    <w:rsid w:val="00742E96"/>
    <w:rsid w:val="00747AC4"/>
    <w:rsid w:val="00753261"/>
    <w:rsid w:val="00753BE6"/>
    <w:rsid w:val="007554BD"/>
    <w:rsid w:val="007556CE"/>
    <w:rsid w:val="007618BE"/>
    <w:rsid w:val="00762561"/>
    <w:rsid w:val="00763310"/>
    <w:rsid w:val="007660FC"/>
    <w:rsid w:val="00767190"/>
    <w:rsid w:val="00767980"/>
    <w:rsid w:val="0077166A"/>
    <w:rsid w:val="00772419"/>
    <w:rsid w:val="00772D6E"/>
    <w:rsid w:val="00773917"/>
    <w:rsid w:val="0078029E"/>
    <w:rsid w:val="00781E6A"/>
    <w:rsid w:val="00782A28"/>
    <w:rsid w:val="00782EF9"/>
    <w:rsid w:val="00783F88"/>
    <w:rsid w:val="00787C23"/>
    <w:rsid w:val="00790B83"/>
    <w:rsid w:val="007915AF"/>
    <w:rsid w:val="00791EE6"/>
    <w:rsid w:val="00793024"/>
    <w:rsid w:val="00793880"/>
    <w:rsid w:val="0079423A"/>
    <w:rsid w:val="00794CFF"/>
    <w:rsid w:val="007A1851"/>
    <w:rsid w:val="007A4407"/>
    <w:rsid w:val="007A446E"/>
    <w:rsid w:val="007A45D0"/>
    <w:rsid w:val="007A4614"/>
    <w:rsid w:val="007A5EF8"/>
    <w:rsid w:val="007A71A9"/>
    <w:rsid w:val="007B600A"/>
    <w:rsid w:val="007B6E37"/>
    <w:rsid w:val="007C28CF"/>
    <w:rsid w:val="007C2936"/>
    <w:rsid w:val="007C338F"/>
    <w:rsid w:val="007C6765"/>
    <w:rsid w:val="007C72CB"/>
    <w:rsid w:val="007C7F91"/>
    <w:rsid w:val="007D06DA"/>
    <w:rsid w:val="007D1B62"/>
    <w:rsid w:val="007D31A6"/>
    <w:rsid w:val="007D3B8D"/>
    <w:rsid w:val="007D3FB4"/>
    <w:rsid w:val="007D5178"/>
    <w:rsid w:val="007E0116"/>
    <w:rsid w:val="007E0F76"/>
    <w:rsid w:val="007E243C"/>
    <w:rsid w:val="007E2BF9"/>
    <w:rsid w:val="007E329A"/>
    <w:rsid w:val="007E351C"/>
    <w:rsid w:val="007F07FC"/>
    <w:rsid w:val="007F08DE"/>
    <w:rsid w:val="007F1347"/>
    <w:rsid w:val="007F2362"/>
    <w:rsid w:val="007F2583"/>
    <w:rsid w:val="007F3043"/>
    <w:rsid w:val="007F3DF1"/>
    <w:rsid w:val="007F5723"/>
    <w:rsid w:val="007F576B"/>
    <w:rsid w:val="007F72C5"/>
    <w:rsid w:val="00800534"/>
    <w:rsid w:val="00801CB7"/>
    <w:rsid w:val="00801F41"/>
    <w:rsid w:val="00802600"/>
    <w:rsid w:val="00804A98"/>
    <w:rsid w:val="00811013"/>
    <w:rsid w:val="00812B21"/>
    <w:rsid w:val="00812DB2"/>
    <w:rsid w:val="008134A5"/>
    <w:rsid w:val="0081654E"/>
    <w:rsid w:val="008175DC"/>
    <w:rsid w:val="0082306C"/>
    <w:rsid w:val="008276A7"/>
    <w:rsid w:val="00827720"/>
    <w:rsid w:val="00827CE4"/>
    <w:rsid w:val="00827E7E"/>
    <w:rsid w:val="00831593"/>
    <w:rsid w:val="0083398E"/>
    <w:rsid w:val="00833A41"/>
    <w:rsid w:val="00835E43"/>
    <w:rsid w:val="00841646"/>
    <w:rsid w:val="0084185A"/>
    <w:rsid w:val="00842582"/>
    <w:rsid w:val="008470F6"/>
    <w:rsid w:val="008514EC"/>
    <w:rsid w:val="00853F5E"/>
    <w:rsid w:val="00854F9B"/>
    <w:rsid w:val="008576DD"/>
    <w:rsid w:val="008608A1"/>
    <w:rsid w:val="008610E5"/>
    <w:rsid w:val="00862B68"/>
    <w:rsid w:val="008642DE"/>
    <w:rsid w:val="00865419"/>
    <w:rsid w:val="008702E9"/>
    <w:rsid w:val="0087364E"/>
    <w:rsid w:val="008750DD"/>
    <w:rsid w:val="00876FDD"/>
    <w:rsid w:val="00877FDD"/>
    <w:rsid w:val="008816C1"/>
    <w:rsid w:val="00881948"/>
    <w:rsid w:val="00881A53"/>
    <w:rsid w:val="0088298C"/>
    <w:rsid w:val="00883D2C"/>
    <w:rsid w:val="008844A8"/>
    <w:rsid w:val="008928A0"/>
    <w:rsid w:val="00892AD3"/>
    <w:rsid w:val="00893811"/>
    <w:rsid w:val="00894AC5"/>
    <w:rsid w:val="00895CC8"/>
    <w:rsid w:val="008965BD"/>
    <w:rsid w:val="008966E5"/>
    <w:rsid w:val="008A1372"/>
    <w:rsid w:val="008A25E7"/>
    <w:rsid w:val="008A2A2D"/>
    <w:rsid w:val="008A3260"/>
    <w:rsid w:val="008A3CEB"/>
    <w:rsid w:val="008A3E61"/>
    <w:rsid w:val="008A50F8"/>
    <w:rsid w:val="008A62DA"/>
    <w:rsid w:val="008A6530"/>
    <w:rsid w:val="008A783E"/>
    <w:rsid w:val="008A78D3"/>
    <w:rsid w:val="008B1B04"/>
    <w:rsid w:val="008B2310"/>
    <w:rsid w:val="008B25A7"/>
    <w:rsid w:val="008B3F36"/>
    <w:rsid w:val="008B5A18"/>
    <w:rsid w:val="008B63D9"/>
    <w:rsid w:val="008B655A"/>
    <w:rsid w:val="008C4B5C"/>
    <w:rsid w:val="008C7F90"/>
    <w:rsid w:val="008D35DD"/>
    <w:rsid w:val="008D4E06"/>
    <w:rsid w:val="008D6D6C"/>
    <w:rsid w:val="008E01C5"/>
    <w:rsid w:val="008E2FF8"/>
    <w:rsid w:val="008E30BB"/>
    <w:rsid w:val="008E48BB"/>
    <w:rsid w:val="008E48C7"/>
    <w:rsid w:val="008E520C"/>
    <w:rsid w:val="008E67DE"/>
    <w:rsid w:val="008E7BEB"/>
    <w:rsid w:val="008E7E03"/>
    <w:rsid w:val="008F1438"/>
    <w:rsid w:val="008F1BC0"/>
    <w:rsid w:val="008F30A2"/>
    <w:rsid w:val="008F5117"/>
    <w:rsid w:val="008F61F0"/>
    <w:rsid w:val="008F7103"/>
    <w:rsid w:val="008F75EF"/>
    <w:rsid w:val="00900799"/>
    <w:rsid w:val="00902B7E"/>
    <w:rsid w:val="00902C9D"/>
    <w:rsid w:val="009034ED"/>
    <w:rsid w:val="009057E0"/>
    <w:rsid w:val="00911CF4"/>
    <w:rsid w:val="00916434"/>
    <w:rsid w:val="00916481"/>
    <w:rsid w:val="009171E7"/>
    <w:rsid w:val="00920E21"/>
    <w:rsid w:val="00921074"/>
    <w:rsid w:val="00921D96"/>
    <w:rsid w:val="00922031"/>
    <w:rsid w:val="00923654"/>
    <w:rsid w:val="00925495"/>
    <w:rsid w:val="00926353"/>
    <w:rsid w:val="00926BC8"/>
    <w:rsid w:val="00926EBC"/>
    <w:rsid w:val="009302D6"/>
    <w:rsid w:val="00932884"/>
    <w:rsid w:val="00932A63"/>
    <w:rsid w:val="00933909"/>
    <w:rsid w:val="00934541"/>
    <w:rsid w:val="00934638"/>
    <w:rsid w:val="00934FEB"/>
    <w:rsid w:val="00935F0F"/>
    <w:rsid w:val="00937904"/>
    <w:rsid w:val="009407F5"/>
    <w:rsid w:val="00940AC3"/>
    <w:rsid w:val="00941C65"/>
    <w:rsid w:val="00943007"/>
    <w:rsid w:val="00943302"/>
    <w:rsid w:val="009435BE"/>
    <w:rsid w:val="00944BEF"/>
    <w:rsid w:val="009458F7"/>
    <w:rsid w:val="00946E84"/>
    <w:rsid w:val="009501C6"/>
    <w:rsid w:val="0095045B"/>
    <w:rsid w:val="00954733"/>
    <w:rsid w:val="00955243"/>
    <w:rsid w:val="00956466"/>
    <w:rsid w:val="009577FF"/>
    <w:rsid w:val="00960E7A"/>
    <w:rsid w:val="009610B8"/>
    <w:rsid w:val="009616B2"/>
    <w:rsid w:val="00962590"/>
    <w:rsid w:val="00962E41"/>
    <w:rsid w:val="00963CB7"/>
    <w:rsid w:val="009645A8"/>
    <w:rsid w:val="00965614"/>
    <w:rsid w:val="009719C9"/>
    <w:rsid w:val="0097470D"/>
    <w:rsid w:val="00974972"/>
    <w:rsid w:val="00975DA0"/>
    <w:rsid w:val="00976062"/>
    <w:rsid w:val="009771CE"/>
    <w:rsid w:val="00977A25"/>
    <w:rsid w:val="00982BF9"/>
    <w:rsid w:val="00986019"/>
    <w:rsid w:val="00987F07"/>
    <w:rsid w:val="00991100"/>
    <w:rsid w:val="0099137C"/>
    <w:rsid w:val="0099205C"/>
    <w:rsid w:val="00992DFC"/>
    <w:rsid w:val="00993728"/>
    <w:rsid w:val="00994F47"/>
    <w:rsid w:val="00995EF0"/>
    <w:rsid w:val="009A1281"/>
    <w:rsid w:val="009A23EB"/>
    <w:rsid w:val="009A478F"/>
    <w:rsid w:val="009A5AB8"/>
    <w:rsid w:val="009B1773"/>
    <w:rsid w:val="009B31D2"/>
    <w:rsid w:val="009B41DD"/>
    <w:rsid w:val="009B51E6"/>
    <w:rsid w:val="009C045E"/>
    <w:rsid w:val="009C4C9F"/>
    <w:rsid w:val="009C5181"/>
    <w:rsid w:val="009D1394"/>
    <w:rsid w:val="009E46A9"/>
    <w:rsid w:val="009E6B18"/>
    <w:rsid w:val="009F0388"/>
    <w:rsid w:val="009F0926"/>
    <w:rsid w:val="009F0EFA"/>
    <w:rsid w:val="009F2635"/>
    <w:rsid w:val="009F2E02"/>
    <w:rsid w:val="009F3067"/>
    <w:rsid w:val="009F4429"/>
    <w:rsid w:val="009F7888"/>
    <w:rsid w:val="00A01867"/>
    <w:rsid w:val="00A03267"/>
    <w:rsid w:val="00A03387"/>
    <w:rsid w:val="00A03D04"/>
    <w:rsid w:val="00A050AC"/>
    <w:rsid w:val="00A07577"/>
    <w:rsid w:val="00A07E4A"/>
    <w:rsid w:val="00A10499"/>
    <w:rsid w:val="00A12C23"/>
    <w:rsid w:val="00A13F6A"/>
    <w:rsid w:val="00A14A6E"/>
    <w:rsid w:val="00A17024"/>
    <w:rsid w:val="00A17053"/>
    <w:rsid w:val="00A1722A"/>
    <w:rsid w:val="00A174E8"/>
    <w:rsid w:val="00A23E1D"/>
    <w:rsid w:val="00A276EA"/>
    <w:rsid w:val="00A27E92"/>
    <w:rsid w:val="00A45D56"/>
    <w:rsid w:val="00A4767B"/>
    <w:rsid w:val="00A520FF"/>
    <w:rsid w:val="00A55685"/>
    <w:rsid w:val="00A6011B"/>
    <w:rsid w:val="00A602E2"/>
    <w:rsid w:val="00A60BF3"/>
    <w:rsid w:val="00A6127B"/>
    <w:rsid w:val="00A61506"/>
    <w:rsid w:val="00A62221"/>
    <w:rsid w:val="00A624A3"/>
    <w:rsid w:val="00A633E2"/>
    <w:rsid w:val="00A6683A"/>
    <w:rsid w:val="00A66F69"/>
    <w:rsid w:val="00A671C9"/>
    <w:rsid w:val="00A707A2"/>
    <w:rsid w:val="00A70C9F"/>
    <w:rsid w:val="00A71FFD"/>
    <w:rsid w:val="00A72A1C"/>
    <w:rsid w:val="00A76BE1"/>
    <w:rsid w:val="00A778D3"/>
    <w:rsid w:val="00A77E92"/>
    <w:rsid w:val="00A811B8"/>
    <w:rsid w:val="00A83C22"/>
    <w:rsid w:val="00A84297"/>
    <w:rsid w:val="00A85DE9"/>
    <w:rsid w:val="00A93110"/>
    <w:rsid w:val="00AA01A5"/>
    <w:rsid w:val="00AA04FF"/>
    <w:rsid w:val="00AB03A5"/>
    <w:rsid w:val="00AB1B58"/>
    <w:rsid w:val="00AB3AED"/>
    <w:rsid w:val="00AB450C"/>
    <w:rsid w:val="00AB4B87"/>
    <w:rsid w:val="00AB6148"/>
    <w:rsid w:val="00AB753A"/>
    <w:rsid w:val="00AC2412"/>
    <w:rsid w:val="00AC2F77"/>
    <w:rsid w:val="00AC5A46"/>
    <w:rsid w:val="00AC6AD9"/>
    <w:rsid w:val="00AC72F7"/>
    <w:rsid w:val="00AC780A"/>
    <w:rsid w:val="00AD0DC6"/>
    <w:rsid w:val="00AD2EE1"/>
    <w:rsid w:val="00AD3A1C"/>
    <w:rsid w:val="00AD420F"/>
    <w:rsid w:val="00AD46BE"/>
    <w:rsid w:val="00AD4829"/>
    <w:rsid w:val="00AD49DC"/>
    <w:rsid w:val="00AD5EF0"/>
    <w:rsid w:val="00AD68FE"/>
    <w:rsid w:val="00AE0795"/>
    <w:rsid w:val="00AE0C9D"/>
    <w:rsid w:val="00AE1377"/>
    <w:rsid w:val="00AE1723"/>
    <w:rsid w:val="00AE2D47"/>
    <w:rsid w:val="00AE3776"/>
    <w:rsid w:val="00AE3928"/>
    <w:rsid w:val="00AE3E33"/>
    <w:rsid w:val="00AF2796"/>
    <w:rsid w:val="00AF532B"/>
    <w:rsid w:val="00AF58DB"/>
    <w:rsid w:val="00AF5B25"/>
    <w:rsid w:val="00AF72DE"/>
    <w:rsid w:val="00AF7C09"/>
    <w:rsid w:val="00B03CE7"/>
    <w:rsid w:val="00B05A25"/>
    <w:rsid w:val="00B0644A"/>
    <w:rsid w:val="00B1148D"/>
    <w:rsid w:val="00B11B14"/>
    <w:rsid w:val="00B11C3B"/>
    <w:rsid w:val="00B12D76"/>
    <w:rsid w:val="00B14C0D"/>
    <w:rsid w:val="00B21B44"/>
    <w:rsid w:val="00B22A4B"/>
    <w:rsid w:val="00B22CF2"/>
    <w:rsid w:val="00B249FE"/>
    <w:rsid w:val="00B24ECE"/>
    <w:rsid w:val="00B25D08"/>
    <w:rsid w:val="00B27A84"/>
    <w:rsid w:val="00B334D6"/>
    <w:rsid w:val="00B3533C"/>
    <w:rsid w:val="00B356C5"/>
    <w:rsid w:val="00B3761E"/>
    <w:rsid w:val="00B379D5"/>
    <w:rsid w:val="00B42EF1"/>
    <w:rsid w:val="00B476E0"/>
    <w:rsid w:val="00B50432"/>
    <w:rsid w:val="00B54474"/>
    <w:rsid w:val="00B562F0"/>
    <w:rsid w:val="00B60E7B"/>
    <w:rsid w:val="00B63389"/>
    <w:rsid w:val="00B64D0F"/>
    <w:rsid w:val="00B66F16"/>
    <w:rsid w:val="00B73C2D"/>
    <w:rsid w:val="00B76A18"/>
    <w:rsid w:val="00B80838"/>
    <w:rsid w:val="00B80A3B"/>
    <w:rsid w:val="00B83E3D"/>
    <w:rsid w:val="00B8408D"/>
    <w:rsid w:val="00B847D9"/>
    <w:rsid w:val="00B84ABF"/>
    <w:rsid w:val="00B85F41"/>
    <w:rsid w:val="00B86234"/>
    <w:rsid w:val="00B91EF1"/>
    <w:rsid w:val="00B93CE9"/>
    <w:rsid w:val="00B95CEC"/>
    <w:rsid w:val="00B975A3"/>
    <w:rsid w:val="00BA06CE"/>
    <w:rsid w:val="00BA2CB2"/>
    <w:rsid w:val="00BA68DE"/>
    <w:rsid w:val="00BB012F"/>
    <w:rsid w:val="00BB1D9E"/>
    <w:rsid w:val="00BB369A"/>
    <w:rsid w:val="00BB6BCB"/>
    <w:rsid w:val="00BB7572"/>
    <w:rsid w:val="00BC028D"/>
    <w:rsid w:val="00BC225D"/>
    <w:rsid w:val="00BC25ED"/>
    <w:rsid w:val="00BC4DDD"/>
    <w:rsid w:val="00BC5089"/>
    <w:rsid w:val="00BC5662"/>
    <w:rsid w:val="00BC58BA"/>
    <w:rsid w:val="00BD18A8"/>
    <w:rsid w:val="00BD35E1"/>
    <w:rsid w:val="00BD43EC"/>
    <w:rsid w:val="00BD645C"/>
    <w:rsid w:val="00BE2AFF"/>
    <w:rsid w:val="00BE3573"/>
    <w:rsid w:val="00BE440B"/>
    <w:rsid w:val="00BE471B"/>
    <w:rsid w:val="00BE47D8"/>
    <w:rsid w:val="00BE68EB"/>
    <w:rsid w:val="00BE6B35"/>
    <w:rsid w:val="00BE6F04"/>
    <w:rsid w:val="00BF110F"/>
    <w:rsid w:val="00BF1D37"/>
    <w:rsid w:val="00BF6187"/>
    <w:rsid w:val="00BF61A8"/>
    <w:rsid w:val="00BF7E07"/>
    <w:rsid w:val="00BF7E8D"/>
    <w:rsid w:val="00C01944"/>
    <w:rsid w:val="00C026E0"/>
    <w:rsid w:val="00C042C7"/>
    <w:rsid w:val="00C103EE"/>
    <w:rsid w:val="00C1046F"/>
    <w:rsid w:val="00C112A4"/>
    <w:rsid w:val="00C11A6B"/>
    <w:rsid w:val="00C1296B"/>
    <w:rsid w:val="00C142E6"/>
    <w:rsid w:val="00C147D6"/>
    <w:rsid w:val="00C14D5D"/>
    <w:rsid w:val="00C16700"/>
    <w:rsid w:val="00C16C4A"/>
    <w:rsid w:val="00C26344"/>
    <w:rsid w:val="00C2635A"/>
    <w:rsid w:val="00C3518F"/>
    <w:rsid w:val="00C36044"/>
    <w:rsid w:val="00C4035D"/>
    <w:rsid w:val="00C41A8C"/>
    <w:rsid w:val="00C42C6C"/>
    <w:rsid w:val="00C43155"/>
    <w:rsid w:val="00C4337A"/>
    <w:rsid w:val="00C44F3F"/>
    <w:rsid w:val="00C45A66"/>
    <w:rsid w:val="00C504B0"/>
    <w:rsid w:val="00C5116C"/>
    <w:rsid w:val="00C52A81"/>
    <w:rsid w:val="00C5387C"/>
    <w:rsid w:val="00C566BE"/>
    <w:rsid w:val="00C579C1"/>
    <w:rsid w:val="00C60536"/>
    <w:rsid w:val="00C61E32"/>
    <w:rsid w:val="00C637BE"/>
    <w:rsid w:val="00C645B0"/>
    <w:rsid w:val="00C70DF5"/>
    <w:rsid w:val="00C7210C"/>
    <w:rsid w:val="00C75A31"/>
    <w:rsid w:val="00C77406"/>
    <w:rsid w:val="00C80CA3"/>
    <w:rsid w:val="00C81356"/>
    <w:rsid w:val="00C81D9D"/>
    <w:rsid w:val="00C82310"/>
    <w:rsid w:val="00C830E1"/>
    <w:rsid w:val="00C83A82"/>
    <w:rsid w:val="00C83FBB"/>
    <w:rsid w:val="00C85987"/>
    <w:rsid w:val="00C86E59"/>
    <w:rsid w:val="00C91ADB"/>
    <w:rsid w:val="00C9346E"/>
    <w:rsid w:val="00C95806"/>
    <w:rsid w:val="00CA4E21"/>
    <w:rsid w:val="00CA57AE"/>
    <w:rsid w:val="00CA7F5E"/>
    <w:rsid w:val="00CB0EF0"/>
    <w:rsid w:val="00CB4706"/>
    <w:rsid w:val="00CB5554"/>
    <w:rsid w:val="00CB6FA9"/>
    <w:rsid w:val="00CC00C1"/>
    <w:rsid w:val="00CC1234"/>
    <w:rsid w:val="00CC23FF"/>
    <w:rsid w:val="00CC325E"/>
    <w:rsid w:val="00CC54F3"/>
    <w:rsid w:val="00CC5958"/>
    <w:rsid w:val="00CC701D"/>
    <w:rsid w:val="00CD35D6"/>
    <w:rsid w:val="00CD4189"/>
    <w:rsid w:val="00CD572D"/>
    <w:rsid w:val="00CD7337"/>
    <w:rsid w:val="00CE133E"/>
    <w:rsid w:val="00CE19B9"/>
    <w:rsid w:val="00CE448F"/>
    <w:rsid w:val="00CE5196"/>
    <w:rsid w:val="00CE58DC"/>
    <w:rsid w:val="00CE60C3"/>
    <w:rsid w:val="00CE7521"/>
    <w:rsid w:val="00CF5D89"/>
    <w:rsid w:val="00CF6CDD"/>
    <w:rsid w:val="00CF7728"/>
    <w:rsid w:val="00D0109D"/>
    <w:rsid w:val="00D0111B"/>
    <w:rsid w:val="00D111B3"/>
    <w:rsid w:val="00D12E8F"/>
    <w:rsid w:val="00D13EFA"/>
    <w:rsid w:val="00D1455E"/>
    <w:rsid w:val="00D15FC3"/>
    <w:rsid w:val="00D1762A"/>
    <w:rsid w:val="00D2423D"/>
    <w:rsid w:val="00D24D7E"/>
    <w:rsid w:val="00D31C17"/>
    <w:rsid w:val="00D3257A"/>
    <w:rsid w:val="00D34187"/>
    <w:rsid w:val="00D354F0"/>
    <w:rsid w:val="00D36EFA"/>
    <w:rsid w:val="00D42D1A"/>
    <w:rsid w:val="00D4378C"/>
    <w:rsid w:val="00D4528A"/>
    <w:rsid w:val="00D46A8D"/>
    <w:rsid w:val="00D47EE8"/>
    <w:rsid w:val="00D5013F"/>
    <w:rsid w:val="00D52EF7"/>
    <w:rsid w:val="00D541CE"/>
    <w:rsid w:val="00D542AA"/>
    <w:rsid w:val="00D5449A"/>
    <w:rsid w:val="00D55BAD"/>
    <w:rsid w:val="00D5701F"/>
    <w:rsid w:val="00D6290F"/>
    <w:rsid w:val="00D62F20"/>
    <w:rsid w:val="00D668E3"/>
    <w:rsid w:val="00D66DC1"/>
    <w:rsid w:val="00D70145"/>
    <w:rsid w:val="00D71505"/>
    <w:rsid w:val="00D74827"/>
    <w:rsid w:val="00D75213"/>
    <w:rsid w:val="00D7799A"/>
    <w:rsid w:val="00D80BB2"/>
    <w:rsid w:val="00D8149D"/>
    <w:rsid w:val="00D835D0"/>
    <w:rsid w:val="00D837B6"/>
    <w:rsid w:val="00D87D93"/>
    <w:rsid w:val="00D91E7A"/>
    <w:rsid w:val="00D929F1"/>
    <w:rsid w:val="00DA196A"/>
    <w:rsid w:val="00DA1FCE"/>
    <w:rsid w:val="00DA20E9"/>
    <w:rsid w:val="00DA2254"/>
    <w:rsid w:val="00DB0F10"/>
    <w:rsid w:val="00DB0FB9"/>
    <w:rsid w:val="00DB1757"/>
    <w:rsid w:val="00DB2CF6"/>
    <w:rsid w:val="00DB2E46"/>
    <w:rsid w:val="00DB3FB6"/>
    <w:rsid w:val="00DB60DA"/>
    <w:rsid w:val="00DC0A70"/>
    <w:rsid w:val="00DC46AF"/>
    <w:rsid w:val="00DD13EA"/>
    <w:rsid w:val="00DD37F4"/>
    <w:rsid w:val="00DD46EC"/>
    <w:rsid w:val="00DD5F67"/>
    <w:rsid w:val="00DF540F"/>
    <w:rsid w:val="00DF5683"/>
    <w:rsid w:val="00E02182"/>
    <w:rsid w:val="00E03116"/>
    <w:rsid w:val="00E045BE"/>
    <w:rsid w:val="00E04CD6"/>
    <w:rsid w:val="00E074ED"/>
    <w:rsid w:val="00E07661"/>
    <w:rsid w:val="00E10F88"/>
    <w:rsid w:val="00E143EE"/>
    <w:rsid w:val="00E161E4"/>
    <w:rsid w:val="00E1728D"/>
    <w:rsid w:val="00E2011B"/>
    <w:rsid w:val="00E20388"/>
    <w:rsid w:val="00E24E28"/>
    <w:rsid w:val="00E30508"/>
    <w:rsid w:val="00E30DAB"/>
    <w:rsid w:val="00E34342"/>
    <w:rsid w:val="00E459D4"/>
    <w:rsid w:val="00E46FD8"/>
    <w:rsid w:val="00E47952"/>
    <w:rsid w:val="00E5084C"/>
    <w:rsid w:val="00E51799"/>
    <w:rsid w:val="00E5311D"/>
    <w:rsid w:val="00E555DD"/>
    <w:rsid w:val="00E55B75"/>
    <w:rsid w:val="00E56D07"/>
    <w:rsid w:val="00E619A1"/>
    <w:rsid w:val="00E65646"/>
    <w:rsid w:val="00E65D55"/>
    <w:rsid w:val="00E67BFC"/>
    <w:rsid w:val="00E73F7E"/>
    <w:rsid w:val="00E73F9C"/>
    <w:rsid w:val="00E74784"/>
    <w:rsid w:val="00E74CE6"/>
    <w:rsid w:val="00E76A5C"/>
    <w:rsid w:val="00E76CBA"/>
    <w:rsid w:val="00E80187"/>
    <w:rsid w:val="00E828DA"/>
    <w:rsid w:val="00E82A5A"/>
    <w:rsid w:val="00E84560"/>
    <w:rsid w:val="00E847EB"/>
    <w:rsid w:val="00E84E55"/>
    <w:rsid w:val="00E8679C"/>
    <w:rsid w:val="00E92404"/>
    <w:rsid w:val="00EA037C"/>
    <w:rsid w:val="00EA0D27"/>
    <w:rsid w:val="00EA1277"/>
    <w:rsid w:val="00EA14CE"/>
    <w:rsid w:val="00EA4B7A"/>
    <w:rsid w:val="00EA5BFD"/>
    <w:rsid w:val="00EA62CC"/>
    <w:rsid w:val="00EA66D9"/>
    <w:rsid w:val="00EB131A"/>
    <w:rsid w:val="00EB2CE6"/>
    <w:rsid w:val="00EB784B"/>
    <w:rsid w:val="00EC045B"/>
    <w:rsid w:val="00EC13E0"/>
    <w:rsid w:val="00EC4366"/>
    <w:rsid w:val="00EC4A05"/>
    <w:rsid w:val="00EC7089"/>
    <w:rsid w:val="00EC7C37"/>
    <w:rsid w:val="00ED0AAE"/>
    <w:rsid w:val="00ED331D"/>
    <w:rsid w:val="00EE2520"/>
    <w:rsid w:val="00EE4654"/>
    <w:rsid w:val="00EE4B87"/>
    <w:rsid w:val="00EE4F19"/>
    <w:rsid w:val="00EE5B6C"/>
    <w:rsid w:val="00EE6653"/>
    <w:rsid w:val="00EE7520"/>
    <w:rsid w:val="00EE7D92"/>
    <w:rsid w:val="00EF120C"/>
    <w:rsid w:val="00EF1DCC"/>
    <w:rsid w:val="00EF3BFF"/>
    <w:rsid w:val="00EF570E"/>
    <w:rsid w:val="00EF5FC8"/>
    <w:rsid w:val="00F035E4"/>
    <w:rsid w:val="00F0429D"/>
    <w:rsid w:val="00F055B1"/>
    <w:rsid w:val="00F06AF0"/>
    <w:rsid w:val="00F078B2"/>
    <w:rsid w:val="00F109FA"/>
    <w:rsid w:val="00F11953"/>
    <w:rsid w:val="00F13166"/>
    <w:rsid w:val="00F14C79"/>
    <w:rsid w:val="00F1514F"/>
    <w:rsid w:val="00F165AB"/>
    <w:rsid w:val="00F16E8E"/>
    <w:rsid w:val="00F1703F"/>
    <w:rsid w:val="00F211BF"/>
    <w:rsid w:val="00F22871"/>
    <w:rsid w:val="00F23063"/>
    <w:rsid w:val="00F242ED"/>
    <w:rsid w:val="00F31A47"/>
    <w:rsid w:val="00F35362"/>
    <w:rsid w:val="00F3538C"/>
    <w:rsid w:val="00F35ECE"/>
    <w:rsid w:val="00F36D5A"/>
    <w:rsid w:val="00F376AD"/>
    <w:rsid w:val="00F42E80"/>
    <w:rsid w:val="00F51758"/>
    <w:rsid w:val="00F51FE0"/>
    <w:rsid w:val="00F5444F"/>
    <w:rsid w:val="00F54F9D"/>
    <w:rsid w:val="00F55284"/>
    <w:rsid w:val="00F55B43"/>
    <w:rsid w:val="00F60C7D"/>
    <w:rsid w:val="00F61094"/>
    <w:rsid w:val="00F65ADC"/>
    <w:rsid w:val="00F67AEA"/>
    <w:rsid w:val="00F71FDC"/>
    <w:rsid w:val="00F727B0"/>
    <w:rsid w:val="00F74652"/>
    <w:rsid w:val="00F749A7"/>
    <w:rsid w:val="00F75B08"/>
    <w:rsid w:val="00F7643B"/>
    <w:rsid w:val="00F76BAB"/>
    <w:rsid w:val="00F8047F"/>
    <w:rsid w:val="00F80F9C"/>
    <w:rsid w:val="00F810D1"/>
    <w:rsid w:val="00F8482A"/>
    <w:rsid w:val="00F84AB6"/>
    <w:rsid w:val="00F859FF"/>
    <w:rsid w:val="00F863F2"/>
    <w:rsid w:val="00F87CB5"/>
    <w:rsid w:val="00F92672"/>
    <w:rsid w:val="00F938EF"/>
    <w:rsid w:val="00F95388"/>
    <w:rsid w:val="00F979DD"/>
    <w:rsid w:val="00FA0717"/>
    <w:rsid w:val="00FA1D1B"/>
    <w:rsid w:val="00FA1DAB"/>
    <w:rsid w:val="00FA27E1"/>
    <w:rsid w:val="00FA320E"/>
    <w:rsid w:val="00FA321A"/>
    <w:rsid w:val="00FA4304"/>
    <w:rsid w:val="00FA436B"/>
    <w:rsid w:val="00FB1455"/>
    <w:rsid w:val="00FB1D09"/>
    <w:rsid w:val="00FB33FE"/>
    <w:rsid w:val="00FB387B"/>
    <w:rsid w:val="00FB61E9"/>
    <w:rsid w:val="00FB6334"/>
    <w:rsid w:val="00FB6BA2"/>
    <w:rsid w:val="00FB742F"/>
    <w:rsid w:val="00FC18A0"/>
    <w:rsid w:val="00FC1912"/>
    <w:rsid w:val="00FC38FB"/>
    <w:rsid w:val="00FC7112"/>
    <w:rsid w:val="00FD06E8"/>
    <w:rsid w:val="00FD2555"/>
    <w:rsid w:val="00FD4150"/>
    <w:rsid w:val="00FD4748"/>
    <w:rsid w:val="00FD57EF"/>
    <w:rsid w:val="00FE1F12"/>
    <w:rsid w:val="00FE2972"/>
    <w:rsid w:val="00FE4FB7"/>
    <w:rsid w:val="00FE7BB3"/>
    <w:rsid w:val="00FE7DB5"/>
    <w:rsid w:val="00FF213C"/>
    <w:rsid w:val="00FF3A7B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8E138D5"/>
  <w15:docId w15:val="{9F62089F-D10E-4444-B003-2B31C4A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B5E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5E"/>
  </w:style>
  <w:style w:type="paragraph" w:styleId="Footer">
    <w:name w:val="footer"/>
    <w:basedOn w:val="Normal"/>
    <w:link w:val="FooterChar"/>
    <w:unhideWhenUsed/>
    <w:rsid w:val="00010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5E"/>
  </w:style>
  <w:style w:type="paragraph" w:styleId="BalloonText">
    <w:name w:val="Balloon Text"/>
    <w:basedOn w:val="Normal"/>
    <w:link w:val="BalloonTextChar"/>
    <w:uiPriority w:val="99"/>
    <w:semiHidden/>
    <w:unhideWhenUsed/>
    <w:rsid w:val="00010B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B5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35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List2-Accent41">
    <w:name w:val="Medium List 2 - Accent 41"/>
    <w:basedOn w:val="Normal"/>
    <w:uiPriority w:val="99"/>
    <w:qFormat/>
    <w:rsid w:val="00F35362"/>
    <w:pPr>
      <w:ind w:left="720"/>
      <w:contextualSpacing/>
    </w:pPr>
  </w:style>
  <w:style w:type="paragraph" w:customStyle="1" w:styleId="ColorfulShading-Accent31">
    <w:name w:val="Colorful Shading - Accent 31"/>
    <w:basedOn w:val="Normal"/>
    <w:uiPriority w:val="34"/>
    <w:qFormat/>
    <w:rsid w:val="00256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FD5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383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E0F76"/>
    <w:pPr>
      <w:spacing w:before="100" w:beforeAutospacing="1" w:after="100" w:afterAutospacing="1"/>
    </w:pPr>
    <w:rPr>
      <w:lang w:val="en-US" w:eastAsia="zh-CN"/>
    </w:rPr>
  </w:style>
  <w:style w:type="paragraph" w:styleId="ListParagraph">
    <w:name w:val="List Paragraph"/>
    <w:aliases w:val="F5 List Paragraph,Dot pt,List Paragraph1,Numbered Para 1,No Spacing1,List Paragraph Char Char Char,Indicator Text,Bullet Points,MAIN CONTENT,List Paragraph11,Colorful List - Accent 11,Bullet 1,List Paragraph12,OBC Bullet,Normal numbered"/>
    <w:basedOn w:val="Normal"/>
    <w:link w:val="ListParagraphChar"/>
    <w:uiPriority w:val="34"/>
    <w:qFormat/>
    <w:rsid w:val="00AD3A1C"/>
    <w:pPr>
      <w:spacing w:after="120"/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BodyText">
    <w:name w:val="Body Text"/>
    <w:basedOn w:val="Normal"/>
    <w:link w:val="BodyTextChar"/>
    <w:rsid w:val="00AD3A1C"/>
    <w:rPr>
      <w:rFonts w:ascii="Univers 55" w:hAnsi="Univers 55" w:cs="Arial Unicode MS"/>
      <w:b/>
      <w:bCs/>
      <w:sz w:val="22"/>
      <w:szCs w:val="20"/>
      <w:lang w:eastAsia="en-US"/>
    </w:rPr>
  </w:style>
  <w:style w:type="character" w:customStyle="1" w:styleId="BodyTextChar">
    <w:name w:val="Body Text Char"/>
    <w:link w:val="BodyText"/>
    <w:rsid w:val="00AD3A1C"/>
    <w:rPr>
      <w:rFonts w:ascii="Univers 55" w:eastAsia="Times New Roman" w:hAnsi="Univers 55" w:cs="Arial Unicode MS"/>
      <w:b/>
      <w:bCs/>
      <w:sz w:val="22"/>
      <w:lang w:eastAsia="en-US"/>
    </w:rPr>
  </w:style>
  <w:style w:type="character" w:customStyle="1" w:styleId="ListParagraphChar">
    <w:name w:val="List Paragraph Char"/>
    <w:aliases w:val="F5 List Paragraph Char,Dot pt Char,List Paragraph1 Char,Numbered Para 1 Char,No Spacing1 Char,List Paragraph Char Char Char Char,Indicator Text Char,Bullet Points Char,MAIN CONTENT Char,List Paragraph11 Char,Bullet 1 Char"/>
    <w:link w:val="ListParagraph"/>
    <w:uiPriority w:val="34"/>
    <w:qFormat/>
    <w:locked/>
    <w:rsid w:val="003B0421"/>
    <w:rPr>
      <w:rFonts w:ascii="Arial" w:hAnsi="Arial"/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83F88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83F88"/>
    <w:rPr>
      <w:rFonts w:ascii="Consolas" w:hAnsi="Consolas" w:cs="Consolas"/>
      <w:sz w:val="21"/>
      <w:szCs w:val="21"/>
      <w:lang w:eastAsia="en-US"/>
    </w:rPr>
  </w:style>
  <w:style w:type="character" w:styleId="Hyperlink">
    <w:name w:val="Hyperlink"/>
    <w:uiPriority w:val="99"/>
    <w:semiHidden/>
    <w:unhideWhenUsed/>
    <w:rsid w:val="006C122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0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08D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08D"/>
    <w:rPr>
      <w:rFonts w:ascii="Times New Roman" w:eastAsia="Times New Roman" w:hAnsi="Times New Roman"/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37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728"/>
    <w:rPr>
      <w:rFonts w:ascii="Times New Roman" w:eastAsia="Times New Roman" w:hAnsi="Times New Roman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3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81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696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6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071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437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957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174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49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590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155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068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501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063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47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152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792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49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667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811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080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45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373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856EDD9E0FD439F5693F8622928DD" ma:contentTypeVersion="2" ma:contentTypeDescription="Create a new document." ma:contentTypeScope="" ma:versionID="9f9211b98d74cf2acb2cd64eaf7a6f0d">
  <xsd:schema xmlns:xsd="http://www.w3.org/2001/XMLSchema" xmlns:p="http://schemas.microsoft.com/office/2006/metadata/properties" targetNamespace="http://schemas.microsoft.com/office/2006/metadata/properties" ma:root="true" ma:fieldsID="9ad33f919a2a2067d9a42699ed79c3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DocAve xmlns="http://www.AvePoint.com/sharepoint2007/v5/contenttype/list" CTID="0x010100AB430F1BB19B174D8AA73E4ED13C0309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B82F-C1B5-44F2-AAB9-B4673F66A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3D598-B673-421D-A2BE-2B23DCAEA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8A381B-7420-49CD-A5DA-763CE2548561}">
  <ds:schemaRefs>
    <ds:schemaRef ds:uri="http://www.AvePoint.com/sharepoint2007/v5/contenttype/list"/>
  </ds:schemaRefs>
</ds:datastoreItem>
</file>

<file path=customXml/itemProps4.xml><?xml version="1.0" encoding="utf-8"?>
<ds:datastoreItem xmlns:ds="http://schemas.openxmlformats.org/officeDocument/2006/customXml" ds:itemID="{A66150E6-F30A-4037-9892-13E8CD6F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DDBB2D8F</Template>
  <TotalTime>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04-Infrastructure and Defence</vt:lpstr>
    </vt:vector>
  </TitlesOfParts>
  <Company>GSL (UK) Ltd</Company>
  <LinksUpToDate>false</LinksUpToDate>
  <CharactersWithSpaces>6870</CharactersWithSpaces>
  <SharedDoc>false</SharedDoc>
  <HLinks>
    <vt:vector size="12" baseType="variant">
      <vt:variant>
        <vt:i4>3211359</vt:i4>
      </vt:variant>
      <vt:variant>
        <vt:i4>-1</vt:i4>
      </vt:variant>
      <vt:variant>
        <vt:i4>1038</vt:i4>
      </vt:variant>
      <vt:variant>
        <vt:i4>1</vt:i4>
      </vt:variant>
      <vt:variant>
        <vt:lpwstr>cid:image003.png@01D2EE6B.130EE3E0</vt:lpwstr>
      </vt:variant>
      <vt:variant>
        <vt:lpwstr/>
      </vt:variant>
      <vt:variant>
        <vt:i4>3145823</vt:i4>
      </vt:variant>
      <vt:variant>
        <vt:i4>-1</vt:i4>
      </vt:variant>
      <vt:variant>
        <vt:i4>1039</vt:i4>
      </vt:variant>
      <vt:variant>
        <vt:i4>1</vt:i4>
      </vt:variant>
      <vt:variant>
        <vt:lpwstr>cid:image002.png@01D2EE6B.130EE3E0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04-Infrastructure and Defence</dc:title>
  <dc:subject/>
  <dc:creator>Hazel Gibson</dc:creator>
  <cp:keywords/>
  <dc:description/>
  <cp:lastModifiedBy>Soliman Ramy</cp:lastModifiedBy>
  <cp:revision>2</cp:revision>
  <cp:lastPrinted>2019-05-07T09:36:00Z</cp:lastPrinted>
  <dcterms:created xsi:type="dcterms:W3CDTF">2020-06-05T08:24:00Z</dcterms:created>
  <dcterms:modified xsi:type="dcterms:W3CDTF">2020-06-05T08:24:00Z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