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61857587" w:displacedByCustomXml="next"/>
    <w:sdt>
      <w:sdtPr>
        <w:rPr>
          <w:rFonts w:eastAsiaTheme="minorEastAsia"/>
          <w:b/>
          <w:bCs/>
        </w:rPr>
        <w:id w:val="344993836"/>
        <w:docPartObj>
          <w:docPartGallery w:val="Cover Pages"/>
          <w:docPartUnique/>
        </w:docPartObj>
      </w:sdtPr>
      <w:sdtEndPr>
        <w:rPr>
          <w:b w:val="0"/>
          <w:bCs w:val="0"/>
        </w:rPr>
      </w:sdtEndPr>
      <w:sdtContent>
        <w:p w14:paraId="232E8BBC" w14:textId="173796D9" w:rsidR="2DE10816" w:rsidRPr="005578D2" w:rsidRDefault="56306809" w:rsidP="002032D5">
          <w:pPr>
            <w:spacing w:after="240"/>
            <w:rPr>
              <w:rFonts w:ascii="Aptos" w:eastAsia="Aptos" w:hAnsi="Aptos" w:cs="Aptos"/>
              <w:i/>
              <w:iCs/>
              <w:sz w:val="24"/>
              <w:szCs w:val="24"/>
            </w:rPr>
          </w:pPr>
          <w:r w:rsidRPr="005578D2">
            <w:rPr>
              <w:rFonts w:ascii="Aptos" w:eastAsia="Aptos" w:hAnsi="Aptos" w:cs="Aptos"/>
              <w:i/>
              <w:iCs/>
              <w:sz w:val="24"/>
              <w:szCs w:val="24"/>
            </w:rPr>
            <w:t xml:space="preserve">This Business Case was completed in December 2022 and reflects the delivery priorities and required compliance standards at the time. At </w:t>
          </w:r>
          <w:r w:rsidR="5B976135" w:rsidRPr="005578D2">
            <w:rPr>
              <w:rFonts w:ascii="Aptos" w:eastAsia="Aptos" w:hAnsi="Aptos" w:cs="Aptos"/>
              <w:i/>
              <w:iCs/>
              <w:sz w:val="24"/>
              <w:szCs w:val="24"/>
            </w:rPr>
            <w:t xml:space="preserve">the time of </w:t>
          </w:r>
          <w:r w:rsidRPr="005578D2">
            <w:rPr>
              <w:rFonts w:ascii="Aptos" w:eastAsia="Aptos" w:hAnsi="Aptos" w:cs="Aptos"/>
              <w:i/>
              <w:iCs/>
              <w:sz w:val="24"/>
              <w:szCs w:val="24"/>
            </w:rPr>
            <w:t>publication</w:t>
          </w:r>
          <w:r w:rsidR="4B43C8A8" w:rsidRPr="005578D2">
            <w:rPr>
              <w:rFonts w:ascii="Aptos" w:eastAsia="Aptos" w:hAnsi="Aptos" w:cs="Aptos"/>
              <w:i/>
              <w:iCs/>
              <w:sz w:val="24"/>
              <w:szCs w:val="24"/>
            </w:rPr>
            <w:t>,</w:t>
          </w:r>
          <w:r w:rsidRPr="005578D2">
            <w:rPr>
              <w:rFonts w:ascii="Aptos" w:eastAsia="Aptos" w:hAnsi="Aptos" w:cs="Aptos"/>
              <w:i/>
              <w:iCs/>
              <w:sz w:val="24"/>
              <w:szCs w:val="24"/>
            </w:rPr>
            <w:t xml:space="preserve"> </w:t>
          </w:r>
          <w:r w:rsidR="51D5EDA6" w:rsidRPr="005578D2">
            <w:rPr>
              <w:rFonts w:ascii="Aptos" w:eastAsia="Aptos" w:hAnsi="Aptos" w:cs="Aptos"/>
              <w:i/>
              <w:iCs/>
              <w:sz w:val="24"/>
              <w:szCs w:val="24"/>
            </w:rPr>
            <w:t>September 2024</w:t>
          </w:r>
          <w:r w:rsidRPr="005578D2">
            <w:rPr>
              <w:rFonts w:ascii="Aptos" w:eastAsia="Aptos" w:hAnsi="Aptos" w:cs="Aptos"/>
              <w:i/>
              <w:iCs/>
              <w:sz w:val="24"/>
              <w:szCs w:val="24"/>
            </w:rPr>
            <w:t>, some of these priorities and standards have changed. The Annual Review has been published in the form it was approved at the time and should be considered in</w:t>
          </w:r>
          <w:r w:rsidR="33952A7E" w:rsidRPr="005578D2">
            <w:rPr>
              <w:rFonts w:ascii="Aptos" w:eastAsia="Aptos" w:hAnsi="Aptos" w:cs="Aptos"/>
              <w:i/>
              <w:iCs/>
              <w:sz w:val="24"/>
              <w:szCs w:val="24"/>
            </w:rPr>
            <w:t xml:space="preserve"> that</w:t>
          </w:r>
          <w:r w:rsidRPr="005578D2">
            <w:rPr>
              <w:rFonts w:ascii="Aptos" w:eastAsia="Aptos" w:hAnsi="Aptos" w:cs="Aptos"/>
              <w:i/>
              <w:iCs/>
              <w:sz w:val="24"/>
              <w:szCs w:val="24"/>
            </w:rPr>
            <w:t xml:space="preserve"> context.</w:t>
          </w:r>
        </w:p>
        <w:p w14:paraId="6C1872F0" w14:textId="2D6F88DE" w:rsidR="2DE10816" w:rsidRDefault="005578D2" w:rsidP="2DE10816">
          <w:pPr>
            <w:spacing w:after="240"/>
            <w:rPr>
              <w:b/>
              <w:bCs/>
              <w:caps/>
            </w:rPr>
          </w:pPr>
          <w:r w:rsidRPr="00BD39C8">
            <w:rPr>
              <w:rFonts w:cstheme="minorHAnsi"/>
              <w:noProof/>
              <w:sz w:val="32"/>
              <w:szCs w:val="32"/>
              <w:lang w:eastAsia="en-GB"/>
            </w:rPr>
            <w:drawing>
              <wp:anchor distT="0" distB="0" distL="114300" distR="114300" simplePos="0" relativeHeight="251658243" behindDoc="0" locked="0" layoutInCell="1" allowOverlap="1" wp14:anchorId="5DFDD06B" wp14:editId="6E05ED44">
                <wp:simplePos x="0" y="0"/>
                <wp:positionH relativeFrom="margin">
                  <wp:align>left</wp:align>
                </wp:positionH>
                <wp:positionV relativeFrom="paragraph">
                  <wp:posOffset>1043305</wp:posOffset>
                </wp:positionV>
                <wp:extent cx="2181225" cy="1114425"/>
                <wp:effectExtent l="0" t="0" r="9525" b="9525"/>
                <wp:wrapSquare wrapText="bothSides"/>
                <wp:docPr id="19" name="Picture 3" descr="Defra_582_SML_AW-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ra_582_SML_AW-cro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1225" cy="1114425"/>
                        </a:xfrm>
                        <a:prstGeom prst="rect">
                          <a:avLst/>
                        </a:prstGeom>
                        <a:noFill/>
                        <a:ln>
                          <a:noFill/>
                        </a:ln>
                      </pic:spPr>
                    </pic:pic>
                  </a:graphicData>
                </a:graphic>
              </wp:anchor>
            </w:drawing>
          </w:r>
        </w:p>
        <w:p w14:paraId="5642A274" w14:textId="68454BBC" w:rsidR="2DE10816" w:rsidRDefault="2DE10816" w:rsidP="2DE10816">
          <w:pPr>
            <w:spacing w:after="240"/>
            <w:rPr>
              <w:b/>
              <w:bCs/>
              <w:caps/>
            </w:rPr>
          </w:pPr>
        </w:p>
        <w:p w14:paraId="540C7381" w14:textId="02F934E9" w:rsidR="00FF072D" w:rsidRPr="00560983" w:rsidRDefault="00F9019C" w:rsidP="2DE10816">
          <w:pPr>
            <w:spacing w:after="240"/>
            <w:rPr>
              <w:b/>
              <w:bCs/>
              <w:caps/>
            </w:rPr>
          </w:pPr>
          <w:r w:rsidRPr="00BD39C8">
            <w:rPr>
              <w:rFonts w:cstheme="minorHAnsi"/>
              <w:noProof/>
              <w:lang w:eastAsia="en-GB"/>
            </w:rPr>
            <mc:AlternateContent>
              <mc:Choice Requires="wps">
                <w:drawing>
                  <wp:anchor distT="0" distB="0" distL="114300" distR="114300" simplePos="0" relativeHeight="251658242" behindDoc="0" locked="0" layoutInCell="1" allowOverlap="1" wp14:anchorId="65A68535" wp14:editId="3CC85885">
                    <wp:simplePos x="0" y="0"/>
                    <wp:positionH relativeFrom="margin">
                      <wp:align>center</wp:align>
                    </wp:positionH>
                    <wp:positionV relativeFrom="page">
                      <wp:posOffset>5982335</wp:posOffset>
                    </wp:positionV>
                    <wp:extent cx="7324725" cy="603251"/>
                    <wp:effectExtent l="0" t="0" r="0" b="3175"/>
                    <wp:wrapSquare wrapText="bothSides"/>
                    <wp:docPr id="1" name="Text Box 1"/>
                    <wp:cNvGraphicFramePr/>
                    <a:graphic xmlns:a="http://schemas.openxmlformats.org/drawingml/2006/main">
                      <a:graphicData uri="http://schemas.microsoft.com/office/word/2010/wordprocessingShape">
                        <wps:wsp>
                          <wps:cNvSpPr/>
                          <wps:spPr>
                            <a:xfrm>
                              <a:off x="0" y="0"/>
                              <a:ext cx="7324725" cy="603251"/>
                            </a:xfrm>
                            <a:prstGeom prst="rect">
                              <a:avLst/>
                            </a:prstGeom>
                            <a:noFill/>
                            <a:ln w="6350">
                              <a:noFill/>
                            </a:ln>
                          </wps:spPr>
                          <wps:style>
                            <a:lnRef idx="0">
                              <a:schemeClr val="accent1"/>
                            </a:lnRef>
                            <a:fillRef idx="0">
                              <a:schemeClr val="accent1"/>
                            </a:fillRef>
                            <a:effectRef idx="0">
                              <a:scrgbClr r="0" g="0" b="0"/>
                            </a:effectRef>
                            <a:fontRef idx="minor">
                              <a:schemeClr val="dk1"/>
                            </a:fontRef>
                          </wps:style>
                          <wps:txbx>
                            <w:txbxContent>
                              <w:p w14:paraId="58B4BBD4" w14:textId="77777777" w:rsidR="00927E84" w:rsidRDefault="00000000" w:rsidP="0068095E">
                                <w:pPr>
                                  <w:spacing w:line="256" w:lineRule="auto"/>
                                  <w:jc w:val="right"/>
                                  <w:rPr>
                                    <w:rFonts w:eastAsia="Calibri" w:hAnsi="Calibri" w:cs="Calibri"/>
                                    <w:color w:val="000000" w:themeColor="dark1"/>
                                    <w:lang w:val="en-US"/>
                                  </w:rPr>
                                </w:pPr>
                                <w:r>
                                  <w:rPr>
                                    <w:rFonts w:eastAsia="Calibri" w:hAnsi="Calibri" w:cs="Calibri"/>
                                    <w:color w:val="000000" w:themeColor="dark1"/>
                                    <w:lang w:val="en-US"/>
                                  </w:rPr>
                                  <w:t>An Official Development Assistance Business Case</w:t>
                                </w:r>
                              </w:p>
                              <w:p w14:paraId="28968983" w14:textId="77777777" w:rsidR="00927E84" w:rsidRDefault="00000000" w:rsidP="0068095E">
                                <w:pPr>
                                  <w:spacing w:line="256" w:lineRule="auto"/>
                                  <w:jc w:val="right"/>
                                  <w:rPr>
                                    <w:rFonts w:eastAsia="Calibri" w:hAnsi="Calibri" w:cs="Calibri"/>
                                    <w:color w:val="000000" w:themeColor="dark1"/>
                                    <w:lang w:val="en-US"/>
                                  </w:rPr>
                                </w:pPr>
                                <w:r>
                                  <w:rPr>
                                    <w:rFonts w:eastAsia="Calibri" w:hAnsi="Calibri" w:cs="Calibri"/>
                                    <w:color w:val="000000" w:themeColor="dark1"/>
                                    <w:lang w:val="en-US"/>
                                  </w:rPr>
                                  <w:t>Department of Environment, Food and Rural Affairs</w:t>
                                </w:r>
                              </w:p>
                            </w:txbxContent>
                          </wps:txbx>
                          <wps:bodyPr spcFirstLastPara="0" wrap="square" lIns="1600200" tIns="0" rIns="685800" bIns="0" anchor="t">
                            <a:spAutoFit/>
                          </wps:bodyPr>
                        </wps:wsp>
                      </a:graphicData>
                    </a:graphic>
                    <wp14:sizeRelH relativeFrom="page">
                      <wp14:pctWidth>94100</wp14:pctWidth>
                    </wp14:sizeRelH>
                    <wp14:sizeRelV relativeFrom="page">
                      <wp14:pctHeight>10000</wp14:pctHeight>
                    </wp14:sizeRelV>
                  </wp:anchor>
                </w:drawing>
              </mc:Choice>
              <mc:Fallback>
                <w:pict>
                  <v:rect w14:anchorId="65A68535" id="Text Box 1" o:spid="_x0000_s1026" style="position:absolute;left:0;text-align:left;margin-left:0;margin-top:471.05pt;width:576.75pt;height:47.5pt;z-index:251658242;visibility:visible;mso-wrap-style:square;mso-width-percent:941;mso-height-percent:100;mso-wrap-distance-left:9pt;mso-wrap-distance-top:0;mso-wrap-distance-right:9pt;mso-wrap-distance-bottom:0;mso-position-horizontal:center;mso-position-horizontal-relative:margin;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" filled="f" stroked="f" strokeweight=".5pt">
                    <v:textbox style="mso-fit-shape-to-text:t" inset="126pt,0,54pt,0">
                      <w:txbxContent>
                        <w:p w14:paraId="58B4BBD4" w14:textId="77777777" w:rsidR="00927E84" w:rsidRDefault="00000000" w:rsidP="0068095E">
                          <w:pPr>
                            <w:spacing w:line="256" w:lineRule="auto"/>
                            <w:jc w:val="right"/>
                            <w:rPr>
                              <w:rFonts w:eastAsia="Calibri" w:hAnsi="Calibri" w:cs="Calibri"/>
                              <w:color w:val="000000" w:themeColor="dark1"/>
                              <w:lang w:val="en-US"/>
                            </w:rPr>
                          </w:pPr>
                          <w:r>
                            <w:rPr>
                              <w:rFonts w:eastAsia="Calibri" w:hAnsi="Calibri" w:cs="Calibri"/>
                              <w:color w:val="000000" w:themeColor="dark1"/>
                              <w:lang w:val="en-US"/>
                            </w:rPr>
                            <w:t>An Official Development Assistance Business Case</w:t>
                          </w:r>
                        </w:p>
                        <w:p w14:paraId="28968983" w14:textId="77777777" w:rsidR="00927E84" w:rsidRDefault="00000000" w:rsidP="0068095E">
                          <w:pPr>
                            <w:spacing w:line="256" w:lineRule="auto"/>
                            <w:jc w:val="right"/>
                            <w:rPr>
                              <w:rFonts w:eastAsia="Calibri" w:hAnsi="Calibri" w:cs="Calibri"/>
                              <w:color w:val="000000" w:themeColor="dark1"/>
                              <w:lang w:val="en-US"/>
                            </w:rPr>
                          </w:pPr>
                          <w:r>
                            <w:rPr>
                              <w:rFonts w:eastAsia="Calibri" w:hAnsi="Calibri" w:cs="Calibri"/>
                              <w:color w:val="000000" w:themeColor="dark1"/>
                              <w:lang w:val="en-US"/>
                            </w:rPr>
                            <w:t>Department of Environment, Food and Rural Affairs</w:t>
                          </w:r>
                        </w:p>
                      </w:txbxContent>
                    </v:textbox>
                    <w10:wrap type="square" anchorx="margin" anchory="page"/>
                  </v:rect>
                </w:pict>
              </mc:Fallback>
            </mc:AlternateContent>
          </w:r>
          <w:r w:rsidR="00FF072D" w:rsidRPr="00217F59">
            <w:rPr>
              <w:rFonts w:cstheme="minorHAnsi"/>
              <w:noProof/>
              <w:lang w:eastAsia="en-GB"/>
            </w:rPr>
            <mc:AlternateContent>
              <mc:Choice Requires="wps">
                <w:drawing>
                  <wp:anchor distT="0" distB="0" distL="114300" distR="114300" simplePos="0" relativeHeight="251658240" behindDoc="0" locked="0" layoutInCell="1" allowOverlap="1" wp14:anchorId="08621380" wp14:editId="4E373E25">
                    <wp:simplePos x="0" y="0"/>
                    <wp:positionH relativeFrom="margin">
                      <wp:align>center</wp:align>
                    </wp:positionH>
                    <wp:positionV relativeFrom="page">
                      <wp:posOffset>2277322</wp:posOffset>
                    </wp:positionV>
                    <wp:extent cx="7114540" cy="3147060"/>
                    <wp:effectExtent l="0" t="0" r="0" b="15240"/>
                    <wp:wrapSquare wrapText="bothSides"/>
                    <wp:docPr id="154" name="Text Box 1"/>
                    <wp:cNvGraphicFramePr/>
                    <a:graphic xmlns:a="http://schemas.openxmlformats.org/drawingml/2006/main">
                      <a:graphicData uri="http://schemas.microsoft.com/office/word/2010/wordprocessingShape">
                        <wps:wsp>
                          <wps:cNvSpPr txBox="1"/>
                          <wps:spPr>
                            <a:xfrm>
                              <a:off x="0" y="0"/>
                              <a:ext cx="7114540" cy="31476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2E8988" w14:textId="4DD480DA" w:rsidR="00070C56" w:rsidRPr="00294A77" w:rsidRDefault="00000000" w:rsidP="00FF072D">
                                <w:pPr>
                                  <w:jc w:val="right"/>
                                  <w:rPr>
                                    <w:b/>
                                    <w:bCs/>
                                    <w:color w:val="008000"/>
                                    <w:sz w:val="56"/>
                                    <w:szCs w:val="56"/>
                                  </w:rPr>
                                </w:pPr>
                                <w:sdt>
                                  <w:sdtPr>
                                    <w:rPr>
                                      <w:b/>
                                      <w:bCs/>
                                      <w:color w:val="008938"/>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483512">
                                      <w:rPr>
                                        <w:b/>
                                        <w:bCs/>
                                        <w:color w:val="008938"/>
                                        <w:sz w:val="56"/>
                                        <w:szCs w:val="56"/>
                                      </w:rPr>
                                      <w:t xml:space="preserve">Championing </w:t>
                                    </w:r>
                                    <w:r w:rsidR="006608F8">
                                      <w:rPr>
                                        <w:b/>
                                        <w:bCs/>
                                        <w:color w:val="008938"/>
                                        <w:sz w:val="56"/>
                                        <w:szCs w:val="56"/>
                                      </w:rPr>
                                      <w:t>I</w:t>
                                    </w:r>
                                    <w:r w:rsidR="00483512">
                                      <w:rPr>
                                        <w:b/>
                                        <w:bCs/>
                                        <w:color w:val="008938"/>
                                        <w:sz w:val="56"/>
                                        <w:szCs w:val="56"/>
                                      </w:rPr>
                                      <w:t xml:space="preserve">nclusivity </w:t>
                                    </w:r>
                                    <w:r w:rsidR="006608F8">
                                      <w:rPr>
                                        <w:b/>
                                        <w:bCs/>
                                        <w:color w:val="008938"/>
                                        <w:sz w:val="56"/>
                                        <w:szCs w:val="56"/>
                                      </w:rPr>
                                      <w:t>on Plastic Pollution (C</w:t>
                                    </w:r>
                                    <w:r w:rsidR="00657CC3">
                                      <w:rPr>
                                        <w:b/>
                                        <w:bCs/>
                                        <w:color w:val="008938"/>
                                        <w:sz w:val="56"/>
                                        <w:szCs w:val="56"/>
                                      </w:rPr>
                                      <w:t>H</w:t>
                                    </w:r>
                                    <w:r w:rsidR="006608F8">
                                      <w:rPr>
                                        <w:b/>
                                        <w:bCs/>
                                        <w:color w:val="008938"/>
                                        <w:sz w:val="56"/>
                                        <w:szCs w:val="56"/>
                                      </w:rPr>
                                      <w:t>IPP)</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08621380" id="_x0000_t202" coordsize="21600,21600" o:spt="202" path="m,l,21600r21600,l21600,xe">
                    <v:stroke joinstyle="miter"/>
                    <v:path gradientshapeok="t" o:connecttype="rect"/>
                  </v:shapetype>
                  <v:shape id="_x0000_s1027" type="#_x0000_t202" style="position:absolute;left:0;text-align:left;margin-left:0;margin-top:179.3pt;width:560.2pt;height:247.8pt;z-index:251658240;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" filled="f" stroked="f" strokeweight=".5pt">
                    <v:textbox inset="126pt,0,54pt,0">
                      <w:txbxContent>
                        <w:p w14:paraId="782E8988" w14:textId="4DD480DA" w:rsidR="00070C56" w:rsidRPr="00294A77" w:rsidRDefault="00000000" w:rsidP="00FF072D">
                          <w:pPr>
                            <w:jc w:val="right"/>
                            <w:rPr>
                              <w:b/>
                              <w:bCs/>
                              <w:color w:val="008000"/>
                              <w:sz w:val="56"/>
                              <w:szCs w:val="56"/>
                            </w:rPr>
                          </w:pPr>
                          <w:sdt>
                            <w:sdtPr>
                              <w:rPr>
                                <w:b/>
                                <w:bCs/>
                                <w:color w:val="008938"/>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483512">
                                <w:rPr>
                                  <w:b/>
                                  <w:bCs/>
                                  <w:color w:val="008938"/>
                                  <w:sz w:val="56"/>
                                  <w:szCs w:val="56"/>
                                </w:rPr>
                                <w:t xml:space="preserve">Championing </w:t>
                              </w:r>
                              <w:r w:rsidR="006608F8">
                                <w:rPr>
                                  <w:b/>
                                  <w:bCs/>
                                  <w:color w:val="008938"/>
                                  <w:sz w:val="56"/>
                                  <w:szCs w:val="56"/>
                                </w:rPr>
                                <w:t>I</w:t>
                              </w:r>
                              <w:r w:rsidR="00483512">
                                <w:rPr>
                                  <w:b/>
                                  <w:bCs/>
                                  <w:color w:val="008938"/>
                                  <w:sz w:val="56"/>
                                  <w:szCs w:val="56"/>
                                </w:rPr>
                                <w:t xml:space="preserve">nclusivity </w:t>
                              </w:r>
                              <w:r w:rsidR="006608F8">
                                <w:rPr>
                                  <w:b/>
                                  <w:bCs/>
                                  <w:color w:val="008938"/>
                                  <w:sz w:val="56"/>
                                  <w:szCs w:val="56"/>
                                </w:rPr>
                                <w:t>on Plastic Pollution (C</w:t>
                              </w:r>
                              <w:r w:rsidR="00657CC3">
                                <w:rPr>
                                  <w:b/>
                                  <w:bCs/>
                                  <w:color w:val="008938"/>
                                  <w:sz w:val="56"/>
                                  <w:szCs w:val="56"/>
                                </w:rPr>
                                <w:t>H</w:t>
                              </w:r>
                              <w:r w:rsidR="006608F8">
                                <w:rPr>
                                  <w:b/>
                                  <w:bCs/>
                                  <w:color w:val="008938"/>
                                  <w:sz w:val="56"/>
                                  <w:szCs w:val="56"/>
                                </w:rPr>
                                <w:t>IPP)</w:t>
                              </w:r>
                            </w:sdtContent>
                          </w:sdt>
                        </w:p>
                      </w:txbxContent>
                    </v:textbox>
                    <w10:wrap type="square" anchorx="margin" anchory="page"/>
                  </v:shape>
                </w:pict>
              </mc:Fallback>
            </mc:AlternateContent>
          </w:r>
          <w:r w:rsidR="00FF072D" w:rsidRPr="00217F59">
            <w:rPr>
              <w:rFonts w:cstheme="minorHAnsi"/>
              <w:noProof/>
              <w:lang w:eastAsia="en-GB"/>
            </w:rPr>
            <mc:AlternateContent>
              <mc:Choice Requires="wps">
                <w:drawing>
                  <wp:anchor distT="0" distB="0" distL="114300" distR="114300" simplePos="0" relativeHeight="251658241" behindDoc="0" locked="0" layoutInCell="1" allowOverlap="1" wp14:anchorId="06DCE649" wp14:editId="36761C6C">
                    <wp:simplePos x="0" y="0"/>
                    <wp:positionH relativeFrom="margin">
                      <wp:align>center</wp:align>
                    </wp:positionH>
                    <wp:positionV relativeFrom="page">
                      <wp:posOffset>5494867</wp:posOffset>
                    </wp:positionV>
                    <wp:extent cx="7315200" cy="1009650"/>
                    <wp:effectExtent l="0" t="0" r="0" b="5080"/>
                    <wp:wrapSquare wrapText="bothSides"/>
                    <wp:docPr id="153" name="Text Box 2"/>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5775EA" w14:textId="2487C4FD" w:rsidR="00070C56" w:rsidRPr="00FF072D" w:rsidRDefault="006608F8" w:rsidP="00FF072D">
                                <w:pPr>
                                  <w:pStyle w:val="NoSpacing"/>
                                  <w:jc w:val="right"/>
                                  <w:rPr>
                                    <w:color w:val="008938"/>
                                    <w:sz w:val="28"/>
                                    <w:szCs w:val="28"/>
                                  </w:rPr>
                                </w:pPr>
                                <w:r w:rsidRPr="006608F8">
                                  <w:rPr>
                                    <w:color w:val="008938"/>
                                    <w:sz w:val="28"/>
                                    <w:szCs w:val="28"/>
                                  </w:rPr>
                                  <w:t xml:space="preserve">A youth advocacy and inclusivity partnership with </w:t>
                                </w:r>
                                <w:r w:rsidR="00F9019C">
                                  <w:rPr>
                                    <w:color w:val="008938"/>
                                    <w:sz w:val="28"/>
                                    <w:szCs w:val="28"/>
                                  </w:rPr>
                                  <w:t>the United Nations Environment Programme (UNEP)</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06DCE649" id="Text Box 2" o:spid="_x0000_s1028" type="#_x0000_t202" style="position:absolute;left:0;text-align:left;margin-left:0;margin-top:432.65pt;width:8in;height:79.5pt;z-index:251658241;visibility:visible;mso-wrap-style:square;mso-width-percent:941;mso-height-percent:100;mso-wrap-distance-left:9pt;mso-wrap-distance-top:0;mso-wrap-distance-right:9pt;mso-wrap-distance-bottom:0;mso-position-horizontal:center;mso-position-horizontal-relative:margin;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" filled="f" stroked="f" strokeweight=".5pt">
                    <v:textbox style="mso-fit-shape-to-text:t" inset="126pt,0,54pt,0">
                      <w:txbxContent>
                        <w:p w14:paraId="635775EA" w14:textId="2487C4FD" w:rsidR="00070C56" w:rsidRPr="00FF072D" w:rsidRDefault="006608F8" w:rsidP="00FF072D">
                          <w:pPr>
                            <w:pStyle w:val="NoSpacing"/>
                            <w:jc w:val="right"/>
                            <w:rPr>
                              <w:color w:val="008938"/>
                              <w:sz w:val="28"/>
                              <w:szCs w:val="28"/>
                            </w:rPr>
                          </w:pPr>
                          <w:r w:rsidRPr="006608F8">
                            <w:rPr>
                              <w:color w:val="008938"/>
                              <w:sz w:val="28"/>
                              <w:szCs w:val="28"/>
                            </w:rPr>
                            <w:t xml:space="preserve">A youth advocacy and inclusivity partnership with </w:t>
                          </w:r>
                          <w:r w:rsidR="00F9019C">
                            <w:rPr>
                              <w:color w:val="008938"/>
                              <w:sz w:val="28"/>
                              <w:szCs w:val="28"/>
                            </w:rPr>
                            <w:t>the United Nations Environment Programme (UNEP)</w:t>
                          </w:r>
                        </w:p>
                      </w:txbxContent>
                    </v:textbox>
                    <w10:wrap type="square" anchorx="margin" anchory="page"/>
                  </v:shape>
                </w:pict>
              </mc:Fallback>
            </mc:AlternateContent>
          </w:r>
          <w:r w:rsidR="00FF072D" w:rsidRPr="2DE10816">
            <w:rPr>
              <w:b/>
              <w:bCs/>
              <w:caps/>
            </w:rPr>
            <w:br w:type="page"/>
          </w:r>
        </w:p>
      </w:sdtContent>
    </w:sdt>
    <w:tbl>
      <w:tblPr>
        <w:tblStyle w:val="TableGrid"/>
        <w:tblW w:w="0" w:type="auto"/>
        <w:tblLook w:val="04A0" w:firstRow="1" w:lastRow="0" w:firstColumn="1" w:lastColumn="0" w:noHBand="0" w:noVBand="1"/>
      </w:tblPr>
      <w:tblGrid>
        <w:gridCol w:w="1425"/>
        <w:gridCol w:w="7581"/>
      </w:tblGrid>
      <w:tr w:rsidR="00510769" w14:paraId="6DE10E68" w14:textId="77777777" w:rsidTr="001D3DC2">
        <w:tc>
          <w:tcPr>
            <w:tcW w:w="1124" w:type="dxa"/>
          </w:tcPr>
          <w:p w14:paraId="78059466" w14:textId="231785F3" w:rsidR="00510769" w:rsidRPr="00217F59" w:rsidRDefault="00510769" w:rsidP="0016170B">
            <w:pPr>
              <w:pStyle w:val="Table"/>
              <w:spacing w:after="240"/>
              <w:jc w:val="left"/>
              <w:rPr>
                <w:rFonts w:cstheme="minorHAnsi"/>
                <w:b/>
                <w:sz w:val="22"/>
                <w:szCs w:val="22"/>
              </w:rPr>
            </w:pPr>
            <w:r w:rsidRPr="00217F59">
              <w:rPr>
                <w:rFonts w:cstheme="minorHAnsi"/>
                <w:b/>
                <w:sz w:val="22"/>
                <w:szCs w:val="22"/>
              </w:rPr>
              <w:lastRenderedPageBreak/>
              <w:t>Title:</w:t>
            </w:r>
          </w:p>
        </w:tc>
        <w:tc>
          <w:tcPr>
            <w:tcW w:w="7882" w:type="dxa"/>
          </w:tcPr>
          <w:p w14:paraId="091B0D7C" w14:textId="083FDF41" w:rsidR="00510769" w:rsidRPr="00217F59" w:rsidRDefault="00F9019C" w:rsidP="00613ABF">
            <w:pPr>
              <w:pStyle w:val="Table"/>
              <w:spacing w:after="240"/>
              <w:rPr>
                <w:rFonts w:cstheme="minorHAnsi"/>
                <w:i/>
                <w:color w:val="000000" w:themeColor="text1"/>
                <w:sz w:val="22"/>
                <w:szCs w:val="22"/>
              </w:rPr>
            </w:pPr>
            <w:r w:rsidRPr="00217F59">
              <w:rPr>
                <w:rFonts w:cstheme="minorHAnsi"/>
                <w:i/>
                <w:color w:val="000000" w:themeColor="text1"/>
                <w:sz w:val="22"/>
                <w:szCs w:val="22"/>
              </w:rPr>
              <w:t xml:space="preserve">Championing </w:t>
            </w:r>
            <w:r w:rsidR="00916F94">
              <w:rPr>
                <w:rFonts w:cstheme="minorHAnsi"/>
                <w:i/>
                <w:color w:val="000000" w:themeColor="text1"/>
                <w:sz w:val="22"/>
                <w:szCs w:val="22"/>
              </w:rPr>
              <w:t>Inclusivity in</w:t>
            </w:r>
            <w:r w:rsidRPr="00217F59">
              <w:rPr>
                <w:rFonts w:cstheme="minorHAnsi"/>
                <w:i/>
                <w:color w:val="000000" w:themeColor="text1"/>
                <w:sz w:val="22"/>
                <w:szCs w:val="22"/>
              </w:rPr>
              <w:t xml:space="preserve"> </w:t>
            </w:r>
            <w:r w:rsidR="00916F94">
              <w:rPr>
                <w:rFonts w:cstheme="minorHAnsi"/>
                <w:i/>
                <w:color w:val="000000" w:themeColor="text1"/>
                <w:sz w:val="22"/>
                <w:szCs w:val="22"/>
              </w:rPr>
              <w:t>P</w:t>
            </w:r>
            <w:r w:rsidRPr="00217F59">
              <w:rPr>
                <w:rFonts w:cstheme="minorHAnsi"/>
                <w:i/>
                <w:color w:val="000000" w:themeColor="text1"/>
                <w:sz w:val="22"/>
                <w:szCs w:val="22"/>
              </w:rPr>
              <w:t xml:space="preserve">lastic </w:t>
            </w:r>
            <w:r w:rsidR="00916F94">
              <w:rPr>
                <w:rFonts w:cstheme="minorHAnsi"/>
                <w:i/>
                <w:color w:val="000000" w:themeColor="text1"/>
                <w:sz w:val="22"/>
                <w:szCs w:val="22"/>
              </w:rPr>
              <w:t>P</w:t>
            </w:r>
            <w:r w:rsidRPr="00217F59">
              <w:rPr>
                <w:rFonts w:cstheme="minorHAnsi"/>
                <w:i/>
                <w:color w:val="000000" w:themeColor="text1"/>
                <w:sz w:val="22"/>
                <w:szCs w:val="22"/>
              </w:rPr>
              <w:t>ollution</w:t>
            </w:r>
            <w:r w:rsidR="00916F94">
              <w:rPr>
                <w:rFonts w:cstheme="minorHAnsi"/>
                <w:i/>
                <w:color w:val="000000" w:themeColor="text1"/>
                <w:sz w:val="22"/>
                <w:szCs w:val="22"/>
              </w:rPr>
              <w:t xml:space="preserve"> (CHIPP)</w:t>
            </w:r>
          </w:p>
        </w:tc>
      </w:tr>
      <w:tr w:rsidR="00FF072D" w14:paraId="78B1D4C4" w14:textId="77777777" w:rsidTr="001D3DC2">
        <w:tc>
          <w:tcPr>
            <w:tcW w:w="1124" w:type="dxa"/>
          </w:tcPr>
          <w:p w14:paraId="620374CB" w14:textId="69EB7440" w:rsidR="00FF072D" w:rsidRPr="00217F59" w:rsidRDefault="00A601EB" w:rsidP="0016170B">
            <w:pPr>
              <w:pStyle w:val="Table"/>
              <w:spacing w:after="240"/>
              <w:jc w:val="left"/>
              <w:rPr>
                <w:rFonts w:cstheme="minorHAnsi"/>
                <w:b/>
                <w:sz w:val="22"/>
                <w:szCs w:val="22"/>
              </w:rPr>
            </w:pPr>
            <w:r>
              <w:rPr>
                <w:rFonts w:cstheme="minorHAnsi"/>
                <w:b/>
                <w:sz w:val="22"/>
                <w:szCs w:val="22"/>
              </w:rPr>
              <w:t>Programme summary</w:t>
            </w:r>
          </w:p>
        </w:tc>
        <w:tc>
          <w:tcPr>
            <w:tcW w:w="7882" w:type="dxa"/>
          </w:tcPr>
          <w:p w14:paraId="39A48C94" w14:textId="44DA57A5" w:rsidR="00964F22" w:rsidRPr="005677DE" w:rsidRDefault="005677DE" w:rsidP="7D5AFBEE">
            <w:pPr>
              <w:rPr>
                <w:i/>
                <w:iCs/>
                <w:sz w:val="22"/>
                <w:szCs w:val="22"/>
              </w:rPr>
            </w:pPr>
            <w:r w:rsidRPr="7D5AFBEE">
              <w:rPr>
                <w:i/>
                <w:iCs/>
                <w:sz w:val="22"/>
                <w:szCs w:val="22"/>
              </w:rPr>
              <w:t xml:space="preserve">This programme comprises two components to support the Blue Planet Fund’s objectives on delivering on inclusivity. The first component is an investment into the United Nations Environment Programme (UNEP)’s Tide Turners Challenge. This is a youth environmental education initiative which seeks to educate and empower young people on marine plastic pollution and how they can address it in their communities. The objective of this programme is to influence behaviour change, share knowledge, build </w:t>
            </w:r>
            <w:r w:rsidR="00EB6E9A" w:rsidRPr="7D5AFBEE">
              <w:rPr>
                <w:i/>
                <w:iCs/>
                <w:sz w:val="22"/>
                <w:szCs w:val="22"/>
              </w:rPr>
              <w:t>awareness,</w:t>
            </w:r>
            <w:r w:rsidRPr="7D5AFBEE">
              <w:rPr>
                <w:i/>
                <w:iCs/>
                <w:sz w:val="22"/>
                <w:szCs w:val="22"/>
              </w:rPr>
              <w:t xml:space="preserve"> and promote inclusive environmental decision-making from young people – giving them a voice in the fight against plastic pollution. The second component is financial support for the Intergovernmental Negotiating Committee (INC) meetings to help foster inclusive participation by ODA-eligible country negotiators in the agreement of a legally binding instrument on plastic pollution. </w:t>
            </w:r>
            <w:r w:rsidR="00207DAE" w:rsidRPr="7D5AFBEE">
              <w:rPr>
                <w:i/>
                <w:iCs/>
                <w:sz w:val="22"/>
                <w:szCs w:val="22"/>
              </w:rPr>
              <w:t xml:space="preserve">This </w:t>
            </w:r>
            <w:r w:rsidR="5CA663E3" w:rsidRPr="7D5AFBEE">
              <w:rPr>
                <w:i/>
                <w:iCs/>
                <w:sz w:val="22"/>
                <w:szCs w:val="22"/>
              </w:rPr>
              <w:t>is essential to</w:t>
            </w:r>
            <w:r w:rsidR="00207DAE" w:rsidRPr="7D5AFBEE">
              <w:rPr>
                <w:i/>
                <w:iCs/>
                <w:sz w:val="22"/>
                <w:szCs w:val="22"/>
              </w:rPr>
              <w:t xml:space="preserve"> allow developing countries</w:t>
            </w:r>
            <w:r w:rsidR="00161618">
              <w:rPr>
                <w:i/>
                <w:iCs/>
                <w:sz w:val="22"/>
                <w:szCs w:val="22"/>
              </w:rPr>
              <w:t>’</w:t>
            </w:r>
            <w:r w:rsidR="00207DAE" w:rsidRPr="7D5AFBEE">
              <w:rPr>
                <w:i/>
                <w:iCs/>
                <w:sz w:val="22"/>
                <w:szCs w:val="22"/>
              </w:rPr>
              <w:t xml:space="preserve"> views to be heard and reflected in the negotiations</w:t>
            </w:r>
            <w:r w:rsidR="1BCF7B37" w:rsidRPr="7D5AFBEE">
              <w:rPr>
                <w:i/>
                <w:iCs/>
                <w:sz w:val="22"/>
                <w:szCs w:val="22"/>
              </w:rPr>
              <w:t>,</w:t>
            </w:r>
            <w:r w:rsidR="4841D122" w:rsidRPr="7D5AFBEE">
              <w:rPr>
                <w:i/>
                <w:iCs/>
                <w:sz w:val="22"/>
                <w:szCs w:val="22"/>
              </w:rPr>
              <w:t xml:space="preserve"> whilst enabling this </w:t>
            </w:r>
            <w:r w:rsidR="004151F4" w:rsidRPr="7D5AFBEE">
              <w:rPr>
                <w:i/>
                <w:iCs/>
                <w:sz w:val="22"/>
                <w:szCs w:val="22"/>
              </w:rPr>
              <w:t>high-profile</w:t>
            </w:r>
            <w:r w:rsidR="4841D122" w:rsidRPr="7D5AFBEE">
              <w:rPr>
                <w:i/>
                <w:iCs/>
                <w:sz w:val="22"/>
                <w:szCs w:val="22"/>
              </w:rPr>
              <w:t xml:space="preserve"> treaty to be negotiated within the ambitious timeline </w:t>
            </w:r>
            <w:r w:rsidR="1568E4D3" w:rsidRPr="7D5AFBEE">
              <w:rPr>
                <w:i/>
                <w:iCs/>
                <w:sz w:val="22"/>
                <w:szCs w:val="22"/>
              </w:rPr>
              <w:t xml:space="preserve">by the end of 2024 as </w:t>
            </w:r>
            <w:r w:rsidR="4841D122" w:rsidRPr="7D5AFBEE">
              <w:rPr>
                <w:i/>
                <w:iCs/>
                <w:sz w:val="22"/>
                <w:szCs w:val="22"/>
              </w:rPr>
              <w:t xml:space="preserve">agreed at the </w:t>
            </w:r>
            <w:r w:rsidR="615FF288" w:rsidRPr="7D5AFBEE">
              <w:rPr>
                <w:i/>
                <w:iCs/>
                <w:sz w:val="22"/>
                <w:szCs w:val="22"/>
              </w:rPr>
              <w:t xml:space="preserve">Fifth </w:t>
            </w:r>
            <w:r w:rsidR="4841D122" w:rsidRPr="7D5AFBEE">
              <w:rPr>
                <w:i/>
                <w:iCs/>
                <w:sz w:val="22"/>
                <w:szCs w:val="22"/>
              </w:rPr>
              <w:t>U</w:t>
            </w:r>
            <w:r w:rsidR="36641592" w:rsidRPr="7D5AFBEE">
              <w:rPr>
                <w:i/>
                <w:iCs/>
                <w:sz w:val="22"/>
                <w:szCs w:val="22"/>
              </w:rPr>
              <w:t>nited Nation</w:t>
            </w:r>
            <w:r w:rsidR="7F7372F8" w:rsidRPr="7D5AFBEE">
              <w:rPr>
                <w:i/>
                <w:iCs/>
                <w:sz w:val="22"/>
                <w:szCs w:val="22"/>
              </w:rPr>
              <w:t>s Environment Assembly</w:t>
            </w:r>
            <w:r w:rsidR="00161618">
              <w:rPr>
                <w:i/>
                <w:iCs/>
                <w:sz w:val="22"/>
                <w:szCs w:val="22"/>
              </w:rPr>
              <w:t>. Together, these programmes</w:t>
            </w:r>
            <w:r w:rsidR="261FDBDF" w:rsidRPr="7D5AFBEE">
              <w:rPr>
                <w:i/>
                <w:iCs/>
                <w:sz w:val="22"/>
                <w:szCs w:val="22"/>
              </w:rPr>
              <w:t xml:space="preserve"> </w:t>
            </w:r>
            <w:r w:rsidR="00D964AE" w:rsidRPr="7D5AFBEE">
              <w:rPr>
                <w:i/>
                <w:iCs/>
                <w:sz w:val="22"/>
                <w:szCs w:val="22"/>
              </w:rPr>
              <w:t>reinforc</w:t>
            </w:r>
            <w:r w:rsidR="00161618">
              <w:rPr>
                <w:i/>
                <w:iCs/>
                <w:sz w:val="22"/>
                <w:szCs w:val="22"/>
              </w:rPr>
              <w:t>e</w:t>
            </w:r>
            <w:r w:rsidR="008632E2" w:rsidRPr="7D5AFBEE">
              <w:rPr>
                <w:i/>
                <w:iCs/>
                <w:sz w:val="22"/>
                <w:szCs w:val="22"/>
              </w:rPr>
              <w:t xml:space="preserve"> </w:t>
            </w:r>
            <w:r w:rsidR="008F0B98" w:rsidRPr="7D5AFBEE">
              <w:rPr>
                <w:i/>
                <w:iCs/>
                <w:sz w:val="22"/>
                <w:szCs w:val="22"/>
              </w:rPr>
              <w:t xml:space="preserve">the UK </w:t>
            </w:r>
            <w:r w:rsidR="00C4551E" w:rsidRPr="7D5AFBEE">
              <w:rPr>
                <w:i/>
                <w:iCs/>
                <w:sz w:val="22"/>
                <w:szCs w:val="22"/>
              </w:rPr>
              <w:t>Government</w:t>
            </w:r>
            <w:r w:rsidR="00D964AE" w:rsidRPr="7D5AFBEE">
              <w:rPr>
                <w:i/>
                <w:iCs/>
                <w:sz w:val="22"/>
                <w:szCs w:val="22"/>
              </w:rPr>
              <w:t>’s</w:t>
            </w:r>
            <w:r w:rsidR="008F0B98" w:rsidRPr="7D5AFBEE">
              <w:rPr>
                <w:i/>
                <w:iCs/>
                <w:sz w:val="22"/>
                <w:szCs w:val="22"/>
              </w:rPr>
              <w:t xml:space="preserve"> </w:t>
            </w:r>
            <w:r w:rsidR="00161618">
              <w:rPr>
                <w:i/>
                <w:iCs/>
                <w:sz w:val="22"/>
                <w:szCs w:val="22"/>
              </w:rPr>
              <w:t>leading</w:t>
            </w:r>
            <w:r w:rsidR="008F0B98" w:rsidRPr="7D5AFBEE">
              <w:rPr>
                <w:i/>
                <w:iCs/>
                <w:sz w:val="22"/>
                <w:szCs w:val="22"/>
              </w:rPr>
              <w:t xml:space="preserve"> effort</w:t>
            </w:r>
            <w:r w:rsidR="00161618">
              <w:rPr>
                <w:i/>
                <w:iCs/>
                <w:sz w:val="22"/>
                <w:szCs w:val="22"/>
              </w:rPr>
              <w:t>s</w:t>
            </w:r>
            <w:r w:rsidR="008F0B98" w:rsidRPr="7D5AFBEE">
              <w:rPr>
                <w:i/>
                <w:iCs/>
                <w:sz w:val="22"/>
                <w:szCs w:val="22"/>
              </w:rPr>
              <w:t xml:space="preserve"> to </w:t>
            </w:r>
            <w:r w:rsidR="00161618">
              <w:rPr>
                <w:i/>
                <w:iCs/>
                <w:sz w:val="22"/>
                <w:szCs w:val="22"/>
              </w:rPr>
              <w:t>ensure an inclusive approach in tackling plastic pollution at all levels, from community to international action</w:t>
            </w:r>
            <w:r w:rsidR="008F0B98" w:rsidRPr="7D5AFBEE">
              <w:rPr>
                <w:i/>
                <w:iCs/>
                <w:sz w:val="22"/>
                <w:szCs w:val="22"/>
              </w:rPr>
              <w:t>.</w:t>
            </w:r>
          </w:p>
        </w:tc>
      </w:tr>
      <w:tr w:rsidR="00510769" w14:paraId="27BCE686" w14:textId="77777777" w:rsidTr="001D3DC2">
        <w:tc>
          <w:tcPr>
            <w:tcW w:w="1124" w:type="dxa"/>
          </w:tcPr>
          <w:p w14:paraId="3CC60C99" w14:textId="616582EC" w:rsidR="00510769" w:rsidRPr="00217F59" w:rsidRDefault="00A601EB" w:rsidP="0016170B">
            <w:pPr>
              <w:pStyle w:val="Table"/>
              <w:spacing w:after="240"/>
              <w:jc w:val="left"/>
              <w:rPr>
                <w:rFonts w:cstheme="minorHAnsi"/>
                <w:b/>
                <w:sz w:val="22"/>
                <w:szCs w:val="22"/>
              </w:rPr>
            </w:pPr>
            <w:r>
              <w:rPr>
                <w:rFonts w:cstheme="minorHAnsi"/>
                <w:b/>
                <w:sz w:val="22"/>
                <w:szCs w:val="22"/>
              </w:rPr>
              <w:t>Rationale</w:t>
            </w:r>
          </w:p>
        </w:tc>
        <w:tc>
          <w:tcPr>
            <w:tcW w:w="7882" w:type="dxa"/>
          </w:tcPr>
          <w:p w14:paraId="37EA32FC" w14:textId="1DC5960A" w:rsidR="00AE15DE" w:rsidRPr="00B018CE" w:rsidRDefault="00DA3DD3" w:rsidP="7D5AFBEE">
            <w:pPr>
              <w:pStyle w:val="Table"/>
              <w:spacing w:before="0"/>
              <w:rPr>
                <w:i/>
                <w:iCs/>
                <w:color w:val="000000" w:themeColor="text1"/>
                <w:sz w:val="22"/>
                <w:szCs w:val="22"/>
              </w:rPr>
            </w:pPr>
            <w:r w:rsidRPr="7D5AFBEE">
              <w:rPr>
                <w:i/>
                <w:iCs/>
                <w:color w:val="000000" w:themeColor="text1"/>
                <w:sz w:val="22"/>
                <w:szCs w:val="22"/>
              </w:rPr>
              <w:t>Addressing marine pollution is a UK Government priority and the UK are global leaders in driving forward ambitious action to reduce plastic pollution in the ocean. Plastic pollution is a global challenge, and the UK prioriti</w:t>
            </w:r>
            <w:r w:rsidR="6ED8F329" w:rsidRPr="7D5AFBEE">
              <w:rPr>
                <w:i/>
                <w:iCs/>
                <w:color w:val="000000" w:themeColor="text1"/>
                <w:sz w:val="22"/>
                <w:szCs w:val="22"/>
              </w:rPr>
              <w:t>s</w:t>
            </w:r>
            <w:r w:rsidRPr="7D5AFBEE">
              <w:rPr>
                <w:i/>
                <w:iCs/>
                <w:color w:val="000000" w:themeColor="text1"/>
                <w:sz w:val="22"/>
                <w:szCs w:val="22"/>
              </w:rPr>
              <w:t>es engag</w:t>
            </w:r>
            <w:r w:rsidR="025B60CC" w:rsidRPr="7D5AFBEE">
              <w:rPr>
                <w:i/>
                <w:iCs/>
                <w:color w:val="000000" w:themeColor="text1"/>
                <w:sz w:val="22"/>
                <w:szCs w:val="22"/>
              </w:rPr>
              <w:t>ement</w:t>
            </w:r>
            <w:r w:rsidRPr="7D5AFBEE">
              <w:rPr>
                <w:i/>
                <w:iCs/>
                <w:color w:val="000000" w:themeColor="text1"/>
                <w:sz w:val="22"/>
                <w:szCs w:val="22"/>
              </w:rPr>
              <w:t xml:space="preserve"> across multilateral forums and organisations to raise global ambition and drive action</w:t>
            </w:r>
            <w:r w:rsidR="00161618">
              <w:rPr>
                <w:i/>
                <w:iCs/>
                <w:color w:val="000000" w:themeColor="text1"/>
                <w:sz w:val="22"/>
                <w:szCs w:val="22"/>
              </w:rPr>
              <w:t>s that</w:t>
            </w:r>
            <w:r w:rsidRPr="7D5AFBEE">
              <w:rPr>
                <w:i/>
                <w:iCs/>
                <w:color w:val="000000" w:themeColor="text1"/>
                <w:sz w:val="22"/>
                <w:szCs w:val="22"/>
              </w:rPr>
              <w:t xml:space="preserve"> minimise plastic </w:t>
            </w:r>
            <w:r w:rsidR="00161618">
              <w:rPr>
                <w:i/>
                <w:iCs/>
                <w:color w:val="000000" w:themeColor="text1"/>
                <w:sz w:val="22"/>
                <w:szCs w:val="22"/>
              </w:rPr>
              <w:t>pollution</w:t>
            </w:r>
            <w:r w:rsidR="00161618" w:rsidRPr="7D5AFBEE">
              <w:rPr>
                <w:i/>
                <w:iCs/>
                <w:color w:val="000000" w:themeColor="text1"/>
                <w:sz w:val="22"/>
                <w:szCs w:val="22"/>
              </w:rPr>
              <w:t xml:space="preserve"> </w:t>
            </w:r>
            <w:r w:rsidRPr="7D5AFBEE">
              <w:rPr>
                <w:i/>
                <w:iCs/>
                <w:color w:val="000000" w:themeColor="text1"/>
                <w:sz w:val="22"/>
                <w:szCs w:val="22"/>
              </w:rPr>
              <w:t>from both land- and sea-based sources</w:t>
            </w:r>
            <w:r w:rsidR="00161618">
              <w:rPr>
                <w:i/>
                <w:iCs/>
                <w:color w:val="000000" w:themeColor="text1"/>
                <w:sz w:val="22"/>
                <w:szCs w:val="22"/>
              </w:rPr>
              <w:t>. These forums</w:t>
            </w:r>
            <w:r w:rsidRPr="7D5AFBEE">
              <w:rPr>
                <w:i/>
                <w:iCs/>
                <w:color w:val="000000" w:themeColor="text1"/>
                <w:sz w:val="22"/>
                <w:szCs w:val="22"/>
              </w:rPr>
              <w:t xml:space="preserve"> inclu</w:t>
            </w:r>
            <w:r w:rsidR="00161618">
              <w:rPr>
                <w:i/>
                <w:iCs/>
                <w:color w:val="000000" w:themeColor="text1"/>
                <w:sz w:val="22"/>
                <w:szCs w:val="22"/>
              </w:rPr>
              <w:t>de</w:t>
            </w:r>
            <w:r w:rsidRPr="7D5AFBEE">
              <w:rPr>
                <w:i/>
                <w:iCs/>
                <w:color w:val="000000" w:themeColor="text1"/>
                <w:sz w:val="22"/>
                <w:szCs w:val="22"/>
              </w:rPr>
              <w:t xml:space="preserve"> the </w:t>
            </w:r>
            <w:r w:rsidR="7EB23062" w:rsidRPr="7D5AFBEE">
              <w:rPr>
                <w:i/>
                <w:iCs/>
                <w:color w:val="000000" w:themeColor="text1"/>
                <w:sz w:val="22"/>
                <w:szCs w:val="22"/>
              </w:rPr>
              <w:t xml:space="preserve">UN system (UNEA, UNGA, CBD, Basel Convention, IMO), </w:t>
            </w:r>
            <w:r w:rsidRPr="7D5AFBEE">
              <w:rPr>
                <w:i/>
                <w:iCs/>
                <w:color w:val="000000" w:themeColor="text1"/>
                <w:sz w:val="22"/>
                <w:szCs w:val="22"/>
              </w:rPr>
              <w:t>G7 and G20, the OSPAR Convention, the World Trade Organisation and Organisation for Economic Co-operation and Development.</w:t>
            </w:r>
            <w:r w:rsidR="00AE15DE" w:rsidRPr="7D5AFBEE">
              <w:rPr>
                <w:i/>
                <w:iCs/>
                <w:color w:val="000000" w:themeColor="text1"/>
                <w:sz w:val="22"/>
                <w:szCs w:val="22"/>
              </w:rPr>
              <w:t xml:space="preserve"> </w:t>
            </w:r>
          </w:p>
          <w:p w14:paraId="65A9DA86" w14:textId="77777777" w:rsidR="00C54509" w:rsidRDefault="00C54509" w:rsidP="00C54509">
            <w:pPr>
              <w:pStyle w:val="Table"/>
              <w:spacing w:before="0"/>
              <w:rPr>
                <w:rFonts w:cstheme="minorHAnsi"/>
                <w:i/>
                <w:color w:val="000000" w:themeColor="text1"/>
                <w:sz w:val="22"/>
                <w:szCs w:val="22"/>
              </w:rPr>
            </w:pPr>
          </w:p>
          <w:p w14:paraId="14DE1AF5" w14:textId="4EEBADC2" w:rsidR="00DA3DD3" w:rsidRPr="00217F59" w:rsidRDefault="00AE15DE" w:rsidP="7D5AFBEE">
            <w:pPr>
              <w:pStyle w:val="Table"/>
              <w:spacing w:before="0"/>
              <w:rPr>
                <w:i/>
                <w:iCs/>
                <w:color w:val="000000" w:themeColor="text1"/>
                <w:sz w:val="22"/>
                <w:szCs w:val="22"/>
              </w:rPr>
            </w:pPr>
            <w:r w:rsidRPr="7D5AFBEE">
              <w:rPr>
                <w:i/>
                <w:iCs/>
                <w:color w:val="000000" w:themeColor="text1"/>
                <w:sz w:val="22"/>
                <w:szCs w:val="22"/>
              </w:rPr>
              <w:t>Providing financial support for the Tide Turners</w:t>
            </w:r>
            <w:r w:rsidR="44778040" w:rsidRPr="7D5AFBEE">
              <w:rPr>
                <w:i/>
                <w:iCs/>
                <w:color w:val="000000" w:themeColor="text1"/>
                <w:sz w:val="22"/>
                <w:szCs w:val="22"/>
              </w:rPr>
              <w:t xml:space="preserve"> programme</w:t>
            </w:r>
            <w:r w:rsidR="00AC51AC" w:rsidRPr="7D5AFBEE">
              <w:rPr>
                <w:i/>
                <w:iCs/>
                <w:color w:val="000000" w:themeColor="text1"/>
                <w:sz w:val="22"/>
                <w:szCs w:val="22"/>
              </w:rPr>
              <w:t xml:space="preserve"> will ensure that the UK</w:t>
            </w:r>
            <w:r w:rsidR="001C26A4" w:rsidRPr="7D5AFBEE">
              <w:rPr>
                <w:i/>
                <w:iCs/>
                <w:color w:val="000000" w:themeColor="text1"/>
                <w:sz w:val="22"/>
                <w:szCs w:val="22"/>
              </w:rPr>
              <w:t xml:space="preserve"> Government is</w:t>
            </w:r>
            <w:r w:rsidR="00236A1B" w:rsidRPr="7D5AFBEE">
              <w:rPr>
                <w:i/>
                <w:iCs/>
                <w:color w:val="000000" w:themeColor="text1"/>
                <w:sz w:val="22"/>
                <w:szCs w:val="22"/>
              </w:rPr>
              <w:t xml:space="preserve"> reinforcing this priority by</w:t>
            </w:r>
            <w:r w:rsidR="00AC51AC" w:rsidRPr="7D5AFBEE">
              <w:rPr>
                <w:i/>
                <w:iCs/>
                <w:color w:val="000000" w:themeColor="text1"/>
                <w:sz w:val="22"/>
                <w:szCs w:val="22"/>
              </w:rPr>
              <w:t xml:space="preserve"> </w:t>
            </w:r>
            <w:r w:rsidR="00276E7F" w:rsidRPr="7D5AFBEE">
              <w:rPr>
                <w:i/>
                <w:iCs/>
                <w:color w:val="000000" w:themeColor="text1"/>
                <w:sz w:val="22"/>
                <w:szCs w:val="22"/>
              </w:rPr>
              <w:t xml:space="preserve">helping to </w:t>
            </w:r>
            <w:r w:rsidR="001C0AAE" w:rsidRPr="7D5AFBEE">
              <w:rPr>
                <w:i/>
                <w:iCs/>
                <w:color w:val="000000" w:themeColor="text1"/>
                <w:sz w:val="22"/>
                <w:szCs w:val="22"/>
              </w:rPr>
              <w:t xml:space="preserve">promote awareness </w:t>
            </w:r>
            <w:r w:rsidR="4A930B06" w:rsidRPr="7D5AFBEE">
              <w:rPr>
                <w:i/>
                <w:iCs/>
                <w:color w:val="000000" w:themeColor="text1"/>
                <w:sz w:val="22"/>
                <w:szCs w:val="22"/>
              </w:rPr>
              <w:t>among</w:t>
            </w:r>
            <w:r w:rsidR="001C7C41" w:rsidRPr="7D5AFBEE">
              <w:rPr>
                <w:i/>
                <w:iCs/>
                <w:color w:val="000000" w:themeColor="text1"/>
                <w:sz w:val="22"/>
                <w:szCs w:val="22"/>
              </w:rPr>
              <w:t xml:space="preserve"> disenfranchised </w:t>
            </w:r>
            <w:r w:rsidR="0081422C" w:rsidRPr="7D5AFBEE">
              <w:rPr>
                <w:i/>
                <w:iCs/>
                <w:color w:val="000000" w:themeColor="text1"/>
                <w:sz w:val="22"/>
                <w:szCs w:val="22"/>
              </w:rPr>
              <w:t>you</w:t>
            </w:r>
            <w:r w:rsidR="007A0134" w:rsidRPr="7D5AFBEE">
              <w:rPr>
                <w:i/>
                <w:iCs/>
                <w:color w:val="000000" w:themeColor="text1"/>
                <w:sz w:val="22"/>
                <w:szCs w:val="22"/>
              </w:rPr>
              <w:t xml:space="preserve">ng people </w:t>
            </w:r>
            <w:r w:rsidR="00AB7130" w:rsidRPr="7D5AFBEE">
              <w:rPr>
                <w:i/>
                <w:iCs/>
                <w:color w:val="000000" w:themeColor="text1"/>
                <w:sz w:val="22"/>
                <w:szCs w:val="22"/>
              </w:rPr>
              <w:t>with</w:t>
            </w:r>
            <w:r w:rsidR="007A0134" w:rsidRPr="7D5AFBEE">
              <w:rPr>
                <w:i/>
                <w:iCs/>
                <w:color w:val="000000" w:themeColor="text1"/>
                <w:sz w:val="22"/>
                <w:szCs w:val="22"/>
              </w:rPr>
              <w:t>in</w:t>
            </w:r>
            <w:r w:rsidR="0081422C" w:rsidRPr="7D5AFBEE">
              <w:rPr>
                <w:i/>
                <w:iCs/>
                <w:color w:val="000000" w:themeColor="text1"/>
                <w:sz w:val="22"/>
                <w:szCs w:val="22"/>
              </w:rPr>
              <w:t xml:space="preserve"> </w:t>
            </w:r>
            <w:r w:rsidR="001C7C41" w:rsidRPr="7D5AFBEE">
              <w:rPr>
                <w:i/>
                <w:iCs/>
                <w:color w:val="000000" w:themeColor="text1"/>
                <w:sz w:val="22"/>
                <w:szCs w:val="22"/>
              </w:rPr>
              <w:t>commun</w:t>
            </w:r>
            <w:r w:rsidR="009376A1" w:rsidRPr="7D5AFBEE">
              <w:rPr>
                <w:i/>
                <w:iCs/>
                <w:color w:val="000000" w:themeColor="text1"/>
                <w:sz w:val="22"/>
                <w:szCs w:val="22"/>
              </w:rPr>
              <w:t>i</w:t>
            </w:r>
            <w:r w:rsidR="001C7C41" w:rsidRPr="7D5AFBEE">
              <w:rPr>
                <w:i/>
                <w:iCs/>
                <w:color w:val="000000" w:themeColor="text1"/>
                <w:sz w:val="22"/>
                <w:szCs w:val="22"/>
              </w:rPr>
              <w:t>ties</w:t>
            </w:r>
            <w:r w:rsidR="007A0134" w:rsidRPr="7D5AFBEE">
              <w:rPr>
                <w:i/>
                <w:iCs/>
                <w:color w:val="000000" w:themeColor="text1"/>
                <w:sz w:val="22"/>
                <w:szCs w:val="22"/>
              </w:rPr>
              <w:t xml:space="preserve"> </w:t>
            </w:r>
            <w:r w:rsidR="00B95C35" w:rsidRPr="7D5AFBEE">
              <w:rPr>
                <w:i/>
                <w:iCs/>
                <w:color w:val="000000" w:themeColor="text1"/>
                <w:sz w:val="22"/>
                <w:szCs w:val="22"/>
              </w:rPr>
              <w:t>at the frontline of plastic pollutio</w:t>
            </w:r>
            <w:r w:rsidR="00161618">
              <w:rPr>
                <w:i/>
                <w:iCs/>
                <w:color w:val="000000" w:themeColor="text1"/>
                <w:sz w:val="22"/>
                <w:szCs w:val="22"/>
              </w:rPr>
              <w:t>n.</w:t>
            </w:r>
            <w:r w:rsidR="00607744" w:rsidRPr="7D5AFBEE">
              <w:rPr>
                <w:i/>
                <w:iCs/>
                <w:color w:val="000000" w:themeColor="text1"/>
                <w:sz w:val="22"/>
                <w:szCs w:val="22"/>
              </w:rPr>
              <w:t xml:space="preserve"> Th</w:t>
            </w:r>
            <w:r w:rsidR="005D4D04" w:rsidRPr="7D5AFBEE">
              <w:rPr>
                <w:i/>
                <w:iCs/>
                <w:color w:val="000000" w:themeColor="text1"/>
                <w:sz w:val="22"/>
                <w:szCs w:val="22"/>
              </w:rPr>
              <w:t xml:space="preserve">e </w:t>
            </w:r>
            <w:r w:rsidR="00607744" w:rsidRPr="7D5AFBEE">
              <w:rPr>
                <w:i/>
                <w:iCs/>
                <w:color w:val="000000" w:themeColor="text1"/>
                <w:sz w:val="22"/>
                <w:szCs w:val="22"/>
              </w:rPr>
              <w:t>support</w:t>
            </w:r>
            <w:r w:rsidR="00BD0236" w:rsidRPr="7D5AFBEE">
              <w:rPr>
                <w:i/>
                <w:iCs/>
                <w:color w:val="000000" w:themeColor="text1"/>
                <w:sz w:val="22"/>
                <w:szCs w:val="22"/>
              </w:rPr>
              <w:t xml:space="preserve"> </w:t>
            </w:r>
            <w:r w:rsidR="00EB1154" w:rsidRPr="7D5AFBEE">
              <w:rPr>
                <w:i/>
                <w:iCs/>
                <w:color w:val="000000" w:themeColor="text1"/>
                <w:sz w:val="22"/>
                <w:szCs w:val="22"/>
              </w:rPr>
              <w:t>for the INC meetings</w:t>
            </w:r>
            <w:r w:rsidR="00BD0236" w:rsidRPr="7D5AFBEE">
              <w:rPr>
                <w:i/>
                <w:iCs/>
                <w:color w:val="000000" w:themeColor="text1"/>
                <w:sz w:val="22"/>
                <w:szCs w:val="22"/>
              </w:rPr>
              <w:t xml:space="preserve"> </w:t>
            </w:r>
            <w:r w:rsidR="00607744" w:rsidRPr="7D5AFBEE">
              <w:rPr>
                <w:i/>
                <w:iCs/>
                <w:color w:val="000000" w:themeColor="text1"/>
                <w:sz w:val="22"/>
                <w:szCs w:val="22"/>
              </w:rPr>
              <w:t xml:space="preserve">will </w:t>
            </w:r>
            <w:r w:rsidR="005D4D04" w:rsidRPr="7D5AFBEE">
              <w:rPr>
                <w:i/>
                <w:iCs/>
                <w:color w:val="000000" w:themeColor="text1"/>
                <w:sz w:val="22"/>
                <w:szCs w:val="22"/>
              </w:rPr>
              <w:t xml:space="preserve">help to </w:t>
            </w:r>
            <w:r w:rsidR="00607744" w:rsidRPr="7D5AFBEE">
              <w:rPr>
                <w:i/>
                <w:iCs/>
                <w:color w:val="000000" w:themeColor="text1"/>
                <w:sz w:val="22"/>
                <w:szCs w:val="22"/>
              </w:rPr>
              <w:t xml:space="preserve">ensure </w:t>
            </w:r>
            <w:r w:rsidR="00541678" w:rsidRPr="7D5AFBEE">
              <w:rPr>
                <w:i/>
                <w:iCs/>
                <w:color w:val="000000" w:themeColor="text1"/>
                <w:sz w:val="22"/>
                <w:szCs w:val="22"/>
              </w:rPr>
              <w:t xml:space="preserve">all </w:t>
            </w:r>
            <w:r w:rsidR="00AE3854" w:rsidRPr="7D5AFBEE">
              <w:rPr>
                <w:i/>
                <w:iCs/>
                <w:color w:val="000000" w:themeColor="text1"/>
                <w:sz w:val="22"/>
                <w:szCs w:val="22"/>
              </w:rPr>
              <w:t xml:space="preserve">countries </w:t>
            </w:r>
            <w:r w:rsidR="00161618">
              <w:rPr>
                <w:i/>
                <w:iCs/>
                <w:color w:val="000000" w:themeColor="text1"/>
                <w:sz w:val="22"/>
                <w:szCs w:val="22"/>
              </w:rPr>
              <w:t>can participate meaningfully in the discussions at</w:t>
            </w:r>
            <w:r w:rsidR="00AE3854" w:rsidRPr="7D5AFBEE">
              <w:rPr>
                <w:i/>
                <w:iCs/>
                <w:color w:val="000000" w:themeColor="text1"/>
                <w:sz w:val="22"/>
                <w:szCs w:val="22"/>
              </w:rPr>
              <w:t xml:space="preserve"> a pivotal moment </w:t>
            </w:r>
            <w:r w:rsidR="00161618">
              <w:rPr>
                <w:i/>
                <w:iCs/>
                <w:color w:val="000000" w:themeColor="text1"/>
                <w:sz w:val="22"/>
                <w:szCs w:val="22"/>
              </w:rPr>
              <w:t>for</w:t>
            </w:r>
            <w:r w:rsidR="00161618" w:rsidRPr="7D5AFBEE">
              <w:rPr>
                <w:i/>
                <w:iCs/>
                <w:color w:val="000000" w:themeColor="text1"/>
                <w:sz w:val="22"/>
                <w:szCs w:val="22"/>
              </w:rPr>
              <w:t xml:space="preserve"> </w:t>
            </w:r>
            <w:r w:rsidR="00F50A6E" w:rsidRPr="7D5AFBEE">
              <w:rPr>
                <w:i/>
                <w:iCs/>
                <w:color w:val="000000" w:themeColor="text1"/>
                <w:sz w:val="22"/>
                <w:szCs w:val="22"/>
              </w:rPr>
              <w:t xml:space="preserve">the international community </w:t>
            </w:r>
            <w:r w:rsidR="00161618">
              <w:rPr>
                <w:i/>
                <w:iCs/>
                <w:color w:val="000000" w:themeColor="text1"/>
                <w:sz w:val="22"/>
                <w:szCs w:val="22"/>
              </w:rPr>
              <w:t xml:space="preserve">as it </w:t>
            </w:r>
            <w:r w:rsidR="00EB1154" w:rsidRPr="7D5AFBEE">
              <w:rPr>
                <w:i/>
                <w:iCs/>
                <w:color w:val="000000" w:themeColor="text1"/>
                <w:sz w:val="22"/>
                <w:szCs w:val="22"/>
              </w:rPr>
              <w:t>works</w:t>
            </w:r>
            <w:r w:rsidR="00F50A6E" w:rsidRPr="7D5AFBEE">
              <w:rPr>
                <w:i/>
                <w:iCs/>
                <w:color w:val="000000" w:themeColor="text1"/>
                <w:sz w:val="22"/>
                <w:szCs w:val="22"/>
              </w:rPr>
              <w:t xml:space="preserve"> to</w:t>
            </w:r>
            <w:r w:rsidR="005D4D04" w:rsidRPr="7D5AFBEE">
              <w:rPr>
                <w:i/>
                <w:iCs/>
                <w:color w:val="000000" w:themeColor="text1"/>
                <w:sz w:val="22"/>
                <w:szCs w:val="22"/>
              </w:rPr>
              <w:t xml:space="preserve"> shape </w:t>
            </w:r>
            <w:r w:rsidR="50FDA381" w:rsidRPr="7D5AFBEE">
              <w:rPr>
                <w:i/>
                <w:iCs/>
                <w:color w:val="000000" w:themeColor="text1"/>
                <w:sz w:val="22"/>
                <w:szCs w:val="22"/>
              </w:rPr>
              <w:t>a new treaty</w:t>
            </w:r>
            <w:r w:rsidR="005D4D04" w:rsidRPr="7D5AFBEE">
              <w:rPr>
                <w:i/>
                <w:iCs/>
                <w:color w:val="000000" w:themeColor="text1"/>
                <w:sz w:val="22"/>
                <w:szCs w:val="22"/>
              </w:rPr>
              <w:t xml:space="preserve"> </w:t>
            </w:r>
            <w:r w:rsidR="00161618">
              <w:rPr>
                <w:i/>
                <w:iCs/>
                <w:color w:val="000000" w:themeColor="text1"/>
                <w:sz w:val="22"/>
                <w:szCs w:val="22"/>
              </w:rPr>
              <w:t xml:space="preserve">on </w:t>
            </w:r>
            <w:r w:rsidR="005D4D04" w:rsidRPr="7D5AFBEE">
              <w:rPr>
                <w:i/>
                <w:iCs/>
                <w:color w:val="000000" w:themeColor="text1"/>
                <w:sz w:val="22"/>
                <w:szCs w:val="22"/>
              </w:rPr>
              <w:t>plastic pollution.</w:t>
            </w:r>
            <w:r w:rsidR="23C9F2D9" w:rsidRPr="7D5AFBEE">
              <w:rPr>
                <w:i/>
                <w:iCs/>
                <w:color w:val="000000" w:themeColor="text1"/>
                <w:sz w:val="22"/>
                <w:szCs w:val="22"/>
              </w:rPr>
              <w:t xml:space="preserve"> </w:t>
            </w:r>
            <w:r w:rsidR="5FEE9AAA" w:rsidRPr="7D5AFBEE">
              <w:rPr>
                <w:i/>
                <w:iCs/>
                <w:color w:val="000000" w:themeColor="text1"/>
                <w:sz w:val="22"/>
                <w:szCs w:val="22"/>
              </w:rPr>
              <w:t xml:space="preserve">Together, these </w:t>
            </w:r>
            <w:r w:rsidR="23C9F2D9" w:rsidRPr="7D5AFBEE">
              <w:rPr>
                <w:i/>
                <w:iCs/>
                <w:color w:val="000000" w:themeColor="text1"/>
                <w:sz w:val="22"/>
                <w:szCs w:val="22"/>
              </w:rPr>
              <w:t>will help to alleviate poverty by making host communities</w:t>
            </w:r>
            <w:r w:rsidR="63B93C39" w:rsidRPr="7D5AFBEE">
              <w:rPr>
                <w:i/>
                <w:iCs/>
                <w:color w:val="000000" w:themeColor="text1"/>
                <w:sz w:val="22"/>
                <w:szCs w:val="22"/>
              </w:rPr>
              <w:t xml:space="preserve"> and countries</w:t>
            </w:r>
            <w:r w:rsidR="23C9F2D9" w:rsidRPr="7D5AFBEE">
              <w:rPr>
                <w:i/>
                <w:iCs/>
                <w:color w:val="000000" w:themeColor="text1"/>
                <w:sz w:val="22"/>
                <w:szCs w:val="22"/>
              </w:rPr>
              <w:t xml:space="preserve"> more desirable for tourism</w:t>
            </w:r>
            <w:r w:rsidR="00161618">
              <w:rPr>
                <w:i/>
                <w:iCs/>
                <w:color w:val="000000" w:themeColor="text1"/>
                <w:sz w:val="22"/>
                <w:szCs w:val="22"/>
              </w:rPr>
              <w:t xml:space="preserve">, </w:t>
            </w:r>
            <w:r w:rsidR="47E0D780" w:rsidRPr="7D5AFBEE">
              <w:rPr>
                <w:i/>
                <w:iCs/>
                <w:color w:val="000000" w:themeColor="text1"/>
                <w:sz w:val="22"/>
                <w:szCs w:val="22"/>
              </w:rPr>
              <w:t>catal</w:t>
            </w:r>
            <w:r w:rsidR="00B6676D">
              <w:rPr>
                <w:i/>
                <w:iCs/>
                <w:color w:val="000000" w:themeColor="text1"/>
                <w:sz w:val="22"/>
                <w:szCs w:val="22"/>
              </w:rPr>
              <w:t>y</w:t>
            </w:r>
            <w:r w:rsidR="47E0D780" w:rsidRPr="7D5AFBEE">
              <w:rPr>
                <w:i/>
                <w:iCs/>
                <w:color w:val="000000" w:themeColor="text1"/>
                <w:sz w:val="22"/>
                <w:szCs w:val="22"/>
              </w:rPr>
              <w:t>sing investment in waste management and other solutions across the lifecycle of plastic</w:t>
            </w:r>
            <w:r w:rsidR="23C9F2D9" w:rsidRPr="7D5AFBEE">
              <w:rPr>
                <w:i/>
                <w:iCs/>
                <w:color w:val="000000" w:themeColor="text1"/>
                <w:sz w:val="22"/>
                <w:szCs w:val="22"/>
              </w:rPr>
              <w:t>, helping to reverse biodiversity loss and reduced fish stocks that have been affected by generations of harmful plastic pollution and promoting inclusive environmental education for the next generation of changemakers.</w:t>
            </w:r>
          </w:p>
        </w:tc>
      </w:tr>
      <w:tr w:rsidR="00FF072D" w14:paraId="7B32BD7A" w14:textId="77777777" w:rsidTr="001D3DC2">
        <w:tc>
          <w:tcPr>
            <w:tcW w:w="1124" w:type="dxa"/>
          </w:tcPr>
          <w:p w14:paraId="593C5C96" w14:textId="74411DA9" w:rsidR="00FF072D" w:rsidRPr="00217F59" w:rsidRDefault="00A601EB" w:rsidP="0016170B">
            <w:pPr>
              <w:pStyle w:val="Table"/>
              <w:jc w:val="left"/>
              <w:rPr>
                <w:rFonts w:cstheme="minorHAnsi"/>
                <w:b/>
                <w:sz w:val="22"/>
                <w:szCs w:val="22"/>
              </w:rPr>
            </w:pPr>
            <w:r>
              <w:rPr>
                <w:rFonts w:cstheme="minorHAnsi"/>
                <w:b/>
                <w:sz w:val="22"/>
                <w:szCs w:val="22"/>
              </w:rPr>
              <w:t>Geography</w:t>
            </w:r>
          </w:p>
        </w:tc>
        <w:tc>
          <w:tcPr>
            <w:tcW w:w="7882" w:type="dxa"/>
          </w:tcPr>
          <w:p w14:paraId="7BB8CA38" w14:textId="6C1D72B0" w:rsidR="00FF072D" w:rsidRPr="00707B21" w:rsidRDefault="00EB1154" w:rsidP="00C54509">
            <w:pPr>
              <w:pStyle w:val="Table"/>
              <w:rPr>
                <w:rFonts w:cstheme="minorHAnsi"/>
                <w:i/>
                <w:color w:val="000000" w:themeColor="text1"/>
                <w:sz w:val="22"/>
                <w:szCs w:val="22"/>
              </w:rPr>
            </w:pPr>
            <w:r>
              <w:rPr>
                <w:rFonts w:cstheme="minorHAnsi"/>
                <w:i/>
                <w:color w:val="000000" w:themeColor="text1"/>
                <w:sz w:val="22"/>
                <w:szCs w:val="22"/>
              </w:rPr>
              <w:t>Global</w:t>
            </w:r>
          </w:p>
        </w:tc>
      </w:tr>
      <w:tr w:rsidR="00FF072D" w14:paraId="6C2A4773" w14:textId="77777777" w:rsidTr="001D3DC2">
        <w:tc>
          <w:tcPr>
            <w:tcW w:w="1124" w:type="dxa"/>
          </w:tcPr>
          <w:p w14:paraId="649BEA54" w14:textId="575FB090" w:rsidR="00FF072D" w:rsidRPr="00217F59" w:rsidRDefault="00A601EB" w:rsidP="0016170B">
            <w:pPr>
              <w:pStyle w:val="Table"/>
              <w:jc w:val="left"/>
              <w:rPr>
                <w:rFonts w:cstheme="minorHAnsi"/>
                <w:b/>
                <w:sz w:val="22"/>
                <w:szCs w:val="22"/>
              </w:rPr>
            </w:pPr>
            <w:r>
              <w:rPr>
                <w:rFonts w:cstheme="minorHAnsi"/>
                <w:b/>
                <w:sz w:val="22"/>
                <w:szCs w:val="22"/>
              </w:rPr>
              <w:t>Programme value</w:t>
            </w:r>
          </w:p>
        </w:tc>
        <w:tc>
          <w:tcPr>
            <w:tcW w:w="7882" w:type="dxa"/>
          </w:tcPr>
          <w:p w14:paraId="4C797FD7" w14:textId="6BA90502" w:rsidR="00FF072D" w:rsidRPr="00BD39C8" w:rsidRDefault="00CD3151" w:rsidP="00C54509">
            <w:pPr>
              <w:pStyle w:val="Table"/>
              <w:rPr>
                <w:rFonts w:cstheme="minorHAnsi"/>
                <w:i/>
                <w:color w:val="000000" w:themeColor="text1"/>
                <w:sz w:val="22"/>
                <w:szCs w:val="22"/>
              </w:rPr>
            </w:pPr>
            <w:r>
              <w:rPr>
                <w:rFonts w:cstheme="minorHAnsi"/>
                <w:i/>
                <w:color w:val="000000" w:themeColor="text1"/>
                <w:sz w:val="22"/>
                <w:szCs w:val="22"/>
              </w:rPr>
              <w:t>£4.9</w:t>
            </w:r>
            <w:r w:rsidR="00EB1154">
              <w:rPr>
                <w:rFonts w:cstheme="minorHAnsi"/>
                <w:i/>
                <w:color w:val="000000" w:themeColor="text1"/>
                <w:sz w:val="22"/>
                <w:szCs w:val="22"/>
              </w:rPr>
              <w:t>m [Includes past Tide Turners commitments of £1.3m]</w:t>
            </w:r>
          </w:p>
        </w:tc>
      </w:tr>
      <w:tr w:rsidR="00FF072D" w14:paraId="16779649" w14:textId="77777777" w:rsidTr="001D3DC2">
        <w:tc>
          <w:tcPr>
            <w:tcW w:w="1124" w:type="dxa"/>
          </w:tcPr>
          <w:p w14:paraId="2D03F9A5" w14:textId="7A0CA5B5" w:rsidR="00FF072D" w:rsidRPr="00217F59" w:rsidRDefault="00A601EB" w:rsidP="0016170B">
            <w:pPr>
              <w:pStyle w:val="Table"/>
              <w:jc w:val="left"/>
              <w:rPr>
                <w:rFonts w:cstheme="minorHAnsi"/>
                <w:b/>
                <w:sz w:val="22"/>
                <w:szCs w:val="22"/>
              </w:rPr>
            </w:pPr>
            <w:r>
              <w:rPr>
                <w:rFonts w:cstheme="minorHAnsi"/>
                <w:b/>
                <w:sz w:val="22"/>
                <w:szCs w:val="22"/>
              </w:rPr>
              <w:t>Start date</w:t>
            </w:r>
          </w:p>
        </w:tc>
        <w:tc>
          <w:tcPr>
            <w:tcW w:w="7882" w:type="dxa"/>
          </w:tcPr>
          <w:p w14:paraId="0C8CF3F4" w14:textId="20A7FA04" w:rsidR="00FF072D" w:rsidRPr="00217F59" w:rsidRDefault="00B6676D" w:rsidP="00C54509">
            <w:pPr>
              <w:pStyle w:val="Table"/>
              <w:rPr>
                <w:rFonts w:cstheme="minorHAnsi"/>
                <w:i/>
                <w:color w:val="000000" w:themeColor="text1"/>
                <w:sz w:val="22"/>
                <w:szCs w:val="22"/>
              </w:rPr>
            </w:pPr>
            <w:r>
              <w:rPr>
                <w:rFonts w:cstheme="minorHAnsi"/>
                <w:i/>
                <w:color w:val="000000" w:themeColor="text1"/>
                <w:sz w:val="22"/>
                <w:szCs w:val="22"/>
              </w:rPr>
              <w:t>January 2023</w:t>
            </w:r>
          </w:p>
        </w:tc>
      </w:tr>
      <w:tr w:rsidR="00FF072D" w14:paraId="28571166" w14:textId="77777777" w:rsidTr="001D3DC2">
        <w:tc>
          <w:tcPr>
            <w:tcW w:w="1124" w:type="dxa"/>
          </w:tcPr>
          <w:p w14:paraId="04CD1C4E" w14:textId="1DB7A50D" w:rsidR="00FF072D" w:rsidRPr="00217F59" w:rsidRDefault="00A601EB" w:rsidP="0016170B">
            <w:pPr>
              <w:pStyle w:val="Table"/>
              <w:jc w:val="left"/>
              <w:rPr>
                <w:rFonts w:cstheme="minorHAnsi"/>
                <w:b/>
                <w:sz w:val="22"/>
                <w:szCs w:val="22"/>
              </w:rPr>
            </w:pPr>
            <w:r>
              <w:rPr>
                <w:rFonts w:cstheme="minorHAnsi"/>
                <w:b/>
                <w:sz w:val="22"/>
                <w:szCs w:val="22"/>
              </w:rPr>
              <w:t>End date</w:t>
            </w:r>
          </w:p>
        </w:tc>
        <w:tc>
          <w:tcPr>
            <w:tcW w:w="7882" w:type="dxa"/>
          </w:tcPr>
          <w:p w14:paraId="4BC38F23" w14:textId="640CB7DA" w:rsidR="00FF072D" w:rsidRPr="00217F59" w:rsidRDefault="00647354" w:rsidP="00C54509">
            <w:pPr>
              <w:pStyle w:val="Table"/>
              <w:rPr>
                <w:rFonts w:cstheme="minorHAnsi"/>
                <w:i/>
                <w:color w:val="000000" w:themeColor="text1"/>
                <w:sz w:val="22"/>
                <w:szCs w:val="22"/>
              </w:rPr>
            </w:pPr>
            <w:r w:rsidRPr="00217F59">
              <w:rPr>
                <w:rFonts w:cstheme="minorHAnsi"/>
                <w:i/>
                <w:color w:val="000000" w:themeColor="text1"/>
                <w:sz w:val="22"/>
                <w:szCs w:val="22"/>
              </w:rPr>
              <w:t>March 2025</w:t>
            </w:r>
          </w:p>
        </w:tc>
      </w:tr>
      <w:tr w:rsidR="00FF072D" w14:paraId="5031D530" w14:textId="77777777" w:rsidTr="001D3DC2">
        <w:tc>
          <w:tcPr>
            <w:tcW w:w="1124" w:type="dxa"/>
          </w:tcPr>
          <w:p w14:paraId="2F434E2C" w14:textId="6AE4FCBA" w:rsidR="00FF072D" w:rsidRPr="00217F59" w:rsidRDefault="00A601EB" w:rsidP="0016170B">
            <w:pPr>
              <w:pStyle w:val="Table"/>
              <w:jc w:val="left"/>
              <w:rPr>
                <w:rFonts w:cstheme="minorHAnsi"/>
                <w:b/>
                <w:sz w:val="22"/>
                <w:szCs w:val="22"/>
              </w:rPr>
            </w:pPr>
            <w:r>
              <w:rPr>
                <w:rFonts w:cstheme="minorHAnsi"/>
                <w:b/>
                <w:sz w:val="22"/>
                <w:szCs w:val="22"/>
              </w:rPr>
              <w:t>Risk rating</w:t>
            </w:r>
          </w:p>
        </w:tc>
        <w:tc>
          <w:tcPr>
            <w:tcW w:w="7882" w:type="dxa"/>
            <w:shd w:val="clear" w:color="auto" w:fill="auto"/>
          </w:tcPr>
          <w:p w14:paraId="441AB8D6" w14:textId="723663FA" w:rsidR="00FF072D" w:rsidRPr="00B96D6C" w:rsidRDefault="00780DB0" w:rsidP="00C54509">
            <w:pPr>
              <w:pStyle w:val="Table"/>
              <w:tabs>
                <w:tab w:val="left" w:pos="3921"/>
              </w:tabs>
              <w:rPr>
                <w:rFonts w:cstheme="minorHAnsi"/>
                <w:i/>
                <w:color w:val="000000" w:themeColor="text1"/>
                <w:sz w:val="22"/>
                <w:szCs w:val="22"/>
              </w:rPr>
            </w:pPr>
            <w:r>
              <w:rPr>
                <w:rFonts w:cstheme="minorHAnsi"/>
                <w:i/>
                <w:color w:val="000000" w:themeColor="text1"/>
                <w:sz w:val="22"/>
                <w:szCs w:val="22"/>
              </w:rPr>
              <w:t>RPA: Low</w:t>
            </w:r>
          </w:p>
        </w:tc>
      </w:tr>
      <w:tr w:rsidR="00510769" w14:paraId="4C12EEFB" w14:textId="77777777" w:rsidTr="001D3DC2">
        <w:tc>
          <w:tcPr>
            <w:tcW w:w="1124" w:type="dxa"/>
          </w:tcPr>
          <w:p w14:paraId="671C91BC" w14:textId="47ED5CAD" w:rsidR="00510769" w:rsidRPr="00217F59" w:rsidRDefault="00510769" w:rsidP="0016170B">
            <w:pPr>
              <w:pStyle w:val="Table"/>
              <w:jc w:val="left"/>
              <w:rPr>
                <w:rFonts w:cstheme="minorHAnsi"/>
                <w:b/>
                <w:sz w:val="22"/>
                <w:szCs w:val="22"/>
              </w:rPr>
            </w:pPr>
            <w:r w:rsidRPr="00BD39C8">
              <w:rPr>
                <w:rFonts w:cstheme="minorHAnsi"/>
                <w:b/>
                <w:sz w:val="22"/>
                <w:szCs w:val="22"/>
              </w:rPr>
              <w:t>Confirmation of review processes</w:t>
            </w:r>
          </w:p>
        </w:tc>
        <w:tc>
          <w:tcPr>
            <w:tcW w:w="7882" w:type="dxa"/>
          </w:tcPr>
          <w:p w14:paraId="4E0FB801" w14:textId="7896F5E7" w:rsidR="00510769" w:rsidRPr="00B96D6C" w:rsidRDefault="00122522" w:rsidP="00C54509">
            <w:pPr>
              <w:pStyle w:val="Table"/>
              <w:rPr>
                <w:rFonts w:cstheme="minorHAnsi"/>
                <w:i/>
                <w:color w:val="000000" w:themeColor="text1"/>
                <w:sz w:val="22"/>
                <w:szCs w:val="22"/>
              </w:rPr>
            </w:pPr>
            <w:r w:rsidRPr="00B96D6C">
              <w:rPr>
                <w:rFonts w:cstheme="minorHAnsi"/>
                <w:i/>
                <w:color w:val="000000" w:themeColor="text1"/>
                <w:sz w:val="22"/>
                <w:szCs w:val="22"/>
              </w:rPr>
              <w:t>TBC</w:t>
            </w:r>
          </w:p>
        </w:tc>
      </w:tr>
      <w:tr w:rsidR="00510769" w14:paraId="7961F366" w14:textId="77777777" w:rsidTr="001D3DC2">
        <w:tc>
          <w:tcPr>
            <w:tcW w:w="1124" w:type="dxa"/>
          </w:tcPr>
          <w:p w14:paraId="4B10574D" w14:textId="253DFFA2" w:rsidR="00510769" w:rsidRPr="00217F59" w:rsidRDefault="00510769" w:rsidP="0016170B">
            <w:pPr>
              <w:pStyle w:val="Table"/>
              <w:jc w:val="left"/>
              <w:rPr>
                <w:rFonts w:cstheme="minorHAnsi"/>
                <w:b/>
                <w:sz w:val="22"/>
                <w:szCs w:val="22"/>
              </w:rPr>
            </w:pPr>
            <w:r w:rsidRPr="00BD39C8">
              <w:rPr>
                <w:rFonts w:cstheme="minorHAnsi"/>
                <w:b/>
                <w:sz w:val="22"/>
                <w:szCs w:val="22"/>
              </w:rPr>
              <w:lastRenderedPageBreak/>
              <w:t>Contact name</w:t>
            </w:r>
          </w:p>
        </w:tc>
        <w:tc>
          <w:tcPr>
            <w:tcW w:w="7882" w:type="dxa"/>
          </w:tcPr>
          <w:p w14:paraId="4CF1F572" w14:textId="38153112" w:rsidR="00510769" w:rsidRPr="00217F59" w:rsidRDefault="00510769" w:rsidP="00C54509">
            <w:pPr>
              <w:pStyle w:val="Table"/>
              <w:rPr>
                <w:rFonts w:cstheme="minorHAnsi"/>
                <w:i/>
                <w:color w:val="000000" w:themeColor="text1"/>
                <w:sz w:val="22"/>
                <w:szCs w:val="22"/>
              </w:rPr>
            </w:pPr>
          </w:p>
        </w:tc>
      </w:tr>
      <w:tr w:rsidR="00510769" w14:paraId="6A4BCD10" w14:textId="77777777" w:rsidTr="001D3DC2">
        <w:tc>
          <w:tcPr>
            <w:tcW w:w="1124" w:type="dxa"/>
          </w:tcPr>
          <w:p w14:paraId="4EBDD5BA" w14:textId="66BE98CB" w:rsidR="00510769" w:rsidRPr="00217F59" w:rsidRDefault="00510769" w:rsidP="0016170B">
            <w:pPr>
              <w:pStyle w:val="Table"/>
              <w:spacing w:after="240"/>
              <w:jc w:val="left"/>
              <w:rPr>
                <w:rFonts w:cstheme="minorHAnsi"/>
                <w:b/>
                <w:sz w:val="22"/>
                <w:szCs w:val="22"/>
              </w:rPr>
            </w:pPr>
            <w:r w:rsidRPr="00BD39C8">
              <w:rPr>
                <w:rFonts w:cstheme="minorHAnsi"/>
                <w:b/>
                <w:sz w:val="22"/>
                <w:szCs w:val="22"/>
              </w:rPr>
              <w:t>Threshold for final approval</w:t>
            </w:r>
            <w:r w:rsidR="00A601EB">
              <w:rPr>
                <w:rFonts w:cstheme="minorHAnsi"/>
                <w:b/>
                <w:sz w:val="22"/>
                <w:szCs w:val="22"/>
              </w:rPr>
              <w:t>:</w:t>
            </w:r>
          </w:p>
        </w:tc>
        <w:tc>
          <w:tcPr>
            <w:tcW w:w="7882" w:type="dxa"/>
          </w:tcPr>
          <w:p w14:paraId="63BD2546" w14:textId="3A690E97" w:rsidR="00510769" w:rsidRPr="00217F59" w:rsidRDefault="00647354" w:rsidP="00613ABF">
            <w:pPr>
              <w:pStyle w:val="Table"/>
              <w:spacing w:after="240"/>
              <w:rPr>
                <w:rFonts w:cstheme="minorHAnsi"/>
                <w:i/>
                <w:color w:val="000000" w:themeColor="text1"/>
                <w:sz w:val="22"/>
                <w:szCs w:val="22"/>
              </w:rPr>
            </w:pPr>
            <w:r w:rsidRPr="00217F59">
              <w:rPr>
                <w:rFonts w:cstheme="minorHAnsi"/>
                <w:i/>
                <w:color w:val="000000" w:themeColor="text1"/>
                <w:sz w:val="22"/>
                <w:szCs w:val="22"/>
              </w:rPr>
              <w:t>Deputy Director</w:t>
            </w:r>
            <w:r w:rsidR="00BB0194">
              <w:rPr>
                <w:rFonts w:cstheme="minorHAnsi"/>
                <w:i/>
                <w:color w:val="000000" w:themeColor="text1"/>
                <w:sz w:val="22"/>
                <w:szCs w:val="22"/>
              </w:rPr>
              <w:t xml:space="preserve"> and SRO</w:t>
            </w:r>
            <w:r w:rsidRPr="00217F59">
              <w:rPr>
                <w:rFonts w:cstheme="minorHAnsi"/>
                <w:i/>
                <w:color w:val="000000" w:themeColor="text1"/>
                <w:sz w:val="22"/>
                <w:szCs w:val="22"/>
              </w:rPr>
              <w:t>, with a court</w:t>
            </w:r>
            <w:r w:rsidR="00E01366">
              <w:rPr>
                <w:rFonts w:cstheme="minorHAnsi"/>
                <w:i/>
                <w:color w:val="000000" w:themeColor="text1"/>
                <w:sz w:val="22"/>
                <w:szCs w:val="22"/>
              </w:rPr>
              <w:t>e</w:t>
            </w:r>
            <w:r w:rsidRPr="00217F59">
              <w:rPr>
                <w:rFonts w:cstheme="minorHAnsi"/>
                <w:i/>
                <w:color w:val="000000" w:themeColor="text1"/>
                <w:sz w:val="22"/>
                <w:szCs w:val="22"/>
              </w:rPr>
              <w:t>sy note to the ODA Board</w:t>
            </w:r>
          </w:p>
        </w:tc>
      </w:tr>
    </w:tbl>
    <w:bookmarkEnd w:id="0" w:displacedByCustomXml="next"/>
    <w:sdt>
      <w:sdtPr>
        <w:rPr>
          <w:rFonts w:eastAsiaTheme="minorEastAsia"/>
          <w:b w:val="0"/>
          <w:bCs w:val="0"/>
          <w:color w:val="auto"/>
          <w:sz w:val="22"/>
          <w:szCs w:val="22"/>
          <w:lang w:eastAsia="en-US"/>
        </w:rPr>
        <w:id w:val="-1037034164"/>
        <w:docPartObj>
          <w:docPartGallery w:val="Table of Contents"/>
          <w:docPartUnique/>
        </w:docPartObj>
      </w:sdtPr>
      <w:sdtContent>
        <w:p w14:paraId="6E6531DC" w14:textId="77777777" w:rsidR="001D3DC2" w:rsidRDefault="001D3DC2" w:rsidP="00F47E59">
          <w:pPr>
            <w:pStyle w:val="Body"/>
            <w:rPr>
              <w:rFonts w:eastAsiaTheme="minorHAnsi"/>
              <w:b w:val="0"/>
              <w:bCs w:val="0"/>
              <w:color w:val="auto"/>
              <w:sz w:val="22"/>
              <w:szCs w:val="22"/>
              <w:lang w:eastAsia="en-US"/>
            </w:rPr>
          </w:pPr>
        </w:p>
        <w:p w14:paraId="1A1A522C" w14:textId="16163E6A" w:rsidR="00FF072D" w:rsidRPr="00217F59" w:rsidRDefault="00FF072D" w:rsidP="00F47E59">
          <w:pPr>
            <w:pStyle w:val="Body"/>
            <w:rPr>
              <w:rFonts w:cstheme="minorHAnsi"/>
            </w:rPr>
          </w:pPr>
          <w:r w:rsidRPr="00217F59">
            <w:rPr>
              <w:rFonts w:cstheme="minorHAnsi"/>
            </w:rPr>
            <w:t>CONTENTS</w:t>
          </w:r>
        </w:p>
        <w:p w14:paraId="07FAE7D6" w14:textId="3AB46D43" w:rsidR="001D3DC2" w:rsidRDefault="00FF072D">
          <w:pPr>
            <w:pStyle w:val="TOC1"/>
            <w:tabs>
              <w:tab w:val="left" w:pos="440"/>
              <w:tab w:val="right" w:leader="dot" w:pos="9016"/>
            </w:tabs>
            <w:rPr>
              <w:rFonts w:asciiTheme="minorHAnsi" w:hAnsiTheme="minorHAnsi" w:cstheme="minorBidi"/>
              <w:noProof/>
              <w:lang w:eastAsia="en-GB"/>
            </w:rPr>
          </w:pPr>
          <w:r w:rsidRPr="00217F59">
            <w:rPr>
              <w:rFonts w:asciiTheme="minorHAnsi" w:hAnsiTheme="minorHAnsi" w:cstheme="minorHAnsi"/>
              <w:b/>
            </w:rPr>
            <w:fldChar w:fldCharType="begin"/>
          </w:r>
          <w:r w:rsidRPr="00217F59">
            <w:rPr>
              <w:rFonts w:asciiTheme="minorHAnsi" w:hAnsiTheme="minorHAnsi" w:cstheme="minorHAnsi"/>
              <w:b/>
            </w:rPr>
            <w:instrText xml:space="preserve"> TOC \o "1-2" \h \z \u </w:instrText>
          </w:r>
          <w:r w:rsidRPr="00217F59">
            <w:rPr>
              <w:rFonts w:asciiTheme="minorHAnsi" w:hAnsiTheme="minorHAnsi" w:cstheme="minorHAnsi"/>
              <w:b/>
            </w:rPr>
            <w:fldChar w:fldCharType="separate"/>
          </w:r>
          <w:hyperlink w:anchor="_Toc121224090" w:history="1">
            <w:r w:rsidR="001D3DC2" w:rsidRPr="00C878A4">
              <w:rPr>
                <w:rStyle w:val="Hyperlink"/>
                <w:noProof/>
              </w:rPr>
              <w:t>1.</w:t>
            </w:r>
            <w:r w:rsidR="001D3DC2">
              <w:rPr>
                <w:rFonts w:asciiTheme="minorHAnsi" w:hAnsiTheme="minorHAnsi" w:cstheme="minorBidi"/>
                <w:noProof/>
                <w:lang w:eastAsia="en-GB"/>
              </w:rPr>
              <w:tab/>
            </w:r>
            <w:r w:rsidR="001D3DC2" w:rsidRPr="00C878A4">
              <w:rPr>
                <w:rStyle w:val="Hyperlink"/>
                <w:noProof/>
              </w:rPr>
              <w:t>INTERVENTION SUMMARY</w:t>
            </w:r>
            <w:r w:rsidR="001D3DC2">
              <w:rPr>
                <w:noProof/>
                <w:webHidden/>
              </w:rPr>
              <w:tab/>
            </w:r>
            <w:r w:rsidR="001D3DC2">
              <w:rPr>
                <w:noProof/>
                <w:webHidden/>
              </w:rPr>
              <w:fldChar w:fldCharType="begin"/>
            </w:r>
            <w:r w:rsidR="001D3DC2">
              <w:rPr>
                <w:noProof/>
                <w:webHidden/>
              </w:rPr>
              <w:instrText xml:space="preserve"> PAGEREF _Toc121224090 \h </w:instrText>
            </w:r>
            <w:r w:rsidR="001D3DC2">
              <w:rPr>
                <w:noProof/>
                <w:webHidden/>
              </w:rPr>
            </w:r>
            <w:r w:rsidR="001D3DC2">
              <w:rPr>
                <w:noProof/>
                <w:webHidden/>
              </w:rPr>
              <w:fldChar w:fldCharType="separate"/>
            </w:r>
            <w:r w:rsidR="001D3DC2">
              <w:rPr>
                <w:noProof/>
                <w:webHidden/>
              </w:rPr>
              <w:t>1</w:t>
            </w:r>
            <w:r w:rsidR="001D3DC2">
              <w:rPr>
                <w:noProof/>
                <w:webHidden/>
              </w:rPr>
              <w:fldChar w:fldCharType="end"/>
            </w:r>
          </w:hyperlink>
        </w:p>
        <w:p w14:paraId="3F9CC007" w14:textId="39B8591A" w:rsidR="001D3DC2" w:rsidRDefault="00000000">
          <w:pPr>
            <w:pStyle w:val="TOC2"/>
            <w:rPr>
              <w:rFonts w:asciiTheme="minorHAnsi" w:hAnsiTheme="minorHAnsi" w:cstheme="minorBidi"/>
              <w:noProof/>
              <w:lang w:eastAsia="en-GB"/>
            </w:rPr>
          </w:pPr>
          <w:hyperlink w:anchor="_Toc121224091" w:history="1">
            <w:r w:rsidR="001D3DC2" w:rsidRPr="00C878A4">
              <w:rPr>
                <w:rStyle w:val="Hyperlink"/>
                <w:noProof/>
              </w:rPr>
              <w:t>1.1.</w:t>
            </w:r>
            <w:r w:rsidR="001D3DC2">
              <w:rPr>
                <w:rFonts w:asciiTheme="minorHAnsi" w:hAnsiTheme="minorHAnsi" w:cstheme="minorBidi"/>
                <w:noProof/>
                <w:lang w:eastAsia="en-GB"/>
              </w:rPr>
              <w:tab/>
            </w:r>
            <w:r w:rsidR="001D3DC2" w:rsidRPr="00C878A4">
              <w:rPr>
                <w:rStyle w:val="Hyperlink"/>
                <w:noProof/>
              </w:rPr>
              <w:t>Summary of programme objectives</w:t>
            </w:r>
            <w:r w:rsidR="001D3DC2">
              <w:rPr>
                <w:noProof/>
                <w:webHidden/>
              </w:rPr>
              <w:tab/>
            </w:r>
            <w:r w:rsidR="001D3DC2">
              <w:rPr>
                <w:noProof/>
                <w:webHidden/>
              </w:rPr>
              <w:fldChar w:fldCharType="begin"/>
            </w:r>
            <w:r w:rsidR="001D3DC2">
              <w:rPr>
                <w:noProof/>
                <w:webHidden/>
              </w:rPr>
              <w:instrText xml:space="preserve"> PAGEREF _Toc121224091 \h </w:instrText>
            </w:r>
            <w:r w:rsidR="001D3DC2">
              <w:rPr>
                <w:noProof/>
                <w:webHidden/>
              </w:rPr>
            </w:r>
            <w:r w:rsidR="001D3DC2">
              <w:rPr>
                <w:noProof/>
                <w:webHidden/>
              </w:rPr>
              <w:fldChar w:fldCharType="separate"/>
            </w:r>
            <w:r w:rsidR="001D3DC2">
              <w:rPr>
                <w:noProof/>
                <w:webHidden/>
              </w:rPr>
              <w:t>1</w:t>
            </w:r>
            <w:r w:rsidR="001D3DC2">
              <w:rPr>
                <w:noProof/>
                <w:webHidden/>
              </w:rPr>
              <w:fldChar w:fldCharType="end"/>
            </w:r>
          </w:hyperlink>
        </w:p>
        <w:p w14:paraId="7B7FAAB9" w14:textId="2D36F8B2" w:rsidR="001D3DC2" w:rsidRDefault="00000000">
          <w:pPr>
            <w:pStyle w:val="TOC2"/>
            <w:rPr>
              <w:rFonts w:asciiTheme="minorHAnsi" w:hAnsiTheme="minorHAnsi" w:cstheme="minorBidi"/>
              <w:noProof/>
              <w:lang w:eastAsia="en-GB"/>
            </w:rPr>
          </w:pPr>
          <w:hyperlink w:anchor="_Toc121224092" w:history="1">
            <w:r w:rsidR="001D3DC2" w:rsidRPr="00C878A4">
              <w:rPr>
                <w:rStyle w:val="Hyperlink"/>
                <w:noProof/>
              </w:rPr>
              <w:t>1.2.</w:t>
            </w:r>
            <w:r w:rsidR="001D3DC2">
              <w:rPr>
                <w:rFonts w:asciiTheme="minorHAnsi" w:hAnsiTheme="minorHAnsi" w:cstheme="minorBidi"/>
                <w:noProof/>
                <w:lang w:eastAsia="en-GB"/>
              </w:rPr>
              <w:tab/>
            </w:r>
            <w:r w:rsidR="001D3DC2" w:rsidRPr="00C878A4">
              <w:rPr>
                <w:rStyle w:val="Hyperlink"/>
                <w:noProof/>
              </w:rPr>
              <w:t>What are the main programme activities?</w:t>
            </w:r>
            <w:r w:rsidR="001D3DC2">
              <w:rPr>
                <w:noProof/>
                <w:webHidden/>
              </w:rPr>
              <w:tab/>
            </w:r>
            <w:r w:rsidR="001D3DC2">
              <w:rPr>
                <w:noProof/>
                <w:webHidden/>
              </w:rPr>
              <w:fldChar w:fldCharType="begin"/>
            </w:r>
            <w:r w:rsidR="001D3DC2">
              <w:rPr>
                <w:noProof/>
                <w:webHidden/>
              </w:rPr>
              <w:instrText xml:space="preserve"> PAGEREF _Toc121224092 \h </w:instrText>
            </w:r>
            <w:r w:rsidR="001D3DC2">
              <w:rPr>
                <w:noProof/>
                <w:webHidden/>
              </w:rPr>
            </w:r>
            <w:r w:rsidR="001D3DC2">
              <w:rPr>
                <w:noProof/>
                <w:webHidden/>
              </w:rPr>
              <w:fldChar w:fldCharType="separate"/>
            </w:r>
            <w:r w:rsidR="001D3DC2">
              <w:rPr>
                <w:noProof/>
                <w:webHidden/>
              </w:rPr>
              <w:t>2</w:t>
            </w:r>
            <w:r w:rsidR="001D3DC2">
              <w:rPr>
                <w:noProof/>
                <w:webHidden/>
              </w:rPr>
              <w:fldChar w:fldCharType="end"/>
            </w:r>
          </w:hyperlink>
        </w:p>
        <w:p w14:paraId="6BC587C5" w14:textId="1E4EB9FD" w:rsidR="001D3DC2" w:rsidRDefault="00000000">
          <w:pPr>
            <w:pStyle w:val="TOC2"/>
            <w:rPr>
              <w:rFonts w:asciiTheme="minorHAnsi" w:hAnsiTheme="minorHAnsi" w:cstheme="minorBidi"/>
              <w:noProof/>
              <w:lang w:eastAsia="en-GB"/>
            </w:rPr>
          </w:pPr>
          <w:hyperlink w:anchor="_Toc121224093" w:history="1">
            <w:r w:rsidR="001D3DC2" w:rsidRPr="00C878A4">
              <w:rPr>
                <w:rStyle w:val="Hyperlink"/>
                <w:rFonts w:cstheme="minorHAnsi"/>
                <w:noProof/>
              </w:rPr>
              <w:t>1.3.</w:t>
            </w:r>
            <w:r w:rsidR="001D3DC2">
              <w:rPr>
                <w:rFonts w:asciiTheme="minorHAnsi" w:hAnsiTheme="minorHAnsi" w:cstheme="minorBidi"/>
                <w:noProof/>
                <w:lang w:eastAsia="en-GB"/>
              </w:rPr>
              <w:tab/>
            </w:r>
            <w:r w:rsidR="001D3DC2" w:rsidRPr="00C878A4">
              <w:rPr>
                <w:rStyle w:val="Hyperlink"/>
                <w:noProof/>
              </w:rPr>
              <w:t>What are the expected results?</w:t>
            </w:r>
            <w:r w:rsidR="001D3DC2">
              <w:rPr>
                <w:noProof/>
                <w:webHidden/>
              </w:rPr>
              <w:tab/>
            </w:r>
            <w:r w:rsidR="001D3DC2">
              <w:rPr>
                <w:noProof/>
                <w:webHidden/>
              </w:rPr>
              <w:fldChar w:fldCharType="begin"/>
            </w:r>
            <w:r w:rsidR="001D3DC2">
              <w:rPr>
                <w:noProof/>
                <w:webHidden/>
              </w:rPr>
              <w:instrText xml:space="preserve"> PAGEREF _Toc121224093 \h </w:instrText>
            </w:r>
            <w:r w:rsidR="001D3DC2">
              <w:rPr>
                <w:noProof/>
                <w:webHidden/>
              </w:rPr>
            </w:r>
            <w:r w:rsidR="001D3DC2">
              <w:rPr>
                <w:noProof/>
                <w:webHidden/>
              </w:rPr>
              <w:fldChar w:fldCharType="separate"/>
            </w:r>
            <w:r w:rsidR="001D3DC2">
              <w:rPr>
                <w:noProof/>
                <w:webHidden/>
              </w:rPr>
              <w:t>3</w:t>
            </w:r>
            <w:r w:rsidR="001D3DC2">
              <w:rPr>
                <w:noProof/>
                <w:webHidden/>
              </w:rPr>
              <w:fldChar w:fldCharType="end"/>
            </w:r>
          </w:hyperlink>
        </w:p>
        <w:p w14:paraId="13F6877B" w14:textId="024C4089" w:rsidR="001D3DC2" w:rsidRDefault="00000000">
          <w:pPr>
            <w:pStyle w:val="TOC1"/>
            <w:tabs>
              <w:tab w:val="left" w:pos="440"/>
              <w:tab w:val="right" w:leader="dot" w:pos="9016"/>
            </w:tabs>
            <w:rPr>
              <w:rFonts w:asciiTheme="minorHAnsi" w:hAnsiTheme="minorHAnsi" w:cstheme="minorBidi"/>
              <w:noProof/>
              <w:lang w:eastAsia="en-GB"/>
            </w:rPr>
          </w:pPr>
          <w:hyperlink w:anchor="_Toc121224094" w:history="1">
            <w:r w:rsidR="001D3DC2" w:rsidRPr="00C878A4">
              <w:rPr>
                <w:rStyle w:val="Hyperlink"/>
                <w:noProof/>
              </w:rPr>
              <w:t>2.</w:t>
            </w:r>
            <w:r w:rsidR="001D3DC2">
              <w:rPr>
                <w:rFonts w:asciiTheme="minorHAnsi" w:hAnsiTheme="minorHAnsi" w:cstheme="minorBidi"/>
                <w:noProof/>
                <w:lang w:eastAsia="en-GB"/>
              </w:rPr>
              <w:tab/>
            </w:r>
            <w:r w:rsidR="001D3DC2" w:rsidRPr="00C878A4">
              <w:rPr>
                <w:rStyle w:val="Hyperlink"/>
                <w:noProof/>
              </w:rPr>
              <w:t>STRATEGIC CASE</w:t>
            </w:r>
            <w:r w:rsidR="001D3DC2">
              <w:rPr>
                <w:noProof/>
                <w:webHidden/>
              </w:rPr>
              <w:tab/>
            </w:r>
            <w:r w:rsidR="001D3DC2">
              <w:rPr>
                <w:noProof/>
                <w:webHidden/>
              </w:rPr>
              <w:fldChar w:fldCharType="begin"/>
            </w:r>
            <w:r w:rsidR="001D3DC2">
              <w:rPr>
                <w:noProof/>
                <w:webHidden/>
              </w:rPr>
              <w:instrText xml:space="preserve"> PAGEREF _Toc121224094 \h </w:instrText>
            </w:r>
            <w:r w:rsidR="001D3DC2">
              <w:rPr>
                <w:noProof/>
                <w:webHidden/>
              </w:rPr>
            </w:r>
            <w:r w:rsidR="001D3DC2">
              <w:rPr>
                <w:noProof/>
                <w:webHidden/>
              </w:rPr>
              <w:fldChar w:fldCharType="separate"/>
            </w:r>
            <w:r w:rsidR="001D3DC2">
              <w:rPr>
                <w:noProof/>
                <w:webHidden/>
              </w:rPr>
              <w:t>5</w:t>
            </w:r>
            <w:r w:rsidR="001D3DC2">
              <w:rPr>
                <w:noProof/>
                <w:webHidden/>
              </w:rPr>
              <w:fldChar w:fldCharType="end"/>
            </w:r>
          </w:hyperlink>
        </w:p>
        <w:p w14:paraId="73B83759" w14:textId="7CB78020" w:rsidR="001D3DC2" w:rsidRDefault="00000000">
          <w:pPr>
            <w:pStyle w:val="TOC2"/>
            <w:rPr>
              <w:rFonts w:asciiTheme="minorHAnsi" w:hAnsiTheme="minorHAnsi" w:cstheme="minorBidi"/>
              <w:noProof/>
              <w:lang w:eastAsia="en-GB"/>
            </w:rPr>
          </w:pPr>
          <w:hyperlink w:anchor="_Toc121224095" w:history="1">
            <w:r w:rsidR="001D3DC2" w:rsidRPr="00C878A4">
              <w:rPr>
                <w:rStyle w:val="Hyperlink"/>
                <w:noProof/>
              </w:rPr>
              <w:t>2.1.</w:t>
            </w:r>
            <w:r w:rsidR="001D3DC2">
              <w:rPr>
                <w:rFonts w:asciiTheme="minorHAnsi" w:hAnsiTheme="minorHAnsi" w:cstheme="minorBidi"/>
                <w:noProof/>
                <w:lang w:eastAsia="en-GB"/>
              </w:rPr>
              <w:tab/>
            </w:r>
            <w:r w:rsidR="001D3DC2" w:rsidRPr="00C878A4">
              <w:rPr>
                <w:rStyle w:val="Hyperlink"/>
                <w:noProof/>
              </w:rPr>
              <w:t>Context and need for a UK intervention</w:t>
            </w:r>
            <w:r w:rsidR="001D3DC2">
              <w:rPr>
                <w:noProof/>
                <w:webHidden/>
              </w:rPr>
              <w:tab/>
            </w:r>
            <w:r w:rsidR="001D3DC2">
              <w:rPr>
                <w:noProof/>
                <w:webHidden/>
              </w:rPr>
              <w:fldChar w:fldCharType="begin"/>
            </w:r>
            <w:r w:rsidR="001D3DC2">
              <w:rPr>
                <w:noProof/>
                <w:webHidden/>
              </w:rPr>
              <w:instrText xml:space="preserve"> PAGEREF _Toc121224095 \h </w:instrText>
            </w:r>
            <w:r w:rsidR="001D3DC2">
              <w:rPr>
                <w:noProof/>
                <w:webHidden/>
              </w:rPr>
            </w:r>
            <w:r w:rsidR="001D3DC2">
              <w:rPr>
                <w:noProof/>
                <w:webHidden/>
              </w:rPr>
              <w:fldChar w:fldCharType="separate"/>
            </w:r>
            <w:r w:rsidR="001D3DC2">
              <w:rPr>
                <w:noProof/>
                <w:webHidden/>
              </w:rPr>
              <w:t>5</w:t>
            </w:r>
            <w:r w:rsidR="001D3DC2">
              <w:rPr>
                <w:noProof/>
                <w:webHidden/>
              </w:rPr>
              <w:fldChar w:fldCharType="end"/>
            </w:r>
          </w:hyperlink>
        </w:p>
        <w:p w14:paraId="7D303DFA" w14:textId="5D8A3432" w:rsidR="001D3DC2" w:rsidRDefault="00000000">
          <w:pPr>
            <w:pStyle w:val="TOC2"/>
            <w:rPr>
              <w:rFonts w:asciiTheme="minorHAnsi" w:hAnsiTheme="minorHAnsi" w:cstheme="minorBidi"/>
              <w:noProof/>
              <w:lang w:eastAsia="en-GB"/>
            </w:rPr>
          </w:pPr>
          <w:hyperlink w:anchor="_Toc121224096" w:history="1">
            <w:r w:rsidR="001D3DC2" w:rsidRPr="00C878A4">
              <w:rPr>
                <w:rStyle w:val="Hyperlink"/>
                <w:noProof/>
              </w:rPr>
              <w:t>2.2.</w:t>
            </w:r>
            <w:r w:rsidR="001D3DC2">
              <w:rPr>
                <w:rFonts w:asciiTheme="minorHAnsi" w:hAnsiTheme="minorHAnsi" w:cstheme="minorBidi"/>
                <w:noProof/>
                <w:lang w:eastAsia="en-GB"/>
              </w:rPr>
              <w:tab/>
            </w:r>
            <w:r w:rsidR="001D3DC2" w:rsidRPr="00C878A4">
              <w:rPr>
                <w:rStyle w:val="Hyperlink"/>
                <w:noProof/>
              </w:rPr>
              <w:t>What support will the UK provide?</w:t>
            </w:r>
            <w:r w:rsidR="001D3DC2">
              <w:rPr>
                <w:noProof/>
                <w:webHidden/>
              </w:rPr>
              <w:tab/>
            </w:r>
            <w:r w:rsidR="001D3DC2">
              <w:rPr>
                <w:noProof/>
                <w:webHidden/>
              </w:rPr>
              <w:fldChar w:fldCharType="begin"/>
            </w:r>
            <w:r w:rsidR="001D3DC2">
              <w:rPr>
                <w:noProof/>
                <w:webHidden/>
              </w:rPr>
              <w:instrText xml:space="preserve"> PAGEREF _Toc121224096 \h </w:instrText>
            </w:r>
            <w:r w:rsidR="001D3DC2">
              <w:rPr>
                <w:noProof/>
                <w:webHidden/>
              </w:rPr>
            </w:r>
            <w:r w:rsidR="001D3DC2">
              <w:rPr>
                <w:noProof/>
                <w:webHidden/>
              </w:rPr>
              <w:fldChar w:fldCharType="separate"/>
            </w:r>
            <w:r w:rsidR="001D3DC2">
              <w:rPr>
                <w:noProof/>
                <w:webHidden/>
              </w:rPr>
              <w:t>6</w:t>
            </w:r>
            <w:r w:rsidR="001D3DC2">
              <w:rPr>
                <w:noProof/>
                <w:webHidden/>
              </w:rPr>
              <w:fldChar w:fldCharType="end"/>
            </w:r>
          </w:hyperlink>
        </w:p>
        <w:p w14:paraId="3EC68858" w14:textId="4D18D3E8" w:rsidR="001D3DC2" w:rsidRDefault="00000000">
          <w:pPr>
            <w:pStyle w:val="TOC2"/>
            <w:rPr>
              <w:rFonts w:asciiTheme="minorHAnsi" w:hAnsiTheme="minorHAnsi" w:cstheme="minorBidi"/>
              <w:noProof/>
              <w:lang w:eastAsia="en-GB"/>
            </w:rPr>
          </w:pPr>
          <w:hyperlink w:anchor="_Toc121224097" w:history="1">
            <w:r w:rsidR="001D3DC2" w:rsidRPr="00C878A4">
              <w:rPr>
                <w:rStyle w:val="Hyperlink"/>
                <w:noProof/>
              </w:rPr>
              <w:t>2.3.</w:t>
            </w:r>
            <w:r w:rsidR="001D3DC2">
              <w:rPr>
                <w:rFonts w:asciiTheme="minorHAnsi" w:hAnsiTheme="minorHAnsi" w:cstheme="minorBidi"/>
                <w:noProof/>
                <w:lang w:eastAsia="en-GB"/>
              </w:rPr>
              <w:tab/>
            </w:r>
            <w:r w:rsidR="001D3DC2" w:rsidRPr="00C878A4">
              <w:rPr>
                <w:rStyle w:val="Hyperlink"/>
                <w:noProof/>
              </w:rPr>
              <w:t>How will this programme contribute to UK, Defra and BPF outcomes?</w:t>
            </w:r>
            <w:r w:rsidR="001D3DC2">
              <w:rPr>
                <w:noProof/>
                <w:webHidden/>
              </w:rPr>
              <w:tab/>
            </w:r>
            <w:r w:rsidR="001D3DC2">
              <w:rPr>
                <w:noProof/>
                <w:webHidden/>
              </w:rPr>
              <w:fldChar w:fldCharType="begin"/>
            </w:r>
            <w:r w:rsidR="001D3DC2">
              <w:rPr>
                <w:noProof/>
                <w:webHidden/>
              </w:rPr>
              <w:instrText xml:space="preserve"> PAGEREF _Toc121224097 \h </w:instrText>
            </w:r>
            <w:r w:rsidR="001D3DC2">
              <w:rPr>
                <w:noProof/>
                <w:webHidden/>
              </w:rPr>
            </w:r>
            <w:r w:rsidR="001D3DC2">
              <w:rPr>
                <w:noProof/>
                <w:webHidden/>
              </w:rPr>
              <w:fldChar w:fldCharType="separate"/>
            </w:r>
            <w:r w:rsidR="001D3DC2">
              <w:rPr>
                <w:noProof/>
                <w:webHidden/>
              </w:rPr>
              <w:t>8</w:t>
            </w:r>
            <w:r w:rsidR="001D3DC2">
              <w:rPr>
                <w:noProof/>
                <w:webHidden/>
              </w:rPr>
              <w:fldChar w:fldCharType="end"/>
            </w:r>
          </w:hyperlink>
        </w:p>
        <w:p w14:paraId="616980CB" w14:textId="122EBC9C" w:rsidR="001D3DC2" w:rsidRDefault="00000000">
          <w:pPr>
            <w:pStyle w:val="TOC2"/>
            <w:rPr>
              <w:rFonts w:asciiTheme="minorHAnsi" w:hAnsiTheme="minorHAnsi" w:cstheme="minorBidi"/>
              <w:noProof/>
              <w:lang w:eastAsia="en-GB"/>
            </w:rPr>
          </w:pPr>
          <w:hyperlink w:anchor="_Toc121224098" w:history="1">
            <w:r w:rsidR="001D3DC2" w:rsidRPr="00C878A4">
              <w:rPr>
                <w:rStyle w:val="Hyperlink"/>
                <w:noProof/>
              </w:rPr>
              <w:t>2.4.</w:t>
            </w:r>
            <w:r w:rsidR="001D3DC2">
              <w:rPr>
                <w:rFonts w:asciiTheme="minorHAnsi" w:hAnsiTheme="minorHAnsi" w:cstheme="minorBidi"/>
                <w:noProof/>
                <w:lang w:eastAsia="en-GB"/>
              </w:rPr>
              <w:tab/>
            </w:r>
            <w:r w:rsidR="001D3DC2" w:rsidRPr="00C878A4">
              <w:rPr>
                <w:rStyle w:val="Hyperlink"/>
                <w:noProof/>
              </w:rPr>
              <w:t>Paris agreement alignment</w:t>
            </w:r>
            <w:r w:rsidR="001D3DC2">
              <w:rPr>
                <w:noProof/>
                <w:webHidden/>
              </w:rPr>
              <w:tab/>
            </w:r>
            <w:r w:rsidR="001D3DC2">
              <w:rPr>
                <w:noProof/>
                <w:webHidden/>
              </w:rPr>
              <w:fldChar w:fldCharType="begin"/>
            </w:r>
            <w:r w:rsidR="001D3DC2">
              <w:rPr>
                <w:noProof/>
                <w:webHidden/>
              </w:rPr>
              <w:instrText xml:space="preserve"> PAGEREF _Toc121224098 \h </w:instrText>
            </w:r>
            <w:r w:rsidR="001D3DC2">
              <w:rPr>
                <w:noProof/>
                <w:webHidden/>
              </w:rPr>
            </w:r>
            <w:r w:rsidR="001D3DC2">
              <w:rPr>
                <w:noProof/>
                <w:webHidden/>
              </w:rPr>
              <w:fldChar w:fldCharType="separate"/>
            </w:r>
            <w:r w:rsidR="001D3DC2">
              <w:rPr>
                <w:noProof/>
                <w:webHidden/>
              </w:rPr>
              <w:t>11</w:t>
            </w:r>
            <w:r w:rsidR="001D3DC2">
              <w:rPr>
                <w:noProof/>
                <w:webHidden/>
              </w:rPr>
              <w:fldChar w:fldCharType="end"/>
            </w:r>
          </w:hyperlink>
        </w:p>
        <w:p w14:paraId="277ECA02" w14:textId="0D0F8625" w:rsidR="001D3DC2" w:rsidRDefault="00000000">
          <w:pPr>
            <w:pStyle w:val="TOC2"/>
            <w:rPr>
              <w:rFonts w:asciiTheme="minorHAnsi" w:hAnsiTheme="minorHAnsi" w:cstheme="minorBidi"/>
              <w:noProof/>
              <w:lang w:eastAsia="en-GB"/>
            </w:rPr>
          </w:pPr>
          <w:hyperlink w:anchor="_Toc121224099" w:history="1">
            <w:r w:rsidR="001D3DC2" w:rsidRPr="00C878A4">
              <w:rPr>
                <w:rStyle w:val="Hyperlink"/>
                <w:noProof/>
              </w:rPr>
              <w:t>2.5.</w:t>
            </w:r>
            <w:r w:rsidR="001D3DC2">
              <w:rPr>
                <w:rFonts w:asciiTheme="minorHAnsi" w:hAnsiTheme="minorHAnsi" w:cstheme="minorBidi"/>
                <w:noProof/>
                <w:lang w:eastAsia="en-GB"/>
              </w:rPr>
              <w:tab/>
            </w:r>
            <w:r w:rsidR="001D3DC2" w:rsidRPr="00C878A4">
              <w:rPr>
                <w:rStyle w:val="Hyperlink"/>
                <w:noProof/>
              </w:rPr>
              <w:t>Compliance</w:t>
            </w:r>
            <w:r w:rsidR="001D3DC2">
              <w:rPr>
                <w:noProof/>
                <w:webHidden/>
              </w:rPr>
              <w:tab/>
            </w:r>
            <w:r w:rsidR="001D3DC2">
              <w:rPr>
                <w:noProof/>
                <w:webHidden/>
              </w:rPr>
              <w:fldChar w:fldCharType="begin"/>
            </w:r>
            <w:r w:rsidR="001D3DC2">
              <w:rPr>
                <w:noProof/>
                <w:webHidden/>
              </w:rPr>
              <w:instrText xml:space="preserve"> PAGEREF _Toc121224099 \h </w:instrText>
            </w:r>
            <w:r w:rsidR="001D3DC2">
              <w:rPr>
                <w:noProof/>
                <w:webHidden/>
              </w:rPr>
            </w:r>
            <w:r w:rsidR="001D3DC2">
              <w:rPr>
                <w:noProof/>
                <w:webHidden/>
              </w:rPr>
              <w:fldChar w:fldCharType="separate"/>
            </w:r>
            <w:r w:rsidR="001D3DC2">
              <w:rPr>
                <w:noProof/>
                <w:webHidden/>
              </w:rPr>
              <w:t>11</w:t>
            </w:r>
            <w:r w:rsidR="001D3DC2">
              <w:rPr>
                <w:noProof/>
                <w:webHidden/>
              </w:rPr>
              <w:fldChar w:fldCharType="end"/>
            </w:r>
          </w:hyperlink>
        </w:p>
        <w:p w14:paraId="46187589" w14:textId="72FF9CCD" w:rsidR="001D3DC2" w:rsidRDefault="00000000">
          <w:pPr>
            <w:pStyle w:val="TOC2"/>
            <w:rPr>
              <w:rFonts w:asciiTheme="minorHAnsi" w:hAnsiTheme="minorHAnsi" w:cstheme="minorBidi"/>
              <w:noProof/>
              <w:lang w:eastAsia="en-GB"/>
            </w:rPr>
          </w:pPr>
          <w:hyperlink w:anchor="_Toc121224100" w:history="1">
            <w:r w:rsidR="001D3DC2" w:rsidRPr="00C878A4">
              <w:rPr>
                <w:rStyle w:val="Hyperlink"/>
                <w:noProof/>
              </w:rPr>
              <w:t>2.6.</w:t>
            </w:r>
            <w:r w:rsidR="001D3DC2">
              <w:rPr>
                <w:rFonts w:asciiTheme="minorHAnsi" w:hAnsiTheme="minorHAnsi" w:cstheme="minorBidi"/>
                <w:noProof/>
                <w:lang w:eastAsia="en-GB"/>
              </w:rPr>
              <w:tab/>
            </w:r>
            <w:r w:rsidR="001D3DC2" w:rsidRPr="00C878A4">
              <w:rPr>
                <w:rStyle w:val="Hyperlink"/>
                <w:noProof/>
              </w:rPr>
              <w:t>Safeguarding and Equality</w:t>
            </w:r>
            <w:r w:rsidR="001D3DC2">
              <w:rPr>
                <w:noProof/>
                <w:webHidden/>
              </w:rPr>
              <w:tab/>
            </w:r>
            <w:r w:rsidR="001D3DC2">
              <w:rPr>
                <w:noProof/>
                <w:webHidden/>
              </w:rPr>
              <w:fldChar w:fldCharType="begin"/>
            </w:r>
            <w:r w:rsidR="001D3DC2">
              <w:rPr>
                <w:noProof/>
                <w:webHidden/>
              </w:rPr>
              <w:instrText xml:space="preserve"> PAGEREF _Toc121224100 \h </w:instrText>
            </w:r>
            <w:r w:rsidR="001D3DC2">
              <w:rPr>
                <w:noProof/>
                <w:webHidden/>
              </w:rPr>
            </w:r>
            <w:r w:rsidR="001D3DC2">
              <w:rPr>
                <w:noProof/>
                <w:webHidden/>
              </w:rPr>
              <w:fldChar w:fldCharType="separate"/>
            </w:r>
            <w:r w:rsidR="001D3DC2">
              <w:rPr>
                <w:noProof/>
                <w:webHidden/>
              </w:rPr>
              <w:t>12</w:t>
            </w:r>
            <w:r w:rsidR="001D3DC2">
              <w:rPr>
                <w:noProof/>
                <w:webHidden/>
              </w:rPr>
              <w:fldChar w:fldCharType="end"/>
            </w:r>
          </w:hyperlink>
        </w:p>
        <w:p w14:paraId="3361D533" w14:textId="2C9015A4" w:rsidR="001D3DC2" w:rsidRDefault="00000000">
          <w:pPr>
            <w:pStyle w:val="TOC2"/>
            <w:rPr>
              <w:rFonts w:asciiTheme="minorHAnsi" w:hAnsiTheme="minorHAnsi" w:cstheme="minorBidi"/>
              <w:noProof/>
              <w:lang w:eastAsia="en-GB"/>
            </w:rPr>
          </w:pPr>
          <w:hyperlink w:anchor="_Toc121224101" w:history="1">
            <w:r w:rsidR="001D3DC2" w:rsidRPr="00C878A4">
              <w:rPr>
                <w:rStyle w:val="Hyperlink"/>
                <w:noProof/>
                <w:spacing w:val="15"/>
              </w:rPr>
              <w:t>2.7.</w:t>
            </w:r>
            <w:r w:rsidR="001D3DC2">
              <w:rPr>
                <w:rFonts w:asciiTheme="minorHAnsi" w:hAnsiTheme="minorHAnsi" w:cstheme="minorBidi"/>
                <w:noProof/>
                <w:lang w:eastAsia="en-GB"/>
              </w:rPr>
              <w:tab/>
            </w:r>
            <w:r w:rsidR="001D3DC2" w:rsidRPr="00C878A4">
              <w:rPr>
                <w:rStyle w:val="Hyperlink"/>
                <w:noProof/>
              </w:rPr>
              <w:t>Impacts and outcomes</w:t>
            </w:r>
            <w:r w:rsidR="001D3DC2">
              <w:rPr>
                <w:noProof/>
                <w:webHidden/>
              </w:rPr>
              <w:tab/>
            </w:r>
            <w:r w:rsidR="001D3DC2">
              <w:rPr>
                <w:noProof/>
                <w:webHidden/>
              </w:rPr>
              <w:fldChar w:fldCharType="begin"/>
            </w:r>
            <w:r w:rsidR="001D3DC2">
              <w:rPr>
                <w:noProof/>
                <w:webHidden/>
              </w:rPr>
              <w:instrText xml:space="preserve"> PAGEREF _Toc121224101 \h </w:instrText>
            </w:r>
            <w:r w:rsidR="001D3DC2">
              <w:rPr>
                <w:noProof/>
                <w:webHidden/>
              </w:rPr>
            </w:r>
            <w:r w:rsidR="001D3DC2">
              <w:rPr>
                <w:noProof/>
                <w:webHidden/>
              </w:rPr>
              <w:fldChar w:fldCharType="separate"/>
            </w:r>
            <w:r w:rsidR="001D3DC2">
              <w:rPr>
                <w:noProof/>
                <w:webHidden/>
              </w:rPr>
              <w:t>13</w:t>
            </w:r>
            <w:r w:rsidR="001D3DC2">
              <w:rPr>
                <w:noProof/>
                <w:webHidden/>
              </w:rPr>
              <w:fldChar w:fldCharType="end"/>
            </w:r>
          </w:hyperlink>
        </w:p>
        <w:p w14:paraId="4B3CC37E" w14:textId="0DC73DB8" w:rsidR="001D3DC2" w:rsidRDefault="00000000">
          <w:pPr>
            <w:pStyle w:val="TOC2"/>
            <w:rPr>
              <w:rFonts w:asciiTheme="minorHAnsi" w:hAnsiTheme="minorHAnsi" w:cstheme="minorBidi"/>
              <w:noProof/>
              <w:lang w:eastAsia="en-GB"/>
            </w:rPr>
          </w:pPr>
          <w:hyperlink w:anchor="_Toc121224102" w:history="1">
            <w:r w:rsidR="001D3DC2" w:rsidRPr="00C878A4">
              <w:rPr>
                <w:rStyle w:val="Hyperlink"/>
                <w:noProof/>
              </w:rPr>
              <w:t>2.8.</w:t>
            </w:r>
            <w:r w:rsidR="001D3DC2">
              <w:rPr>
                <w:rFonts w:asciiTheme="minorHAnsi" w:hAnsiTheme="minorHAnsi" w:cstheme="minorBidi"/>
                <w:noProof/>
                <w:lang w:eastAsia="en-GB"/>
              </w:rPr>
              <w:tab/>
            </w:r>
            <w:r w:rsidR="001D3DC2" w:rsidRPr="00C878A4">
              <w:rPr>
                <w:rStyle w:val="Hyperlink"/>
                <w:noProof/>
              </w:rPr>
              <w:t>Tide Turners Risks analysis</w:t>
            </w:r>
            <w:r w:rsidR="001D3DC2">
              <w:rPr>
                <w:noProof/>
                <w:webHidden/>
              </w:rPr>
              <w:tab/>
            </w:r>
            <w:r w:rsidR="001D3DC2">
              <w:rPr>
                <w:noProof/>
                <w:webHidden/>
              </w:rPr>
              <w:fldChar w:fldCharType="begin"/>
            </w:r>
            <w:r w:rsidR="001D3DC2">
              <w:rPr>
                <w:noProof/>
                <w:webHidden/>
              </w:rPr>
              <w:instrText xml:space="preserve"> PAGEREF _Toc121224102 \h </w:instrText>
            </w:r>
            <w:r w:rsidR="001D3DC2">
              <w:rPr>
                <w:noProof/>
                <w:webHidden/>
              </w:rPr>
            </w:r>
            <w:r w:rsidR="001D3DC2">
              <w:rPr>
                <w:noProof/>
                <w:webHidden/>
              </w:rPr>
              <w:fldChar w:fldCharType="separate"/>
            </w:r>
            <w:r w:rsidR="001D3DC2">
              <w:rPr>
                <w:noProof/>
                <w:webHidden/>
              </w:rPr>
              <w:t>15</w:t>
            </w:r>
            <w:r w:rsidR="001D3DC2">
              <w:rPr>
                <w:noProof/>
                <w:webHidden/>
              </w:rPr>
              <w:fldChar w:fldCharType="end"/>
            </w:r>
          </w:hyperlink>
        </w:p>
        <w:p w14:paraId="75249AED" w14:textId="549248BC" w:rsidR="001D3DC2" w:rsidRDefault="00000000">
          <w:pPr>
            <w:pStyle w:val="TOC1"/>
            <w:tabs>
              <w:tab w:val="left" w:pos="440"/>
              <w:tab w:val="right" w:leader="dot" w:pos="9016"/>
            </w:tabs>
            <w:rPr>
              <w:rFonts w:asciiTheme="minorHAnsi" w:hAnsiTheme="minorHAnsi" w:cstheme="minorBidi"/>
              <w:noProof/>
              <w:lang w:eastAsia="en-GB"/>
            </w:rPr>
          </w:pPr>
          <w:hyperlink w:anchor="_Toc121224103" w:history="1">
            <w:r w:rsidR="001D3DC2" w:rsidRPr="00C878A4">
              <w:rPr>
                <w:rStyle w:val="Hyperlink"/>
                <w:noProof/>
              </w:rPr>
              <w:t>3.</w:t>
            </w:r>
            <w:r w:rsidR="001D3DC2">
              <w:rPr>
                <w:rFonts w:asciiTheme="minorHAnsi" w:hAnsiTheme="minorHAnsi" w:cstheme="minorBidi"/>
                <w:noProof/>
                <w:lang w:eastAsia="en-GB"/>
              </w:rPr>
              <w:tab/>
            </w:r>
            <w:r w:rsidR="001D3DC2" w:rsidRPr="00C878A4">
              <w:rPr>
                <w:rStyle w:val="Hyperlink"/>
                <w:noProof/>
              </w:rPr>
              <w:t>APPRAISAL CASE</w:t>
            </w:r>
            <w:r w:rsidR="001D3DC2">
              <w:rPr>
                <w:noProof/>
                <w:webHidden/>
              </w:rPr>
              <w:tab/>
            </w:r>
            <w:r w:rsidR="001D3DC2">
              <w:rPr>
                <w:noProof/>
                <w:webHidden/>
              </w:rPr>
              <w:fldChar w:fldCharType="begin"/>
            </w:r>
            <w:r w:rsidR="001D3DC2">
              <w:rPr>
                <w:noProof/>
                <w:webHidden/>
              </w:rPr>
              <w:instrText xml:space="preserve"> PAGEREF _Toc121224103 \h </w:instrText>
            </w:r>
            <w:r w:rsidR="001D3DC2">
              <w:rPr>
                <w:noProof/>
                <w:webHidden/>
              </w:rPr>
            </w:r>
            <w:r w:rsidR="001D3DC2">
              <w:rPr>
                <w:noProof/>
                <w:webHidden/>
              </w:rPr>
              <w:fldChar w:fldCharType="separate"/>
            </w:r>
            <w:r w:rsidR="001D3DC2">
              <w:rPr>
                <w:noProof/>
                <w:webHidden/>
              </w:rPr>
              <w:t>18</w:t>
            </w:r>
            <w:r w:rsidR="001D3DC2">
              <w:rPr>
                <w:noProof/>
                <w:webHidden/>
              </w:rPr>
              <w:fldChar w:fldCharType="end"/>
            </w:r>
          </w:hyperlink>
        </w:p>
        <w:p w14:paraId="1858745B" w14:textId="7562DD6A" w:rsidR="001D3DC2" w:rsidRDefault="00000000">
          <w:pPr>
            <w:pStyle w:val="TOC2"/>
            <w:rPr>
              <w:rFonts w:asciiTheme="minorHAnsi" w:hAnsiTheme="minorHAnsi" w:cstheme="minorBidi"/>
              <w:noProof/>
              <w:lang w:eastAsia="en-GB"/>
            </w:rPr>
          </w:pPr>
          <w:hyperlink w:anchor="_Toc121224104" w:history="1">
            <w:r w:rsidR="001D3DC2" w:rsidRPr="00C878A4">
              <w:rPr>
                <w:rStyle w:val="Hyperlink"/>
                <w:noProof/>
              </w:rPr>
              <w:t>3.1.</w:t>
            </w:r>
            <w:r w:rsidR="001D3DC2">
              <w:rPr>
                <w:rFonts w:asciiTheme="minorHAnsi" w:hAnsiTheme="minorHAnsi" w:cstheme="minorBidi"/>
                <w:noProof/>
                <w:lang w:eastAsia="en-GB"/>
              </w:rPr>
              <w:tab/>
            </w:r>
            <w:r w:rsidR="001D3DC2" w:rsidRPr="00C878A4">
              <w:rPr>
                <w:rStyle w:val="Hyperlink"/>
                <w:noProof/>
              </w:rPr>
              <w:t>Appraisal summary</w:t>
            </w:r>
            <w:r w:rsidR="001D3DC2">
              <w:rPr>
                <w:noProof/>
                <w:webHidden/>
              </w:rPr>
              <w:tab/>
            </w:r>
            <w:r w:rsidR="001D3DC2">
              <w:rPr>
                <w:noProof/>
                <w:webHidden/>
              </w:rPr>
              <w:fldChar w:fldCharType="begin"/>
            </w:r>
            <w:r w:rsidR="001D3DC2">
              <w:rPr>
                <w:noProof/>
                <w:webHidden/>
              </w:rPr>
              <w:instrText xml:space="preserve"> PAGEREF _Toc121224104 \h </w:instrText>
            </w:r>
            <w:r w:rsidR="001D3DC2">
              <w:rPr>
                <w:noProof/>
                <w:webHidden/>
              </w:rPr>
            </w:r>
            <w:r w:rsidR="001D3DC2">
              <w:rPr>
                <w:noProof/>
                <w:webHidden/>
              </w:rPr>
              <w:fldChar w:fldCharType="separate"/>
            </w:r>
            <w:r w:rsidR="001D3DC2">
              <w:rPr>
                <w:noProof/>
                <w:webHidden/>
              </w:rPr>
              <w:t>18</w:t>
            </w:r>
            <w:r w:rsidR="001D3DC2">
              <w:rPr>
                <w:noProof/>
                <w:webHidden/>
              </w:rPr>
              <w:fldChar w:fldCharType="end"/>
            </w:r>
          </w:hyperlink>
        </w:p>
        <w:p w14:paraId="14747D16" w14:textId="582782A7" w:rsidR="001D3DC2" w:rsidRDefault="00000000">
          <w:pPr>
            <w:pStyle w:val="TOC2"/>
            <w:rPr>
              <w:rFonts w:asciiTheme="minorHAnsi" w:hAnsiTheme="minorHAnsi" w:cstheme="minorBidi"/>
              <w:noProof/>
              <w:lang w:eastAsia="en-GB"/>
            </w:rPr>
          </w:pPr>
          <w:hyperlink w:anchor="_Toc121224105" w:history="1">
            <w:r w:rsidR="001D3DC2" w:rsidRPr="00C878A4">
              <w:rPr>
                <w:rStyle w:val="Hyperlink"/>
                <w:noProof/>
              </w:rPr>
              <w:t>3.2.</w:t>
            </w:r>
            <w:r w:rsidR="001D3DC2">
              <w:rPr>
                <w:rFonts w:asciiTheme="minorHAnsi" w:hAnsiTheme="minorHAnsi" w:cstheme="minorBidi"/>
                <w:noProof/>
                <w:lang w:eastAsia="en-GB"/>
              </w:rPr>
              <w:tab/>
            </w:r>
            <w:r w:rsidR="001D3DC2" w:rsidRPr="00C878A4">
              <w:rPr>
                <w:rStyle w:val="Hyperlink"/>
                <w:noProof/>
              </w:rPr>
              <w:t>Assessment of Tide Turners to date</w:t>
            </w:r>
            <w:r w:rsidR="001D3DC2">
              <w:rPr>
                <w:noProof/>
                <w:webHidden/>
              </w:rPr>
              <w:tab/>
            </w:r>
            <w:r w:rsidR="001D3DC2">
              <w:rPr>
                <w:noProof/>
                <w:webHidden/>
              </w:rPr>
              <w:fldChar w:fldCharType="begin"/>
            </w:r>
            <w:r w:rsidR="001D3DC2">
              <w:rPr>
                <w:noProof/>
                <w:webHidden/>
              </w:rPr>
              <w:instrText xml:space="preserve"> PAGEREF _Toc121224105 \h </w:instrText>
            </w:r>
            <w:r w:rsidR="001D3DC2">
              <w:rPr>
                <w:noProof/>
                <w:webHidden/>
              </w:rPr>
            </w:r>
            <w:r w:rsidR="001D3DC2">
              <w:rPr>
                <w:noProof/>
                <w:webHidden/>
              </w:rPr>
              <w:fldChar w:fldCharType="separate"/>
            </w:r>
            <w:r w:rsidR="001D3DC2">
              <w:rPr>
                <w:noProof/>
                <w:webHidden/>
              </w:rPr>
              <w:t>18</w:t>
            </w:r>
            <w:r w:rsidR="001D3DC2">
              <w:rPr>
                <w:noProof/>
                <w:webHidden/>
              </w:rPr>
              <w:fldChar w:fldCharType="end"/>
            </w:r>
          </w:hyperlink>
        </w:p>
        <w:p w14:paraId="53EF670B" w14:textId="3BA20040" w:rsidR="001D3DC2" w:rsidRDefault="00000000">
          <w:pPr>
            <w:pStyle w:val="TOC2"/>
            <w:rPr>
              <w:rFonts w:asciiTheme="minorHAnsi" w:hAnsiTheme="minorHAnsi" w:cstheme="minorBidi"/>
              <w:noProof/>
              <w:lang w:eastAsia="en-GB"/>
            </w:rPr>
          </w:pPr>
          <w:hyperlink w:anchor="_Toc121224106" w:history="1">
            <w:r w:rsidR="001D3DC2" w:rsidRPr="00C878A4">
              <w:rPr>
                <w:rStyle w:val="Hyperlink"/>
                <w:noProof/>
              </w:rPr>
              <w:t>3.3.</w:t>
            </w:r>
            <w:r w:rsidR="001D3DC2">
              <w:rPr>
                <w:rFonts w:asciiTheme="minorHAnsi" w:hAnsiTheme="minorHAnsi" w:cstheme="minorBidi"/>
                <w:noProof/>
                <w:lang w:eastAsia="en-GB"/>
              </w:rPr>
              <w:tab/>
            </w:r>
            <w:r w:rsidR="001D3DC2" w:rsidRPr="00C878A4">
              <w:rPr>
                <w:rStyle w:val="Hyperlink"/>
                <w:noProof/>
              </w:rPr>
              <w:t>Appraisal design and shortlisted options</w:t>
            </w:r>
            <w:r w:rsidR="001D3DC2">
              <w:rPr>
                <w:noProof/>
                <w:webHidden/>
              </w:rPr>
              <w:tab/>
            </w:r>
            <w:r w:rsidR="001D3DC2">
              <w:rPr>
                <w:noProof/>
                <w:webHidden/>
              </w:rPr>
              <w:fldChar w:fldCharType="begin"/>
            </w:r>
            <w:r w:rsidR="001D3DC2">
              <w:rPr>
                <w:noProof/>
                <w:webHidden/>
              </w:rPr>
              <w:instrText xml:space="preserve"> PAGEREF _Toc121224106 \h </w:instrText>
            </w:r>
            <w:r w:rsidR="001D3DC2">
              <w:rPr>
                <w:noProof/>
                <w:webHidden/>
              </w:rPr>
            </w:r>
            <w:r w:rsidR="001D3DC2">
              <w:rPr>
                <w:noProof/>
                <w:webHidden/>
              </w:rPr>
              <w:fldChar w:fldCharType="separate"/>
            </w:r>
            <w:r w:rsidR="001D3DC2">
              <w:rPr>
                <w:noProof/>
                <w:webHidden/>
              </w:rPr>
              <w:t>19</w:t>
            </w:r>
            <w:r w:rsidR="001D3DC2">
              <w:rPr>
                <w:noProof/>
                <w:webHidden/>
              </w:rPr>
              <w:fldChar w:fldCharType="end"/>
            </w:r>
          </w:hyperlink>
        </w:p>
        <w:p w14:paraId="2250F7BA" w14:textId="6F6458E2" w:rsidR="001D3DC2" w:rsidRDefault="00000000">
          <w:pPr>
            <w:pStyle w:val="TOC2"/>
            <w:rPr>
              <w:rFonts w:asciiTheme="minorHAnsi" w:hAnsiTheme="minorHAnsi" w:cstheme="minorBidi"/>
              <w:noProof/>
              <w:lang w:eastAsia="en-GB"/>
            </w:rPr>
          </w:pPr>
          <w:hyperlink w:anchor="_Toc121224107" w:history="1">
            <w:r w:rsidR="001D3DC2" w:rsidRPr="00C878A4">
              <w:rPr>
                <w:rStyle w:val="Hyperlink"/>
                <w:noProof/>
              </w:rPr>
              <w:t>3.4.</w:t>
            </w:r>
            <w:r w:rsidR="001D3DC2">
              <w:rPr>
                <w:rFonts w:asciiTheme="minorHAnsi" w:hAnsiTheme="minorHAnsi" w:cstheme="minorBidi"/>
                <w:noProof/>
                <w:lang w:eastAsia="en-GB"/>
              </w:rPr>
              <w:tab/>
            </w:r>
            <w:r w:rsidR="001D3DC2" w:rsidRPr="00C878A4">
              <w:rPr>
                <w:rStyle w:val="Hyperlink"/>
                <w:noProof/>
              </w:rPr>
              <w:t>Appraisal of shortlisted options</w:t>
            </w:r>
            <w:r w:rsidR="001D3DC2">
              <w:rPr>
                <w:noProof/>
                <w:webHidden/>
              </w:rPr>
              <w:tab/>
            </w:r>
            <w:r w:rsidR="001D3DC2">
              <w:rPr>
                <w:noProof/>
                <w:webHidden/>
              </w:rPr>
              <w:fldChar w:fldCharType="begin"/>
            </w:r>
            <w:r w:rsidR="001D3DC2">
              <w:rPr>
                <w:noProof/>
                <w:webHidden/>
              </w:rPr>
              <w:instrText xml:space="preserve"> PAGEREF _Toc121224107 \h </w:instrText>
            </w:r>
            <w:r w:rsidR="001D3DC2">
              <w:rPr>
                <w:noProof/>
                <w:webHidden/>
              </w:rPr>
            </w:r>
            <w:r w:rsidR="001D3DC2">
              <w:rPr>
                <w:noProof/>
                <w:webHidden/>
              </w:rPr>
              <w:fldChar w:fldCharType="separate"/>
            </w:r>
            <w:r w:rsidR="001D3DC2">
              <w:rPr>
                <w:noProof/>
                <w:webHidden/>
              </w:rPr>
              <w:t>21</w:t>
            </w:r>
            <w:r w:rsidR="001D3DC2">
              <w:rPr>
                <w:noProof/>
                <w:webHidden/>
              </w:rPr>
              <w:fldChar w:fldCharType="end"/>
            </w:r>
          </w:hyperlink>
        </w:p>
        <w:p w14:paraId="173C4F2C" w14:textId="48BCC280" w:rsidR="001D3DC2" w:rsidRDefault="00000000">
          <w:pPr>
            <w:pStyle w:val="TOC2"/>
            <w:rPr>
              <w:rFonts w:asciiTheme="minorHAnsi" w:hAnsiTheme="minorHAnsi" w:cstheme="minorBidi"/>
              <w:noProof/>
              <w:lang w:eastAsia="en-GB"/>
            </w:rPr>
          </w:pPr>
          <w:hyperlink w:anchor="_Toc121224108" w:history="1">
            <w:r w:rsidR="001D3DC2" w:rsidRPr="00C878A4">
              <w:rPr>
                <w:rStyle w:val="Hyperlink"/>
                <w:noProof/>
              </w:rPr>
              <w:t>3.5.</w:t>
            </w:r>
            <w:r w:rsidR="001D3DC2">
              <w:rPr>
                <w:rFonts w:asciiTheme="minorHAnsi" w:hAnsiTheme="minorHAnsi" w:cstheme="minorBidi"/>
                <w:noProof/>
                <w:lang w:eastAsia="en-GB"/>
              </w:rPr>
              <w:tab/>
            </w:r>
            <w:r w:rsidR="001D3DC2" w:rsidRPr="00C878A4">
              <w:rPr>
                <w:rStyle w:val="Hyperlink"/>
                <w:noProof/>
              </w:rPr>
              <w:t>COSTS - The preferred option</w:t>
            </w:r>
            <w:r w:rsidR="001D3DC2">
              <w:rPr>
                <w:noProof/>
                <w:webHidden/>
              </w:rPr>
              <w:tab/>
            </w:r>
            <w:r w:rsidR="001D3DC2">
              <w:rPr>
                <w:noProof/>
                <w:webHidden/>
              </w:rPr>
              <w:fldChar w:fldCharType="begin"/>
            </w:r>
            <w:r w:rsidR="001D3DC2">
              <w:rPr>
                <w:noProof/>
                <w:webHidden/>
              </w:rPr>
              <w:instrText xml:space="preserve"> PAGEREF _Toc121224108 \h </w:instrText>
            </w:r>
            <w:r w:rsidR="001D3DC2">
              <w:rPr>
                <w:noProof/>
                <w:webHidden/>
              </w:rPr>
            </w:r>
            <w:r w:rsidR="001D3DC2">
              <w:rPr>
                <w:noProof/>
                <w:webHidden/>
              </w:rPr>
              <w:fldChar w:fldCharType="separate"/>
            </w:r>
            <w:r w:rsidR="001D3DC2">
              <w:rPr>
                <w:noProof/>
                <w:webHidden/>
              </w:rPr>
              <w:t>22</w:t>
            </w:r>
            <w:r w:rsidR="001D3DC2">
              <w:rPr>
                <w:noProof/>
                <w:webHidden/>
              </w:rPr>
              <w:fldChar w:fldCharType="end"/>
            </w:r>
          </w:hyperlink>
        </w:p>
        <w:p w14:paraId="7FB61216" w14:textId="60D77D71" w:rsidR="001D3DC2" w:rsidRDefault="00000000">
          <w:pPr>
            <w:pStyle w:val="TOC2"/>
            <w:rPr>
              <w:rFonts w:asciiTheme="minorHAnsi" w:hAnsiTheme="minorHAnsi" w:cstheme="minorBidi"/>
              <w:noProof/>
              <w:lang w:eastAsia="en-GB"/>
            </w:rPr>
          </w:pPr>
          <w:hyperlink w:anchor="_Toc121224109" w:history="1">
            <w:r w:rsidR="001D3DC2" w:rsidRPr="00C878A4">
              <w:rPr>
                <w:rStyle w:val="Hyperlink"/>
                <w:noProof/>
              </w:rPr>
              <w:t>3.6.</w:t>
            </w:r>
            <w:r w:rsidR="001D3DC2">
              <w:rPr>
                <w:rFonts w:asciiTheme="minorHAnsi" w:hAnsiTheme="minorHAnsi" w:cstheme="minorBidi"/>
                <w:noProof/>
                <w:lang w:eastAsia="en-GB"/>
              </w:rPr>
              <w:tab/>
            </w:r>
            <w:r w:rsidR="001D3DC2" w:rsidRPr="00C878A4">
              <w:rPr>
                <w:rStyle w:val="Hyperlink"/>
                <w:noProof/>
              </w:rPr>
              <w:t>Uncertainty</w:t>
            </w:r>
            <w:r w:rsidR="001D3DC2">
              <w:rPr>
                <w:noProof/>
                <w:webHidden/>
              </w:rPr>
              <w:tab/>
            </w:r>
            <w:r w:rsidR="001D3DC2">
              <w:rPr>
                <w:noProof/>
                <w:webHidden/>
              </w:rPr>
              <w:fldChar w:fldCharType="begin"/>
            </w:r>
            <w:r w:rsidR="001D3DC2">
              <w:rPr>
                <w:noProof/>
                <w:webHidden/>
              </w:rPr>
              <w:instrText xml:space="preserve"> PAGEREF _Toc121224109 \h </w:instrText>
            </w:r>
            <w:r w:rsidR="001D3DC2">
              <w:rPr>
                <w:noProof/>
                <w:webHidden/>
              </w:rPr>
            </w:r>
            <w:r w:rsidR="001D3DC2">
              <w:rPr>
                <w:noProof/>
                <w:webHidden/>
              </w:rPr>
              <w:fldChar w:fldCharType="separate"/>
            </w:r>
            <w:r w:rsidR="001D3DC2">
              <w:rPr>
                <w:noProof/>
                <w:webHidden/>
              </w:rPr>
              <w:t>24</w:t>
            </w:r>
            <w:r w:rsidR="001D3DC2">
              <w:rPr>
                <w:noProof/>
                <w:webHidden/>
              </w:rPr>
              <w:fldChar w:fldCharType="end"/>
            </w:r>
          </w:hyperlink>
        </w:p>
        <w:p w14:paraId="06E0E4A9" w14:textId="45BCEAF9" w:rsidR="001D3DC2" w:rsidRDefault="00000000">
          <w:pPr>
            <w:pStyle w:val="TOC2"/>
            <w:rPr>
              <w:rFonts w:asciiTheme="minorHAnsi" w:hAnsiTheme="minorHAnsi" w:cstheme="minorBidi"/>
              <w:noProof/>
              <w:lang w:eastAsia="en-GB"/>
            </w:rPr>
          </w:pPr>
          <w:hyperlink w:anchor="_Toc121224110" w:history="1">
            <w:r w:rsidR="001D3DC2" w:rsidRPr="00C878A4">
              <w:rPr>
                <w:rStyle w:val="Hyperlink"/>
                <w:noProof/>
              </w:rPr>
              <w:t>3.7.</w:t>
            </w:r>
            <w:r w:rsidR="001D3DC2">
              <w:rPr>
                <w:rFonts w:asciiTheme="minorHAnsi" w:hAnsiTheme="minorHAnsi" w:cstheme="minorBidi"/>
                <w:noProof/>
                <w:lang w:eastAsia="en-GB"/>
              </w:rPr>
              <w:tab/>
            </w:r>
            <w:r w:rsidR="001D3DC2" w:rsidRPr="00C878A4">
              <w:rPr>
                <w:rStyle w:val="Hyperlink"/>
                <w:noProof/>
              </w:rPr>
              <w:t>Value for money appraisal</w:t>
            </w:r>
            <w:r w:rsidR="001D3DC2">
              <w:rPr>
                <w:noProof/>
                <w:webHidden/>
              </w:rPr>
              <w:tab/>
            </w:r>
            <w:r w:rsidR="001D3DC2">
              <w:rPr>
                <w:noProof/>
                <w:webHidden/>
              </w:rPr>
              <w:fldChar w:fldCharType="begin"/>
            </w:r>
            <w:r w:rsidR="001D3DC2">
              <w:rPr>
                <w:noProof/>
                <w:webHidden/>
              </w:rPr>
              <w:instrText xml:space="preserve"> PAGEREF _Toc121224110 \h </w:instrText>
            </w:r>
            <w:r w:rsidR="001D3DC2">
              <w:rPr>
                <w:noProof/>
                <w:webHidden/>
              </w:rPr>
            </w:r>
            <w:r w:rsidR="001D3DC2">
              <w:rPr>
                <w:noProof/>
                <w:webHidden/>
              </w:rPr>
              <w:fldChar w:fldCharType="separate"/>
            </w:r>
            <w:r w:rsidR="001D3DC2">
              <w:rPr>
                <w:noProof/>
                <w:webHidden/>
              </w:rPr>
              <w:t>24</w:t>
            </w:r>
            <w:r w:rsidR="001D3DC2">
              <w:rPr>
                <w:noProof/>
                <w:webHidden/>
              </w:rPr>
              <w:fldChar w:fldCharType="end"/>
            </w:r>
          </w:hyperlink>
        </w:p>
        <w:p w14:paraId="7CB0D4DF" w14:textId="41AF7F5B" w:rsidR="001D3DC2" w:rsidRDefault="00000000">
          <w:pPr>
            <w:pStyle w:val="TOC1"/>
            <w:tabs>
              <w:tab w:val="left" w:pos="440"/>
              <w:tab w:val="right" w:leader="dot" w:pos="9016"/>
            </w:tabs>
            <w:rPr>
              <w:rFonts w:asciiTheme="minorHAnsi" w:hAnsiTheme="minorHAnsi" w:cstheme="minorBidi"/>
              <w:noProof/>
              <w:lang w:eastAsia="en-GB"/>
            </w:rPr>
          </w:pPr>
          <w:hyperlink w:anchor="_Toc121224111" w:history="1">
            <w:r w:rsidR="001D3DC2" w:rsidRPr="00C878A4">
              <w:rPr>
                <w:rStyle w:val="Hyperlink"/>
                <w:noProof/>
              </w:rPr>
              <w:t>4.</w:t>
            </w:r>
            <w:r w:rsidR="001D3DC2">
              <w:rPr>
                <w:rFonts w:asciiTheme="minorHAnsi" w:hAnsiTheme="minorHAnsi" w:cstheme="minorBidi"/>
                <w:noProof/>
                <w:lang w:eastAsia="en-GB"/>
              </w:rPr>
              <w:tab/>
            </w:r>
            <w:r w:rsidR="001D3DC2" w:rsidRPr="00C878A4">
              <w:rPr>
                <w:rStyle w:val="Hyperlink"/>
                <w:noProof/>
              </w:rPr>
              <w:t>COMMERCIAL CASE</w:t>
            </w:r>
            <w:r w:rsidR="001D3DC2">
              <w:rPr>
                <w:noProof/>
                <w:webHidden/>
              </w:rPr>
              <w:tab/>
            </w:r>
            <w:r w:rsidR="001D3DC2">
              <w:rPr>
                <w:noProof/>
                <w:webHidden/>
              </w:rPr>
              <w:fldChar w:fldCharType="begin"/>
            </w:r>
            <w:r w:rsidR="001D3DC2">
              <w:rPr>
                <w:noProof/>
                <w:webHidden/>
              </w:rPr>
              <w:instrText xml:space="preserve"> PAGEREF _Toc121224111 \h </w:instrText>
            </w:r>
            <w:r w:rsidR="001D3DC2">
              <w:rPr>
                <w:noProof/>
                <w:webHidden/>
              </w:rPr>
            </w:r>
            <w:r w:rsidR="001D3DC2">
              <w:rPr>
                <w:noProof/>
                <w:webHidden/>
              </w:rPr>
              <w:fldChar w:fldCharType="separate"/>
            </w:r>
            <w:r w:rsidR="001D3DC2">
              <w:rPr>
                <w:noProof/>
                <w:webHidden/>
              </w:rPr>
              <w:t>27</w:t>
            </w:r>
            <w:r w:rsidR="001D3DC2">
              <w:rPr>
                <w:noProof/>
                <w:webHidden/>
              </w:rPr>
              <w:fldChar w:fldCharType="end"/>
            </w:r>
          </w:hyperlink>
        </w:p>
        <w:p w14:paraId="26E37908" w14:textId="034D5E80" w:rsidR="001D3DC2" w:rsidRDefault="00000000">
          <w:pPr>
            <w:pStyle w:val="TOC2"/>
            <w:rPr>
              <w:rFonts w:asciiTheme="minorHAnsi" w:hAnsiTheme="minorHAnsi" w:cstheme="minorBidi"/>
              <w:noProof/>
              <w:lang w:eastAsia="en-GB"/>
            </w:rPr>
          </w:pPr>
          <w:hyperlink w:anchor="_Toc121224112" w:history="1">
            <w:r w:rsidR="001D3DC2" w:rsidRPr="00C878A4">
              <w:rPr>
                <w:rStyle w:val="Hyperlink"/>
                <w:noProof/>
              </w:rPr>
              <w:t>4.1.</w:t>
            </w:r>
            <w:r w:rsidR="001D3DC2">
              <w:rPr>
                <w:rFonts w:asciiTheme="minorHAnsi" w:hAnsiTheme="minorHAnsi" w:cstheme="minorBidi"/>
                <w:noProof/>
                <w:lang w:eastAsia="en-GB"/>
              </w:rPr>
              <w:tab/>
            </w:r>
            <w:r w:rsidR="001D3DC2" w:rsidRPr="00C878A4">
              <w:rPr>
                <w:rStyle w:val="Hyperlink"/>
                <w:noProof/>
              </w:rPr>
              <w:t>Commercial approach</w:t>
            </w:r>
            <w:r w:rsidR="001D3DC2">
              <w:rPr>
                <w:noProof/>
                <w:webHidden/>
              </w:rPr>
              <w:tab/>
            </w:r>
            <w:r w:rsidR="001D3DC2">
              <w:rPr>
                <w:noProof/>
                <w:webHidden/>
              </w:rPr>
              <w:fldChar w:fldCharType="begin"/>
            </w:r>
            <w:r w:rsidR="001D3DC2">
              <w:rPr>
                <w:noProof/>
                <w:webHidden/>
              </w:rPr>
              <w:instrText xml:space="preserve"> PAGEREF _Toc121224112 \h </w:instrText>
            </w:r>
            <w:r w:rsidR="001D3DC2">
              <w:rPr>
                <w:noProof/>
                <w:webHidden/>
              </w:rPr>
            </w:r>
            <w:r w:rsidR="001D3DC2">
              <w:rPr>
                <w:noProof/>
                <w:webHidden/>
              </w:rPr>
              <w:fldChar w:fldCharType="separate"/>
            </w:r>
            <w:r w:rsidR="001D3DC2">
              <w:rPr>
                <w:noProof/>
                <w:webHidden/>
              </w:rPr>
              <w:t>27</w:t>
            </w:r>
            <w:r w:rsidR="001D3DC2">
              <w:rPr>
                <w:noProof/>
                <w:webHidden/>
              </w:rPr>
              <w:fldChar w:fldCharType="end"/>
            </w:r>
          </w:hyperlink>
        </w:p>
        <w:p w14:paraId="7FA6F1DB" w14:textId="6E83D9A4" w:rsidR="001D3DC2" w:rsidRDefault="00000000">
          <w:pPr>
            <w:pStyle w:val="TOC2"/>
            <w:rPr>
              <w:rFonts w:asciiTheme="minorHAnsi" w:hAnsiTheme="minorHAnsi" w:cstheme="minorBidi"/>
              <w:noProof/>
              <w:lang w:eastAsia="en-GB"/>
            </w:rPr>
          </w:pPr>
          <w:hyperlink w:anchor="_Toc121224113" w:history="1">
            <w:r w:rsidR="001D3DC2" w:rsidRPr="00C878A4">
              <w:rPr>
                <w:rStyle w:val="Hyperlink"/>
                <w:noProof/>
              </w:rPr>
              <w:t>4.2.</w:t>
            </w:r>
            <w:r w:rsidR="001D3DC2">
              <w:rPr>
                <w:rFonts w:asciiTheme="minorHAnsi" w:hAnsiTheme="minorHAnsi" w:cstheme="minorBidi"/>
                <w:noProof/>
                <w:lang w:eastAsia="en-GB"/>
              </w:rPr>
              <w:tab/>
            </w:r>
            <w:r w:rsidR="001D3DC2" w:rsidRPr="00C878A4">
              <w:rPr>
                <w:rStyle w:val="Hyperlink"/>
                <w:noProof/>
              </w:rPr>
              <w:t>Ensuring value for money through procurement</w:t>
            </w:r>
            <w:r w:rsidR="001D3DC2">
              <w:rPr>
                <w:noProof/>
                <w:webHidden/>
              </w:rPr>
              <w:tab/>
            </w:r>
            <w:r w:rsidR="001D3DC2">
              <w:rPr>
                <w:noProof/>
                <w:webHidden/>
              </w:rPr>
              <w:fldChar w:fldCharType="begin"/>
            </w:r>
            <w:r w:rsidR="001D3DC2">
              <w:rPr>
                <w:noProof/>
                <w:webHidden/>
              </w:rPr>
              <w:instrText xml:space="preserve"> PAGEREF _Toc121224113 \h </w:instrText>
            </w:r>
            <w:r w:rsidR="001D3DC2">
              <w:rPr>
                <w:noProof/>
                <w:webHidden/>
              </w:rPr>
            </w:r>
            <w:r w:rsidR="001D3DC2">
              <w:rPr>
                <w:noProof/>
                <w:webHidden/>
              </w:rPr>
              <w:fldChar w:fldCharType="separate"/>
            </w:r>
            <w:r w:rsidR="001D3DC2">
              <w:rPr>
                <w:noProof/>
                <w:webHidden/>
              </w:rPr>
              <w:t>27</w:t>
            </w:r>
            <w:r w:rsidR="001D3DC2">
              <w:rPr>
                <w:noProof/>
                <w:webHidden/>
              </w:rPr>
              <w:fldChar w:fldCharType="end"/>
            </w:r>
          </w:hyperlink>
        </w:p>
        <w:p w14:paraId="4299697A" w14:textId="6FB67D0B" w:rsidR="001D3DC2" w:rsidRDefault="00000000">
          <w:pPr>
            <w:pStyle w:val="TOC2"/>
            <w:rPr>
              <w:rFonts w:asciiTheme="minorHAnsi" w:hAnsiTheme="minorHAnsi" w:cstheme="minorBidi"/>
              <w:noProof/>
              <w:lang w:eastAsia="en-GB"/>
            </w:rPr>
          </w:pPr>
          <w:hyperlink w:anchor="_Toc121224114" w:history="1">
            <w:r w:rsidR="001D3DC2" w:rsidRPr="00C878A4">
              <w:rPr>
                <w:rStyle w:val="Hyperlink"/>
                <w:noProof/>
              </w:rPr>
              <w:t>4.3.</w:t>
            </w:r>
            <w:r w:rsidR="001D3DC2">
              <w:rPr>
                <w:rFonts w:asciiTheme="minorHAnsi" w:hAnsiTheme="minorHAnsi" w:cstheme="minorBidi"/>
                <w:noProof/>
                <w:lang w:eastAsia="en-GB"/>
              </w:rPr>
              <w:tab/>
            </w:r>
            <w:r w:rsidR="001D3DC2" w:rsidRPr="00C878A4">
              <w:rPr>
                <w:rStyle w:val="Hyperlink"/>
                <w:noProof/>
              </w:rPr>
              <w:t>Financial management and ability of partners to deliver</w:t>
            </w:r>
            <w:r w:rsidR="001D3DC2">
              <w:rPr>
                <w:noProof/>
                <w:webHidden/>
              </w:rPr>
              <w:tab/>
            </w:r>
            <w:r w:rsidR="001D3DC2">
              <w:rPr>
                <w:noProof/>
                <w:webHidden/>
              </w:rPr>
              <w:fldChar w:fldCharType="begin"/>
            </w:r>
            <w:r w:rsidR="001D3DC2">
              <w:rPr>
                <w:noProof/>
                <w:webHidden/>
              </w:rPr>
              <w:instrText xml:space="preserve"> PAGEREF _Toc121224114 \h </w:instrText>
            </w:r>
            <w:r w:rsidR="001D3DC2">
              <w:rPr>
                <w:noProof/>
                <w:webHidden/>
              </w:rPr>
            </w:r>
            <w:r w:rsidR="001D3DC2">
              <w:rPr>
                <w:noProof/>
                <w:webHidden/>
              </w:rPr>
              <w:fldChar w:fldCharType="separate"/>
            </w:r>
            <w:r w:rsidR="001D3DC2">
              <w:rPr>
                <w:noProof/>
                <w:webHidden/>
              </w:rPr>
              <w:t>27</w:t>
            </w:r>
            <w:r w:rsidR="001D3DC2">
              <w:rPr>
                <w:noProof/>
                <w:webHidden/>
              </w:rPr>
              <w:fldChar w:fldCharType="end"/>
            </w:r>
          </w:hyperlink>
        </w:p>
        <w:p w14:paraId="12703E2C" w14:textId="39E36FE0" w:rsidR="001D3DC2" w:rsidRDefault="00000000">
          <w:pPr>
            <w:pStyle w:val="TOC2"/>
            <w:rPr>
              <w:rFonts w:asciiTheme="minorHAnsi" w:hAnsiTheme="minorHAnsi" w:cstheme="minorBidi"/>
              <w:noProof/>
              <w:lang w:eastAsia="en-GB"/>
            </w:rPr>
          </w:pPr>
          <w:hyperlink w:anchor="_Toc121224115" w:history="1">
            <w:r w:rsidR="001D3DC2" w:rsidRPr="00C878A4">
              <w:rPr>
                <w:rStyle w:val="Hyperlink"/>
                <w:noProof/>
              </w:rPr>
              <w:t>4.4.</w:t>
            </w:r>
            <w:r w:rsidR="001D3DC2">
              <w:rPr>
                <w:rFonts w:asciiTheme="minorHAnsi" w:hAnsiTheme="minorHAnsi" w:cstheme="minorBidi"/>
                <w:noProof/>
                <w:lang w:eastAsia="en-GB"/>
              </w:rPr>
              <w:tab/>
            </w:r>
            <w:r w:rsidR="001D3DC2" w:rsidRPr="00C878A4">
              <w:rPr>
                <w:rStyle w:val="Hyperlink"/>
                <w:noProof/>
              </w:rPr>
              <w:t>Commercial risks to UNEP (Tide Turners Programme)</w:t>
            </w:r>
            <w:r w:rsidR="001D3DC2">
              <w:rPr>
                <w:noProof/>
                <w:webHidden/>
              </w:rPr>
              <w:tab/>
            </w:r>
            <w:r w:rsidR="001D3DC2">
              <w:rPr>
                <w:noProof/>
                <w:webHidden/>
              </w:rPr>
              <w:fldChar w:fldCharType="begin"/>
            </w:r>
            <w:r w:rsidR="001D3DC2">
              <w:rPr>
                <w:noProof/>
                <w:webHidden/>
              </w:rPr>
              <w:instrText xml:space="preserve"> PAGEREF _Toc121224115 \h </w:instrText>
            </w:r>
            <w:r w:rsidR="001D3DC2">
              <w:rPr>
                <w:noProof/>
                <w:webHidden/>
              </w:rPr>
            </w:r>
            <w:r w:rsidR="001D3DC2">
              <w:rPr>
                <w:noProof/>
                <w:webHidden/>
              </w:rPr>
              <w:fldChar w:fldCharType="separate"/>
            </w:r>
            <w:r w:rsidR="001D3DC2">
              <w:rPr>
                <w:noProof/>
                <w:webHidden/>
              </w:rPr>
              <w:t>29</w:t>
            </w:r>
            <w:r w:rsidR="001D3DC2">
              <w:rPr>
                <w:noProof/>
                <w:webHidden/>
              </w:rPr>
              <w:fldChar w:fldCharType="end"/>
            </w:r>
          </w:hyperlink>
        </w:p>
        <w:p w14:paraId="770DD115" w14:textId="3F2D33C1" w:rsidR="001D3DC2" w:rsidRDefault="00000000">
          <w:pPr>
            <w:pStyle w:val="TOC1"/>
            <w:tabs>
              <w:tab w:val="left" w:pos="440"/>
              <w:tab w:val="right" w:leader="dot" w:pos="9016"/>
            </w:tabs>
            <w:rPr>
              <w:rFonts w:asciiTheme="minorHAnsi" w:hAnsiTheme="minorHAnsi" w:cstheme="minorBidi"/>
              <w:noProof/>
              <w:lang w:eastAsia="en-GB"/>
            </w:rPr>
          </w:pPr>
          <w:hyperlink w:anchor="_Toc121224116" w:history="1">
            <w:r w:rsidR="001D3DC2" w:rsidRPr="00C878A4">
              <w:rPr>
                <w:rStyle w:val="Hyperlink"/>
                <w:noProof/>
              </w:rPr>
              <w:t>5.</w:t>
            </w:r>
            <w:r w:rsidR="001D3DC2">
              <w:rPr>
                <w:rFonts w:asciiTheme="minorHAnsi" w:hAnsiTheme="minorHAnsi" w:cstheme="minorBidi"/>
                <w:noProof/>
                <w:lang w:eastAsia="en-GB"/>
              </w:rPr>
              <w:tab/>
            </w:r>
            <w:r w:rsidR="001D3DC2" w:rsidRPr="00C878A4">
              <w:rPr>
                <w:rStyle w:val="Hyperlink"/>
                <w:noProof/>
              </w:rPr>
              <w:t>FINANCIAL CASE</w:t>
            </w:r>
            <w:r w:rsidR="001D3DC2">
              <w:rPr>
                <w:noProof/>
                <w:webHidden/>
              </w:rPr>
              <w:tab/>
            </w:r>
            <w:r w:rsidR="001D3DC2">
              <w:rPr>
                <w:noProof/>
                <w:webHidden/>
              </w:rPr>
              <w:fldChar w:fldCharType="begin"/>
            </w:r>
            <w:r w:rsidR="001D3DC2">
              <w:rPr>
                <w:noProof/>
                <w:webHidden/>
              </w:rPr>
              <w:instrText xml:space="preserve"> PAGEREF _Toc121224116 \h </w:instrText>
            </w:r>
            <w:r w:rsidR="001D3DC2">
              <w:rPr>
                <w:noProof/>
                <w:webHidden/>
              </w:rPr>
            </w:r>
            <w:r w:rsidR="001D3DC2">
              <w:rPr>
                <w:noProof/>
                <w:webHidden/>
              </w:rPr>
              <w:fldChar w:fldCharType="separate"/>
            </w:r>
            <w:r w:rsidR="001D3DC2">
              <w:rPr>
                <w:noProof/>
                <w:webHidden/>
              </w:rPr>
              <w:t>30</w:t>
            </w:r>
            <w:r w:rsidR="001D3DC2">
              <w:rPr>
                <w:noProof/>
                <w:webHidden/>
              </w:rPr>
              <w:fldChar w:fldCharType="end"/>
            </w:r>
          </w:hyperlink>
        </w:p>
        <w:p w14:paraId="681B0E2F" w14:textId="6ADA8253" w:rsidR="001D3DC2" w:rsidRDefault="00000000">
          <w:pPr>
            <w:pStyle w:val="TOC2"/>
            <w:rPr>
              <w:rFonts w:asciiTheme="minorHAnsi" w:hAnsiTheme="minorHAnsi" w:cstheme="minorBidi"/>
              <w:noProof/>
              <w:lang w:eastAsia="en-GB"/>
            </w:rPr>
          </w:pPr>
          <w:hyperlink w:anchor="_Toc121224117" w:history="1">
            <w:r w:rsidR="001D3DC2" w:rsidRPr="00C878A4">
              <w:rPr>
                <w:rStyle w:val="Hyperlink"/>
                <w:noProof/>
              </w:rPr>
              <w:t>5.1.</w:t>
            </w:r>
            <w:r w:rsidR="001D3DC2">
              <w:rPr>
                <w:rFonts w:asciiTheme="minorHAnsi" w:hAnsiTheme="minorHAnsi" w:cstheme="minorBidi"/>
                <w:noProof/>
                <w:lang w:eastAsia="en-GB"/>
              </w:rPr>
              <w:tab/>
            </w:r>
            <w:r w:rsidR="001D3DC2" w:rsidRPr="00C878A4">
              <w:rPr>
                <w:rStyle w:val="Hyperlink"/>
                <w:noProof/>
              </w:rPr>
              <w:t>Accounting Officer Tests</w:t>
            </w:r>
            <w:r w:rsidR="001D3DC2">
              <w:rPr>
                <w:noProof/>
                <w:webHidden/>
              </w:rPr>
              <w:tab/>
            </w:r>
            <w:r w:rsidR="001D3DC2">
              <w:rPr>
                <w:noProof/>
                <w:webHidden/>
              </w:rPr>
              <w:fldChar w:fldCharType="begin"/>
            </w:r>
            <w:r w:rsidR="001D3DC2">
              <w:rPr>
                <w:noProof/>
                <w:webHidden/>
              </w:rPr>
              <w:instrText xml:space="preserve"> PAGEREF _Toc121224117 \h </w:instrText>
            </w:r>
            <w:r w:rsidR="001D3DC2">
              <w:rPr>
                <w:noProof/>
                <w:webHidden/>
              </w:rPr>
            </w:r>
            <w:r w:rsidR="001D3DC2">
              <w:rPr>
                <w:noProof/>
                <w:webHidden/>
              </w:rPr>
              <w:fldChar w:fldCharType="separate"/>
            </w:r>
            <w:r w:rsidR="001D3DC2">
              <w:rPr>
                <w:noProof/>
                <w:webHidden/>
              </w:rPr>
              <w:t>30</w:t>
            </w:r>
            <w:r w:rsidR="001D3DC2">
              <w:rPr>
                <w:noProof/>
                <w:webHidden/>
              </w:rPr>
              <w:fldChar w:fldCharType="end"/>
            </w:r>
          </w:hyperlink>
        </w:p>
        <w:p w14:paraId="70FC0F24" w14:textId="009CC559" w:rsidR="001D3DC2" w:rsidRDefault="00000000">
          <w:pPr>
            <w:pStyle w:val="TOC2"/>
            <w:rPr>
              <w:rFonts w:asciiTheme="minorHAnsi" w:hAnsiTheme="minorHAnsi" w:cstheme="minorBidi"/>
              <w:noProof/>
              <w:lang w:eastAsia="en-GB"/>
            </w:rPr>
          </w:pPr>
          <w:hyperlink w:anchor="_Toc121224118" w:history="1">
            <w:r w:rsidR="001D3DC2" w:rsidRPr="00C878A4">
              <w:rPr>
                <w:rStyle w:val="Hyperlink"/>
                <w:noProof/>
              </w:rPr>
              <w:t>5.2.</w:t>
            </w:r>
            <w:r w:rsidR="001D3DC2">
              <w:rPr>
                <w:rFonts w:asciiTheme="minorHAnsi" w:hAnsiTheme="minorHAnsi" w:cstheme="minorBidi"/>
                <w:noProof/>
                <w:lang w:eastAsia="en-GB"/>
              </w:rPr>
              <w:tab/>
            </w:r>
            <w:r w:rsidR="001D3DC2" w:rsidRPr="00C878A4">
              <w:rPr>
                <w:rStyle w:val="Hyperlink"/>
                <w:noProof/>
              </w:rPr>
              <w:t>Nature and value of the expected costs</w:t>
            </w:r>
            <w:r w:rsidR="001D3DC2">
              <w:rPr>
                <w:noProof/>
                <w:webHidden/>
              </w:rPr>
              <w:tab/>
            </w:r>
            <w:r w:rsidR="001D3DC2">
              <w:rPr>
                <w:noProof/>
                <w:webHidden/>
              </w:rPr>
              <w:fldChar w:fldCharType="begin"/>
            </w:r>
            <w:r w:rsidR="001D3DC2">
              <w:rPr>
                <w:noProof/>
                <w:webHidden/>
              </w:rPr>
              <w:instrText xml:space="preserve"> PAGEREF _Toc121224118 \h </w:instrText>
            </w:r>
            <w:r w:rsidR="001D3DC2">
              <w:rPr>
                <w:noProof/>
                <w:webHidden/>
              </w:rPr>
            </w:r>
            <w:r w:rsidR="001D3DC2">
              <w:rPr>
                <w:noProof/>
                <w:webHidden/>
              </w:rPr>
              <w:fldChar w:fldCharType="separate"/>
            </w:r>
            <w:r w:rsidR="001D3DC2">
              <w:rPr>
                <w:noProof/>
                <w:webHidden/>
              </w:rPr>
              <w:t>30</w:t>
            </w:r>
            <w:r w:rsidR="001D3DC2">
              <w:rPr>
                <w:noProof/>
                <w:webHidden/>
              </w:rPr>
              <w:fldChar w:fldCharType="end"/>
            </w:r>
          </w:hyperlink>
        </w:p>
        <w:p w14:paraId="10DDD1C4" w14:textId="7C41DB1D" w:rsidR="001D3DC2" w:rsidRDefault="00000000">
          <w:pPr>
            <w:pStyle w:val="TOC2"/>
            <w:rPr>
              <w:rFonts w:asciiTheme="minorHAnsi" w:hAnsiTheme="minorHAnsi" w:cstheme="minorBidi"/>
              <w:noProof/>
              <w:lang w:eastAsia="en-GB"/>
            </w:rPr>
          </w:pPr>
          <w:hyperlink w:anchor="_Toc121224119" w:history="1">
            <w:r w:rsidR="001D3DC2" w:rsidRPr="00C878A4">
              <w:rPr>
                <w:rStyle w:val="Hyperlink"/>
                <w:noProof/>
              </w:rPr>
              <w:t>5.3.</w:t>
            </w:r>
            <w:r w:rsidR="001D3DC2">
              <w:rPr>
                <w:rFonts w:asciiTheme="minorHAnsi" w:hAnsiTheme="minorHAnsi" w:cstheme="minorBidi"/>
                <w:noProof/>
                <w:lang w:eastAsia="en-GB"/>
              </w:rPr>
              <w:tab/>
            </w:r>
            <w:r w:rsidR="001D3DC2" w:rsidRPr="00C878A4">
              <w:rPr>
                <w:rStyle w:val="Hyperlink"/>
                <w:noProof/>
              </w:rPr>
              <w:t>Schedule of funding / costs (i.e. high-level budget)</w:t>
            </w:r>
            <w:r w:rsidR="001D3DC2">
              <w:rPr>
                <w:noProof/>
                <w:webHidden/>
              </w:rPr>
              <w:tab/>
            </w:r>
            <w:r w:rsidR="001D3DC2">
              <w:rPr>
                <w:noProof/>
                <w:webHidden/>
              </w:rPr>
              <w:fldChar w:fldCharType="begin"/>
            </w:r>
            <w:r w:rsidR="001D3DC2">
              <w:rPr>
                <w:noProof/>
                <w:webHidden/>
              </w:rPr>
              <w:instrText xml:space="preserve"> PAGEREF _Toc121224119 \h </w:instrText>
            </w:r>
            <w:r w:rsidR="001D3DC2">
              <w:rPr>
                <w:noProof/>
                <w:webHidden/>
              </w:rPr>
            </w:r>
            <w:r w:rsidR="001D3DC2">
              <w:rPr>
                <w:noProof/>
                <w:webHidden/>
              </w:rPr>
              <w:fldChar w:fldCharType="separate"/>
            </w:r>
            <w:r w:rsidR="001D3DC2">
              <w:rPr>
                <w:noProof/>
                <w:webHidden/>
              </w:rPr>
              <w:t>31</w:t>
            </w:r>
            <w:r w:rsidR="001D3DC2">
              <w:rPr>
                <w:noProof/>
                <w:webHidden/>
              </w:rPr>
              <w:fldChar w:fldCharType="end"/>
            </w:r>
          </w:hyperlink>
        </w:p>
        <w:p w14:paraId="28C4FF15" w14:textId="5FE30056" w:rsidR="001D3DC2" w:rsidRDefault="00000000">
          <w:pPr>
            <w:pStyle w:val="TOC2"/>
            <w:rPr>
              <w:rFonts w:asciiTheme="minorHAnsi" w:hAnsiTheme="minorHAnsi" w:cstheme="minorBidi"/>
              <w:noProof/>
              <w:lang w:eastAsia="en-GB"/>
            </w:rPr>
          </w:pPr>
          <w:hyperlink w:anchor="_Toc121224120" w:history="1">
            <w:r w:rsidR="001D3DC2" w:rsidRPr="00C878A4">
              <w:rPr>
                <w:rStyle w:val="Hyperlink"/>
                <w:noProof/>
              </w:rPr>
              <w:t>5.4.</w:t>
            </w:r>
            <w:r w:rsidR="001D3DC2">
              <w:rPr>
                <w:rFonts w:asciiTheme="minorHAnsi" w:hAnsiTheme="minorHAnsi" w:cstheme="minorBidi"/>
                <w:noProof/>
                <w:lang w:eastAsia="en-GB"/>
              </w:rPr>
              <w:tab/>
            </w:r>
            <w:r w:rsidR="001D3DC2" w:rsidRPr="00C878A4">
              <w:rPr>
                <w:rStyle w:val="Hyperlink"/>
                <w:noProof/>
              </w:rPr>
              <w:t>Financial Accounting Considerations for Defra</w:t>
            </w:r>
            <w:r w:rsidR="001D3DC2">
              <w:rPr>
                <w:noProof/>
                <w:webHidden/>
              </w:rPr>
              <w:tab/>
            </w:r>
            <w:r w:rsidR="001D3DC2">
              <w:rPr>
                <w:noProof/>
                <w:webHidden/>
              </w:rPr>
              <w:fldChar w:fldCharType="begin"/>
            </w:r>
            <w:r w:rsidR="001D3DC2">
              <w:rPr>
                <w:noProof/>
                <w:webHidden/>
              </w:rPr>
              <w:instrText xml:space="preserve"> PAGEREF _Toc121224120 \h </w:instrText>
            </w:r>
            <w:r w:rsidR="001D3DC2">
              <w:rPr>
                <w:noProof/>
                <w:webHidden/>
              </w:rPr>
            </w:r>
            <w:r w:rsidR="001D3DC2">
              <w:rPr>
                <w:noProof/>
                <w:webHidden/>
              </w:rPr>
              <w:fldChar w:fldCharType="separate"/>
            </w:r>
            <w:r w:rsidR="001D3DC2">
              <w:rPr>
                <w:noProof/>
                <w:webHidden/>
              </w:rPr>
              <w:t>31</w:t>
            </w:r>
            <w:r w:rsidR="001D3DC2">
              <w:rPr>
                <w:noProof/>
                <w:webHidden/>
              </w:rPr>
              <w:fldChar w:fldCharType="end"/>
            </w:r>
          </w:hyperlink>
        </w:p>
        <w:p w14:paraId="287A88EB" w14:textId="6B099E37" w:rsidR="001D3DC2" w:rsidRDefault="00000000">
          <w:pPr>
            <w:pStyle w:val="TOC2"/>
            <w:rPr>
              <w:rFonts w:asciiTheme="minorHAnsi" w:hAnsiTheme="minorHAnsi" w:cstheme="minorBidi"/>
              <w:noProof/>
              <w:lang w:eastAsia="en-GB"/>
            </w:rPr>
          </w:pPr>
          <w:hyperlink w:anchor="_Toc121224121" w:history="1">
            <w:r w:rsidR="001D3DC2" w:rsidRPr="00C878A4">
              <w:rPr>
                <w:rStyle w:val="Hyperlink"/>
                <w:noProof/>
              </w:rPr>
              <w:t>5.5.</w:t>
            </w:r>
            <w:r w:rsidR="001D3DC2">
              <w:rPr>
                <w:rFonts w:asciiTheme="minorHAnsi" w:hAnsiTheme="minorHAnsi" w:cstheme="minorBidi"/>
                <w:noProof/>
                <w:lang w:eastAsia="en-GB"/>
              </w:rPr>
              <w:tab/>
            </w:r>
            <w:r w:rsidR="001D3DC2" w:rsidRPr="00C878A4">
              <w:rPr>
                <w:rStyle w:val="Hyperlink"/>
                <w:noProof/>
              </w:rPr>
              <w:t>Monitoring, reporting and accounting for expenditure</w:t>
            </w:r>
            <w:r w:rsidR="001D3DC2">
              <w:rPr>
                <w:noProof/>
                <w:webHidden/>
              </w:rPr>
              <w:tab/>
            </w:r>
            <w:r w:rsidR="001D3DC2">
              <w:rPr>
                <w:noProof/>
                <w:webHidden/>
              </w:rPr>
              <w:fldChar w:fldCharType="begin"/>
            </w:r>
            <w:r w:rsidR="001D3DC2">
              <w:rPr>
                <w:noProof/>
                <w:webHidden/>
              </w:rPr>
              <w:instrText xml:space="preserve"> PAGEREF _Toc121224121 \h </w:instrText>
            </w:r>
            <w:r w:rsidR="001D3DC2">
              <w:rPr>
                <w:noProof/>
                <w:webHidden/>
              </w:rPr>
            </w:r>
            <w:r w:rsidR="001D3DC2">
              <w:rPr>
                <w:noProof/>
                <w:webHidden/>
              </w:rPr>
              <w:fldChar w:fldCharType="separate"/>
            </w:r>
            <w:r w:rsidR="001D3DC2">
              <w:rPr>
                <w:noProof/>
                <w:webHidden/>
              </w:rPr>
              <w:t>31</w:t>
            </w:r>
            <w:r w:rsidR="001D3DC2">
              <w:rPr>
                <w:noProof/>
                <w:webHidden/>
              </w:rPr>
              <w:fldChar w:fldCharType="end"/>
            </w:r>
          </w:hyperlink>
        </w:p>
        <w:p w14:paraId="7FE3735D" w14:textId="21E03BAC" w:rsidR="001D3DC2" w:rsidRDefault="00000000">
          <w:pPr>
            <w:pStyle w:val="TOC2"/>
            <w:rPr>
              <w:rFonts w:asciiTheme="minorHAnsi" w:hAnsiTheme="minorHAnsi" w:cstheme="minorBidi"/>
              <w:noProof/>
              <w:lang w:eastAsia="en-GB"/>
            </w:rPr>
          </w:pPr>
          <w:hyperlink w:anchor="_Toc121224122" w:history="1">
            <w:r w:rsidR="001D3DC2" w:rsidRPr="00C878A4">
              <w:rPr>
                <w:rStyle w:val="Hyperlink"/>
                <w:noProof/>
              </w:rPr>
              <w:t>5.6.</w:t>
            </w:r>
            <w:r w:rsidR="001D3DC2">
              <w:rPr>
                <w:rFonts w:asciiTheme="minorHAnsi" w:hAnsiTheme="minorHAnsi" w:cstheme="minorBidi"/>
                <w:noProof/>
                <w:lang w:eastAsia="en-GB"/>
              </w:rPr>
              <w:tab/>
            </w:r>
            <w:r w:rsidR="001D3DC2" w:rsidRPr="00C878A4">
              <w:rPr>
                <w:rStyle w:val="Hyperlink"/>
                <w:noProof/>
              </w:rPr>
              <w:t>Financial management</w:t>
            </w:r>
            <w:r w:rsidR="001D3DC2">
              <w:rPr>
                <w:noProof/>
                <w:webHidden/>
              </w:rPr>
              <w:tab/>
            </w:r>
            <w:r w:rsidR="001D3DC2">
              <w:rPr>
                <w:noProof/>
                <w:webHidden/>
              </w:rPr>
              <w:fldChar w:fldCharType="begin"/>
            </w:r>
            <w:r w:rsidR="001D3DC2">
              <w:rPr>
                <w:noProof/>
                <w:webHidden/>
              </w:rPr>
              <w:instrText xml:space="preserve"> PAGEREF _Toc121224122 \h </w:instrText>
            </w:r>
            <w:r w:rsidR="001D3DC2">
              <w:rPr>
                <w:noProof/>
                <w:webHidden/>
              </w:rPr>
            </w:r>
            <w:r w:rsidR="001D3DC2">
              <w:rPr>
                <w:noProof/>
                <w:webHidden/>
              </w:rPr>
              <w:fldChar w:fldCharType="separate"/>
            </w:r>
            <w:r w:rsidR="001D3DC2">
              <w:rPr>
                <w:noProof/>
                <w:webHidden/>
              </w:rPr>
              <w:t>32</w:t>
            </w:r>
            <w:r w:rsidR="001D3DC2">
              <w:rPr>
                <w:noProof/>
                <w:webHidden/>
              </w:rPr>
              <w:fldChar w:fldCharType="end"/>
            </w:r>
          </w:hyperlink>
        </w:p>
        <w:p w14:paraId="53CDA860" w14:textId="4A5E9E6C" w:rsidR="001D3DC2" w:rsidRDefault="00000000">
          <w:pPr>
            <w:pStyle w:val="TOC2"/>
            <w:rPr>
              <w:rFonts w:asciiTheme="minorHAnsi" w:hAnsiTheme="minorHAnsi" w:cstheme="minorBidi"/>
              <w:noProof/>
              <w:lang w:eastAsia="en-GB"/>
            </w:rPr>
          </w:pPr>
          <w:hyperlink w:anchor="_Toc121224123" w:history="1">
            <w:r w:rsidR="001D3DC2" w:rsidRPr="00C878A4">
              <w:rPr>
                <w:rStyle w:val="Hyperlink"/>
                <w:noProof/>
              </w:rPr>
              <w:t>5.7.</w:t>
            </w:r>
            <w:r w:rsidR="001D3DC2">
              <w:rPr>
                <w:rFonts w:asciiTheme="minorHAnsi" w:hAnsiTheme="minorHAnsi" w:cstheme="minorBidi"/>
                <w:noProof/>
                <w:lang w:eastAsia="en-GB"/>
              </w:rPr>
              <w:tab/>
            </w:r>
            <w:r w:rsidR="001D3DC2" w:rsidRPr="00C878A4">
              <w:rPr>
                <w:rStyle w:val="Hyperlink"/>
                <w:noProof/>
              </w:rPr>
              <w:t>Financial and fraud risk assessment</w:t>
            </w:r>
            <w:r w:rsidR="001D3DC2">
              <w:rPr>
                <w:noProof/>
                <w:webHidden/>
              </w:rPr>
              <w:tab/>
            </w:r>
            <w:r w:rsidR="001D3DC2">
              <w:rPr>
                <w:noProof/>
                <w:webHidden/>
              </w:rPr>
              <w:fldChar w:fldCharType="begin"/>
            </w:r>
            <w:r w:rsidR="001D3DC2">
              <w:rPr>
                <w:noProof/>
                <w:webHidden/>
              </w:rPr>
              <w:instrText xml:space="preserve"> PAGEREF _Toc121224123 \h </w:instrText>
            </w:r>
            <w:r w:rsidR="001D3DC2">
              <w:rPr>
                <w:noProof/>
                <w:webHidden/>
              </w:rPr>
            </w:r>
            <w:r w:rsidR="001D3DC2">
              <w:rPr>
                <w:noProof/>
                <w:webHidden/>
              </w:rPr>
              <w:fldChar w:fldCharType="separate"/>
            </w:r>
            <w:r w:rsidR="001D3DC2">
              <w:rPr>
                <w:noProof/>
                <w:webHidden/>
              </w:rPr>
              <w:t>32</w:t>
            </w:r>
            <w:r w:rsidR="001D3DC2">
              <w:rPr>
                <w:noProof/>
                <w:webHidden/>
              </w:rPr>
              <w:fldChar w:fldCharType="end"/>
            </w:r>
          </w:hyperlink>
        </w:p>
        <w:p w14:paraId="13C152CE" w14:textId="61E8D74D" w:rsidR="001D3DC2" w:rsidRDefault="00000000">
          <w:pPr>
            <w:pStyle w:val="TOC2"/>
            <w:rPr>
              <w:rFonts w:asciiTheme="minorHAnsi" w:hAnsiTheme="minorHAnsi" w:cstheme="minorBidi"/>
              <w:noProof/>
              <w:lang w:eastAsia="en-GB"/>
            </w:rPr>
          </w:pPr>
          <w:hyperlink w:anchor="_Toc121224124" w:history="1">
            <w:r w:rsidR="001D3DC2" w:rsidRPr="00C878A4">
              <w:rPr>
                <w:rStyle w:val="Hyperlink"/>
                <w:noProof/>
              </w:rPr>
              <w:t>5.8.</w:t>
            </w:r>
            <w:r w:rsidR="001D3DC2">
              <w:rPr>
                <w:rFonts w:asciiTheme="minorHAnsi" w:hAnsiTheme="minorHAnsi" w:cstheme="minorBidi"/>
                <w:noProof/>
                <w:lang w:eastAsia="en-GB"/>
              </w:rPr>
              <w:tab/>
            </w:r>
            <w:r w:rsidR="001D3DC2" w:rsidRPr="00C878A4">
              <w:rPr>
                <w:rStyle w:val="Hyperlink"/>
                <w:noProof/>
              </w:rPr>
              <w:t>Approach to Due Diligence</w:t>
            </w:r>
            <w:r w:rsidR="001D3DC2">
              <w:rPr>
                <w:noProof/>
                <w:webHidden/>
              </w:rPr>
              <w:tab/>
            </w:r>
            <w:r w:rsidR="001D3DC2">
              <w:rPr>
                <w:noProof/>
                <w:webHidden/>
              </w:rPr>
              <w:fldChar w:fldCharType="begin"/>
            </w:r>
            <w:r w:rsidR="001D3DC2">
              <w:rPr>
                <w:noProof/>
                <w:webHidden/>
              </w:rPr>
              <w:instrText xml:space="preserve"> PAGEREF _Toc121224124 \h </w:instrText>
            </w:r>
            <w:r w:rsidR="001D3DC2">
              <w:rPr>
                <w:noProof/>
                <w:webHidden/>
              </w:rPr>
            </w:r>
            <w:r w:rsidR="001D3DC2">
              <w:rPr>
                <w:noProof/>
                <w:webHidden/>
              </w:rPr>
              <w:fldChar w:fldCharType="separate"/>
            </w:r>
            <w:r w:rsidR="001D3DC2">
              <w:rPr>
                <w:noProof/>
                <w:webHidden/>
              </w:rPr>
              <w:t>32</w:t>
            </w:r>
            <w:r w:rsidR="001D3DC2">
              <w:rPr>
                <w:noProof/>
                <w:webHidden/>
              </w:rPr>
              <w:fldChar w:fldCharType="end"/>
            </w:r>
          </w:hyperlink>
        </w:p>
        <w:p w14:paraId="7A9259D6" w14:textId="3CEB2948" w:rsidR="001D3DC2" w:rsidRDefault="00000000">
          <w:pPr>
            <w:pStyle w:val="TOC2"/>
            <w:rPr>
              <w:rFonts w:asciiTheme="minorHAnsi" w:hAnsiTheme="minorHAnsi" w:cstheme="minorBidi"/>
              <w:noProof/>
              <w:lang w:eastAsia="en-GB"/>
            </w:rPr>
          </w:pPr>
          <w:hyperlink w:anchor="_Toc121224125" w:history="1">
            <w:r w:rsidR="001D3DC2" w:rsidRPr="00C878A4">
              <w:rPr>
                <w:rStyle w:val="Hyperlink"/>
                <w:noProof/>
              </w:rPr>
              <w:t>5.9.</w:t>
            </w:r>
            <w:r w:rsidR="001D3DC2">
              <w:rPr>
                <w:rFonts w:asciiTheme="minorHAnsi" w:hAnsiTheme="minorHAnsi" w:cstheme="minorBidi"/>
                <w:noProof/>
                <w:lang w:eastAsia="en-GB"/>
              </w:rPr>
              <w:tab/>
            </w:r>
            <w:r w:rsidR="001D3DC2" w:rsidRPr="00C878A4">
              <w:rPr>
                <w:rStyle w:val="Hyperlink"/>
                <w:noProof/>
              </w:rPr>
              <w:t>Provisions for DEFRA to withdraw funding</w:t>
            </w:r>
            <w:r w:rsidR="001D3DC2">
              <w:rPr>
                <w:noProof/>
                <w:webHidden/>
              </w:rPr>
              <w:tab/>
            </w:r>
            <w:r w:rsidR="001D3DC2">
              <w:rPr>
                <w:noProof/>
                <w:webHidden/>
              </w:rPr>
              <w:fldChar w:fldCharType="begin"/>
            </w:r>
            <w:r w:rsidR="001D3DC2">
              <w:rPr>
                <w:noProof/>
                <w:webHidden/>
              </w:rPr>
              <w:instrText xml:space="preserve"> PAGEREF _Toc121224125 \h </w:instrText>
            </w:r>
            <w:r w:rsidR="001D3DC2">
              <w:rPr>
                <w:noProof/>
                <w:webHidden/>
              </w:rPr>
            </w:r>
            <w:r w:rsidR="001D3DC2">
              <w:rPr>
                <w:noProof/>
                <w:webHidden/>
              </w:rPr>
              <w:fldChar w:fldCharType="separate"/>
            </w:r>
            <w:r w:rsidR="001D3DC2">
              <w:rPr>
                <w:noProof/>
                <w:webHidden/>
              </w:rPr>
              <w:t>32</w:t>
            </w:r>
            <w:r w:rsidR="001D3DC2">
              <w:rPr>
                <w:noProof/>
                <w:webHidden/>
              </w:rPr>
              <w:fldChar w:fldCharType="end"/>
            </w:r>
          </w:hyperlink>
        </w:p>
        <w:p w14:paraId="5B8D5F00" w14:textId="727AC028" w:rsidR="001D3DC2" w:rsidRDefault="00000000">
          <w:pPr>
            <w:pStyle w:val="TOC1"/>
            <w:tabs>
              <w:tab w:val="left" w:pos="440"/>
              <w:tab w:val="right" w:leader="dot" w:pos="9016"/>
            </w:tabs>
            <w:rPr>
              <w:rFonts w:asciiTheme="minorHAnsi" w:hAnsiTheme="minorHAnsi" w:cstheme="minorBidi"/>
              <w:noProof/>
              <w:lang w:eastAsia="en-GB"/>
            </w:rPr>
          </w:pPr>
          <w:hyperlink w:anchor="_Toc121224126" w:history="1">
            <w:r w:rsidR="001D3DC2" w:rsidRPr="00C878A4">
              <w:rPr>
                <w:rStyle w:val="Hyperlink"/>
                <w:noProof/>
              </w:rPr>
              <w:t>6.</w:t>
            </w:r>
            <w:r w:rsidR="001D3DC2">
              <w:rPr>
                <w:rFonts w:asciiTheme="minorHAnsi" w:hAnsiTheme="minorHAnsi" w:cstheme="minorBidi"/>
                <w:noProof/>
                <w:lang w:eastAsia="en-GB"/>
              </w:rPr>
              <w:tab/>
            </w:r>
            <w:r w:rsidR="001D3DC2" w:rsidRPr="00C878A4">
              <w:rPr>
                <w:rStyle w:val="Hyperlink"/>
                <w:noProof/>
              </w:rPr>
              <w:t>MANAGEMENT CASE</w:t>
            </w:r>
            <w:r w:rsidR="001D3DC2">
              <w:rPr>
                <w:noProof/>
                <w:webHidden/>
              </w:rPr>
              <w:tab/>
            </w:r>
            <w:r w:rsidR="001D3DC2">
              <w:rPr>
                <w:noProof/>
                <w:webHidden/>
              </w:rPr>
              <w:fldChar w:fldCharType="begin"/>
            </w:r>
            <w:r w:rsidR="001D3DC2">
              <w:rPr>
                <w:noProof/>
                <w:webHidden/>
              </w:rPr>
              <w:instrText xml:space="preserve"> PAGEREF _Toc121224126 \h </w:instrText>
            </w:r>
            <w:r w:rsidR="001D3DC2">
              <w:rPr>
                <w:noProof/>
                <w:webHidden/>
              </w:rPr>
            </w:r>
            <w:r w:rsidR="001D3DC2">
              <w:rPr>
                <w:noProof/>
                <w:webHidden/>
              </w:rPr>
              <w:fldChar w:fldCharType="separate"/>
            </w:r>
            <w:r w:rsidR="001D3DC2">
              <w:rPr>
                <w:noProof/>
                <w:webHidden/>
              </w:rPr>
              <w:t>33</w:t>
            </w:r>
            <w:r w:rsidR="001D3DC2">
              <w:rPr>
                <w:noProof/>
                <w:webHidden/>
              </w:rPr>
              <w:fldChar w:fldCharType="end"/>
            </w:r>
          </w:hyperlink>
        </w:p>
        <w:p w14:paraId="5982715E" w14:textId="2AAB0430" w:rsidR="001D3DC2" w:rsidRDefault="00000000">
          <w:pPr>
            <w:pStyle w:val="TOC2"/>
            <w:rPr>
              <w:rFonts w:asciiTheme="minorHAnsi" w:hAnsiTheme="minorHAnsi" w:cstheme="minorBidi"/>
              <w:noProof/>
              <w:lang w:eastAsia="en-GB"/>
            </w:rPr>
          </w:pPr>
          <w:hyperlink w:anchor="_Toc121224127" w:history="1">
            <w:r w:rsidR="001D3DC2" w:rsidRPr="00C878A4">
              <w:rPr>
                <w:rStyle w:val="Hyperlink"/>
                <w:noProof/>
              </w:rPr>
              <w:t>6.1.</w:t>
            </w:r>
            <w:r w:rsidR="001D3DC2">
              <w:rPr>
                <w:rFonts w:asciiTheme="minorHAnsi" w:hAnsiTheme="minorHAnsi" w:cstheme="minorBidi"/>
                <w:noProof/>
                <w:lang w:eastAsia="en-GB"/>
              </w:rPr>
              <w:tab/>
            </w:r>
            <w:r w:rsidR="001D3DC2" w:rsidRPr="00C878A4">
              <w:rPr>
                <w:rStyle w:val="Hyperlink"/>
                <w:noProof/>
              </w:rPr>
              <w:t>What are the management and governance arrangements?</w:t>
            </w:r>
            <w:r w:rsidR="001D3DC2">
              <w:rPr>
                <w:noProof/>
                <w:webHidden/>
              </w:rPr>
              <w:tab/>
            </w:r>
            <w:r w:rsidR="001D3DC2">
              <w:rPr>
                <w:noProof/>
                <w:webHidden/>
              </w:rPr>
              <w:fldChar w:fldCharType="begin"/>
            </w:r>
            <w:r w:rsidR="001D3DC2">
              <w:rPr>
                <w:noProof/>
                <w:webHidden/>
              </w:rPr>
              <w:instrText xml:space="preserve"> PAGEREF _Toc121224127 \h </w:instrText>
            </w:r>
            <w:r w:rsidR="001D3DC2">
              <w:rPr>
                <w:noProof/>
                <w:webHidden/>
              </w:rPr>
            </w:r>
            <w:r w:rsidR="001D3DC2">
              <w:rPr>
                <w:noProof/>
                <w:webHidden/>
              </w:rPr>
              <w:fldChar w:fldCharType="separate"/>
            </w:r>
            <w:r w:rsidR="001D3DC2">
              <w:rPr>
                <w:noProof/>
                <w:webHidden/>
              </w:rPr>
              <w:t>33</w:t>
            </w:r>
            <w:r w:rsidR="001D3DC2">
              <w:rPr>
                <w:noProof/>
                <w:webHidden/>
              </w:rPr>
              <w:fldChar w:fldCharType="end"/>
            </w:r>
          </w:hyperlink>
        </w:p>
        <w:p w14:paraId="7C441257" w14:textId="4F6CFD69" w:rsidR="001D3DC2" w:rsidRDefault="00000000">
          <w:pPr>
            <w:pStyle w:val="TOC2"/>
            <w:rPr>
              <w:rFonts w:asciiTheme="minorHAnsi" w:hAnsiTheme="minorHAnsi" w:cstheme="minorBidi"/>
              <w:noProof/>
              <w:lang w:eastAsia="en-GB"/>
            </w:rPr>
          </w:pPr>
          <w:hyperlink w:anchor="_Toc121224128" w:history="1">
            <w:r w:rsidR="001D3DC2" w:rsidRPr="00C878A4">
              <w:rPr>
                <w:rStyle w:val="Hyperlink"/>
                <w:noProof/>
              </w:rPr>
              <w:t>6.2.</w:t>
            </w:r>
            <w:r w:rsidR="001D3DC2">
              <w:rPr>
                <w:rFonts w:asciiTheme="minorHAnsi" w:hAnsiTheme="minorHAnsi" w:cstheme="minorBidi"/>
                <w:noProof/>
                <w:lang w:eastAsia="en-GB"/>
              </w:rPr>
              <w:tab/>
            </w:r>
            <w:r w:rsidR="001D3DC2" w:rsidRPr="00C878A4">
              <w:rPr>
                <w:rStyle w:val="Hyperlink"/>
                <w:noProof/>
              </w:rPr>
              <w:t>Monitoring, Evaluation and Learning (MEL)</w:t>
            </w:r>
            <w:r w:rsidR="001D3DC2">
              <w:rPr>
                <w:noProof/>
                <w:webHidden/>
              </w:rPr>
              <w:tab/>
            </w:r>
            <w:r w:rsidR="001D3DC2">
              <w:rPr>
                <w:noProof/>
                <w:webHidden/>
              </w:rPr>
              <w:fldChar w:fldCharType="begin"/>
            </w:r>
            <w:r w:rsidR="001D3DC2">
              <w:rPr>
                <w:noProof/>
                <w:webHidden/>
              </w:rPr>
              <w:instrText xml:space="preserve"> PAGEREF _Toc121224128 \h </w:instrText>
            </w:r>
            <w:r w:rsidR="001D3DC2">
              <w:rPr>
                <w:noProof/>
                <w:webHidden/>
              </w:rPr>
            </w:r>
            <w:r w:rsidR="001D3DC2">
              <w:rPr>
                <w:noProof/>
                <w:webHidden/>
              </w:rPr>
              <w:fldChar w:fldCharType="separate"/>
            </w:r>
            <w:r w:rsidR="001D3DC2">
              <w:rPr>
                <w:noProof/>
                <w:webHidden/>
              </w:rPr>
              <w:t>36</w:t>
            </w:r>
            <w:r w:rsidR="001D3DC2">
              <w:rPr>
                <w:noProof/>
                <w:webHidden/>
              </w:rPr>
              <w:fldChar w:fldCharType="end"/>
            </w:r>
          </w:hyperlink>
        </w:p>
        <w:p w14:paraId="5A8082B9" w14:textId="33D7D495" w:rsidR="001D3DC2" w:rsidRDefault="00000000">
          <w:pPr>
            <w:pStyle w:val="TOC2"/>
            <w:rPr>
              <w:rFonts w:asciiTheme="minorHAnsi" w:hAnsiTheme="minorHAnsi" w:cstheme="minorBidi"/>
              <w:noProof/>
              <w:lang w:eastAsia="en-GB"/>
            </w:rPr>
          </w:pPr>
          <w:hyperlink w:anchor="_Toc121224129" w:history="1">
            <w:r w:rsidR="001D3DC2" w:rsidRPr="00C878A4">
              <w:rPr>
                <w:rStyle w:val="Hyperlink"/>
                <w:noProof/>
              </w:rPr>
              <w:t>6.3.</w:t>
            </w:r>
            <w:r w:rsidR="001D3DC2">
              <w:rPr>
                <w:rFonts w:asciiTheme="minorHAnsi" w:hAnsiTheme="minorHAnsi" w:cstheme="minorBidi"/>
                <w:noProof/>
                <w:lang w:eastAsia="en-GB"/>
              </w:rPr>
              <w:tab/>
            </w:r>
            <w:r w:rsidR="001D3DC2" w:rsidRPr="00C878A4">
              <w:rPr>
                <w:rStyle w:val="Hyperlink"/>
                <w:noProof/>
              </w:rPr>
              <w:t>What are the key risks and how will they be managed?</w:t>
            </w:r>
            <w:r w:rsidR="001D3DC2">
              <w:rPr>
                <w:noProof/>
                <w:webHidden/>
              </w:rPr>
              <w:tab/>
            </w:r>
            <w:r w:rsidR="001D3DC2">
              <w:rPr>
                <w:noProof/>
                <w:webHidden/>
              </w:rPr>
              <w:fldChar w:fldCharType="begin"/>
            </w:r>
            <w:r w:rsidR="001D3DC2">
              <w:rPr>
                <w:noProof/>
                <w:webHidden/>
              </w:rPr>
              <w:instrText xml:space="preserve"> PAGEREF _Toc121224129 \h </w:instrText>
            </w:r>
            <w:r w:rsidR="001D3DC2">
              <w:rPr>
                <w:noProof/>
                <w:webHidden/>
              </w:rPr>
            </w:r>
            <w:r w:rsidR="001D3DC2">
              <w:rPr>
                <w:noProof/>
                <w:webHidden/>
              </w:rPr>
              <w:fldChar w:fldCharType="separate"/>
            </w:r>
            <w:r w:rsidR="001D3DC2">
              <w:rPr>
                <w:noProof/>
                <w:webHidden/>
              </w:rPr>
              <w:t>40</w:t>
            </w:r>
            <w:r w:rsidR="001D3DC2">
              <w:rPr>
                <w:noProof/>
                <w:webHidden/>
              </w:rPr>
              <w:fldChar w:fldCharType="end"/>
            </w:r>
          </w:hyperlink>
        </w:p>
        <w:p w14:paraId="0F23DB70" w14:textId="297291CD" w:rsidR="001D3DC2" w:rsidRDefault="00000000">
          <w:pPr>
            <w:pStyle w:val="TOC2"/>
            <w:rPr>
              <w:rFonts w:asciiTheme="minorHAnsi" w:hAnsiTheme="minorHAnsi" w:cstheme="minorBidi"/>
              <w:noProof/>
              <w:lang w:eastAsia="en-GB"/>
            </w:rPr>
          </w:pPr>
          <w:hyperlink w:anchor="_Toc121224130" w:history="1">
            <w:r w:rsidR="001D3DC2" w:rsidRPr="00C878A4">
              <w:rPr>
                <w:rStyle w:val="Hyperlink"/>
                <w:noProof/>
              </w:rPr>
              <w:t>6.4.</w:t>
            </w:r>
            <w:r w:rsidR="001D3DC2">
              <w:rPr>
                <w:rFonts w:asciiTheme="minorHAnsi" w:hAnsiTheme="minorHAnsi" w:cstheme="minorBidi"/>
                <w:noProof/>
                <w:lang w:eastAsia="en-GB"/>
              </w:rPr>
              <w:tab/>
            </w:r>
            <w:r w:rsidR="001D3DC2" w:rsidRPr="00C878A4">
              <w:rPr>
                <w:rStyle w:val="Hyperlink"/>
                <w:noProof/>
              </w:rPr>
              <w:t>Avoiding fraud and corruption</w:t>
            </w:r>
            <w:r w:rsidR="001D3DC2">
              <w:rPr>
                <w:noProof/>
                <w:webHidden/>
              </w:rPr>
              <w:tab/>
            </w:r>
            <w:r w:rsidR="001D3DC2">
              <w:rPr>
                <w:noProof/>
                <w:webHidden/>
              </w:rPr>
              <w:fldChar w:fldCharType="begin"/>
            </w:r>
            <w:r w:rsidR="001D3DC2">
              <w:rPr>
                <w:noProof/>
                <w:webHidden/>
              </w:rPr>
              <w:instrText xml:space="preserve"> PAGEREF _Toc121224130 \h </w:instrText>
            </w:r>
            <w:r w:rsidR="001D3DC2">
              <w:rPr>
                <w:noProof/>
                <w:webHidden/>
              </w:rPr>
            </w:r>
            <w:r w:rsidR="001D3DC2">
              <w:rPr>
                <w:noProof/>
                <w:webHidden/>
              </w:rPr>
              <w:fldChar w:fldCharType="separate"/>
            </w:r>
            <w:r w:rsidR="001D3DC2">
              <w:rPr>
                <w:noProof/>
                <w:webHidden/>
              </w:rPr>
              <w:t>41</w:t>
            </w:r>
            <w:r w:rsidR="001D3DC2">
              <w:rPr>
                <w:noProof/>
                <w:webHidden/>
              </w:rPr>
              <w:fldChar w:fldCharType="end"/>
            </w:r>
          </w:hyperlink>
        </w:p>
        <w:p w14:paraId="6DA5FE33" w14:textId="3C7B6F54" w:rsidR="001D3DC2" w:rsidRDefault="00000000">
          <w:pPr>
            <w:pStyle w:val="TOC2"/>
            <w:rPr>
              <w:rFonts w:asciiTheme="minorHAnsi" w:hAnsiTheme="minorHAnsi" w:cstheme="minorBidi"/>
              <w:noProof/>
              <w:lang w:eastAsia="en-GB"/>
            </w:rPr>
          </w:pPr>
          <w:hyperlink w:anchor="_Toc121224131" w:history="1">
            <w:r w:rsidR="001D3DC2" w:rsidRPr="00C878A4">
              <w:rPr>
                <w:rStyle w:val="Hyperlink"/>
                <w:noProof/>
              </w:rPr>
              <w:t>6.5.</w:t>
            </w:r>
            <w:r w:rsidR="001D3DC2">
              <w:rPr>
                <w:rFonts w:asciiTheme="minorHAnsi" w:hAnsiTheme="minorHAnsi" w:cstheme="minorBidi"/>
                <w:noProof/>
                <w:lang w:eastAsia="en-GB"/>
              </w:rPr>
              <w:tab/>
            </w:r>
            <w:r w:rsidR="001D3DC2" w:rsidRPr="00C878A4">
              <w:rPr>
                <w:rStyle w:val="Hyperlink"/>
                <w:noProof/>
              </w:rPr>
              <w:t>Transparency</w:t>
            </w:r>
            <w:r w:rsidR="001D3DC2">
              <w:rPr>
                <w:noProof/>
                <w:webHidden/>
              </w:rPr>
              <w:tab/>
            </w:r>
            <w:r w:rsidR="001D3DC2">
              <w:rPr>
                <w:noProof/>
                <w:webHidden/>
              </w:rPr>
              <w:fldChar w:fldCharType="begin"/>
            </w:r>
            <w:r w:rsidR="001D3DC2">
              <w:rPr>
                <w:noProof/>
                <w:webHidden/>
              </w:rPr>
              <w:instrText xml:space="preserve"> PAGEREF _Toc121224131 \h </w:instrText>
            </w:r>
            <w:r w:rsidR="001D3DC2">
              <w:rPr>
                <w:noProof/>
                <w:webHidden/>
              </w:rPr>
            </w:r>
            <w:r w:rsidR="001D3DC2">
              <w:rPr>
                <w:noProof/>
                <w:webHidden/>
              </w:rPr>
              <w:fldChar w:fldCharType="separate"/>
            </w:r>
            <w:r w:rsidR="001D3DC2">
              <w:rPr>
                <w:noProof/>
                <w:webHidden/>
              </w:rPr>
              <w:t>41</w:t>
            </w:r>
            <w:r w:rsidR="001D3DC2">
              <w:rPr>
                <w:noProof/>
                <w:webHidden/>
              </w:rPr>
              <w:fldChar w:fldCharType="end"/>
            </w:r>
          </w:hyperlink>
        </w:p>
        <w:p w14:paraId="1415D24E" w14:textId="0F809232" w:rsidR="001D3DC2" w:rsidRDefault="00000000">
          <w:pPr>
            <w:pStyle w:val="TOC2"/>
            <w:rPr>
              <w:rFonts w:asciiTheme="minorHAnsi" w:hAnsiTheme="minorHAnsi" w:cstheme="minorBidi"/>
              <w:noProof/>
              <w:lang w:eastAsia="en-GB"/>
            </w:rPr>
          </w:pPr>
          <w:hyperlink w:anchor="_Toc121224132" w:history="1">
            <w:r w:rsidR="001D3DC2" w:rsidRPr="00C878A4">
              <w:rPr>
                <w:rStyle w:val="Hyperlink"/>
                <w:noProof/>
              </w:rPr>
              <w:t>6.6.</w:t>
            </w:r>
            <w:r w:rsidR="001D3DC2">
              <w:rPr>
                <w:rFonts w:asciiTheme="minorHAnsi" w:hAnsiTheme="minorHAnsi" w:cstheme="minorBidi"/>
                <w:noProof/>
                <w:lang w:eastAsia="en-GB"/>
              </w:rPr>
              <w:tab/>
            </w:r>
            <w:r w:rsidR="001D3DC2" w:rsidRPr="00C878A4">
              <w:rPr>
                <w:rStyle w:val="Hyperlink"/>
                <w:noProof/>
              </w:rPr>
              <w:t>Safeguarding</w:t>
            </w:r>
            <w:r w:rsidR="001D3DC2">
              <w:rPr>
                <w:noProof/>
                <w:webHidden/>
              </w:rPr>
              <w:tab/>
            </w:r>
            <w:r w:rsidR="001D3DC2">
              <w:rPr>
                <w:noProof/>
                <w:webHidden/>
              </w:rPr>
              <w:fldChar w:fldCharType="begin"/>
            </w:r>
            <w:r w:rsidR="001D3DC2">
              <w:rPr>
                <w:noProof/>
                <w:webHidden/>
              </w:rPr>
              <w:instrText xml:space="preserve"> PAGEREF _Toc121224132 \h </w:instrText>
            </w:r>
            <w:r w:rsidR="001D3DC2">
              <w:rPr>
                <w:noProof/>
                <w:webHidden/>
              </w:rPr>
            </w:r>
            <w:r w:rsidR="001D3DC2">
              <w:rPr>
                <w:noProof/>
                <w:webHidden/>
              </w:rPr>
              <w:fldChar w:fldCharType="separate"/>
            </w:r>
            <w:r w:rsidR="001D3DC2">
              <w:rPr>
                <w:noProof/>
                <w:webHidden/>
              </w:rPr>
              <w:t>41</w:t>
            </w:r>
            <w:r w:rsidR="001D3DC2">
              <w:rPr>
                <w:noProof/>
                <w:webHidden/>
              </w:rPr>
              <w:fldChar w:fldCharType="end"/>
            </w:r>
          </w:hyperlink>
        </w:p>
        <w:p w14:paraId="2431C3D8" w14:textId="0B259A30" w:rsidR="001D3DC2" w:rsidRDefault="00000000">
          <w:pPr>
            <w:pStyle w:val="TOC1"/>
            <w:tabs>
              <w:tab w:val="left" w:pos="440"/>
              <w:tab w:val="right" w:leader="dot" w:pos="9016"/>
            </w:tabs>
            <w:rPr>
              <w:rFonts w:asciiTheme="minorHAnsi" w:hAnsiTheme="minorHAnsi" w:cstheme="minorBidi"/>
              <w:noProof/>
              <w:lang w:eastAsia="en-GB"/>
            </w:rPr>
          </w:pPr>
          <w:hyperlink w:anchor="_Toc121224133" w:history="1">
            <w:r w:rsidR="001D3DC2" w:rsidRPr="00C878A4">
              <w:rPr>
                <w:rStyle w:val="Hyperlink"/>
                <w:noProof/>
              </w:rPr>
              <w:t>7.</w:t>
            </w:r>
            <w:r w:rsidR="001D3DC2">
              <w:rPr>
                <w:rFonts w:asciiTheme="minorHAnsi" w:hAnsiTheme="minorHAnsi" w:cstheme="minorBidi"/>
                <w:noProof/>
                <w:lang w:eastAsia="en-GB"/>
              </w:rPr>
              <w:tab/>
            </w:r>
            <w:r w:rsidR="001D3DC2" w:rsidRPr="00C878A4">
              <w:rPr>
                <w:rStyle w:val="Hyperlink"/>
                <w:noProof/>
              </w:rPr>
              <w:t>Appendices</w:t>
            </w:r>
            <w:r w:rsidR="001D3DC2">
              <w:rPr>
                <w:noProof/>
                <w:webHidden/>
              </w:rPr>
              <w:tab/>
            </w:r>
            <w:r w:rsidR="001D3DC2">
              <w:rPr>
                <w:noProof/>
                <w:webHidden/>
              </w:rPr>
              <w:fldChar w:fldCharType="begin"/>
            </w:r>
            <w:r w:rsidR="001D3DC2">
              <w:rPr>
                <w:noProof/>
                <w:webHidden/>
              </w:rPr>
              <w:instrText xml:space="preserve"> PAGEREF _Toc121224133 \h </w:instrText>
            </w:r>
            <w:r w:rsidR="001D3DC2">
              <w:rPr>
                <w:noProof/>
                <w:webHidden/>
              </w:rPr>
            </w:r>
            <w:r w:rsidR="001D3DC2">
              <w:rPr>
                <w:noProof/>
                <w:webHidden/>
              </w:rPr>
              <w:fldChar w:fldCharType="separate"/>
            </w:r>
            <w:r w:rsidR="001D3DC2">
              <w:rPr>
                <w:noProof/>
                <w:webHidden/>
              </w:rPr>
              <w:t>42</w:t>
            </w:r>
            <w:r w:rsidR="001D3DC2">
              <w:rPr>
                <w:noProof/>
                <w:webHidden/>
              </w:rPr>
              <w:fldChar w:fldCharType="end"/>
            </w:r>
          </w:hyperlink>
        </w:p>
        <w:p w14:paraId="2432F037" w14:textId="7D082291" w:rsidR="001D3DC2" w:rsidRDefault="00000000">
          <w:pPr>
            <w:pStyle w:val="TOC2"/>
            <w:rPr>
              <w:rFonts w:asciiTheme="minorHAnsi" w:hAnsiTheme="minorHAnsi" w:cstheme="minorBidi"/>
              <w:noProof/>
              <w:lang w:eastAsia="en-GB"/>
            </w:rPr>
          </w:pPr>
          <w:hyperlink w:anchor="_Toc121224134" w:history="1">
            <w:r w:rsidR="001D3DC2" w:rsidRPr="00C878A4">
              <w:rPr>
                <w:rStyle w:val="Hyperlink"/>
                <w:noProof/>
              </w:rPr>
              <w:t>7.1.</w:t>
            </w:r>
            <w:r w:rsidR="001D3DC2">
              <w:rPr>
                <w:rFonts w:asciiTheme="minorHAnsi" w:hAnsiTheme="minorHAnsi" w:cstheme="minorBidi"/>
                <w:noProof/>
                <w:lang w:eastAsia="en-GB"/>
              </w:rPr>
              <w:tab/>
            </w:r>
            <w:r w:rsidR="001D3DC2" w:rsidRPr="00C878A4">
              <w:rPr>
                <w:rStyle w:val="Hyperlink"/>
                <w:noProof/>
              </w:rPr>
              <w:t>Appendix 1: Detail on Blue Planet Fund and UK/Defra outcomes</w:t>
            </w:r>
            <w:r w:rsidR="001D3DC2">
              <w:rPr>
                <w:noProof/>
                <w:webHidden/>
              </w:rPr>
              <w:tab/>
            </w:r>
            <w:r w:rsidR="001D3DC2">
              <w:rPr>
                <w:noProof/>
                <w:webHidden/>
              </w:rPr>
              <w:fldChar w:fldCharType="begin"/>
            </w:r>
            <w:r w:rsidR="001D3DC2">
              <w:rPr>
                <w:noProof/>
                <w:webHidden/>
              </w:rPr>
              <w:instrText xml:space="preserve"> PAGEREF _Toc121224134 \h </w:instrText>
            </w:r>
            <w:r w:rsidR="001D3DC2">
              <w:rPr>
                <w:noProof/>
                <w:webHidden/>
              </w:rPr>
            </w:r>
            <w:r w:rsidR="001D3DC2">
              <w:rPr>
                <w:noProof/>
                <w:webHidden/>
              </w:rPr>
              <w:fldChar w:fldCharType="separate"/>
            </w:r>
            <w:r w:rsidR="001D3DC2">
              <w:rPr>
                <w:noProof/>
                <w:webHidden/>
              </w:rPr>
              <w:t>42</w:t>
            </w:r>
            <w:r w:rsidR="001D3DC2">
              <w:rPr>
                <w:noProof/>
                <w:webHidden/>
              </w:rPr>
              <w:fldChar w:fldCharType="end"/>
            </w:r>
          </w:hyperlink>
        </w:p>
        <w:p w14:paraId="5136310A" w14:textId="13E30648" w:rsidR="001D3DC2" w:rsidRDefault="00000000">
          <w:pPr>
            <w:pStyle w:val="TOC2"/>
            <w:rPr>
              <w:rFonts w:asciiTheme="minorHAnsi" w:hAnsiTheme="minorHAnsi" w:cstheme="minorBidi"/>
              <w:noProof/>
              <w:lang w:eastAsia="en-GB"/>
            </w:rPr>
          </w:pPr>
          <w:hyperlink w:anchor="_Toc121224135" w:history="1">
            <w:r w:rsidR="001D3DC2" w:rsidRPr="00C878A4">
              <w:rPr>
                <w:rStyle w:val="Hyperlink"/>
                <w:noProof/>
              </w:rPr>
              <w:t>7.2.</w:t>
            </w:r>
            <w:r w:rsidR="001D3DC2">
              <w:rPr>
                <w:rFonts w:asciiTheme="minorHAnsi" w:hAnsiTheme="minorHAnsi" w:cstheme="minorBidi"/>
                <w:noProof/>
                <w:lang w:eastAsia="en-GB"/>
              </w:rPr>
              <w:tab/>
            </w:r>
            <w:r w:rsidR="001D3DC2" w:rsidRPr="00C878A4">
              <w:rPr>
                <w:rStyle w:val="Hyperlink"/>
                <w:noProof/>
              </w:rPr>
              <w:t>Appendix 2: Further Detail on the Appraisal Case</w:t>
            </w:r>
            <w:r w:rsidR="001D3DC2">
              <w:rPr>
                <w:noProof/>
                <w:webHidden/>
              </w:rPr>
              <w:tab/>
            </w:r>
            <w:r w:rsidR="001D3DC2">
              <w:rPr>
                <w:noProof/>
                <w:webHidden/>
              </w:rPr>
              <w:fldChar w:fldCharType="begin"/>
            </w:r>
            <w:r w:rsidR="001D3DC2">
              <w:rPr>
                <w:noProof/>
                <w:webHidden/>
              </w:rPr>
              <w:instrText xml:space="preserve"> PAGEREF _Toc121224135 \h </w:instrText>
            </w:r>
            <w:r w:rsidR="001D3DC2">
              <w:rPr>
                <w:noProof/>
                <w:webHidden/>
              </w:rPr>
            </w:r>
            <w:r w:rsidR="001D3DC2">
              <w:rPr>
                <w:noProof/>
                <w:webHidden/>
              </w:rPr>
              <w:fldChar w:fldCharType="separate"/>
            </w:r>
            <w:r w:rsidR="001D3DC2">
              <w:rPr>
                <w:noProof/>
                <w:webHidden/>
              </w:rPr>
              <w:t>43</w:t>
            </w:r>
            <w:r w:rsidR="001D3DC2">
              <w:rPr>
                <w:noProof/>
                <w:webHidden/>
              </w:rPr>
              <w:fldChar w:fldCharType="end"/>
            </w:r>
          </w:hyperlink>
        </w:p>
        <w:p w14:paraId="27043C47" w14:textId="5F9BD10C" w:rsidR="001D3DC2" w:rsidRDefault="00000000">
          <w:pPr>
            <w:pStyle w:val="TOC2"/>
            <w:rPr>
              <w:rFonts w:asciiTheme="minorHAnsi" w:hAnsiTheme="minorHAnsi" w:cstheme="minorBidi"/>
              <w:noProof/>
              <w:lang w:eastAsia="en-GB"/>
            </w:rPr>
          </w:pPr>
          <w:hyperlink w:anchor="_Toc121224136" w:history="1">
            <w:r w:rsidR="001D3DC2" w:rsidRPr="00C878A4">
              <w:rPr>
                <w:rStyle w:val="Hyperlink"/>
                <w:noProof/>
              </w:rPr>
              <w:t>7.3.</w:t>
            </w:r>
            <w:r w:rsidR="001D3DC2">
              <w:rPr>
                <w:rFonts w:asciiTheme="minorHAnsi" w:hAnsiTheme="minorHAnsi" w:cstheme="minorBidi"/>
                <w:noProof/>
                <w:lang w:eastAsia="en-GB"/>
              </w:rPr>
              <w:tab/>
            </w:r>
            <w:r w:rsidR="001D3DC2" w:rsidRPr="00C878A4">
              <w:rPr>
                <w:rStyle w:val="Hyperlink"/>
                <w:noProof/>
              </w:rPr>
              <w:t>Appendix 3: Tide Turners Detailed Delivery information</w:t>
            </w:r>
            <w:r w:rsidR="001D3DC2">
              <w:rPr>
                <w:noProof/>
                <w:webHidden/>
              </w:rPr>
              <w:tab/>
            </w:r>
            <w:r w:rsidR="001D3DC2">
              <w:rPr>
                <w:noProof/>
                <w:webHidden/>
              </w:rPr>
              <w:fldChar w:fldCharType="begin"/>
            </w:r>
            <w:r w:rsidR="001D3DC2">
              <w:rPr>
                <w:noProof/>
                <w:webHidden/>
              </w:rPr>
              <w:instrText xml:space="preserve"> PAGEREF _Toc121224136 \h </w:instrText>
            </w:r>
            <w:r w:rsidR="001D3DC2">
              <w:rPr>
                <w:noProof/>
                <w:webHidden/>
              </w:rPr>
            </w:r>
            <w:r w:rsidR="001D3DC2">
              <w:rPr>
                <w:noProof/>
                <w:webHidden/>
              </w:rPr>
              <w:fldChar w:fldCharType="separate"/>
            </w:r>
            <w:r w:rsidR="001D3DC2">
              <w:rPr>
                <w:noProof/>
                <w:webHidden/>
              </w:rPr>
              <w:t>52</w:t>
            </w:r>
            <w:r w:rsidR="001D3DC2">
              <w:rPr>
                <w:noProof/>
                <w:webHidden/>
              </w:rPr>
              <w:fldChar w:fldCharType="end"/>
            </w:r>
          </w:hyperlink>
        </w:p>
        <w:p w14:paraId="68893BFE" w14:textId="381D0CFF" w:rsidR="001D3DC2" w:rsidRDefault="00000000">
          <w:pPr>
            <w:pStyle w:val="TOC2"/>
            <w:rPr>
              <w:rFonts w:asciiTheme="minorHAnsi" w:hAnsiTheme="minorHAnsi" w:cstheme="minorBidi"/>
              <w:noProof/>
              <w:lang w:eastAsia="en-GB"/>
            </w:rPr>
          </w:pPr>
          <w:hyperlink w:anchor="_Toc121224137" w:history="1">
            <w:r w:rsidR="001D3DC2" w:rsidRPr="00C878A4">
              <w:rPr>
                <w:rStyle w:val="Hyperlink"/>
                <w:noProof/>
              </w:rPr>
              <w:t>7.4.</w:t>
            </w:r>
            <w:r w:rsidR="001D3DC2">
              <w:rPr>
                <w:rFonts w:asciiTheme="minorHAnsi" w:hAnsiTheme="minorHAnsi" w:cstheme="minorBidi"/>
                <w:noProof/>
                <w:lang w:eastAsia="en-GB"/>
              </w:rPr>
              <w:tab/>
            </w:r>
            <w:r w:rsidR="001D3DC2" w:rsidRPr="00C878A4">
              <w:rPr>
                <w:rStyle w:val="Hyperlink"/>
                <w:noProof/>
              </w:rPr>
              <w:t>Appendix 4: The Tide Turners programme: 2019-2021</w:t>
            </w:r>
            <w:r w:rsidR="001D3DC2">
              <w:rPr>
                <w:noProof/>
                <w:webHidden/>
              </w:rPr>
              <w:tab/>
            </w:r>
            <w:r w:rsidR="001D3DC2">
              <w:rPr>
                <w:noProof/>
                <w:webHidden/>
              </w:rPr>
              <w:fldChar w:fldCharType="begin"/>
            </w:r>
            <w:r w:rsidR="001D3DC2">
              <w:rPr>
                <w:noProof/>
                <w:webHidden/>
              </w:rPr>
              <w:instrText xml:space="preserve"> PAGEREF _Toc121224137 \h </w:instrText>
            </w:r>
            <w:r w:rsidR="001D3DC2">
              <w:rPr>
                <w:noProof/>
                <w:webHidden/>
              </w:rPr>
            </w:r>
            <w:r w:rsidR="001D3DC2">
              <w:rPr>
                <w:noProof/>
                <w:webHidden/>
              </w:rPr>
              <w:fldChar w:fldCharType="separate"/>
            </w:r>
            <w:r w:rsidR="001D3DC2">
              <w:rPr>
                <w:noProof/>
                <w:webHidden/>
              </w:rPr>
              <w:t>54</w:t>
            </w:r>
            <w:r w:rsidR="001D3DC2">
              <w:rPr>
                <w:noProof/>
                <w:webHidden/>
              </w:rPr>
              <w:fldChar w:fldCharType="end"/>
            </w:r>
          </w:hyperlink>
        </w:p>
        <w:p w14:paraId="73CF750F" w14:textId="0168498E" w:rsidR="001D3DC2" w:rsidRDefault="00000000">
          <w:pPr>
            <w:pStyle w:val="TOC2"/>
            <w:rPr>
              <w:rFonts w:asciiTheme="minorHAnsi" w:hAnsiTheme="minorHAnsi" w:cstheme="minorBidi"/>
              <w:noProof/>
              <w:lang w:eastAsia="en-GB"/>
            </w:rPr>
          </w:pPr>
          <w:hyperlink w:anchor="_Toc121224138" w:history="1">
            <w:r w:rsidR="001D3DC2" w:rsidRPr="00C878A4">
              <w:rPr>
                <w:rStyle w:val="Hyperlink"/>
                <w:noProof/>
              </w:rPr>
              <w:t>7.5.</w:t>
            </w:r>
            <w:r w:rsidR="001D3DC2">
              <w:rPr>
                <w:rFonts w:asciiTheme="minorHAnsi" w:hAnsiTheme="minorHAnsi" w:cstheme="minorBidi"/>
                <w:noProof/>
                <w:lang w:eastAsia="en-GB"/>
              </w:rPr>
              <w:tab/>
            </w:r>
            <w:r w:rsidR="001D3DC2" w:rsidRPr="00C878A4">
              <w:rPr>
                <w:rStyle w:val="Hyperlink"/>
                <w:noProof/>
              </w:rPr>
              <w:t>Appendix 5: Financial breakdown for inc process (USD)</w:t>
            </w:r>
            <w:r w:rsidR="001D3DC2">
              <w:rPr>
                <w:noProof/>
                <w:webHidden/>
              </w:rPr>
              <w:tab/>
            </w:r>
            <w:r w:rsidR="001D3DC2">
              <w:rPr>
                <w:noProof/>
                <w:webHidden/>
              </w:rPr>
              <w:fldChar w:fldCharType="begin"/>
            </w:r>
            <w:r w:rsidR="001D3DC2">
              <w:rPr>
                <w:noProof/>
                <w:webHidden/>
              </w:rPr>
              <w:instrText xml:space="preserve"> PAGEREF _Toc121224138 \h </w:instrText>
            </w:r>
            <w:r w:rsidR="001D3DC2">
              <w:rPr>
                <w:noProof/>
                <w:webHidden/>
              </w:rPr>
            </w:r>
            <w:r w:rsidR="001D3DC2">
              <w:rPr>
                <w:noProof/>
                <w:webHidden/>
              </w:rPr>
              <w:fldChar w:fldCharType="separate"/>
            </w:r>
            <w:r w:rsidR="001D3DC2">
              <w:rPr>
                <w:noProof/>
                <w:webHidden/>
              </w:rPr>
              <w:t>55</w:t>
            </w:r>
            <w:r w:rsidR="001D3DC2">
              <w:rPr>
                <w:noProof/>
                <w:webHidden/>
              </w:rPr>
              <w:fldChar w:fldCharType="end"/>
            </w:r>
          </w:hyperlink>
        </w:p>
        <w:p w14:paraId="2EDF5FE0" w14:textId="78CAAEF7" w:rsidR="008A6564" w:rsidRDefault="00FF072D" w:rsidP="008A6564">
          <w:pPr>
            <w:spacing w:after="240"/>
            <w:rPr>
              <w:rFonts w:cstheme="minorHAnsi"/>
            </w:rPr>
          </w:pPr>
          <w:r w:rsidRPr="00217F59">
            <w:rPr>
              <w:rFonts w:eastAsiaTheme="minorEastAsia" w:cstheme="minorHAnsi"/>
            </w:rPr>
            <w:fldChar w:fldCharType="end"/>
          </w:r>
        </w:p>
      </w:sdtContent>
    </w:sdt>
    <w:p w14:paraId="10AD93B7" w14:textId="77C72B91" w:rsidR="008A6564" w:rsidRPr="008A6564" w:rsidRDefault="00FF072D" w:rsidP="008A6564">
      <w:pPr>
        <w:spacing w:after="240"/>
        <w:rPr>
          <w:rFonts w:cstheme="minorHAnsi"/>
        </w:rPr>
      </w:pPr>
      <w:r w:rsidRPr="00217F59">
        <w:br w:type="page"/>
      </w:r>
    </w:p>
    <w:p w14:paraId="5BE06446" w14:textId="6E089B42" w:rsidR="00FF072D" w:rsidRPr="008A6564" w:rsidRDefault="00FF072D" w:rsidP="00F47E59">
      <w:pPr>
        <w:pStyle w:val="Body"/>
        <w:rPr>
          <w:rFonts w:cstheme="minorHAnsi"/>
        </w:rPr>
      </w:pPr>
      <w:r w:rsidRPr="00217F59">
        <w:lastRenderedPageBreak/>
        <w:t>GLOSSARY</w:t>
      </w:r>
    </w:p>
    <w:tbl>
      <w:tblPr>
        <w:tblStyle w:val="PlainTable2"/>
        <w:tblW w:w="5000" w:type="pct"/>
        <w:tblLook w:val="04A0" w:firstRow="1" w:lastRow="0" w:firstColumn="1" w:lastColumn="0" w:noHBand="0" w:noVBand="1"/>
      </w:tblPr>
      <w:tblGrid>
        <w:gridCol w:w="1451"/>
        <w:gridCol w:w="7575"/>
      </w:tblGrid>
      <w:tr w:rsidR="00FF072D" w:rsidRPr="001D2ECF" w14:paraId="1E2DFBAE" w14:textId="77777777" w:rsidTr="00DE631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4" w:type="pct"/>
            <w:noWrap/>
            <w:hideMark/>
          </w:tcPr>
          <w:p w14:paraId="4A73B310" w14:textId="77777777" w:rsidR="00FF072D" w:rsidRPr="00217F59" w:rsidRDefault="00FF072D" w:rsidP="00613ABF">
            <w:pPr>
              <w:rPr>
                <w:rFonts w:eastAsia="Times New Roman" w:cstheme="minorHAnsi"/>
                <w:lang w:eastAsia="en-GB"/>
              </w:rPr>
            </w:pPr>
            <w:r w:rsidRPr="00BD39C8">
              <w:rPr>
                <w:rFonts w:eastAsia="Times New Roman" w:cstheme="minorHAnsi"/>
                <w:lang w:eastAsia="en-GB"/>
              </w:rPr>
              <w:t>ACRONYM</w:t>
            </w:r>
          </w:p>
        </w:tc>
        <w:tc>
          <w:tcPr>
            <w:tcW w:w="4196" w:type="pct"/>
            <w:noWrap/>
            <w:hideMark/>
          </w:tcPr>
          <w:p w14:paraId="53A93A4A" w14:textId="5FA96122" w:rsidR="00FF072D" w:rsidRPr="00217F59" w:rsidRDefault="008D6586" w:rsidP="00613ABF">
            <w:pP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lang w:eastAsia="en-GB"/>
              </w:rPr>
              <w:t>MEANING</w:t>
            </w:r>
          </w:p>
        </w:tc>
      </w:tr>
      <w:tr w:rsidR="00C41D78" w:rsidRPr="001D2ECF" w14:paraId="0311F90C" w14:textId="77777777" w:rsidTr="00DE63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6080BB3B" w14:textId="5B62D524" w:rsidR="00C41D78" w:rsidRDefault="00C41D78" w:rsidP="00613ABF">
            <w:pPr>
              <w:rPr>
                <w:rFonts w:eastAsia="Times New Roman" w:cstheme="minorHAnsi"/>
                <w:lang w:eastAsia="en-GB"/>
              </w:rPr>
            </w:pPr>
            <w:r>
              <w:rPr>
                <w:rFonts w:eastAsia="Times New Roman" w:cstheme="minorHAnsi"/>
                <w:lang w:eastAsia="en-GB"/>
              </w:rPr>
              <w:t>B</w:t>
            </w:r>
            <w:r w:rsidR="002B2787">
              <w:rPr>
                <w:rFonts w:eastAsia="Times New Roman" w:cstheme="minorHAnsi"/>
                <w:lang w:eastAsia="en-GB"/>
              </w:rPr>
              <w:t>A</w:t>
            </w:r>
            <w:r>
              <w:rPr>
                <w:rFonts w:eastAsia="Times New Roman" w:cstheme="minorHAnsi"/>
                <w:lang w:eastAsia="en-GB"/>
              </w:rPr>
              <w:t>U</w:t>
            </w:r>
          </w:p>
        </w:tc>
        <w:tc>
          <w:tcPr>
            <w:tcW w:w="4196" w:type="pct"/>
            <w:noWrap/>
          </w:tcPr>
          <w:p w14:paraId="459BBF98" w14:textId="237119E1" w:rsidR="00C41D78" w:rsidRDefault="00C41D78" w:rsidP="00613ABF">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lang w:eastAsia="en-GB"/>
              </w:rPr>
              <w:t xml:space="preserve">Business </w:t>
            </w:r>
            <w:r w:rsidR="002B2787">
              <w:rPr>
                <w:rFonts w:eastAsia="Times New Roman" w:cstheme="minorHAnsi"/>
                <w:lang w:eastAsia="en-GB"/>
              </w:rPr>
              <w:t>A</w:t>
            </w:r>
            <w:r>
              <w:rPr>
                <w:rFonts w:eastAsia="Times New Roman" w:cstheme="minorHAnsi"/>
                <w:lang w:eastAsia="en-GB"/>
              </w:rPr>
              <w:t>s Usual</w:t>
            </w:r>
          </w:p>
        </w:tc>
      </w:tr>
      <w:tr w:rsidR="008616C4" w:rsidRPr="001D2ECF" w14:paraId="3AA52532" w14:textId="77777777" w:rsidTr="00DE631D">
        <w:trPr>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182C80E2" w14:textId="79328652" w:rsidR="008616C4" w:rsidRDefault="008616C4" w:rsidP="00613ABF">
            <w:pPr>
              <w:rPr>
                <w:rFonts w:eastAsia="Times New Roman" w:cstheme="minorHAnsi"/>
                <w:lang w:eastAsia="en-GB"/>
              </w:rPr>
            </w:pPr>
            <w:r>
              <w:rPr>
                <w:rFonts w:eastAsia="Times New Roman" w:cstheme="minorHAnsi"/>
                <w:lang w:eastAsia="en-GB"/>
              </w:rPr>
              <w:t>BPF</w:t>
            </w:r>
          </w:p>
        </w:tc>
        <w:tc>
          <w:tcPr>
            <w:tcW w:w="4196" w:type="pct"/>
            <w:noWrap/>
          </w:tcPr>
          <w:p w14:paraId="7E5915C5" w14:textId="56E4ACDD" w:rsidR="008616C4" w:rsidRDefault="008616C4" w:rsidP="00613ABF">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lang w:eastAsia="en-GB"/>
              </w:rPr>
              <w:t>Blue Planet Fund</w:t>
            </w:r>
          </w:p>
        </w:tc>
      </w:tr>
      <w:tr w:rsidR="008616C4" w:rsidRPr="001D2ECF" w14:paraId="6194BF99" w14:textId="77777777" w:rsidTr="00DE63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6AB94D58" w14:textId="3936C3B6" w:rsidR="008616C4" w:rsidRDefault="008616C4" w:rsidP="00613ABF">
            <w:pPr>
              <w:rPr>
                <w:rFonts w:eastAsia="Times New Roman" w:cstheme="minorHAnsi"/>
                <w:lang w:eastAsia="en-GB"/>
              </w:rPr>
            </w:pPr>
            <w:r>
              <w:rPr>
                <w:rFonts w:eastAsia="Times New Roman" w:cstheme="minorHAnsi"/>
                <w:lang w:eastAsia="en-GB"/>
              </w:rPr>
              <w:t>B</w:t>
            </w:r>
            <w:r w:rsidR="002B2787">
              <w:rPr>
                <w:rFonts w:eastAsia="Times New Roman" w:cstheme="minorHAnsi"/>
                <w:lang w:eastAsia="en-GB"/>
              </w:rPr>
              <w:t>RS</w:t>
            </w:r>
          </w:p>
        </w:tc>
        <w:tc>
          <w:tcPr>
            <w:tcW w:w="4196" w:type="pct"/>
            <w:noWrap/>
          </w:tcPr>
          <w:p w14:paraId="61D91F5B" w14:textId="2EE3809A" w:rsidR="008616C4" w:rsidRDefault="002B2787" w:rsidP="00613ABF">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lang w:eastAsia="en-GB"/>
              </w:rPr>
              <w:t xml:space="preserve">Basel, Stockholm and Rotterdam </w:t>
            </w:r>
            <w:r w:rsidR="00B426CE">
              <w:rPr>
                <w:rFonts w:eastAsia="Times New Roman" w:cstheme="minorHAnsi"/>
                <w:lang w:eastAsia="en-GB"/>
              </w:rPr>
              <w:t>C</w:t>
            </w:r>
            <w:r>
              <w:rPr>
                <w:rFonts w:eastAsia="Times New Roman" w:cstheme="minorHAnsi"/>
                <w:lang w:eastAsia="en-GB"/>
              </w:rPr>
              <w:t>onventions</w:t>
            </w:r>
          </w:p>
        </w:tc>
      </w:tr>
      <w:tr w:rsidR="007C3478" w:rsidRPr="001D2ECF" w14:paraId="4C1E431A" w14:textId="77777777" w:rsidTr="00DE631D">
        <w:trPr>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798D6000" w14:textId="4B597B31" w:rsidR="007C3478" w:rsidRDefault="007C3478" w:rsidP="00613ABF">
            <w:pPr>
              <w:rPr>
                <w:rFonts w:eastAsia="Times New Roman" w:cstheme="minorHAnsi"/>
                <w:lang w:eastAsia="en-GB"/>
              </w:rPr>
            </w:pPr>
            <w:r>
              <w:rPr>
                <w:rFonts w:eastAsia="Times New Roman" w:cstheme="minorHAnsi"/>
                <w:lang w:eastAsia="en-GB"/>
              </w:rPr>
              <w:t>CCOA</w:t>
            </w:r>
          </w:p>
        </w:tc>
        <w:tc>
          <w:tcPr>
            <w:tcW w:w="4196" w:type="pct"/>
            <w:noWrap/>
          </w:tcPr>
          <w:p w14:paraId="3FA8DC75" w14:textId="59FD5BCB" w:rsidR="007C3478" w:rsidRDefault="007C3478" w:rsidP="00613ABF">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lang w:eastAsia="en-GB"/>
              </w:rPr>
              <w:t>Commonwealth Clean Ocean Alliance</w:t>
            </w:r>
          </w:p>
        </w:tc>
      </w:tr>
      <w:tr w:rsidR="001814B2" w:rsidRPr="001D2ECF" w14:paraId="046223FC" w14:textId="77777777" w:rsidTr="00DE63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174BB7DD" w14:textId="24477D18" w:rsidR="001814B2" w:rsidRDefault="001814B2" w:rsidP="00613ABF">
            <w:pPr>
              <w:rPr>
                <w:rFonts w:eastAsia="Times New Roman" w:cstheme="minorHAnsi"/>
                <w:lang w:eastAsia="en-GB"/>
              </w:rPr>
            </w:pPr>
            <w:r>
              <w:rPr>
                <w:rFonts w:eastAsia="Times New Roman" w:cstheme="minorHAnsi"/>
                <w:lang w:eastAsia="en-GB"/>
              </w:rPr>
              <w:t>CD</w:t>
            </w:r>
            <w:r w:rsidR="00201C9E">
              <w:rPr>
                <w:rFonts w:eastAsia="Times New Roman" w:cstheme="minorHAnsi"/>
                <w:lang w:eastAsia="en-GB"/>
              </w:rPr>
              <w:t>EL</w:t>
            </w:r>
          </w:p>
        </w:tc>
        <w:tc>
          <w:tcPr>
            <w:tcW w:w="4196" w:type="pct"/>
            <w:noWrap/>
          </w:tcPr>
          <w:p w14:paraId="4ED960C4" w14:textId="140857A5" w:rsidR="001814B2" w:rsidRDefault="001814B2" w:rsidP="00613ABF">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lang w:eastAsia="en-GB"/>
              </w:rPr>
              <w:t>Capital Delivery</w:t>
            </w:r>
          </w:p>
        </w:tc>
      </w:tr>
      <w:tr w:rsidR="001814B2" w:rsidRPr="001D2ECF" w14:paraId="1A26A123" w14:textId="77777777" w:rsidTr="00DE631D">
        <w:trPr>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6B819DF5" w14:textId="2410CBE9" w:rsidR="001814B2" w:rsidRDefault="001814B2" w:rsidP="00613ABF">
            <w:pPr>
              <w:rPr>
                <w:rFonts w:eastAsia="Times New Roman" w:cstheme="minorHAnsi"/>
                <w:lang w:eastAsia="en-GB"/>
              </w:rPr>
            </w:pPr>
            <w:r>
              <w:rPr>
                <w:rFonts w:eastAsia="Times New Roman" w:cstheme="minorHAnsi"/>
                <w:lang w:eastAsia="en-GB"/>
              </w:rPr>
              <w:t>CEE</w:t>
            </w:r>
          </w:p>
        </w:tc>
        <w:tc>
          <w:tcPr>
            <w:tcW w:w="4196" w:type="pct"/>
            <w:noWrap/>
          </w:tcPr>
          <w:p w14:paraId="6695C154" w14:textId="342A8369" w:rsidR="001814B2" w:rsidRDefault="001814B2" w:rsidP="00613ABF">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lang w:eastAsia="en-GB"/>
              </w:rPr>
              <w:t>Centre for Environment Education</w:t>
            </w:r>
          </w:p>
        </w:tc>
      </w:tr>
      <w:tr w:rsidR="001814B2" w:rsidRPr="001D2ECF" w14:paraId="62A85BFB" w14:textId="77777777" w:rsidTr="00DE63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37713C33" w14:textId="410D94C1" w:rsidR="001814B2" w:rsidRDefault="001814B2" w:rsidP="00613ABF">
            <w:pPr>
              <w:rPr>
                <w:rFonts w:eastAsia="Times New Roman" w:cstheme="minorHAnsi"/>
                <w:lang w:eastAsia="en-GB"/>
              </w:rPr>
            </w:pPr>
            <w:r>
              <w:rPr>
                <w:rFonts w:eastAsia="Times New Roman" w:cstheme="minorHAnsi"/>
                <w:lang w:eastAsia="en-GB"/>
              </w:rPr>
              <w:t>CH</w:t>
            </w:r>
            <w:r w:rsidR="00275B03">
              <w:rPr>
                <w:rFonts w:eastAsia="Times New Roman" w:cstheme="minorHAnsi"/>
                <w:lang w:eastAsia="en-GB"/>
              </w:rPr>
              <w:t>I</w:t>
            </w:r>
            <w:r>
              <w:rPr>
                <w:rFonts w:eastAsia="Times New Roman" w:cstheme="minorHAnsi"/>
                <w:lang w:eastAsia="en-GB"/>
              </w:rPr>
              <w:t>PP</w:t>
            </w:r>
          </w:p>
        </w:tc>
        <w:tc>
          <w:tcPr>
            <w:tcW w:w="4196" w:type="pct"/>
            <w:noWrap/>
          </w:tcPr>
          <w:p w14:paraId="0E1F5263" w14:textId="1D4F34B3" w:rsidR="001814B2" w:rsidRDefault="001814B2" w:rsidP="00613ABF">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lang w:eastAsia="en-GB"/>
              </w:rPr>
              <w:t xml:space="preserve">Championing Inclusivity </w:t>
            </w:r>
            <w:r w:rsidR="006D7ED3">
              <w:rPr>
                <w:rFonts w:eastAsia="Times New Roman" w:cstheme="minorHAnsi"/>
                <w:lang w:eastAsia="en-GB"/>
              </w:rPr>
              <w:t>in Plastic Pollution</w:t>
            </w:r>
          </w:p>
        </w:tc>
      </w:tr>
      <w:tr w:rsidR="001814B2" w:rsidRPr="001D2ECF" w14:paraId="4EC5DBFF" w14:textId="77777777" w:rsidTr="00DE631D">
        <w:trPr>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6FDD98FA" w14:textId="7545D617" w:rsidR="001814B2" w:rsidRDefault="006D7ED3" w:rsidP="00613ABF">
            <w:pPr>
              <w:rPr>
                <w:rFonts w:eastAsia="Times New Roman" w:cstheme="minorHAnsi"/>
                <w:lang w:eastAsia="en-GB"/>
              </w:rPr>
            </w:pPr>
            <w:r>
              <w:rPr>
                <w:rFonts w:eastAsia="Times New Roman" w:cstheme="minorHAnsi"/>
                <w:lang w:eastAsia="en-GB"/>
              </w:rPr>
              <w:t>CLiP</w:t>
            </w:r>
          </w:p>
        </w:tc>
        <w:tc>
          <w:tcPr>
            <w:tcW w:w="4196" w:type="pct"/>
            <w:noWrap/>
          </w:tcPr>
          <w:p w14:paraId="2342A522" w14:textId="18A5E0BA" w:rsidR="001814B2" w:rsidRDefault="006D7ED3" w:rsidP="00613ABF">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lang w:eastAsia="en-GB"/>
              </w:rPr>
              <w:t>Commonwealth Litter Programme</w:t>
            </w:r>
          </w:p>
        </w:tc>
      </w:tr>
      <w:tr w:rsidR="001814B2" w:rsidRPr="001D2ECF" w14:paraId="4A4DE017" w14:textId="77777777" w:rsidTr="00DE63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1795ACE4" w14:textId="58822846" w:rsidR="001814B2" w:rsidRDefault="006D7ED3" w:rsidP="00613ABF">
            <w:pPr>
              <w:rPr>
                <w:rFonts w:eastAsia="Times New Roman" w:cstheme="minorHAnsi"/>
                <w:lang w:eastAsia="en-GB"/>
              </w:rPr>
            </w:pPr>
            <w:r>
              <w:rPr>
                <w:rFonts w:eastAsia="Times New Roman" w:cstheme="minorHAnsi"/>
                <w:lang w:eastAsia="en-GB"/>
              </w:rPr>
              <w:t>CPF</w:t>
            </w:r>
          </w:p>
        </w:tc>
        <w:tc>
          <w:tcPr>
            <w:tcW w:w="4196" w:type="pct"/>
            <w:noWrap/>
          </w:tcPr>
          <w:p w14:paraId="641665D7" w14:textId="13C6468D" w:rsidR="001814B2" w:rsidRDefault="006D7ED3" w:rsidP="00613ABF">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lang w:eastAsia="en-GB"/>
              </w:rPr>
              <w:t>Captain Planet Foundation</w:t>
            </w:r>
          </w:p>
        </w:tc>
      </w:tr>
      <w:tr w:rsidR="001814B2" w:rsidRPr="001D2ECF" w14:paraId="126AF935" w14:textId="77777777" w:rsidTr="00DE631D">
        <w:trPr>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289ABD48" w14:textId="6922BAC2" w:rsidR="001814B2" w:rsidRDefault="006D7ED3" w:rsidP="00613ABF">
            <w:pPr>
              <w:rPr>
                <w:rFonts w:eastAsia="Times New Roman" w:cstheme="minorHAnsi"/>
                <w:lang w:eastAsia="en-GB"/>
              </w:rPr>
            </w:pPr>
            <w:r>
              <w:rPr>
                <w:rFonts w:eastAsia="Times New Roman" w:cstheme="minorHAnsi"/>
                <w:lang w:eastAsia="en-GB"/>
              </w:rPr>
              <w:t>Defra/DEFRA</w:t>
            </w:r>
          </w:p>
        </w:tc>
        <w:tc>
          <w:tcPr>
            <w:tcW w:w="4196" w:type="pct"/>
            <w:noWrap/>
          </w:tcPr>
          <w:p w14:paraId="535C2E59" w14:textId="54DA6738" w:rsidR="001814B2" w:rsidRDefault="006D7ED3" w:rsidP="00613ABF">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lang w:eastAsia="en-GB"/>
              </w:rPr>
              <w:t>Department for the Environment, Food and Rural Affairs (UK Government)</w:t>
            </w:r>
          </w:p>
        </w:tc>
      </w:tr>
      <w:tr w:rsidR="001814B2" w:rsidRPr="001D2ECF" w14:paraId="4211ADF6" w14:textId="77777777" w:rsidTr="00DE63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2CE716CF" w14:textId="6448B321" w:rsidR="001814B2" w:rsidRDefault="006F0C42" w:rsidP="00613ABF">
            <w:pPr>
              <w:rPr>
                <w:rFonts w:eastAsia="Times New Roman" w:cstheme="minorHAnsi"/>
                <w:lang w:eastAsia="en-GB"/>
              </w:rPr>
            </w:pPr>
            <w:r>
              <w:rPr>
                <w:rFonts w:eastAsia="Times New Roman" w:cstheme="minorHAnsi"/>
                <w:lang w:eastAsia="en-GB"/>
              </w:rPr>
              <w:t>FY</w:t>
            </w:r>
          </w:p>
        </w:tc>
        <w:tc>
          <w:tcPr>
            <w:tcW w:w="4196" w:type="pct"/>
            <w:noWrap/>
          </w:tcPr>
          <w:p w14:paraId="3862D1A6" w14:textId="6C7824F3" w:rsidR="001814B2" w:rsidRDefault="006F0C42" w:rsidP="00613ABF">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lang w:eastAsia="en-GB"/>
              </w:rPr>
              <w:t>Financial Year</w:t>
            </w:r>
          </w:p>
        </w:tc>
      </w:tr>
      <w:tr w:rsidR="001814B2" w:rsidRPr="001D2ECF" w14:paraId="16B9E9C7" w14:textId="77777777" w:rsidTr="00DE631D">
        <w:trPr>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3B4B9C58" w14:textId="793EAD39" w:rsidR="001814B2" w:rsidRDefault="006F0C42" w:rsidP="00613ABF">
            <w:pPr>
              <w:rPr>
                <w:rFonts w:eastAsia="Times New Roman" w:cstheme="minorHAnsi"/>
                <w:lang w:eastAsia="en-GB"/>
              </w:rPr>
            </w:pPr>
            <w:r>
              <w:rPr>
                <w:rFonts w:eastAsia="Times New Roman" w:cstheme="minorHAnsi"/>
                <w:lang w:eastAsia="en-GB"/>
              </w:rPr>
              <w:t>FTE</w:t>
            </w:r>
          </w:p>
        </w:tc>
        <w:tc>
          <w:tcPr>
            <w:tcW w:w="4196" w:type="pct"/>
            <w:noWrap/>
          </w:tcPr>
          <w:p w14:paraId="5EB9BDF9" w14:textId="5D2282DD" w:rsidR="001814B2" w:rsidRDefault="006F0C42" w:rsidP="00613ABF">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lang w:eastAsia="en-GB"/>
              </w:rPr>
              <w:t>Full Time Equivalent</w:t>
            </w:r>
          </w:p>
        </w:tc>
      </w:tr>
      <w:tr w:rsidR="001814B2" w:rsidRPr="001D2ECF" w14:paraId="09F3B8FE" w14:textId="77777777" w:rsidTr="00DE63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754A357B" w14:textId="1AC071DD" w:rsidR="001814B2" w:rsidRDefault="006F0C42" w:rsidP="00613ABF">
            <w:pPr>
              <w:rPr>
                <w:rFonts w:eastAsia="Times New Roman" w:cstheme="minorHAnsi"/>
                <w:lang w:eastAsia="en-GB"/>
              </w:rPr>
            </w:pPr>
            <w:r>
              <w:rPr>
                <w:rFonts w:eastAsia="Times New Roman" w:cstheme="minorHAnsi"/>
                <w:lang w:eastAsia="en-GB"/>
              </w:rPr>
              <w:t>FLD</w:t>
            </w:r>
          </w:p>
        </w:tc>
        <w:tc>
          <w:tcPr>
            <w:tcW w:w="4196" w:type="pct"/>
            <w:noWrap/>
          </w:tcPr>
          <w:p w14:paraId="3AF2A6BF" w14:textId="6F248BD5" w:rsidR="001814B2" w:rsidRDefault="006F0C42" w:rsidP="00613ABF">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lang w:eastAsia="en-GB"/>
              </w:rPr>
              <w:t>Front Line Delivery</w:t>
            </w:r>
          </w:p>
        </w:tc>
      </w:tr>
      <w:tr w:rsidR="006F0C42" w:rsidRPr="001D2ECF" w14:paraId="6DF67A43" w14:textId="77777777" w:rsidTr="00DE631D">
        <w:trPr>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73E04E50" w14:textId="03C3FF7E" w:rsidR="006F0C42" w:rsidRDefault="003F332F" w:rsidP="00613ABF">
            <w:pPr>
              <w:rPr>
                <w:rFonts w:eastAsia="Times New Roman" w:cstheme="minorHAnsi"/>
                <w:lang w:eastAsia="en-GB"/>
              </w:rPr>
            </w:pPr>
            <w:r>
              <w:rPr>
                <w:rFonts w:eastAsia="Times New Roman" w:cstheme="minorHAnsi"/>
                <w:lang w:eastAsia="en-GB"/>
              </w:rPr>
              <w:t>GBP</w:t>
            </w:r>
          </w:p>
        </w:tc>
        <w:tc>
          <w:tcPr>
            <w:tcW w:w="4196" w:type="pct"/>
            <w:noWrap/>
          </w:tcPr>
          <w:p w14:paraId="7F294985" w14:textId="254A6CB6" w:rsidR="006F0C42" w:rsidRDefault="003F332F" w:rsidP="00613ABF">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lang w:eastAsia="en-GB"/>
              </w:rPr>
              <w:t>Great British Pound</w:t>
            </w:r>
          </w:p>
        </w:tc>
      </w:tr>
      <w:tr w:rsidR="006F0C42" w:rsidRPr="001D2ECF" w14:paraId="0FF9E136" w14:textId="77777777" w:rsidTr="00DE63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23BD3B6D" w14:textId="707B206F" w:rsidR="006F0C42" w:rsidRDefault="003F332F" w:rsidP="00613ABF">
            <w:pPr>
              <w:rPr>
                <w:rFonts w:eastAsia="Times New Roman" w:cstheme="minorHAnsi"/>
                <w:lang w:eastAsia="en-GB"/>
              </w:rPr>
            </w:pPr>
            <w:r>
              <w:rPr>
                <w:rFonts w:eastAsia="Times New Roman" w:cstheme="minorHAnsi"/>
                <w:lang w:eastAsia="en-GB"/>
              </w:rPr>
              <w:t>GEF</w:t>
            </w:r>
          </w:p>
        </w:tc>
        <w:tc>
          <w:tcPr>
            <w:tcW w:w="4196" w:type="pct"/>
            <w:noWrap/>
          </w:tcPr>
          <w:p w14:paraId="2D9D8B68" w14:textId="7D037B7E" w:rsidR="006F0C42" w:rsidRDefault="008F0A13" w:rsidP="00613ABF">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lang w:eastAsia="en-GB"/>
              </w:rPr>
              <w:t>Global Environment Fund</w:t>
            </w:r>
          </w:p>
        </w:tc>
      </w:tr>
      <w:tr w:rsidR="008F0A13" w:rsidRPr="001D2ECF" w14:paraId="3B2C086A" w14:textId="77777777" w:rsidTr="00DE631D">
        <w:trPr>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00419296" w14:textId="1026CBD4" w:rsidR="008F0A13" w:rsidRDefault="008F0A13" w:rsidP="008F0A13">
            <w:pPr>
              <w:rPr>
                <w:rFonts w:eastAsia="Times New Roman" w:cstheme="minorHAnsi"/>
                <w:lang w:eastAsia="en-GB"/>
              </w:rPr>
            </w:pPr>
            <w:r>
              <w:rPr>
                <w:rFonts w:eastAsia="Times New Roman" w:cstheme="minorHAnsi"/>
                <w:lang w:eastAsia="en-GB"/>
              </w:rPr>
              <w:t>GGKP</w:t>
            </w:r>
          </w:p>
        </w:tc>
        <w:tc>
          <w:tcPr>
            <w:tcW w:w="4196" w:type="pct"/>
            <w:noWrap/>
          </w:tcPr>
          <w:p w14:paraId="6EA14048" w14:textId="3B6643B5" w:rsidR="008F0A13" w:rsidRDefault="008F0A13" w:rsidP="008F0A13">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lang w:eastAsia="en-GB"/>
              </w:rPr>
              <w:t>Green Growth Knowledge Platform</w:t>
            </w:r>
          </w:p>
        </w:tc>
      </w:tr>
      <w:tr w:rsidR="008F0A13" w:rsidRPr="001D2ECF" w14:paraId="0D4AFF07" w14:textId="77777777" w:rsidTr="00DE63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234B8EEB" w14:textId="2ACB0170" w:rsidR="008F0A13" w:rsidRDefault="008F0A13" w:rsidP="008F0A13">
            <w:pPr>
              <w:rPr>
                <w:rFonts w:eastAsia="Times New Roman" w:cstheme="minorHAnsi"/>
                <w:lang w:eastAsia="en-GB"/>
              </w:rPr>
            </w:pPr>
            <w:r>
              <w:rPr>
                <w:rFonts w:eastAsia="Times New Roman" w:cstheme="minorHAnsi"/>
                <w:lang w:eastAsia="en-GB"/>
              </w:rPr>
              <w:t>GHG</w:t>
            </w:r>
          </w:p>
        </w:tc>
        <w:tc>
          <w:tcPr>
            <w:tcW w:w="4196" w:type="pct"/>
            <w:noWrap/>
          </w:tcPr>
          <w:p w14:paraId="24B6A0FE" w14:textId="76FCC18E" w:rsidR="008F0A13" w:rsidRDefault="008F0A13" w:rsidP="008F0A13">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lang w:eastAsia="en-GB"/>
              </w:rPr>
              <w:t>Greenhouse Gas (Emissions)</w:t>
            </w:r>
          </w:p>
        </w:tc>
      </w:tr>
      <w:tr w:rsidR="00724B5B" w:rsidRPr="001D2ECF" w14:paraId="04FD2B84" w14:textId="77777777" w:rsidTr="00DE631D">
        <w:trPr>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761B81AD" w14:textId="2E3D1C2F" w:rsidR="00724B5B" w:rsidRDefault="00724B5B" w:rsidP="00724B5B">
            <w:pPr>
              <w:rPr>
                <w:rFonts w:eastAsia="Times New Roman" w:cstheme="minorHAnsi"/>
                <w:lang w:eastAsia="en-GB"/>
              </w:rPr>
            </w:pPr>
            <w:r>
              <w:rPr>
                <w:rFonts w:eastAsia="Times New Roman" w:cstheme="minorHAnsi"/>
                <w:lang w:eastAsia="en-GB"/>
              </w:rPr>
              <w:t>GPAP</w:t>
            </w:r>
          </w:p>
        </w:tc>
        <w:tc>
          <w:tcPr>
            <w:tcW w:w="4196" w:type="pct"/>
            <w:noWrap/>
          </w:tcPr>
          <w:p w14:paraId="184AB48C" w14:textId="796EF137" w:rsidR="00724B5B" w:rsidRDefault="00724B5B" w:rsidP="00724B5B">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lang w:eastAsia="en-GB"/>
              </w:rPr>
              <w:t>Global Plastic Action Partnership</w:t>
            </w:r>
          </w:p>
        </w:tc>
      </w:tr>
      <w:tr w:rsidR="00724B5B" w:rsidRPr="001D2ECF" w14:paraId="0253B829" w14:textId="77777777" w:rsidTr="00DE63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11265F5A" w14:textId="1101A4FC" w:rsidR="00724B5B" w:rsidRDefault="00724B5B" w:rsidP="00724B5B">
            <w:pPr>
              <w:rPr>
                <w:rFonts w:eastAsia="Times New Roman" w:cstheme="minorHAnsi"/>
                <w:lang w:eastAsia="en-GB"/>
              </w:rPr>
            </w:pPr>
            <w:r>
              <w:rPr>
                <w:rFonts w:eastAsia="Times New Roman" w:cstheme="minorHAnsi"/>
                <w:lang w:eastAsia="en-GB"/>
              </w:rPr>
              <w:t>IATI</w:t>
            </w:r>
          </w:p>
        </w:tc>
        <w:tc>
          <w:tcPr>
            <w:tcW w:w="4196" w:type="pct"/>
            <w:noWrap/>
          </w:tcPr>
          <w:p w14:paraId="0824AED4" w14:textId="31109004" w:rsidR="00724B5B" w:rsidRDefault="00724B5B" w:rsidP="00724B5B">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lang w:eastAsia="en-GB"/>
              </w:rPr>
              <w:t>International Aid Transparency Initiative</w:t>
            </w:r>
          </w:p>
        </w:tc>
      </w:tr>
      <w:tr w:rsidR="00061CA6" w:rsidRPr="001D2ECF" w14:paraId="05120064" w14:textId="77777777" w:rsidTr="00DE631D">
        <w:trPr>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5F7313E3" w14:textId="239AE921" w:rsidR="00061CA6" w:rsidRDefault="00061CA6" w:rsidP="00061CA6">
            <w:pPr>
              <w:rPr>
                <w:rFonts w:eastAsia="Times New Roman" w:cstheme="minorHAnsi"/>
                <w:lang w:eastAsia="en-GB"/>
              </w:rPr>
            </w:pPr>
            <w:r>
              <w:rPr>
                <w:rFonts w:eastAsia="Times New Roman" w:cstheme="minorHAnsi"/>
                <w:lang w:eastAsia="en-GB"/>
              </w:rPr>
              <w:t>INC</w:t>
            </w:r>
          </w:p>
        </w:tc>
        <w:tc>
          <w:tcPr>
            <w:tcW w:w="4196" w:type="pct"/>
            <w:noWrap/>
          </w:tcPr>
          <w:p w14:paraId="5CCED018" w14:textId="08EE5BED" w:rsidR="00061CA6" w:rsidRDefault="00061CA6" w:rsidP="00061CA6">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lang w:eastAsia="en-GB"/>
              </w:rPr>
              <w:t>Intergovernmental Negotiating Committee</w:t>
            </w:r>
          </w:p>
        </w:tc>
      </w:tr>
      <w:tr w:rsidR="00061CA6" w:rsidRPr="001D2ECF" w14:paraId="25709539" w14:textId="77777777" w:rsidTr="00DE63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60CCB8C3" w14:textId="28D1A000" w:rsidR="00061CA6" w:rsidRDefault="00061CA6" w:rsidP="00061CA6">
            <w:pPr>
              <w:rPr>
                <w:rFonts w:eastAsia="Times New Roman" w:cstheme="minorHAnsi"/>
                <w:lang w:eastAsia="en-GB"/>
              </w:rPr>
            </w:pPr>
            <w:r>
              <w:rPr>
                <w:rFonts w:eastAsia="Times New Roman" w:cstheme="minorHAnsi"/>
                <w:lang w:eastAsia="en-GB"/>
              </w:rPr>
              <w:t>JMB</w:t>
            </w:r>
          </w:p>
        </w:tc>
        <w:tc>
          <w:tcPr>
            <w:tcW w:w="4196" w:type="pct"/>
            <w:noWrap/>
          </w:tcPr>
          <w:p w14:paraId="28D8EFB4" w14:textId="67FE033A" w:rsidR="00061CA6" w:rsidRDefault="00061CA6" w:rsidP="00061CA6">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lang w:eastAsia="en-GB"/>
              </w:rPr>
              <w:t>Joint Management Board</w:t>
            </w:r>
          </w:p>
        </w:tc>
      </w:tr>
      <w:tr w:rsidR="00061CA6" w:rsidRPr="001D2ECF" w14:paraId="6D3474DF" w14:textId="77777777" w:rsidTr="00DE631D">
        <w:trPr>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6B197476" w14:textId="6261A38C" w:rsidR="00061CA6" w:rsidRDefault="00061CA6" w:rsidP="00061CA6">
            <w:pPr>
              <w:rPr>
                <w:rFonts w:eastAsia="Times New Roman" w:cstheme="minorHAnsi"/>
                <w:lang w:eastAsia="en-GB"/>
              </w:rPr>
            </w:pPr>
            <w:r>
              <w:rPr>
                <w:rFonts w:eastAsia="Times New Roman" w:cstheme="minorHAnsi"/>
                <w:lang w:eastAsia="en-GB"/>
              </w:rPr>
              <w:t>KPIs</w:t>
            </w:r>
          </w:p>
        </w:tc>
        <w:tc>
          <w:tcPr>
            <w:tcW w:w="4196" w:type="pct"/>
            <w:noWrap/>
          </w:tcPr>
          <w:p w14:paraId="4A95BB04" w14:textId="59AADB25" w:rsidR="00061CA6" w:rsidRDefault="00061CA6" w:rsidP="00061CA6">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lang w:eastAsia="en-GB"/>
              </w:rPr>
              <w:t>Key Performance Indicators</w:t>
            </w:r>
          </w:p>
        </w:tc>
      </w:tr>
      <w:tr w:rsidR="00061CA6" w:rsidRPr="001D2ECF" w14:paraId="13A95E28" w14:textId="77777777" w:rsidTr="00724B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651D1109" w14:textId="2B4EE74F" w:rsidR="00061CA6" w:rsidRPr="00217F59" w:rsidRDefault="00221C99" w:rsidP="00061CA6">
            <w:pPr>
              <w:rPr>
                <w:rFonts w:eastAsia="Times New Roman" w:cstheme="minorHAnsi"/>
                <w:lang w:eastAsia="en-GB"/>
              </w:rPr>
            </w:pPr>
            <w:r>
              <w:rPr>
                <w:rFonts w:eastAsia="Times New Roman" w:cstheme="minorHAnsi"/>
                <w:lang w:eastAsia="en-GB"/>
              </w:rPr>
              <w:t>M&amp;E</w:t>
            </w:r>
          </w:p>
        </w:tc>
        <w:tc>
          <w:tcPr>
            <w:tcW w:w="4196" w:type="pct"/>
            <w:noWrap/>
          </w:tcPr>
          <w:p w14:paraId="27236368" w14:textId="6D82A2E9" w:rsidR="00061CA6" w:rsidRPr="00217F59" w:rsidRDefault="00221C99" w:rsidP="00061CA6">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lang w:eastAsia="en-GB"/>
              </w:rPr>
              <w:t>Monitoring and Evaluation</w:t>
            </w:r>
          </w:p>
        </w:tc>
      </w:tr>
      <w:tr w:rsidR="00221C99" w:rsidRPr="001D2ECF" w14:paraId="25060DCC" w14:textId="77777777" w:rsidTr="00061CA6">
        <w:trPr>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638DE20C" w14:textId="4D99A4AF" w:rsidR="00221C99" w:rsidRPr="00217F59" w:rsidRDefault="00221C99" w:rsidP="00221C99">
            <w:pPr>
              <w:rPr>
                <w:rFonts w:eastAsia="Times New Roman" w:cstheme="minorHAnsi"/>
                <w:lang w:eastAsia="en-GB"/>
              </w:rPr>
            </w:pPr>
            <w:r>
              <w:rPr>
                <w:rFonts w:eastAsia="Times New Roman" w:cstheme="minorHAnsi"/>
                <w:lang w:eastAsia="en-GB"/>
              </w:rPr>
              <w:t>MEL</w:t>
            </w:r>
          </w:p>
        </w:tc>
        <w:tc>
          <w:tcPr>
            <w:tcW w:w="4196" w:type="pct"/>
            <w:noWrap/>
          </w:tcPr>
          <w:p w14:paraId="5525C511" w14:textId="1A4FA4DE" w:rsidR="00221C99" w:rsidRPr="00217F59" w:rsidRDefault="00221C99" w:rsidP="00221C99">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lang w:eastAsia="en-GB"/>
              </w:rPr>
              <w:t>Monitoring, Evaluation and Learning</w:t>
            </w:r>
          </w:p>
        </w:tc>
      </w:tr>
      <w:tr w:rsidR="00221C99" w:rsidRPr="001D2ECF" w14:paraId="29D054E9" w14:textId="77777777" w:rsidTr="00DE63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1C29FD2B" w14:textId="4DD6A4BE" w:rsidR="00221C99" w:rsidRDefault="00221C99" w:rsidP="00221C99">
            <w:pPr>
              <w:rPr>
                <w:rFonts w:eastAsia="Times New Roman" w:cstheme="minorHAnsi"/>
                <w:lang w:eastAsia="en-GB"/>
              </w:rPr>
            </w:pPr>
            <w:r>
              <w:rPr>
                <w:rFonts w:eastAsia="Times New Roman" w:cstheme="minorHAnsi"/>
                <w:lang w:eastAsia="en-GB"/>
              </w:rPr>
              <w:t>NSOs</w:t>
            </w:r>
          </w:p>
        </w:tc>
        <w:tc>
          <w:tcPr>
            <w:tcW w:w="4196" w:type="pct"/>
            <w:noWrap/>
          </w:tcPr>
          <w:p w14:paraId="11E21871" w14:textId="596F694F" w:rsidR="00221C99" w:rsidRDefault="00221C99" w:rsidP="00221C99">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lang w:eastAsia="en-GB"/>
              </w:rPr>
              <w:t>National Scout Organisations</w:t>
            </w:r>
          </w:p>
        </w:tc>
      </w:tr>
      <w:tr w:rsidR="00221C99" w:rsidRPr="001D2ECF" w14:paraId="1155D85B" w14:textId="77777777" w:rsidTr="00DE631D">
        <w:trPr>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46F84B7A" w14:textId="5FAC8448" w:rsidR="00221C99" w:rsidRDefault="00221C99" w:rsidP="00221C99">
            <w:pPr>
              <w:rPr>
                <w:rFonts w:eastAsia="Times New Roman" w:cstheme="minorHAnsi"/>
                <w:lang w:eastAsia="en-GB"/>
              </w:rPr>
            </w:pPr>
            <w:r>
              <w:rPr>
                <w:rFonts w:eastAsia="Times New Roman" w:cstheme="minorHAnsi"/>
                <w:lang w:eastAsia="en-GB"/>
              </w:rPr>
              <w:t>OCPP</w:t>
            </w:r>
          </w:p>
        </w:tc>
        <w:tc>
          <w:tcPr>
            <w:tcW w:w="4196" w:type="pct"/>
            <w:noWrap/>
          </w:tcPr>
          <w:p w14:paraId="3E745E63" w14:textId="4B0DC08E" w:rsidR="00221C99" w:rsidRDefault="00221C99" w:rsidP="00221C99">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lang w:eastAsia="en-GB"/>
              </w:rPr>
              <w:t>Ocean Country Partnership Programme</w:t>
            </w:r>
          </w:p>
        </w:tc>
      </w:tr>
      <w:tr w:rsidR="00221C99" w:rsidRPr="001D2ECF" w14:paraId="258FB95D" w14:textId="77777777" w:rsidTr="00DE63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6B597DE7" w14:textId="76984C1D" w:rsidR="00221C99" w:rsidRDefault="00221C99" w:rsidP="00221C99">
            <w:pPr>
              <w:rPr>
                <w:rFonts w:eastAsia="Times New Roman" w:cstheme="minorHAnsi"/>
                <w:lang w:eastAsia="en-GB"/>
              </w:rPr>
            </w:pPr>
            <w:r>
              <w:rPr>
                <w:rFonts w:eastAsia="Times New Roman" w:cstheme="minorHAnsi"/>
                <w:lang w:eastAsia="en-GB"/>
              </w:rPr>
              <w:t>ODA</w:t>
            </w:r>
          </w:p>
        </w:tc>
        <w:tc>
          <w:tcPr>
            <w:tcW w:w="4196" w:type="pct"/>
            <w:noWrap/>
          </w:tcPr>
          <w:p w14:paraId="633FE70D" w14:textId="3035C5DC" w:rsidR="00221C99" w:rsidRDefault="00221C99" w:rsidP="00221C99">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lang w:eastAsia="en-GB"/>
              </w:rPr>
              <w:t>(UK) Official Development Assistance</w:t>
            </w:r>
          </w:p>
        </w:tc>
      </w:tr>
      <w:tr w:rsidR="00221C99" w:rsidRPr="001D2ECF" w14:paraId="7D5F3F83" w14:textId="77777777" w:rsidTr="00DE631D">
        <w:trPr>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2DBB04D1" w14:textId="1FC240AD" w:rsidR="00221C99" w:rsidRDefault="00221C99" w:rsidP="00221C99">
            <w:pPr>
              <w:rPr>
                <w:rFonts w:eastAsia="Times New Roman" w:cstheme="minorHAnsi"/>
                <w:lang w:eastAsia="en-GB"/>
              </w:rPr>
            </w:pPr>
            <w:r>
              <w:rPr>
                <w:rFonts w:eastAsia="Times New Roman" w:cstheme="minorHAnsi"/>
                <w:lang w:eastAsia="en-GB"/>
              </w:rPr>
              <w:t>RAG</w:t>
            </w:r>
          </w:p>
        </w:tc>
        <w:tc>
          <w:tcPr>
            <w:tcW w:w="4196" w:type="pct"/>
            <w:noWrap/>
          </w:tcPr>
          <w:p w14:paraId="7AB49905" w14:textId="546D59F6" w:rsidR="00221C99" w:rsidRDefault="00221C99" w:rsidP="00221C99">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lang w:eastAsia="en-GB"/>
              </w:rPr>
              <w:t>Red, Amber, Green (e.g., in risk context)</w:t>
            </w:r>
          </w:p>
        </w:tc>
      </w:tr>
      <w:tr w:rsidR="00221C99" w:rsidRPr="001D2ECF" w14:paraId="6009C25F" w14:textId="77777777" w:rsidTr="00DE63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4A14779B" w14:textId="2E00A8C1" w:rsidR="00221C99" w:rsidRDefault="00221C99" w:rsidP="00221C99">
            <w:pPr>
              <w:rPr>
                <w:rFonts w:eastAsia="Times New Roman" w:cstheme="minorHAnsi"/>
                <w:lang w:eastAsia="en-GB"/>
              </w:rPr>
            </w:pPr>
            <w:r>
              <w:rPr>
                <w:rFonts w:eastAsia="Times New Roman" w:cstheme="minorHAnsi"/>
                <w:lang w:eastAsia="en-GB"/>
              </w:rPr>
              <w:t>RPA</w:t>
            </w:r>
          </w:p>
        </w:tc>
        <w:tc>
          <w:tcPr>
            <w:tcW w:w="4196" w:type="pct"/>
            <w:noWrap/>
          </w:tcPr>
          <w:p w14:paraId="0E3D4842" w14:textId="738F9E7B" w:rsidR="00221C99" w:rsidRDefault="00221C99" w:rsidP="00221C99">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lang w:eastAsia="en-GB"/>
              </w:rPr>
              <w:t>Risk Potential Assessment</w:t>
            </w:r>
          </w:p>
        </w:tc>
      </w:tr>
      <w:tr w:rsidR="00221C99" w:rsidRPr="001D2ECF" w14:paraId="112CD0C7" w14:textId="77777777" w:rsidTr="00DE631D">
        <w:trPr>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7172B1C4" w14:textId="6596D0C4" w:rsidR="00221C99" w:rsidRDefault="00221C99" w:rsidP="00221C99">
            <w:pPr>
              <w:rPr>
                <w:rFonts w:eastAsia="Times New Roman" w:cstheme="minorHAnsi"/>
                <w:lang w:eastAsia="en-GB"/>
              </w:rPr>
            </w:pPr>
            <w:r>
              <w:rPr>
                <w:rFonts w:eastAsia="Times New Roman" w:cstheme="minorHAnsi"/>
                <w:lang w:eastAsia="en-GB"/>
              </w:rPr>
              <w:t>RD</w:t>
            </w:r>
            <w:r w:rsidR="00201C9E">
              <w:rPr>
                <w:rFonts w:eastAsia="Times New Roman" w:cstheme="minorHAnsi"/>
                <w:lang w:eastAsia="en-GB"/>
              </w:rPr>
              <w:t>EL</w:t>
            </w:r>
          </w:p>
        </w:tc>
        <w:tc>
          <w:tcPr>
            <w:tcW w:w="4196" w:type="pct"/>
            <w:noWrap/>
          </w:tcPr>
          <w:p w14:paraId="581AA4B0" w14:textId="122C9A58" w:rsidR="00221C99" w:rsidRDefault="00221C99" w:rsidP="00221C99">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lang w:eastAsia="en-GB"/>
              </w:rPr>
              <w:t>Resource Delivery</w:t>
            </w:r>
          </w:p>
        </w:tc>
      </w:tr>
      <w:tr w:rsidR="00221C99" w:rsidRPr="001D2ECF" w14:paraId="21E49185" w14:textId="77777777" w:rsidTr="00DE63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049CC92C" w14:textId="6891D5AA" w:rsidR="00221C99" w:rsidRDefault="00221C99" w:rsidP="00221C99">
            <w:pPr>
              <w:rPr>
                <w:rFonts w:eastAsia="Times New Roman" w:cstheme="minorHAnsi"/>
                <w:lang w:eastAsia="en-GB"/>
              </w:rPr>
            </w:pPr>
            <w:r>
              <w:rPr>
                <w:rFonts w:eastAsia="Times New Roman" w:cstheme="minorHAnsi"/>
                <w:lang w:eastAsia="en-GB"/>
              </w:rPr>
              <w:t>SIDS</w:t>
            </w:r>
          </w:p>
        </w:tc>
        <w:tc>
          <w:tcPr>
            <w:tcW w:w="4196" w:type="pct"/>
            <w:noWrap/>
          </w:tcPr>
          <w:p w14:paraId="0DDE3D5B" w14:textId="144BBA1A" w:rsidR="00221C99" w:rsidRDefault="00221C99" w:rsidP="00221C99">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lang w:eastAsia="en-GB"/>
              </w:rPr>
              <w:t>Small Island Developing States</w:t>
            </w:r>
          </w:p>
        </w:tc>
      </w:tr>
      <w:tr w:rsidR="00221C99" w:rsidRPr="001D2ECF" w14:paraId="24BCF1F1" w14:textId="77777777" w:rsidTr="00DE631D">
        <w:trPr>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58AF5D67" w14:textId="2C62B655" w:rsidR="00221C99" w:rsidRDefault="00221C99" w:rsidP="00221C99">
            <w:pPr>
              <w:rPr>
                <w:rFonts w:eastAsia="Times New Roman" w:cstheme="minorHAnsi"/>
                <w:lang w:eastAsia="en-GB"/>
              </w:rPr>
            </w:pPr>
            <w:r>
              <w:rPr>
                <w:rFonts w:eastAsia="Times New Roman" w:cstheme="minorHAnsi"/>
                <w:lang w:eastAsia="en-GB"/>
              </w:rPr>
              <w:t>SRO</w:t>
            </w:r>
          </w:p>
        </w:tc>
        <w:tc>
          <w:tcPr>
            <w:tcW w:w="4196" w:type="pct"/>
            <w:noWrap/>
          </w:tcPr>
          <w:p w14:paraId="5A9F1A33" w14:textId="6357D369" w:rsidR="00221C99" w:rsidRDefault="00221C99" w:rsidP="00221C99">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lang w:eastAsia="en-GB"/>
              </w:rPr>
              <w:t>Senior Responsible Officer</w:t>
            </w:r>
          </w:p>
        </w:tc>
      </w:tr>
      <w:tr w:rsidR="00221C99" w:rsidRPr="001D2ECF" w14:paraId="7463F1D7" w14:textId="77777777" w:rsidTr="00DE63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7F9A751A" w14:textId="3FC13BC8" w:rsidR="00221C99" w:rsidRDefault="00221C99" w:rsidP="00221C99">
            <w:pPr>
              <w:rPr>
                <w:rFonts w:eastAsia="Times New Roman" w:cstheme="minorHAnsi"/>
                <w:lang w:eastAsia="en-GB"/>
              </w:rPr>
            </w:pPr>
            <w:r>
              <w:rPr>
                <w:rFonts w:eastAsia="Times New Roman" w:cstheme="minorHAnsi"/>
                <w:lang w:eastAsia="en-GB"/>
              </w:rPr>
              <w:t>SUP</w:t>
            </w:r>
          </w:p>
        </w:tc>
        <w:tc>
          <w:tcPr>
            <w:tcW w:w="4196" w:type="pct"/>
            <w:noWrap/>
          </w:tcPr>
          <w:p w14:paraId="638B5C61" w14:textId="2A5E0B37" w:rsidR="00221C99" w:rsidRDefault="00221C99" w:rsidP="00221C99">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lang w:eastAsia="en-GB"/>
              </w:rPr>
              <w:t>Single Use Plastics</w:t>
            </w:r>
          </w:p>
        </w:tc>
      </w:tr>
      <w:tr w:rsidR="00221C99" w:rsidRPr="001D2ECF" w14:paraId="252F439D" w14:textId="77777777" w:rsidTr="00DE631D">
        <w:trPr>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400901FB" w14:textId="12A290AA" w:rsidR="00221C99" w:rsidRDefault="00221C99" w:rsidP="00221C99">
            <w:pPr>
              <w:rPr>
                <w:rFonts w:eastAsia="Times New Roman" w:cstheme="minorHAnsi"/>
                <w:lang w:eastAsia="en-GB"/>
              </w:rPr>
            </w:pPr>
            <w:r>
              <w:rPr>
                <w:rFonts w:eastAsia="Times New Roman" w:cstheme="minorHAnsi"/>
                <w:lang w:eastAsia="en-GB"/>
              </w:rPr>
              <w:t>ToCs</w:t>
            </w:r>
          </w:p>
        </w:tc>
        <w:tc>
          <w:tcPr>
            <w:tcW w:w="4196" w:type="pct"/>
            <w:noWrap/>
          </w:tcPr>
          <w:p w14:paraId="349DCF87" w14:textId="3D009150" w:rsidR="00221C99" w:rsidRDefault="00221C99" w:rsidP="00221C99">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lang w:eastAsia="en-GB"/>
              </w:rPr>
              <w:t>Theories of Change</w:t>
            </w:r>
          </w:p>
        </w:tc>
      </w:tr>
      <w:tr w:rsidR="00221C99" w:rsidRPr="001D2ECF" w14:paraId="56B2589F" w14:textId="77777777" w:rsidTr="00DE63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5CC756D6" w14:textId="658E47A5" w:rsidR="00221C99" w:rsidRDefault="00221C99" w:rsidP="00221C99">
            <w:pPr>
              <w:rPr>
                <w:rFonts w:eastAsia="Times New Roman" w:cstheme="minorHAnsi"/>
                <w:lang w:eastAsia="en-GB"/>
              </w:rPr>
            </w:pPr>
            <w:r>
              <w:rPr>
                <w:rFonts w:eastAsia="Times New Roman" w:cstheme="minorHAnsi"/>
                <w:lang w:eastAsia="en-GB"/>
              </w:rPr>
              <w:t>UNEA</w:t>
            </w:r>
          </w:p>
        </w:tc>
        <w:tc>
          <w:tcPr>
            <w:tcW w:w="4196" w:type="pct"/>
            <w:noWrap/>
          </w:tcPr>
          <w:p w14:paraId="665B46A7" w14:textId="0E7FF91B" w:rsidR="00221C99" w:rsidRDefault="00221C99" w:rsidP="00221C99">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lang w:eastAsia="en-GB"/>
              </w:rPr>
              <w:t>United Nations Environment Assembly</w:t>
            </w:r>
          </w:p>
        </w:tc>
      </w:tr>
      <w:tr w:rsidR="00221C99" w:rsidRPr="001D2ECF" w14:paraId="05BE705C" w14:textId="77777777" w:rsidTr="00DE631D">
        <w:trPr>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456A01D0" w14:textId="7EBC19A1" w:rsidR="00221C99" w:rsidRDefault="00221C99" w:rsidP="00221C99">
            <w:pPr>
              <w:rPr>
                <w:rFonts w:eastAsia="Times New Roman" w:cstheme="minorHAnsi"/>
                <w:lang w:eastAsia="en-GB"/>
              </w:rPr>
            </w:pPr>
            <w:r>
              <w:rPr>
                <w:rFonts w:eastAsia="Times New Roman" w:cstheme="minorHAnsi"/>
                <w:lang w:eastAsia="en-GB"/>
              </w:rPr>
              <w:t>UNEP</w:t>
            </w:r>
          </w:p>
        </w:tc>
        <w:tc>
          <w:tcPr>
            <w:tcW w:w="4196" w:type="pct"/>
            <w:noWrap/>
          </w:tcPr>
          <w:p w14:paraId="0ED468A0" w14:textId="5132E493" w:rsidR="00221C99" w:rsidRDefault="00221C99" w:rsidP="00221C99">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lang w:eastAsia="en-GB"/>
              </w:rPr>
              <w:t>United Nations Environment Programme</w:t>
            </w:r>
          </w:p>
        </w:tc>
      </w:tr>
      <w:tr w:rsidR="009320B9" w:rsidRPr="001D2ECF" w14:paraId="4F4F6920" w14:textId="77777777" w:rsidTr="00DE63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16C762D5" w14:textId="6AC87A28" w:rsidR="009320B9" w:rsidRDefault="009320B9" w:rsidP="00221C99">
            <w:pPr>
              <w:rPr>
                <w:rFonts w:eastAsia="Times New Roman" w:cstheme="minorHAnsi"/>
                <w:lang w:eastAsia="en-GB"/>
              </w:rPr>
            </w:pPr>
            <w:r>
              <w:rPr>
                <w:rFonts w:eastAsia="Times New Roman" w:cstheme="minorHAnsi"/>
                <w:lang w:eastAsia="en-GB"/>
              </w:rPr>
              <w:t>UNOC</w:t>
            </w:r>
          </w:p>
        </w:tc>
        <w:tc>
          <w:tcPr>
            <w:tcW w:w="4196" w:type="pct"/>
            <w:noWrap/>
          </w:tcPr>
          <w:p w14:paraId="7A274357" w14:textId="4CEF79BA" w:rsidR="009320B9" w:rsidRDefault="009320B9" w:rsidP="00221C99">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lang w:eastAsia="en-GB"/>
              </w:rPr>
              <w:t>United Nations Oceans Conference</w:t>
            </w:r>
          </w:p>
        </w:tc>
      </w:tr>
      <w:tr w:rsidR="009320B9" w:rsidRPr="001D2ECF" w14:paraId="2F9C71EF" w14:textId="77777777" w:rsidTr="00DE631D">
        <w:trPr>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3480C8AB" w14:textId="293D8DF2" w:rsidR="009320B9" w:rsidRDefault="009320B9" w:rsidP="00221C99">
            <w:pPr>
              <w:rPr>
                <w:rFonts w:eastAsia="Times New Roman" w:cstheme="minorHAnsi"/>
                <w:lang w:eastAsia="en-GB"/>
              </w:rPr>
            </w:pPr>
            <w:r>
              <w:rPr>
                <w:rFonts w:eastAsia="Times New Roman" w:cstheme="minorHAnsi"/>
                <w:lang w:eastAsia="en-GB"/>
              </w:rPr>
              <w:t>USD</w:t>
            </w:r>
          </w:p>
        </w:tc>
        <w:tc>
          <w:tcPr>
            <w:tcW w:w="4196" w:type="pct"/>
            <w:noWrap/>
          </w:tcPr>
          <w:p w14:paraId="4B9F0C01" w14:textId="2BE666B7" w:rsidR="009320B9" w:rsidRDefault="009320B9" w:rsidP="00221C99">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lang w:eastAsia="en-GB"/>
              </w:rPr>
              <w:t>United States Dollar</w:t>
            </w:r>
          </w:p>
        </w:tc>
      </w:tr>
      <w:tr w:rsidR="009320B9" w:rsidRPr="001D2ECF" w14:paraId="07A8D2B4" w14:textId="77777777" w:rsidTr="00DE63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6867D932" w14:textId="3A10E746" w:rsidR="009320B9" w:rsidRDefault="009320B9" w:rsidP="00221C99">
            <w:pPr>
              <w:rPr>
                <w:rFonts w:eastAsia="Times New Roman" w:cstheme="minorHAnsi"/>
                <w:lang w:eastAsia="en-GB"/>
              </w:rPr>
            </w:pPr>
            <w:r>
              <w:rPr>
                <w:rFonts w:eastAsia="Times New Roman" w:cstheme="minorHAnsi"/>
                <w:lang w:eastAsia="en-GB"/>
              </w:rPr>
              <w:t>WWF</w:t>
            </w:r>
          </w:p>
        </w:tc>
        <w:tc>
          <w:tcPr>
            <w:tcW w:w="4196" w:type="pct"/>
            <w:noWrap/>
          </w:tcPr>
          <w:p w14:paraId="7304511E" w14:textId="61E56C9A" w:rsidR="009320B9" w:rsidRDefault="009320B9" w:rsidP="00221C99">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lang w:eastAsia="en-GB"/>
              </w:rPr>
              <w:t>World Wildlife Fund</w:t>
            </w:r>
          </w:p>
        </w:tc>
      </w:tr>
      <w:tr w:rsidR="009320B9" w:rsidRPr="001D2ECF" w14:paraId="684DF385" w14:textId="77777777" w:rsidTr="00DE631D">
        <w:trPr>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72A7FEF5" w14:textId="54B3EEA1" w:rsidR="009320B9" w:rsidRDefault="009320B9" w:rsidP="00221C99">
            <w:pPr>
              <w:rPr>
                <w:rFonts w:eastAsia="Times New Roman" w:cstheme="minorHAnsi"/>
                <w:lang w:eastAsia="en-GB"/>
              </w:rPr>
            </w:pPr>
            <w:r>
              <w:rPr>
                <w:rFonts w:eastAsia="Times New Roman" w:cstheme="minorHAnsi"/>
                <w:lang w:eastAsia="en-GB"/>
              </w:rPr>
              <w:t>WAG</w:t>
            </w:r>
            <w:r w:rsidR="00201C9E">
              <w:rPr>
                <w:rFonts w:eastAsia="Times New Roman" w:cstheme="minorHAnsi"/>
                <w:lang w:eastAsia="en-GB"/>
              </w:rPr>
              <w:t>G</w:t>
            </w:r>
            <w:r>
              <w:rPr>
                <w:rFonts w:eastAsia="Times New Roman" w:cstheme="minorHAnsi"/>
                <w:lang w:eastAsia="en-GB"/>
              </w:rPr>
              <w:t>GS</w:t>
            </w:r>
          </w:p>
        </w:tc>
        <w:tc>
          <w:tcPr>
            <w:tcW w:w="4196" w:type="pct"/>
            <w:noWrap/>
          </w:tcPr>
          <w:p w14:paraId="31ECE65B" w14:textId="65D3E13E" w:rsidR="009320B9" w:rsidRDefault="009320B9" w:rsidP="00221C99">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lang w:eastAsia="en-GB"/>
              </w:rPr>
              <w:t>World Association of Girl Guides</w:t>
            </w:r>
            <w:r w:rsidR="00201C9E">
              <w:rPr>
                <w:rFonts w:eastAsia="Times New Roman" w:cstheme="minorHAnsi"/>
                <w:lang w:eastAsia="en-GB"/>
              </w:rPr>
              <w:t xml:space="preserve"> and Girl Scouts</w:t>
            </w:r>
          </w:p>
        </w:tc>
      </w:tr>
      <w:tr w:rsidR="009320B9" w:rsidRPr="001D2ECF" w14:paraId="0684595E" w14:textId="77777777" w:rsidTr="00DE63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6CE9D653" w14:textId="1393C90E" w:rsidR="009320B9" w:rsidRDefault="009320B9" w:rsidP="00221C99">
            <w:pPr>
              <w:rPr>
                <w:rFonts w:eastAsia="Times New Roman" w:cstheme="minorHAnsi"/>
                <w:lang w:eastAsia="en-GB"/>
              </w:rPr>
            </w:pPr>
            <w:r>
              <w:rPr>
                <w:rFonts w:eastAsia="Times New Roman" w:cstheme="minorHAnsi"/>
                <w:lang w:eastAsia="en-GB"/>
              </w:rPr>
              <w:t>WOSM</w:t>
            </w:r>
          </w:p>
        </w:tc>
        <w:tc>
          <w:tcPr>
            <w:tcW w:w="4196" w:type="pct"/>
            <w:noWrap/>
          </w:tcPr>
          <w:p w14:paraId="61D01361" w14:textId="02975025" w:rsidR="009320B9" w:rsidRDefault="009320B9" w:rsidP="00221C99">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eastAsia="Times New Roman" w:cstheme="minorHAnsi"/>
                <w:lang w:eastAsia="en-GB"/>
              </w:rPr>
              <w:t>World Organisation of the Scout Movement</w:t>
            </w:r>
          </w:p>
        </w:tc>
      </w:tr>
      <w:tr w:rsidR="00221C99" w:rsidRPr="001D2ECF" w14:paraId="7DD5E97C" w14:textId="77777777" w:rsidTr="00DE631D">
        <w:trPr>
          <w:trHeight w:val="300"/>
        </w:trPr>
        <w:tc>
          <w:tcPr>
            <w:cnfStyle w:val="001000000000" w:firstRow="0" w:lastRow="0" w:firstColumn="1" w:lastColumn="0" w:oddVBand="0" w:evenVBand="0" w:oddHBand="0" w:evenHBand="0" w:firstRowFirstColumn="0" w:firstRowLastColumn="0" w:lastRowFirstColumn="0" w:lastRowLastColumn="0"/>
            <w:tcW w:w="804" w:type="pct"/>
            <w:noWrap/>
          </w:tcPr>
          <w:p w14:paraId="75E92FAB" w14:textId="64D6B20F" w:rsidR="00221C99" w:rsidRDefault="00221C99" w:rsidP="00221C99">
            <w:pPr>
              <w:rPr>
                <w:rFonts w:eastAsia="Times New Roman" w:cstheme="minorHAnsi"/>
                <w:lang w:eastAsia="en-GB"/>
              </w:rPr>
            </w:pPr>
            <w:r>
              <w:rPr>
                <w:rFonts w:eastAsia="Times New Roman" w:cstheme="minorHAnsi"/>
                <w:lang w:eastAsia="en-GB"/>
              </w:rPr>
              <w:t>VfM</w:t>
            </w:r>
          </w:p>
        </w:tc>
        <w:tc>
          <w:tcPr>
            <w:tcW w:w="4196" w:type="pct"/>
            <w:noWrap/>
          </w:tcPr>
          <w:p w14:paraId="0DD6A072" w14:textId="648908AF" w:rsidR="00221C99" w:rsidRDefault="00221C99" w:rsidP="00221C99">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lang w:eastAsia="en-GB"/>
              </w:rPr>
              <w:t>Value For Money</w:t>
            </w:r>
          </w:p>
        </w:tc>
      </w:tr>
    </w:tbl>
    <w:p w14:paraId="2A2BDD9F" w14:textId="77777777" w:rsidR="00C34F9E" w:rsidRDefault="00C34F9E" w:rsidP="00C34F9E">
      <w:pPr>
        <w:sectPr w:rsidR="00C34F9E" w:rsidSect="007C302F">
          <w:headerReference w:type="default" r:id="rId13"/>
          <w:footerReference w:type="default" r:id="rId14"/>
          <w:footerReference w:type="first" r:id="rId15"/>
          <w:pgSz w:w="11906" w:h="16838"/>
          <w:pgMar w:top="1440" w:right="1440" w:bottom="1440" w:left="1440" w:header="708" w:footer="708" w:gutter="0"/>
          <w:pgNumType w:fmt="lowerRoman" w:start="0"/>
          <w:cols w:space="708"/>
          <w:docGrid w:linePitch="360"/>
        </w:sectPr>
      </w:pPr>
    </w:p>
    <w:p w14:paraId="20F5E24F" w14:textId="7C1419BA" w:rsidR="00FF072D" w:rsidRPr="00217F59" w:rsidRDefault="00FF072D" w:rsidP="00F47E59">
      <w:pPr>
        <w:pStyle w:val="Heading1"/>
      </w:pPr>
      <w:bookmarkStart w:id="1" w:name="_Toc121224090"/>
      <w:r w:rsidRPr="00217F59">
        <w:lastRenderedPageBreak/>
        <w:t>INTERVENTION SUMMARY</w:t>
      </w:r>
      <w:bookmarkEnd w:id="1"/>
    </w:p>
    <w:p w14:paraId="0E900631" w14:textId="25E99E0A" w:rsidR="00C055D5" w:rsidRPr="00F47E59" w:rsidRDefault="004846AA" w:rsidP="00F47E59">
      <w:pPr>
        <w:pStyle w:val="Heading2"/>
      </w:pPr>
      <w:bookmarkStart w:id="2" w:name="_Toc121224091"/>
      <w:r w:rsidRPr="00F47E59">
        <w:t>Summary of programme objectives</w:t>
      </w:r>
      <w:bookmarkEnd w:id="2"/>
    </w:p>
    <w:p w14:paraId="5DBFCCEF" w14:textId="5F56E600" w:rsidR="008B07D8" w:rsidRDefault="008B07D8" w:rsidP="008B07D8">
      <w:r>
        <w:t xml:space="preserve">Championing Inclusivity in Plastic Pollution (CHIPP) comprises two components: (1) a £2.9m contribution for the United Nations Environment Programme (UNEP)’s Tide Turners Plastic Challenge and (2) a £2m contribution to the Intergovernmental Negotiating Committee (INC) meetings to support inclusive participation of ODA-eligible country negotiators in the agreement of an international legally binding instrument (ILBI) on plastic pollution. </w:t>
      </w:r>
    </w:p>
    <w:p w14:paraId="2225D8A6" w14:textId="77777777" w:rsidR="008B07D8" w:rsidRDefault="008B07D8" w:rsidP="008B07D8"/>
    <w:p w14:paraId="4E30C411" w14:textId="1F1B1648" w:rsidR="008B07D8" w:rsidRDefault="008B07D8" w:rsidP="008B07D8">
      <w:r>
        <w:t>TTPC is a youth environmental education and advocacy initiative which seeks to educate and empower young people on marine plastic pollution and how they can address it in their communities.</w:t>
      </w:r>
      <w:r w:rsidR="00FC5DE4">
        <w:t xml:space="preserve"> Defra</w:t>
      </w:r>
      <w:r>
        <w:t xml:space="preserve"> </w:t>
      </w:r>
      <w:r w:rsidR="00FC5DE4">
        <w:t xml:space="preserve">has funded Tide Turners since 2019 </w:t>
      </w:r>
      <w:r w:rsidR="00FB1A9E">
        <w:t xml:space="preserve">to a total value of £1.3m. </w:t>
      </w:r>
      <w:r>
        <w:t>The objective of this programme is to influence behaviour change, share knowledge, build awareness, and promote inclusive environmental stewardship in young people and give them a voice in the fight against plastic pollution. Its core deliverable is an educational course delivered in partnership with educational institutions. It is delivered in Africa by the World Association of Girl Guides and Girl Scouts (WAGGGS) and the World Organisation for the Scout Movement (WOSM), and in India by the World Wildlife Fund (WWF) and Centre for Environmental Education (CEE). These organisations work in partnership with educational institutions to deliver online and in-person environmental awareness, policy and advocacy training. Captain Planet Foundation (CPF) works with UNEP to deliver more advanced policy training for tide turners students and supports them to attend global environmental events. The INC contribution aims to support the views of developing countries to be heard and reflected in the ongoing plastics treaty negotiations by supporting the travel and participation of delegates from ODA-eligible countries. Together, CHIPP’s overall objective is to foster an inclusive approach to tackling plastic pollution at all levels in ODA-eligible countries, from young people and communities to international action.</w:t>
      </w:r>
    </w:p>
    <w:p w14:paraId="584BEE32" w14:textId="77777777" w:rsidR="008B07D8" w:rsidRDefault="008B07D8" w:rsidP="008B07D8"/>
    <w:p w14:paraId="7BAF0712" w14:textId="3F86EEBC" w:rsidR="00065C43" w:rsidRDefault="00565E76" w:rsidP="008B07D8">
      <w:r w:rsidRPr="00565E6E">
        <w:t xml:space="preserve">The UK government </w:t>
      </w:r>
      <w:r>
        <w:t xml:space="preserve">values diversity </w:t>
      </w:r>
      <w:r w:rsidRPr="00565E76">
        <w:t xml:space="preserve">and inclusion </w:t>
      </w:r>
      <w:r>
        <w:t xml:space="preserve">as a core component of our policy priorities </w:t>
      </w:r>
      <w:r w:rsidR="00CA6B3E">
        <w:t>around the world</w:t>
      </w:r>
      <w:r w:rsidR="008D698B">
        <w:t xml:space="preserve">, with </w:t>
      </w:r>
      <w:r w:rsidR="00C44EA6">
        <w:t xml:space="preserve">Defra and the </w:t>
      </w:r>
      <w:r w:rsidR="008D698B">
        <w:t>FCDO projecting the UK as a force for good</w:t>
      </w:r>
      <w:r w:rsidR="00C44EA6">
        <w:t xml:space="preserve">. </w:t>
      </w:r>
      <w:r w:rsidR="00207DAE">
        <w:t>T</w:t>
      </w:r>
      <w:r w:rsidR="00047FD0">
        <w:t>he FCD</w:t>
      </w:r>
      <w:r w:rsidR="00523246">
        <w:t>O</w:t>
      </w:r>
      <w:r w:rsidR="00047FD0">
        <w:t xml:space="preserve"> </w:t>
      </w:r>
      <w:r w:rsidR="00065C43">
        <w:t>disability inclusion and rights strategy 2022 to 2030</w:t>
      </w:r>
      <w:r w:rsidR="00523246">
        <w:rPr>
          <w:rStyle w:val="FootnoteReference"/>
        </w:rPr>
        <w:footnoteReference w:id="2"/>
      </w:r>
      <w:r w:rsidR="00207DAE">
        <w:t xml:space="preserve"> states that</w:t>
      </w:r>
      <w:r w:rsidR="00CB1B4E">
        <w:t xml:space="preserve"> </w:t>
      </w:r>
      <w:r w:rsidR="00B67E83">
        <w:t>the UK government approach is a vision of a sustainable, inclusive and equitable future where</w:t>
      </w:r>
      <w:r w:rsidR="00065C43">
        <w:t>:</w:t>
      </w:r>
    </w:p>
    <w:p w14:paraId="4FB88C9A" w14:textId="77777777" w:rsidR="00065C43" w:rsidRDefault="00065C43" w:rsidP="005011C7"/>
    <w:p w14:paraId="65ECFEF1" w14:textId="5B765145" w:rsidR="00065C43" w:rsidRPr="00565E6E" w:rsidRDefault="00065C43" w:rsidP="005011C7">
      <w:pPr>
        <w:rPr>
          <w:i/>
          <w:iCs/>
        </w:rPr>
      </w:pPr>
      <w:r w:rsidRPr="00565E6E">
        <w:rPr>
          <w:i/>
          <w:iCs/>
        </w:rPr>
        <w:t>“</w:t>
      </w:r>
      <w:r w:rsidR="00B67E83" w:rsidRPr="00565E6E">
        <w:rPr>
          <w:rFonts w:cs="Arial"/>
          <w:i/>
          <w:iCs/>
          <w:color w:val="0B0C0C"/>
          <w:shd w:val="clear" w:color="auto" w:fill="FFFFFF"/>
        </w:rPr>
        <w:t>People with disabilities in all their diversity - including marginalised and under-represented groups - are meaningfully engaged, empowered and able to exercise and enjoy their full rights and freedoms on an equal basis with others, without discrimination and across the life-course. They are full and active members of society and decision-makers in all aspects of life, including diplomatic and development efforts.</w:t>
      </w:r>
      <w:r w:rsidR="007D1C91" w:rsidRPr="00565E6E">
        <w:rPr>
          <w:rFonts w:cs="Arial"/>
          <w:i/>
          <w:iCs/>
          <w:color w:val="0B0C0C"/>
          <w:shd w:val="clear" w:color="auto" w:fill="FFFFFF"/>
        </w:rPr>
        <w:t>”</w:t>
      </w:r>
    </w:p>
    <w:p w14:paraId="535CC337" w14:textId="77777777" w:rsidR="00065C43" w:rsidRDefault="00065C43" w:rsidP="005011C7"/>
    <w:p w14:paraId="2C851505" w14:textId="4223C832" w:rsidR="00C44EA6" w:rsidRDefault="00CA6B3E" w:rsidP="005011C7">
      <w:r>
        <w:t xml:space="preserve">Inclusion refers to the </w:t>
      </w:r>
      <w:r w:rsidR="00285EA4">
        <w:t>practice</w:t>
      </w:r>
      <w:r>
        <w:t xml:space="preserve"> of cultivating an environment where people feel a sense of acceptance and belonging. </w:t>
      </w:r>
      <w:r w:rsidR="00564932">
        <w:t xml:space="preserve">Inclusion </w:t>
      </w:r>
      <w:r w:rsidR="0056127D">
        <w:t xml:space="preserve">in international development policy </w:t>
      </w:r>
      <w:r w:rsidR="00564932">
        <w:t xml:space="preserve">is now no longer an option but a fundamental human right. </w:t>
      </w:r>
      <w:r>
        <w:t>For</w:t>
      </w:r>
      <w:r w:rsidR="00810716">
        <w:t xml:space="preserve"> too long</w:t>
      </w:r>
      <w:r>
        <w:t xml:space="preserve">, </w:t>
      </w:r>
      <w:r w:rsidR="0099640D">
        <w:t xml:space="preserve">marginalised communities such as </w:t>
      </w:r>
      <w:r w:rsidR="00824893">
        <w:t>people with disabilities</w:t>
      </w:r>
      <w:r>
        <w:t xml:space="preserve">, youth, women and indigenous </w:t>
      </w:r>
      <w:r w:rsidR="00564932">
        <w:t>groups</w:t>
      </w:r>
      <w:r>
        <w:t xml:space="preserve"> have been effectively</w:t>
      </w:r>
      <w:r w:rsidR="007063C8">
        <w:t xml:space="preserve"> kept on the fringes</w:t>
      </w:r>
      <w:r w:rsidR="000B380A">
        <w:t xml:space="preserve"> of the pollution policy debate. To this end, the UK government wishes to support </w:t>
      </w:r>
      <w:r w:rsidR="009D3A1C">
        <w:t xml:space="preserve">international development </w:t>
      </w:r>
      <w:r w:rsidR="000B380A">
        <w:t>programmes</w:t>
      </w:r>
      <w:r w:rsidR="009D3A1C">
        <w:t xml:space="preserve"> and</w:t>
      </w:r>
      <w:r w:rsidR="4B803425">
        <w:t xml:space="preserve"> diplomatic</w:t>
      </w:r>
      <w:r w:rsidR="009D3A1C">
        <w:t xml:space="preserve"> initiatives with inclusion at the forefront of their efforts. The two components outlined below have at their very core a progressive and inclusive strategy, </w:t>
      </w:r>
      <w:r w:rsidR="00365889">
        <w:t>ensuring</w:t>
      </w:r>
      <w:r w:rsidR="009D3A1C">
        <w:t xml:space="preserve"> a more fair and equitable approach to </w:t>
      </w:r>
      <w:r w:rsidR="00285EA4">
        <w:t>both educating and empowering marginalised communities, and</w:t>
      </w:r>
      <w:r w:rsidR="661455A0">
        <w:t xml:space="preserve"> enabling </w:t>
      </w:r>
      <w:r w:rsidR="4566C839">
        <w:t>participation in key decision making,</w:t>
      </w:r>
      <w:r w:rsidR="00285EA4">
        <w:t xml:space="preserve"> ensuring they have an equal voice</w:t>
      </w:r>
      <w:r w:rsidR="00D5785C">
        <w:t>.</w:t>
      </w:r>
      <w:r w:rsidR="00285EA4">
        <w:t xml:space="preserve"> </w:t>
      </w:r>
    </w:p>
    <w:p w14:paraId="15E503D9" w14:textId="18DBFBBF" w:rsidR="00D36E5E" w:rsidRDefault="00D36E5E" w:rsidP="00565E6E">
      <w:r>
        <w:lastRenderedPageBreak/>
        <w:br/>
        <w:t>The recipient of this support, The United Nations / United Nations Environment Programme (UNEP), has a clear focus on inclusivity of marginalised communities in their Sustainable Development Goals including SDG 5: Gender Equality</w:t>
      </w:r>
      <w:r>
        <w:rPr>
          <w:rStyle w:val="FootnoteReference"/>
        </w:rPr>
        <w:footnoteReference w:id="3"/>
      </w:r>
      <w:r>
        <w:t xml:space="preserve"> , and SDG 11: Sustainable Cities and Communities</w:t>
      </w:r>
      <w:r>
        <w:rPr>
          <w:rStyle w:val="FootnoteReference"/>
        </w:rPr>
        <w:footnoteReference w:id="4"/>
      </w:r>
      <w:r>
        <w:t xml:space="preserve">. The </w:t>
      </w:r>
      <w:r w:rsidR="0089470E">
        <w:t>UN / UNEP</w:t>
      </w:r>
      <w:r>
        <w:t xml:space="preserve"> </w:t>
      </w:r>
      <w:r w:rsidR="00696956">
        <w:t>ha</w:t>
      </w:r>
      <w:r w:rsidR="0089470E">
        <w:t>ve</w:t>
      </w:r>
      <w:r>
        <w:t xml:space="preserve"> </w:t>
      </w:r>
      <w:r w:rsidR="00BA2760">
        <w:t>also developed their</w:t>
      </w:r>
      <w:r>
        <w:t xml:space="preserve"> Disability Inclusion Policy</w:t>
      </w:r>
      <w:r>
        <w:rPr>
          <w:rStyle w:val="FootnoteReference"/>
        </w:rPr>
        <w:footnoteReference w:id="5"/>
      </w:r>
      <w:r>
        <w:t xml:space="preserve">, which ensures there is a </w:t>
      </w:r>
      <w:r w:rsidR="007E7162">
        <w:t xml:space="preserve">holistic approach to </w:t>
      </w:r>
      <w:r w:rsidR="00F2066C">
        <w:t xml:space="preserve">programme delivery </w:t>
      </w:r>
      <w:r w:rsidR="00E81AE5">
        <w:t xml:space="preserve">that </w:t>
      </w:r>
      <w:r w:rsidR="00AF6368">
        <w:t xml:space="preserve">includes </w:t>
      </w:r>
      <w:r w:rsidR="0089470E">
        <w:t xml:space="preserve">considerations towards all </w:t>
      </w:r>
      <w:r>
        <w:t xml:space="preserve">disabilities </w:t>
      </w:r>
      <w:r w:rsidR="0089470E">
        <w:t>as well as</w:t>
      </w:r>
      <w:r>
        <w:t xml:space="preserve"> targeted</w:t>
      </w:r>
      <w:r w:rsidR="00AF6368">
        <w:t>,</w:t>
      </w:r>
      <w:r>
        <w:t xml:space="preserve"> inclusive programming</w:t>
      </w:r>
      <w:r w:rsidR="0089470E">
        <w:t xml:space="preserve"> </w:t>
      </w:r>
      <w:r w:rsidR="00AA2690">
        <w:t>across</w:t>
      </w:r>
      <w:r w:rsidR="00423938">
        <w:t xml:space="preserve"> </w:t>
      </w:r>
      <w:r>
        <w:t>intersectional</w:t>
      </w:r>
      <w:r w:rsidR="00AA2690">
        <w:t xml:space="preserve"> demographics</w:t>
      </w:r>
      <w:r>
        <w:t xml:space="preserve"> </w:t>
      </w:r>
      <w:r w:rsidR="000059F7">
        <w:t>(including</w:t>
      </w:r>
      <w:r w:rsidR="00423938">
        <w:t xml:space="preserve"> </w:t>
      </w:r>
      <w:r>
        <w:t>gender, age and location</w:t>
      </w:r>
      <w:r w:rsidR="000059F7">
        <w:t>)</w:t>
      </w:r>
      <w:r>
        <w:t>.</w:t>
      </w:r>
    </w:p>
    <w:p w14:paraId="35B92EE2" w14:textId="77777777" w:rsidR="00D36E5E" w:rsidRDefault="00D36E5E" w:rsidP="00565E6E"/>
    <w:p w14:paraId="42FE5DA9" w14:textId="3172A51C" w:rsidR="008A2D5A" w:rsidRDefault="008A2D5A" w:rsidP="008A2D5A">
      <w:pPr>
        <w:pStyle w:val="Heading3"/>
      </w:pPr>
      <w:r>
        <w:t>COMPONENT 1 – UNEP TIDE TURNERS PROGRAMME</w:t>
      </w:r>
    </w:p>
    <w:p w14:paraId="313667C5" w14:textId="57B32AF3" w:rsidR="007120EC" w:rsidRPr="007120EC" w:rsidRDefault="004D2C98" w:rsidP="008A2D5A">
      <w:pPr>
        <w:shd w:val="clear" w:color="auto" w:fill="FFFFFF"/>
        <w:rPr>
          <w:vertAlign w:val="superscript"/>
        </w:rPr>
      </w:pPr>
      <w:r>
        <w:t>Tackling global marine plastic pollution</w:t>
      </w:r>
      <w:r w:rsidR="007120EC" w:rsidRPr="007120EC">
        <w:t xml:space="preserve"> is a </w:t>
      </w:r>
      <w:r w:rsidR="007120EC">
        <w:t xml:space="preserve">UK government policy </w:t>
      </w:r>
      <w:r w:rsidR="007120EC" w:rsidRPr="007120EC">
        <w:t xml:space="preserve">priority and </w:t>
      </w:r>
      <w:r w:rsidR="00461D8E">
        <w:t>an issue that is</w:t>
      </w:r>
      <w:r w:rsidR="006358BF">
        <w:t xml:space="preserve"> </w:t>
      </w:r>
      <w:r w:rsidR="00193F0A">
        <w:t>now</w:t>
      </w:r>
      <w:r w:rsidR="006358BF">
        <w:t xml:space="preserve"> one of the </w:t>
      </w:r>
      <w:r w:rsidR="008228B0">
        <w:t>most pressing environmental challenges of our time</w:t>
      </w:r>
      <w:r w:rsidR="007120EC">
        <w:t xml:space="preserve">, as beaches, rivers and lakes </w:t>
      </w:r>
      <w:r>
        <w:t xml:space="preserve">increasingly </w:t>
      </w:r>
      <w:r w:rsidR="007120EC">
        <w:t xml:space="preserve">fill up with plastic </w:t>
      </w:r>
      <w:r w:rsidR="00C57DC9">
        <w:t>pollution</w:t>
      </w:r>
      <w:r>
        <w:t xml:space="preserve"> around the world. UK support is needed to ensure that there is targeted environmental education</w:t>
      </w:r>
      <w:r w:rsidR="008228B0">
        <w:t xml:space="preserve"> for the next generation</w:t>
      </w:r>
      <w:r>
        <w:t xml:space="preserve"> that will help to ‘turn the tide’ of plastic pollution, preventing further plastics from entering </w:t>
      </w:r>
      <w:r w:rsidR="00C57DC9">
        <w:t>the ocean</w:t>
      </w:r>
      <w:r>
        <w:t xml:space="preserve"> and destroying our delicate marine ecosystem.</w:t>
      </w:r>
    </w:p>
    <w:p w14:paraId="66211A35" w14:textId="77777777" w:rsidR="007120EC" w:rsidRDefault="007120EC" w:rsidP="008A2D5A">
      <w:pPr>
        <w:shd w:val="clear" w:color="auto" w:fill="FFFFFF"/>
      </w:pPr>
    </w:p>
    <w:p w14:paraId="2781146F" w14:textId="16577618" w:rsidR="00904B22" w:rsidRDefault="004D2C98" w:rsidP="008A2D5A">
      <w:pPr>
        <w:shd w:val="clear" w:color="auto" w:fill="FFFFFF"/>
        <w:rPr>
          <w:rFonts w:cstheme="minorHAnsi"/>
          <w:lang w:eastAsia="en-GB"/>
        </w:rPr>
      </w:pPr>
      <w:r w:rsidRPr="00F1749A">
        <w:t>The</w:t>
      </w:r>
      <w:r w:rsidR="008A2D5A" w:rsidRPr="00F1749A">
        <w:t xml:space="preserve"> UNEP</w:t>
      </w:r>
      <w:r w:rsidR="002160D9">
        <w:t>-led</w:t>
      </w:r>
      <w:r w:rsidR="008A2D5A" w:rsidRPr="00F1749A">
        <w:t xml:space="preserve"> Tide Turners programme is a global </w:t>
      </w:r>
      <w:r w:rsidR="007120EC" w:rsidRPr="00F1749A">
        <w:t xml:space="preserve">youth </w:t>
      </w:r>
      <w:r w:rsidR="008A2D5A" w:rsidRPr="00F1749A">
        <w:t>educational awareness programme which</w:t>
      </w:r>
      <w:r w:rsidR="008A2D5A" w:rsidRPr="007120EC">
        <w:t xml:space="preserve"> seeks to educate young people on the topic of plastic pollution and how they can address it in their communities.</w:t>
      </w:r>
      <w:r w:rsidR="008A2D5A" w:rsidRPr="008A2D5A">
        <w:t xml:space="preserve"> </w:t>
      </w:r>
      <w:bookmarkStart w:id="3" w:name="_Hlk117252963"/>
      <w:r w:rsidR="00191B1B" w:rsidRPr="008A2D5A">
        <w:t>The programme takes participants on a learning journey consisting of three different levels: entry, leader, and champion</w:t>
      </w:r>
      <w:bookmarkEnd w:id="3"/>
      <w:r w:rsidR="00191B1B" w:rsidRPr="008A2D5A">
        <w:t>. The young people who make it to the champion level will have gained a thorough understanding of marine plastic pollution and how to address it</w:t>
      </w:r>
      <w:r w:rsidR="00191B1B">
        <w:t>,</w:t>
      </w:r>
      <w:r w:rsidR="00191B1B" w:rsidRPr="008A2D5A">
        <w:t xml:space="preserve"> and are well</w:t>
      </w:r>
      <w:r w:rsidR="00191B1B">
        <w:t>-</w:t>
      </w:r>
      <w:r w:rsidR="00191B1B" w:rsidRPr="008A2D5A">
        <w:t>equipped to become leaders in their communities</w:t>
      </w:r>
      <w:r w:rsidR="00191B1B">
        <w:t xml:space="preserve">, challenging plastic use and disposal as the status quo. </w:t>
      </w:r>
      <w:r w:rsidR="00AB4C2D">
        <w:t>T</w:t>
      </w:r>
      <w:r w:rsidR="002423F9">
        <w:t>he</w:t>
      </w:r>
      <w:r w:rsidR="005B2F27">
        <w:t xml:space="preserve"> UK </w:t>
      </w:r>
      <w:r w:rsidR="000D2B62">
        <w:t>government (</w:t>
      </w:r>
      <w:r w:rsidR="002050B7">
        <w:t xml:space="preserve">specifically </w:t>
      </w:r>
      <w:r w:rsidR="002423F9">
        <w:t xml:space="preserve">Defra) </w:t>
      </w:r>
      <w:r w:rsidR="009E0117">
        <w:t xml:space="preserve">has </w:t>
      </w:r>
      <w:r w:rsidR="00AB4C2D">
        <w:t xml:space="preserve">funded the </w:t>
      </w:r>
      <w:r w:rsidR="00FF4429">
        <w:t xml:space="preserve">UNEP </w:t>
      </w:r>
      <w:r w:rsidR="00AB4C2D">
        <w:t xml:space="preserve">Tide Turners programme </w:t>
      </w:r>
      <w:r w:rsidR="006823B7">
        <w:t xml:space="preserve">since 2018, </w:t>
      </w:r>
      <w:bookmarkStart w:id="4" w:name="_Hlk117252759"/>
      <w:r w:rsidR="006823B7">
        <w:t xml:space="preserve">investing £1.3m </w:t>
      </w:r>
      <w:r w:rsidR="002050B7">
        <w:t xml:space="preserve">up to November 2022 </w:t>
      </w:r>
      <w:r w:rsidR="00D5785C">
        <w:t xml:space="preserve">in </w:t>
      </w:r>
      <w:r w:rsidR="00DD7BAB">
        <w:t>35</w:t>
      </w:r>
      <w:r w:rsidR="00D5785C">
        <w:t xml:space="preserve"> countries</w:t>
      </w:r>
      <w:r w:rsidR="00CB1B4E">
        <w:rPr>
          <w:rStyle w:val="FootnoteReference"/>
        </w:rPr>
        <w:footnoteReference w:id="6"/>
      </w:r>
      <w:r w:rsidR="00CB1B4E">
        <w:t xml:space="preserve">. </w:t>
      </w:r>
      <w:r w:rsidR="00394C1D">
        <w:t xml:space="preserve">The programme has reached </w:t>
      </w:r>
      <w:r w:rsidR="00E96D83">
        <w:t xml:space="preserve">over </w:t>
      </w:r>
      <w:r w:rsidR="005B1BE1">
        <w:t>500</w:t>
      </w:r>
      <w:r w:rsidR="000F2DDC">
        <w:t>,000</w:t>
      </w:r>
      <w:r w:rsidR="00781487">
        <w:t xml:space="preserve"> </w:t>
      </w:r>
      <w:r w:rsidR="0037171E">
        <w:t>young people</w:t>
      </w:r>
      <w:r w:rsidR="00D34C50">
        <w:t xml:space="preserve"> worldwide</w:t>
      </w:r>
      <w:r w:rsidR="00546A1F">
        <w:t xml:space="preserve"> through</w:t>
      </w:r>
      <w:r w:rsidR="00E02944">
        <w:t xml:space="preserve"> </w:t>
      </w:r>
      <w:r w:rsidR="001B7107">
        <w:t>schools, colleges, organisations,</w:t>
      </w:r>
      <w:r w:rsidR="00546A1F">
        <w:t xml:space="preserve"> and</w:t>
      </w:r>
      <w:r w:rsidR="001B7107">
        <w:t xml:space="preserve"> youth networks</w:t>
      </w:r>
      <w:r w:rsidR="00F323A2">
        <w:t>.</w:t>
      </w:r>
      <w:bookmarkEnd w:id="4"/>
      <w:r w:rsidR="00F323A2">
        <w:t xml:space="preserve"> </w:t>
      </w:r>
      <w:r w:rsidR="00546A1F">
        <w:t>During</w:t>
      </w:r>
      <w:r w:rsidR="0009786E">
        <w:t xml:space="preserve"> the pandemic, </w:t>
      </w:r>
      <w:r w:rsidR="00C05B2D">
        <w:t xml:space="preserve">Tide Turners ensured there was </w:t>
      </w:r>
      <w:r w:rsidR="00546A1F">
        <w:t xml:space="preserve">continued </w:t>
      </w:r>
      <w:r w:rsidR="00C05B2D">
        <w:t>engagement</w:t>
      </w:r>
      <w:r w:rsidR="00546A1F">
        <w:t>.</w:t>
      </w:r>
      <w:r w:rsidR="00C05B2D">
        <w:t xml:space="preserve"> </w:t>
      </w:r>
      <w:r w:rsidR="00546A1F">
        <w:t>F</w:t>
      </w:r>
      <w:r w:rsidR="00C05B2D">
        <w:t>or example in India</w:t>
      </w:r>
      <w:r w:rsidR="00546A1F">
        <w:t>,</w:t>
      </w:r>
      <w:r w:rsidR="00C05B2D">
        <w:t xml:space="preserve"> </w:t>
      </w:r>
      <w:r w:rsidR="0009786E">
        <w:t>t</w:t>
      </w:r>
      <w:r w:rsidR="003B3DCE">
        <w:t xml:space="preserve">he programme </w:t>
      </w:r>
      <w:r w:rsidR="00546A1F">
        <w:t>worked</w:t>
      </w:r>
      <w:r w:rsidR="0063180B">
        <w:t xml:space="preserve"> with over 1000 eco-clubs</w:t>
      </w:r>
      <w:r w:rsidR="00C21599">
        <w:t xml:space="preserve"> and </w:t>
      </w:r>
      <w:r w:rsidR="00997B51">
        <w:t xml:space="preserve">over 2000 educators, </w:t>
      </w:r>
      <w:r w:rsidR="00C21599">
        <w:t xml:space="preserve">while </w:t>
      </w:r>
      <w:r w:rsidR="00997B51">
        <w:t>delivering 8</w:t>
      </w:r>
      <w:r w:rsidR="00885A08">
        <w:t>0 webinars</w:t>
      </w:r>
      <w:r w:rsidR="00E31AD8">
        <w:t xml:space="preserve"> to train </w:t>
      </w:r>
      <w:r w:rsidR="00E4556F">
        <w:t>almost 15,000 youth</w:t>
      </w:r>
      <w:r w:rsidR="00885A08">
        <w:t>.</w:t>
      </w:r>
      <w:r w:rsidR="0009786E">
        <w:rPr>
          <w:rStyle w:val="FootnoteReference"/>
        </w:rPr>
        <w:footnoteReference w:id="7"/>
      </w:r>
      <w:r w:rsidR="00904B22">
        <w:t xml:space="preserve"> </w:t>
      </w:r>
      <w:r w:rsidR="00904B22" w:rsidRPr="29A29EE0">
        <w:rPr>
          <w:lang w:eastAsia="en-GB"/>
        </w:rPr>
        <w:t xml:space="preserve"> </w:t>
      </w:r>
      <w:r w:rsidR="00546A1F" w:rsidRPr="29A29EE0">
        <w:rPr>
          <w:rFonts w:eastAsia="Calibri Light"/>
          <w:lang w:val="en-US"/>
        </w:rPr>
        <w:t xml:space="preserve">Tide Turners aim to continue working </w:t>
      </w:r>
      <w:r w:rsidR="00546A1F" w:rsidRPr="29A29EE0">
        <w:t>with several universities that have previously engaged with the programme.</w:t>
      </w:r>
      <w:r w:rsidR="00546A1F" w:rsidRPr="29A29EE0">
        <w:rPr>
          <w:b/>
          <w:bCs/>
        </w:rPr>
        <w:t xml:space="preserve"> </w:t>
      </w:r>
    </w:p>
    <w:p w14:paraId="0FC606A0" w14:textId="77777777" w:rsidR="008A2D5A" w:rsidRPr="008A2D5A" w:rsidRDefault="008A2D5A" w:rsidP="008A2D5A">
      <w:pPr>
        <w:shd w:val="clear" w:color="auto" w:fill="FFFFFF"/>
        <w:rPr>
          <w:color w:val="201F1E"/>
        </w:rPr>
      </w:pPr>
    </w:p>
    <w:p w14:paraId="6EB7AA92" w14:textId="4A559259" w:rsidR="008A2D5A" w:rsidRDefault="008A2D5A" w:rsidP="008A2D5A">
      <w:pPr>
        <w:shd w:val="clear" w:color="auto" w:fill="FFFFFF"/>
        <w:rPr>
          <w:color w:val="201F1E"/>
        </w:rPr>
      </w:pPr>
      <w:r w:rsidRPr="00F1749A">
        <w:rPr>
          <w:color w:val="201F1E"/>
        </w:rPr>
        <w:t xml:space="preserve">Raising public awareness and </w:t>
      </w:r>
      <w:r w:rsidR="00B518B8">
        <w:rPr>
          <w:color w:val="201F1E"/>
        </w:rPr>
        <w:t>a</w:t>
      </w:r>
      <w:r w:rsidRPr="00F1749A">
        <w:rPr>
          <w:color w:val="201F1E"/>
        </w:rPr>
        <w:t xml:space="preserve">ffecting behaviour change is a key objective of the Tide Turners programme, and </w:t>
      </w:r>
      <w:r w:rsidR="00546A1F">
        <w:rPr>
          <w:color w:val="201F1E"/>
        </w:rPr>
        <w:t>critical in the</w:t>
      </w:r>
      <w:r w:rsidRPr="00F1749A">
        <w:rPr>
          <w:color w:val="201F1E"/>
        </w:rPr>
        <w:t xml:space="preserve"> global effort to reduce plastic pollution. Globally, young people are a key demographic to engage</w:t>
      </w:r>
      <w:r w:rsidRPr="008A2D5A">
        <w:rPr>
          <w:color w:val="201F1E"/>
        </w:rPr>
        <w:t xml:space="preserve"> and one that is currently hard to reach. Tide Turners works closely with delivery partners, including the Scout Movement and Girl Guiding Associations</w:t>
      </w:r>
      <w:r w:rsidR="00F1749A">
        <w:rPr>
          <w:color w:val="201F1E"/>
        </w:rPr>
        <w:t xml:space="preserve">, who are </w:t>
      </w:r>
      <w:r w:rsidRPr="008A2D5A">
        <w:rPr>
          <w:color w:val="201F1E"/>
        </w:rPr>
        <w:t>uniquely placed to do this outreach, with a combined total global membership of 70 million young people.</w:t>
      </w:r>
    </w:p>
    <w:p w14:paraId="4FDC3081" w14:textId="77777777" w:rsidR="0018196D" w:rsidRDefault="0018196D" w:rsidP="008A2D5A">
      <w:pPr>
        <w:shd w:val="clear" w:color="auto" w:fill="FFFFFF"/>
        <w:rPr>
          <w:color w:val="201F1E"/>
        </w:rPr>
      </w:pPr>
    </w:p>
    <w:p w14:paraId="360AFFB5" w14:textId="36C68048" w:rsidR="007120EC" w:rsidRDefault="007120EC" w:rsidP="007120EC">
      <w:pPr>
        <w:pStyle w:val="Heading3"/>
      </w:pPr>
      <w:r>
        <w:t>COMPONENT 2 –</w:t>
      </w:r>
      <w:r w:rsidR="00CB4B60">
        <w:t xml:space="preserve"> SUPPORT FOR</w:t>
      </w:r>
      <w:r>
        <w:t xml:space="preserve"> INC </w:t>
      </w:r>
      <w:r w:rsidR="00CB4B60">
        <w:t>NEGOTIATIONS</w:t>
      </w:r>
    </w:p>
    <w:p w14:paraId="786D5203" w14:textId="01AA6F1E" w:rsidR="00446B22" w:rsidRDefault="00446B22" w:rsidP="00446B22">
      <w:bookmarkStart w:id="5" w:name="_Hlk117253095"/>
      <w:r>
        <w:t>The UK has worked with international partners to secure a breakthrough on negotiations to kickstart a new legally binding instrument on plastic pollution. Heads of State, Ministers of Environment, and other representatives from 175 nations endorsed a historic resolution at the UN Environment Assembly (UNEA-5</w:t>
      </w:r>
      <w:r w:rsidR="002C6420">
        <w:t>.2</w:t>
      </w:r>
      <w:r>
        <w:t xml:space="preserve">) in </w:t>
      </w:r>
      <w:r w:rsidR="002C6420">
        <w:t>March 2022 to</w:t>
      </w:r>
      <w:r>
        <w:t xml:space="preserve"> forge an international legally binding </w:t>
      </w:r>
      <w:r w:rsidR="33238AE8">
        <w:t>treaty</w:t>
      </w:r>
      <w:r>
        <w:t xml:space="preserve"> by the end of 2024. </w:t>
      </w:r>
      <w:bookmarkEnd w:id="5"/>
      <w:r>
        <w:t xml:space="preserve">The </w:t>
      </w:r>
      <w:r w:rsidR="36CCBB51">
        <w:t>new treaty will consider</w:t>
      </w:r>
      <w:r>
        <w:t xml:space="preserve"> the full lifecycle of plastic, including its production, design</w:t>
      </w:r>
      <w:r w:rsidR="000B7BCC">
        <w:t>, recycling</w:t>
      </w:r>
      <w:r>
        <w:t xml:space="preserve"> and disposal. An international legally binding instrument is required to </w:t>
      </w:r>
      <w:r w:rsidR="7571A082">
        <w:t xml:space="preserve">set up a series of coherent, global  </w:t>
      </w:r>
      <w:r w:rsidR="6F8F3C40">
        <w:lastRenderedPageBreak/>
        <w:t>polices to</w:t>
      </w:r>
      <w:r>
        <w:t xml:space="preserve"> </w:t>
      </w:r>
      <w:r w:rsidR="27CD8B0E">
        <w:t>effect change across the entire system which</w:t>
      </w:r>
      <w:r>
        <w:t xml:space="preserve">, according to the best available evidence, could </w:t>
      </w:r>
      <w:r w:rsidR="002C6420">
        <w:t xml:space="preserve">significantly </w:t>
      </w:r>
      <w:r>
        <w:t>reduce the amount of plastic entering the environment by 2040.</w:t>
      </w:r>
    </w:p>
    <w:p w14:paraId="672567A7" w14:textId="77777777" w:rsidR="00446B22" w:rsidRDefault="00446B22" w:rsidP="00446B22"/>
    <w:p w14:paraId="3E33FF7D" w14:textId="77777777" w:rsidR="00827351" w:rsidRDefault="69E3B133">
      <w:r>
        <w:t xml:space="preserve">As is standard practice for new activities that haven’t been included in their annual budgets, </w:t>
      </w:r>
      <w:r w:rsidR="6672703F">
        <w:t xml:space="preserve">UNEP has called upon donor countries </w:t>
      </w:r>
      <w:r w:rsidR="562E165C">
        <w:t>for voluntary contributions to enable the negotiations to take place</w:t>
      </w:r>
      <w:r w:rsidR="01BDF112">
        <w:t xml:space="preserve">. Adopting the standard framework for </w:t>
      </w:r>
      <w:r w:rsidR="70015AD3">
        <w:t>costing</w:t>
      </w:r>
      <w:r w:rsidR="01BDF112">
        <w:t xml:space="preserve"> </w:t>
      </w:r>
      <w:r w:rsidR="7D12E094">
        <w:t>negotiations under international conventions that are normally funded through a subscription model</w:t>
      </w:r>
      <w:r w:rsidR="4F83202C">
        <w:t xml:space="preserve"> (e.g. CBD, Montreal Protocol, Minamata Convention)</w:t>
      </w:r>
      <w:r w:rsidR="46453A85">
        <w:t>, UNE</w:t>
      </w:r>
      <w:r w:rsidR="31C2349F">
        <w:t>P have forecasted a required budget</w:t>
      </w:r>
      <w:r w:rsidR="2F9E24B3">
        <w:t xml:space="preserve"> totalling 29 million USD</w:t>
      </w:r>
      <w:r w:rsidR="65669F94">
        <w:t xml:space="preserve">, </w:t>
      </w:r>
      <w:r w:rsidR="430AD2C6">
        <w:t xml:space="preserve">over 2.5 years. </w:t>
      </w:r>
      <w:r w:rsidR="2EEF2CC9">
        <w:t>This includes</w:t>
      </w:r>
      <w:r w:rsidR="35512F62">
        <w:t xml:space="preserve"> funding for a dedicated secretariat </w:t>
      </w:r>
      <w:r w:rsidR="762F486C">
        <w:t xml:space="preserve">for 2.5 years </w:t>
      </w:r>
      <w:r w:rsidR="35512F62">
        <w:t>and running of the 5 INC meetings.</w:t>
      </w:r>
      <w:r w:rsidR="2EEF2CC9">
        <w:t xml:space="preserve"> </w:t>
      </w:r>
      <w:bookmarkStart w:id="6" w:name="_Hlk117253111"/>
      <w:r w:rsidR="00446B22">
        <w:t xml:space="preserve">We propose to allocate budget from the Blue Planet Fund </w:t>
      </w:r>
      <w:r w:rsidR="002C6420">
        <w:t xml:space="preserve">as the UK’s voluntary contribution to the INC costs that will be earmarked </w:t>
      </w:r>
      <w:r w:rsidR="00446B22">
        <w:t>to support developing countries</w:t>
      </w:r>
      <w:r w:rsidR="00E27343">
        <w:t xml:space="preserve"> </w:t>
      </w:r>
      <w:r w:rsidR="76B0DDFB">
        <w:t>to participate in the treaty negotiations</w:t>
      </w:r>
      <w:r w:rsidR="002C6420">
        <w:t>. This will</w:t>
      </w:r>
      <w:r w:rsidR="76B0DDFB">
        <w:t xml:space="preserve"> ensure that </w:t>
      </w:r>
      <w:r w:rsidR="7704E5ED">
        <w:t xml:space="preserve">countries </w:t>
      </w:r>
      <w:r w:rsidR="002B2E07">
        <w:t>who are historically marginalised to the fringes of the global policy debate</w:t>
      </w:r>
      <w:r w:rsidR="00C73056">
        <w:t>,</w:t>
      </w:r>
      <w:r w:rsidR="002B2E07">
        <w:t xml:space="preserve"> </w:t>
      </w:r>
      <w:r w:rsidR="00D52FD8">
        <w:t xml:space="preserve">with </w:t>
      </w:r>
      <w:r w:rsidR="00565E6E">
        <w:t>fewer</w:t>
      </w:r>
      <w:r w:rsidR="00E27343">
        <w:t xml:space="preserve"> financial resources</w:t>
      </w:r>
      <w:r w:rsidR="002B2E07">
        <w:t xml:space="preserve"> or </w:t>
      </w:r>
      <w:r w:rsidR="00C540B1">
        <w:t>located</w:t>
      </w:r>
      <w:r w:rsidR="00E27343">
        <w:t xml:space="preserve"> in more geographically dispersed</w:t>
      </w:r>
      <w:r w:rsidR="002B2E07">
        <w:t xml:space="preserve"> </w:t>
      </w:r>
      <w:r w:rsidR="00AB7518">
        <w:t xml:space="preserve">areas </w:t>
      </w:r>
      <w:r w:rsidR="00C73056">
        <w:t>further away from key</w:t>
      </w:r>
      <w:r w:rsidR="002B2E07">
        <w:t xml:space="preserve"> </w:t>
      </w:r>
      <w:r w:rsidR="00AB7518">
        <w:t>meetings</w:t>
      </w:r>
      <w:r w:rsidR="00D52FD8">
        <w:t xml:space="preserve"> and conferences</w:t>
      </w:r>
      <w:r w:rsidR="46FF8C86">
        <w:t xml:space="preserve"> can contribute in a meani</w:t>
      </w:r>
      <w:r w:rsidR="206F9ADD">
        <w:t>n</w:t>
      </w:r>
      <w:r w:rsidR="46FF8C86">
        <w:t xml:space="preserve">gful way to </w:t>
      </w:r>
      <w:r w:rsidR="14232085">
        <w:t>shaping the treaty</w:t>
      </w:r>
      <w:r w:rsidR="00AB7518">
        <w:t xml:space="preserve">. </w:t>
      </w:r>
    </w:p>
    <w:p w14:paraId="20790449" w14:textId="77777777" w:rsidR="00827351" w:rsidRDefault="00827351"/>
    <w:p w14:paraId="56141FF0" w14:textId="1353B9FD" w:rsidR="00446B22" w:rsidRPr="00446B22" w:rsidRDefault="00827351">
      <w:r w:rsidRPr="00827351">
        <w:t>To date, the amount committed by the UK is in line with other key donors, such as Norway of 2m USD (£1.7m), Switzerland in excess of 2m CHF Fr (£1.7m) and the European Commission 1m EUR (£0.8m) for year 1, strengthening the UK as one of the leaders in this space.</w:t>
      </w:r>
      <w:r>
        <w:t xml:space="preserve"> </w:t>
      </w:r>
      <w:r w:rsidR="00A278BE">
        <w:t xml:space="preserve">This </w:t>
      </w:r>
      <w:r w:rsidR="00D52FD8">
        <w:t xml:space="preserve">financial </w:t>
      </w:r>
      <w:r w:rsidR="00A278BE">
        <w:t>support will go some of the way to</w:t>
      </w:r>
      <w:r w:rsidR="00446B22">
        <w:t xml:space="preserve"> </w:t>
      </w:r>
      <w:r w:rsidR="00A278BE">
        <w:t>‘</w:t>
      </w:r>
      <w:r w:rsidR="008A622B">
        <w:t>level the playing field</w:t>
      </w:r>
      <w:r w:rsidR="00A278BE">
        <w:t>’</w:t>
      </w:r>
      <w:r w:rsidR="008A622B">
        <w:t xml:space="preserve"> </w:t>
      </w:r>
      <w:r w:rsidR="00A278BE">
        <w:t xml:space="preserve">- </w:t>
      </w:r>
      <w:r w:rsidR="008A622B">
        <w:t>ensur</w:t>
      </w:r>
      <w:r w:rsidR="00A278BE">
        <w:t>ing</w:t>
      </w:r>
      <w:r w:rsidR="008A622B">
        <w:t xml:space="preserve"> </w:t>
      </w:r>
      <w:r w:rsidR="00175346">
        <w:t>easier, more accessible participation</w:t>
      </w:r>
      <w:r w:rsidR="00446B22">
        <w:t xml:space="preserve"> in the</w:t>
      </w:r>
      <w:r w:rsidR="00175346">
        <w:t xml:space="preserve"> </w:t>
      </w:r>
      <w:r w:rsidR="00446B22">
        <w:t>negotiations through the Intergovernmental Negotiating Committee (INC) and intersessional regional meetings</w:t>
      </w:r>
      <w:r w:rsidR="008A622B">
        <w:t>, which will in turn</w:t>
      </w:r>
      <w:r w:rsidR="00446B22">
        <w:t xml:space="preserve"> enable a more inclusive</w:t>
      </w:r>
      <w:r w:rsidR="00633837">
        <w:t xml:space="preserve"> and diverse</w:t>
      </w:r>
      <w:r w:rsidR="00446B22">
        <w:t xml:space="preserve"> dialogue.</w:t>
      </w:r>
    </w:p>
    <w:bookmarkEnd w:id="6"/>
    <w:p w14:paraId="0E12D96F" w14:textId="6546FB35" w:rsidR="00000711" w:rsidRDefault="00000711"/>
    <w:p w14:paraId="6F1FFFDC" w14:textId="3CEEDD8E" w:rsidR="00000711" w:rsidRDefault="00000711"/>
    <w:p w14:paraId="32B655BF" w14:textId="77777777" w:rsidR="00000711" w:rsidRPr="00446B22" w:rsidRDefault="00000711"/>
    <w:p w14:paraId="53323E09" w14:textId="77777777" w:rsidR="008A2D5A" w:rsidRPr="008A2D5A" w:rsidRDefault="008A2D5A" w:rsidP="008A2D5A">
      <w:pPr>
        <w:rPr>
          <w:lang w:eastAsia="en-GB"/>
        </w:rPr>
      </w:pPr>
    </w:p>
    <w:p w14:paraId="7C0024BC" w14:textId="2DFDFC81" w:rsidR="00FF072D" w:rsidRPr="00217F59" w:rsidRDefault="004846AA" w:rsidP="00F47E59">
      <w:pPr>
        <w:pStyle w:val="Heading2"/>
      </w:pPr>
      <w:bookmarkStart w:id="7" w:name="_Programme_ManAgement_Teams"/>
      <w:bookmarkStart w:id="8" w:name="_Toc121224092"/>
      <w:bookmarkEnd w:id="7"/>
      <w:r w:rsidRPr="00217F59">
        <w:t>What are the main programme activities?</w:t>
      </w:r>
      <w:bookmarkEnd w:id="8"/>
    </w:p>
    <w:p w14:paraId="0EBBEA7B" w14:textId="5FCA5EBF" w:rsidR="004846AA" w:rsidRPr="00217F59" w:rsidRDefault="004846AA" w:rsidP="00595499">
      <w:pPr>
        <w:pStyle w:val="Heading3"/>
      </w:pPr>
      <w:r w:rsidRPr="00217F59">
        <w:t>Component 1</w:t>
      </w:r>
      <w:r w:rsidR="0022205A">
        <w:t xml:space="preserve"> – UNEP TIDE TURNERS PROGRAMME</w:t>
      </w:r>
    </w:p>
    <w:p w14:paraId="4F575CBE" w14:textId="0027B7EB" w:rsidR="007120EC" w:rsidRDefault="00446B22" w:rsidP="007120EC">
      <w:pPr>
        <w:shd w:val="clear" w:color="auto" w:fill="FFFFFF"/>
        <w:rPr>
          <w:color w:val="201F1E"/>
        </w:rPr>
      </w:pPr>
      <w:bookmarkStart w:id="9" w:name="_Hlk109007733"/>
      <w:r w:rsidRPr="007120EC">
        <w:rPr>
          <w:color w:val="201F1E"/>
        </w:rPr>
        <w:t xml:space="preserve">Defra is looking to contribute </w:t>
      </w:r>
      <w:r w:rsidR="00B17520">
        <w:rPr>
          <w:color w:val="201F1E"/>
        </w:rPr>
        <w:t xml:space="preserve">an additional </w:t>
      </w:r>
      <w:r w:rsidRPr="00446B22">
        <w:rPr>
          <w:b/>
          <w:bCs/>
          <w:color w:val="201F1E"/>
        </w:rPr>
        <w:t>£1.6 million</w:t>
      </w:r>
      <w:r w:rsidRPr="007120EC">
        <w:rPr>
          <w:color w:val="201F1E"/>
        </w:rPr>
        <w:t xml:space="preserve"> for the duration of a</w:t>
      </w:r>
      <w:r w:rsidR="00B17520">
        <w:rPr>
          <w:color w:val="201F1E"/>
        </w:rPr>
        <w:t xml:space="preserve"> new</w:t>
      </w:r>
      <w:r w:rsidRPr="007120EC">
        <w:rPr>
          <w:color w:val="201F1E"/>
        </w:rPr>
        <w:t xml:space="preserve"> three-year</w:t>
      </w:r>
      <w:r w:rsidR="00B17520">
        <w:rPr>
          <w:color w:val="201F1E"/>
        </w:rPr>
        <w:t xml:space="preserve"> contribution</w:t>
      </w:r>
      <w:r w:rsidRPr="007120EC">
        <w:rPr>
          <w:color w:val="201F1E"/>
        </w:rPr>
        <w:t xml:space="preserve"> </w:t>
      </w:r>
      <w:r>
        <w:rPr>
          <w:color w:val="201F1E"/>
        </w:rPr>
        <w:t xml:space="preserve">to support </w:t>
      </w:r>
      <w:r w:rsidRPr="007120EC">
        <w:rPr>
          <w:color w:val="201F1E"/>
        </w:rPr>
        <w:t>the UNEP Tide Turners programme. As explored in the Financial Case, this will proceed via a contribution to UNEP</w:t>
      </w:r>
      <w:r w:rsidR="00186B38">
        <w:rPr>
          <w:color w:val="201F1E"/>
        </w:rPr>
        <w:t xml:space="preserve">. </w:t>
      </w:r>
      <w:r w:rsidR="004D2C98">
        <w:rPr>
          <w:color w:val="201F1E"/>
        </w:rPr>
        <w:t>Tide Turner programme activities include:</w:t>
      </w:r>
    </w:p>
    <w:p w14:paraId="59FC3DD3" w14:textId="77777777" w:rsidR="00186B38" w:rsidRPr="007120EC" w:rsidRDefault="00186B38" w:rsidP="007120EC">
      <w:pPr>
        <w:shd w:val="clear" w:color="auto" w:fill="FFFFFF"/>
        <w:rPr>
          <w:color w:val="201F1E"/>
        </w:rPr>
      </w:pPr>
    </w:p>
    <w:p w14:paraId="22039F00" w14:textId="141A8B43" w:rsidR="004D2C98" w:rsidRPr="004D2C98" w:rsidRDefault="004D2C98" w:rsidP="00AE3F23">
      <w:pPr>
        <w:pStyle w:val="ListParagraph"/>
        <w:numPr>
          <w:ilvl w:val="0"/>
          <w:numId w:val="37"/>
        </w:numPr>
        <w:shd w:val="clear" w:color="auto" w:fill="FFFFFF"/>
        <w:ind w:left="681" w:hanging="397"/>
        <w:rPr>
          <w:color w:val="201F1E"/>
        </w:rPr>
      </w:pPr>
      <w:r w:rsidRPr="004D2C98">
        <w:rPr>
          <w:color w:val="201F1E"/>
        </w:rPr>
        <w:t>Increasing youth engagement around the plastic value chain with different stakeholders so that youth are meaningfully included in the policy and upcoming plastic treaty INC processes</w:t>
      </w:r>
      <w:r w:rsidR="00565E6E">
        <w:rPr>
          <w:color w:val="201F1E"/>
        </w:rPr>
        <w:t>;</w:t>
      </w:r>
    </w:p>
    <w:p w14:paraId="1EB89D19" w14:textId="2C809115" w:rsidR="00F1749A" w:rsidRPr="004D2C98" w:rsidRDefault="00F1749A" w:rsidP="00AE3F23">
      <w:pPr>
        <w:pStyle w:val="ListParagraph"/>
        <w:numPr>
          <w:ilvl w:val="0"/>
          <w:numId w:val="37"/>
        </w:numPr>
        <w:shd w:val="clear" w:color="auto" w:fill="FFFFFF"/>
        <w:ind w:left="681" w:hanging="397"/>
        <w:rPr>
          <w:color w:val="201F1E"/>
        </w:rPr>
      </w:pPr>
      <w:r w:rsidRPr="004D2C98">
        <w:rPr>
          <w:color w:val="201F1E"/>
        </w:rPr>
        <w:t xml:space="preserve">Deepening and scaling up </w:t>
      </w:r>
      <w:r>
        <w:rPr>
          <w:color w:val="201F1E"/>
        </w:rPr>
        <w:t>Tide Turners</w:t>
      </w:r>
      <w:r w:rsidRPr="004D2C98">
        <w:rPr>
          <w:color w:val="201F1E"/>
        </w:rPr>
        <w:t xml:space="preserve"> advocacy training, peer-to-peer training with coaching and mentoring from experts</w:t>
      </w:r>
      <w:r w:rsidR="00565E6E">
        <w:rPr>
          <w:color w:val="201F1E"/>
        </w:rPr>
        <w:t>;</w:t>
      </w:r>
    </w:p>
    <w:p w14:paraId="0BEB1E6C" w14:textId="58C1E08B" w:rsidR="007120EC" w:rsidRPr="004D2C98" w:rsidRDefault="007120EC" w:rsidP="00AE3F23">
      <w:pPr>
        <w:pStyle w:val="ListParagraph"/>
        <w:numPr>
          <w:ilvl w:val="0"/>
          <w:numId w:val="37"/>
        </w:numPr>
        <w:shd w:val="clear" w:color="auto" w:fill="FFFFFF"/>
        <w:ind w:left="681" w:hanging="397"/>
        <w:rPr>
          <w:color w:val="201F1E"/>
        </w:rPr>
      </w:pPr>
      <w:r w:rsidRPr="004D2C98">
        <w:rPr>
          <w:color w:val="201F1E"/>
        </w:rPr>
        <w:t>Developing web stories and multimedia assets with an aim to have improved media placement and media engagement, along with Tide Turners promotions at key global moments in the build up to the INC and its implementation</w:t>
      </w:r>
      <w:r w:rsidR="00565E6E">
        <w:rPr>
          <w:color w:val="201F1E"/>
        </w:rPr>
        <w:t>;</w:t>
      </w:r>
    </w:p>
    <w:p w14:paraId="55FAD97E" w14:textId="6A9FF572" w:rsidR="007120EC" w:rsidRPr="004D2C98" w:rsidRDefault="007120EC" w:rsidP="00AE3F23">
      <w:pPr>
        <w:pStyle w:val="ListParagraph"/>
        <w:numPr>
          <w:ilvl w:val="0"/>
          <w:numId w:val="37"/>
        </w:numPr>
        <w:shd w:val="clear" w:color="auto" w:fill="FFFFFF"/>
        <w:ind w:left="681" w:hanging="397"/>
        <w:rPr>
          <w:color w:val="201F1E"/>
        </w:rPr>
      </w:pPr>
      <w:r w:rsidRPr="004D2C98">
        <w:rPr>
          <w:color w:val="201F1E"/>
        </w:rPr>
        <w:t>Supporting the design and creation of the Tide Turners App to increase the reach and impact of the programme, to explore peer-to-peer learning, better monitor progress, and to have better access to data and success stories from communities</w:t>
      </w:r>
      <w:r w:rsidR="00565E6E">
        <w:rPr>
          <w:color w:val="201F1E"/>
        </w:rPr>
        <w:t>;</w:t>
      </w:r>
    </w:p>
    <w:p w14:paraId="34628002" w14:textId="7341D871" w:rsidR="0018196D" w:rsidRDefault="007120EC" w:rsidP="00113B03">
      <w:pPr>
        <w:pStyle w:val="ListParagraph"/>
        <w:numPr>
          <w:ilvl w:val="0"/>
          <w:numId w:val="37"/>
        </w:numPr>
        <w:shd w:val="clear" w:color="auto" w:fill="FFFFFF"/>
        <w:ind w:left="681" w:hanging="397"/>
        <w:rPr>
          <w:color w:val="201F1E"/>
        </w:rPr>
      </w:pPr>
      <w:r w:rsidRPr="004D2C98">
        <w:rPr>
          <w:color w:val="201F1E"/>
        </w:rPr>
        <w:t>Exploring and developing a rural-specific programme to ensure that the programme reaches beyond urban areas, particularly in India.</w:t>
      </w:r>
      <w:bookmarkEnd w:id="9"/>
    </w:p>
    <w:p w14:paraId="40195472" w14:textId="77777777" w:rsidR="00113B03" w:rsidRPr="00113B03" w:rsidRDefault="00113B03" w:rsidP="00113B03">
      <w:pPr>
        <w:pStyle w:val="ListParagraph"/>
        <w:shd w:val="clear" w:color="auto" w:fill="FFFFFF"/>
        <w:ind w:left="681"/>
        <w:rPr>
          <w:color w:val="201F1E"/>
        </w:rPr>
      </w:pPr>
    </w:p>
    <w:p w14:paraId="507D1DC5" w14:textId="295170D6" w:rsidR="004846AA" w:rsidRDefault="004846AA" w:rsidP="00595499">
      <w:pPr>
        <w:pStyle w:val="Heading3"/>
      </w:pPr>
      <w:r w:rsidRPr="00446B22">
        <w:t>Component 2</w:t>
      </w:r>
      <w:r w:rsidR="0022205A" w:rsidRPr="00446B22">
        <w:t xml:space="preserve"> – </w:t>
      </w:r>
      <w:r w:rsidR="00CB4B60">
        <w:t>SUPPORT FOR INC NEGOTIATIONS</w:t>
      </w:r>
    </w:p>
    <w:p w14:paraId="5E23FF5C" w14:textId="1F1FDFEB" w:rsidR="00446B22" w:rsidRPr="00446B22" w:rsidRDefault="00446B22" w:rsidP="00446B22">
      <w:pPr>
        <w:spacing w:after="240"/>
        <w:rPr>
          <w:rFonts w:cstheme="minorHAnsi"/>
        </w:rPr>
      </w:pPr>
      <w:r w:rsidRPr="00446B22">
        <w:rPr>
          <w:rFonts w:cstheme="minorHAnsi"/>
        </w:rPr>
        <w:lastRenderedPageBreak/>
        <w:t xml:space="preserve">Defra is looking to </w:t>
      </w:r>
      <w:r>
        <w:rPr>
          <w:rFonts w:cstheme="minorHAnsi"/>
        </w:rPr>
        <w:t>contribute</w:t>
      </w:r>
      <w:r w:rsidRPr="00446B22">
        <w:rPr>
          <w:rFonts w:cstheme="minorHAnsi"/>
        </w:rPr>
        <w:t xml:space="preserve"> </w:t>
      </w:r>
      <w:r w:rsidRPr="00446B22">
        <w:rPr>
          <w:rFonts w:cstheme="minorHAnsi"/>
          <w:b/>
          <w:bCs/>
        </w:rPr>
        <w:t>up to £2 million</w:t>
      </w:r>
      <w:r w:rsidRPr="00446B22">
        <w:rPr>
          <w:rFonts w:cstheme="minorHAnsi"/>
        </w:rPr>
        <w:t xml:space="preserve"> of ODA funding to UNEP over three years</w:t>
      </w:r>
      <w:r w:rsidR="00785F55">
        <w:rPr>
          <w:rStyle w:val="FootnoteReference"/>
          <w:rFonts w:cstheme="minorHAnsi"/>
        </w:rPr>
        <w:footnoteReference w:id="8"/>
      </w:r>
      <w:r w:rsidRPr="00446B22">
        <w:rPr>
          <w:rFonts w:cstheme="minorHAnsi"/>
        </w:rPr>
        <w:t xml:space="preserve"> to support the implementation of UNEA resolution 5/14, with funding towards ensuring more inclusive attendance at INC meetings.  As explored in the Financial Case, this will proceed via a contribution to UNEP</w:t>
      </w:r>
      <w:r w:rsidR="002C6420">
        <w:rPr>
          <w:rFonts w:cstheme="minorHAnsi"/>
        </w:rPr>
        <w:t xml:space="preserve"> as is standard practice for new </w:t>
      </w:r>
      <w:r w:rsidR="00F771B5">
        <w:rPr>
          <w:rFonts w:cstheme="minorHAnsi"/>
        </w:rPr>
        <w:t>activities above UNEP’s standard budget</w:t>
      </w:r>
      <w:r w:rsidRPr="00446B22">
        <w:rPr>
          <w:rFonts w:cstheme="minorHAnsi"/>
        </w:rPr>
        <w:t>.</w:t>
      </w:r>
      <w:r w:rsidR="00F771B5">
        <w:rPr>
          <w:rFonts w:cstheme="minorHAnsi"/>
        </w:rPr>
        <w:t xml:space="preserve"> Once a treaty is developed then payments would be expected through the normal Multilateral Environmental Agreement route.</w:t>
      </w:r>
      <w:r w:rsidR="00C773AC">
        <w:rPr>
          <w:rFonts w:cstheme="minorHAnsi"/>
        </w:rPr>
        <w:t xml:space="preserve"> </w:t>
      </w:r>
      <w:r>
        <w:rPr>
          <w:rFonts w:cstheme="minorHAnsi"/>
        </w:rPr>
        <w:t>A</w:t>
      </w:r>
      <w:r w:rsidRPr="00446B22">
        <w:rPr>
          <w:rFonts w:cstheme="minorHAnsi"/>
        </w:rPr>
        <w:t>ctivities that can use ODA funding include</w:t>
      </w:r>
      <w:r>
        <w:rPr>
          <w:rFonts w:cstheme="minorHAnsi"/>
        </w:rPr>
        <w:t>:</w:t>
      </w:r>
    </w:p>
    <w:p w14:paraId="26084B5C" w14:textId="34040827" w:rsidR="00446B22" w:rsidRPr="00446B22" w:rsidRDefault="00446B22" w:rsidP="00AE3F23">
      <w:pPr>
        <w:pStyle w:val="ListParagraph"/>
        <w:numPr>
          <w:ilvl w:val="0"/>
          <w:numId w:val="33"/>
        </w:numPr>
        <w:spacing w:after="240"/>
        <w:ind w:left="681" w:hanging="397"/>
        <w:rPr>
          <w:rFonts w:cstheme="minorHAnsi"/>
        </w:rPr>
      </w:pPr>
      <w:r w:rsidRPr="00446B22">
        <w:rPr>
          <w:rFonts w:cstheme="minorHAnsi"/>
        </w:rPr>
        <w:t>Travel and subsistence for ODA-eligible countr</w:t>
      </w:r>
      <w:r w:rsidR="00F771B5">
        <w:rPr>
          <w:rFonts w:cstheme="minorHAnsi"/>
        </w:rPr>
        <w:t>ies, that combined with contributions from other donors has the ultimate goal of supporting 2 delegates per country. This is seen as critical to allow parallel negotiations to take place that is the only way the treaty can realistically be negotiated by the end of 2024</w:t>
      </w:r>
      <w:r w:rsidR="00565E6E">
        <w:rPr>
          <w:rFonts w:cstheme="minorHAnsi"/>
        </w:rPr>
        <w:t>;</w:t>
      </w:r>
    </w:p>
    <w:p w14:paraId="273FC138" w14:textId="7550E001" w:rsidR="00446B22" w:rsidRPr="00446B22" w:rsidRDefault="00446B22" w:rsidP="00AE3F23">
      <w:pPr>
        <w:pStyle w:val="ListParagraph"/>
        <w:numPr>
          <w:ilvl w:val="0"/>
          <w:numId w:val="33"/>
        </w:numPr>
        <w:spacing w:after="240"/>
        <w:ind w:left="681" w:hanging="397"/>
        <w:rPr>
          <w:rFonts w:cstheme="minorHAnsi"/>
        </w:rPr>
      </w:pPr>
      <w:r w:rsidRPr="00446B22">
        <w:rPr>
          <w:rFonts w:cstheme="minorHAnsi"/>
        </w:rPr>
        <w:t>Support for ODA-eligible delegates at intersessional regional meetings including possible funding to support meeting proceedings where all attendees are ODA eligible (such as the Africa region)</w:t>
      </w:r>
      <w:r w:rsidR="00565E6E">
        <w:rPr>
          <w:rFonts w:cstheme="minorHAnsi"/>
        </w:rPr>
        <w:t>;</w:t>
      </w:r>
    </w:p>
    <w:p w14:paraId="02DF3CB0" w14:textId="3AAE8B49" w:rsidR="00446B22" w:rsidRDefault="00446B22" w:rsidP="00AE3F23">
      <w:pPr>
        <w:pStyle w:val="ListParagraph"/>
        <w:numPr>
          <w:ilvl w:val="0"/>
          <w:numId w:val="33"/>
        </w:numPr>
        <w:spacing w:after="240"/>
        <w:ind w:left="681" w:hanging="397"/>
        <w:rPr>
          <w:rFonts w:cstheme="minorHAnsi"/>
        </w:rPr>
      </w:pPr>
      <w:r w:rsidRPr="00446B22">
        <w:rPr>
          <w:rFonts w:cstheme="minorHAnsi"/>
        </w:rPr>
        <w:t xml:space="preserve">Training for delegates taking leadership roles from ODA-eligible countries (e.g. </w:t>
      </w:r>
      <w:r w:rsidR="00F771B5" w:rsidRPr="00446B22">
        <w:rPr>
          <w:rFonts w:cstheme="minorHAnsi"/>
        </w:rPr>
        <w:t>chai</w:t>
      </w:r>
      <w:r w:rsidR="00F771B5">
        <w:rPr>
          <w:rFonts w:cstheme="minorHAnsi"/>
        </w:rPr>
        <w:t>r</w:t>
      </w:r>
      <w:r w:rsidRPr="00446B22">
        <w:rPr>
          <w:rFonts w:cstheme="minorHAnsi"/>
        </w:rPr>
        <w:t>, co-</w:t>
      </w:r>
      <w:r w:rsidR="00F771B5" w:rsidRPr="00446B22">
        <w:rPr>
          <w:rFonts w:cstheme="minorHAnsi"/>
        </w:rPr>
        <w:t>facilita</w:t>
      </w:r>
      <w:r w:rsidR="00F771B5">
        <w:rPr>
          <w:rFonts w:cstheme="minorHAnsi"/>
        </w:rPr>
        <w:t>tors</w:t>
      </w:r>
      <w:r w:rsidRPr="00446B22">
        <w:rPr>
          <w:rFonts w:cstheme="minorHAnsi"/>
        </w:rPr>
        <w:t>, members of the Bureau).</w:t>
      </w:r>
    </w:p>
    <w:p w14:paraId="55225259" w14:textId="1C72FFC5" w:rsidR="00040317" w:rsidRPr="00446B22" w:rsidRDefault="00040317" w:rsidP="00AE3F23">
      <w:pPr>
        <w:pStyle w:val="ListParagraph"/>
        <w:numPr>
          <w:ilvl w:val="0"/>
          <w:numId w:val="33"/>
        </w:numPr>
        <w:spacing w:after="240"/>
        <w:ind w:left="681" w:hanging="397"/>
        <w:rPr>
          <w:rFonts w:cstheme="minorHAnsi"/>
        </w:rPr>
      </w:pPr>
      <w:r>
        <w:t>Support for intersessional work that that has the development and welfare of ODA eligible countries as its main objective</w:t>
      </w:r>
    </w:p>
    <w:p w14:paraId="02CADAD9" w14:textId="7AEF4EDA" w:rsidR="00000711" w:rsidRDefault="00000711" w:rsidP="00000711">
      <w:pPr>
        <w:spacing w:after="240"/>
        <w:rPr>
          <w:rFonts w:cstheme="minorHAnsi"/>
        </w:rPr>
      </w:pPr>
    </w:p>
    <w:p w14:paraId="49B0F5DC" w14:textId="77777777" w:rsidR="00000711" w:rsidRPr="00000711" w:rsidRDefault="00000711" w:rsidP="00000711">
      <w:pPr>
        <w:spacing w:after="240"/>
        <w:rPr>
          <w:rFonts w:cstheme="minorHAnsi"/>
        </w:rPr>
      </w:pPr>
    </w:p>
    <w:p w14:paraId="2719777D" w14:textId="4199E6CF" w:rsidR="00B518B8" w:rsidRPr="00B518B8" w:rsidRDefault="004846AA" w:rsidP="00F47E59">
      <w:pPr>
        <w:pStyle w:val="Heading2"/>
        <w:rPr>
          <w:rStyle w:val="Heading3Char"/>
          <w:rFonts w:asciiTheme="minorHAnsi" w:hAnsiTheme="minorHAnsi" w:cstheme="minorHAnsi"/>
          <w:caps/>
          <w:spacing w:val="0"/>
        </w:rPr>
      </w:pPr>
      <w:bookmarkStart w:id="10" w:name="_Toc121224093"/>
      <w:r w:rsidRPr="00217F59">
        <w:t>What are the expected</w:t>
      </w:r>
      <w:r w:rsidR="00B518B8">
        <w:t xml:space="preserve"> </w:t>
      </w:r>
      <w:r w:rsidRPr="00217F59">
        <w:t>results?</w:t>
      </w:r>
      <w:bookmarkEnd w:id="10"/>
    </w:p>
    <w:p w14:paraId="0F6B77FE" w14:textId="28E7099E" w:rsidR="00113B03" w:rsidRDefault="00113B03" w:rsidP="00113B03">
      <w:pPr>
        <w:pStyle w:val="Heading3"/>
      </w:pPr>
      <w:r w:rsidRPr="00217F59">
        <w:t>Component 1</w:t>
      </w:r>
      <w:r>
        <w:t xml:space="preserve"> – UNEP TIDE TURNERS PROGRAMME</w:t>
      </w:r>
    </w:p>
    <w:p w14:paraId="4268AAAB" w14:textId="797C3066" w:rsidR="00113B03" w:rsidRDefault="00113B03" w:rsidP="00113B03">
      <w:pPr>
        <w:rPr>
          <w:u w:val="single"/>
          <w:lang w:eastAsia="en-GB"/>
        </w:rPr>
      </w:pPr>
      <w:bookmarkStart w:id="11" w:name="_Hlk121739455"/>
      <w:r w:rsidRPr="00113B03">
        <w:rPr>
          <w:u w:val="single"/>
          <w:lang w:eastAsia="en-GB"/>
        </w:rPr>
        <w:t>Previous support</w:t>
      </w:r>
      <w:r>
        <w:rPr>
          <w:u w:val="single"/>
          <w:lang w:eastAsia="en-GB"/>
        </w:rPr>
        <w:t xml:space="preserve"> (2018 – 2021)</w:t>
      </w:r>
    </w:p>
    <w:p w14:paraId="2C59C4F3" w14:textId="01156470" w:rsidR="00113B03" w:rsidRPr="00113B03" w:rsidRDefault="00113B03" w:rsidP="00113B03">
      <w:pPr>
        <w:rPr>
          <w:lang w:eastAsia="en-GB"/>
        </w:rPr>
      </w:pPr>
      <w:r>
        <w:rPr>
          <w:lang w:eastAsia="en-GB"/>
        </w:rPr>
        <w:t xml:space="preserve">Previous </w:t>
      </w:r>
      <w:r w:rsidR="00E96D83">
        <w:rPr>
          <w:lang w:eastAsia="en-GB"/>
        </w:rPr>
        <w:t xml:space="preserve">UK </w:t>
      </w:r>
      <w:r>
        <w:rPr>
          <w:lang w:eastAsia="en-GB"/>
        </w:rPr>
        <w:t xml:space="preserve">support to Tide Turners </w:t>
      </w:r>
      <w:r w:rsidR="00811BD2">
        <w:rPr>
          <w:lang w:eastAsia="en-GB"/>
        </w:rPr>
        <w:t>was profiled as follows: Phase 1 (2018) £78k, Phase 2 (2019) £500k, and Phases 3 and 4 (2020 - 2022) £750k, totalling £1.328 million.</w:t>
      </w:r>
      <w:r w:rsidR="00E96D83">
        <w:rPr>
          <w:lang w:eastAsia="en-GB"/>
        </w:rPr>
        <w:t xml:space="preserve"> The UK has supported this programme since its inception, and to date has </w:t>
      </w:r>
      <w:r w:rsidR="00E96D83">
        <w:rPr>
          <w:rFonts w:ascii="Calibri" w:hAnsi="Calibri" w:cs="Calibri"/>
          <w:color w:val="1E1E1E"/>
          <w:shd w:val="clear" w:color="auto" w:fill="FFFFFF"/>
        </w:rPr>
        <w:t xml:space="preserve">facilitated the engagement of over 500,000 young participants in 35 countries. With an initial aim of engaging 50,000 young people in 3 Commonwealth countries, this programme has demonstrated </w:t>
      </w:r>
      <w:r w:rsidR="00283814">
        <w:rPr>
          <w:rFonts w:ascii="Calibri" w:hAnsi="Calibri" w:cs="Calibri"/>
          <w:color w:val="1E1E1E"/>
          <w:shd w:val="clear" w:color="auto" w:fill="FFFFFF"/>
        </w:rPr>
        <w:t xml:space="preserve">considerable value for money, </w:t>
      </w:r>
      <w:r w:rsidR="00E96D83">
        <w:rPr>
          <w:rFonts w:ascii="Calibri" w:hAnsi="Calibri" w:cs="Calibri"/>
          <w:color w:val="1E1E1E"/>
          <w:shd w:val="clear" w:color="auto" w:fill="FFFFFF"/>
        </w:rPr>
        <w:t xml:space="preserve">scalability and </w:t>
      </w:r>
      <w:r w:rsidR="00FD589C">
        <w:rPr>
          <w:rFonts w:ascii="Calibri" w:hAnsi="Calibri" w:cs="Calibri"/>
          <w:color w:val="1E1E1E"/>
          <w:shd w:val="clear" w:color="auto" w:fill="FFFFFF"/>
        </w:rPr>
        <w:t xml:space="preserve">adaptability, particularly through their </w:t>
      </w:r>
      <w:r w:rsidR="008357A2">
        <w:rPr>
          <w:rFonts w:ascii="Calibri" w:hAnsi="Calibri" w:cs="Calibri"/>
          <w:color w:val="1E1E1E"/>
          <w:shd w:val="clear" w:color="auto" w:fill="FFFFFF"/>
        </w:rPr>
        <w:t xml:space="preserve">pivot </w:t>
      </w:r>
      <w:r w:rsidR="00FD589C">
        <w:rPr>
          <w:rFonts w:ascii="Calibri" w:hAnsi="Calibri" w:cs="Calibri"/>
          <w:color w:val="1E1E1E"/>
          <w:shd w:val="clear" w:color="auto" w:fill="FFFFFF"/>
        </w:rPr>
        <w:t>to digital means of engagement with the emergence of the Covid-19 pandemic.</w:t>
      </w:r>
    </w:p>
    <w:bookmarkEnd w:id="11"/>
    <w:p w14:paraId="45119162" w14:textId="4E0326B5" w:rsidR="00113B03" w:rsidRDefault="00113B03" w:rsidP="00113B03">
      <w:pPr>
        <w:rPr>
          <w:lang w:eastAsia="en-GB"/>
        </w:rPr>
      </w:pPr>
    </w:p>
    <w:p w14:paraId="69F0B9E1" w14:textId="29428F32" w:rsidR="00113B03" w:rsidRPr="00113B03" w:rsidRDefault="00113B03" w:rsidP="00113B03">
      <w:pPr>
        <w:rPr>
          <w:u w:val="single"/>
          <w:lang w:eastAsia="en-GB"/>
        </w:rPr>
      </w:pPr>
      <w:r w:rsidRPr="00113B03">
        <w:rPr>
          <w:u w:val="single"/>
          <w:lang w:eastAsia="en-GB"/>
        </w:rPr>
        <w:t>Proposed support</w:t>
      </w:r>
    </w:p>
    <w:p w14:paraId="530BFC4D" w14:textId="7F4C41D2" w:rsidR="00D16D74" w:rsidRPr="000404D9" w:rsidRDefault="00B12082" w:rsidP="00565E6E">
      <w:pPr>
        <w:shd w:val="clear" w:color="auto" w:fill="FFFFFF"/>
        <w:spacing w:after="240"/>
        <w:rPr>
          <w:b/>
        </w:rPr>
      </w:pPr>
      <w:r>
        <w:t xml:space="preserve">The UNEP </w:t>
      </w:r>
      <w:r w:rsidR="00E72B13">
        <w:t>Tide Turners programme will reach under-represented youth in ODA-eligible countries, help</w:t>
      </w:r>
      <w:r w:rsidR="00AC4E71">
        <w:t>ing to</w:t>
      </w:r>
      <w:r w:rsidR="00E72B13">
        <w:t xml:space="preserve"> drive engagement </w:t>
      </w:r>
      <w:r w:rsidR="003C39CF">
        <w:t>and action in communities</w:t>
      </w:r>
      <w:r w:rsidR="00FA313F">
        <w:t xml:space="preserve"> with</w:t>
      </w:r>
      <w:r w:rsidR="00E72B13">
        <w:t>in youth advocacy</w:t>
      </w:r>
      <w:r w:rsidR="002148A5">
        <w:t>,</w:t>
      </w:r>
      <w:r w:rsidR="00E72B13">
        <w:t xml:space="preserve"> and activities regarding plastic pollution and </w:t>
      </w:r>
      <w:r w:rsidR="00EA0AAA">
        <w:t xml:space="preserve">environmental </w:t>
      </w:r>
      <w:r w:rsidR="00E72B13">
        <w:t xml:space="preserve">stewardship in their communities. </w:t>
      </w:r>
      <w:r w:rsidR="00640000" w:rsidRPr="00565E6E">
        <w:rPr>
          <w:b/>
          <w:bCs/>
        </w:rPr>
        <w:t xml:space="preserve">Through the preferred option (£1.6m), </w:t>
      </w:r>
      <w:r w:rsidR="00F8417D" w:rsidRPr="00565E6E">
        <w:rPr>
          <w:b/>
          <w:bCs/>
        </w:rPr>
        <w:t xml:space="preserve">we expect </w:t>
      </w:r>
      <w:r w:rsidR="0082666C" w:rsidRPr="00A20E3E">
        <w:rPr>
          <w:b/>
        </w:rPr>
        <w:t>the</w:t>
      </w:r>
      <w:r w:rsidR="00D16D74" w:rsidRPr="00A20E3E">
        <w:rPr>
          <w:b/>
        </w:rPr>
        <w:t xml:space="preserve"> following results:</w:t>
      </w:r>
    </w:p>
    <w:p w14:paraId="32CF8126" w14:textId="5CE9157D" w:rsidR="007B3C9A" w:rsidRPr="00565E6E" w:rsidRDefault="00F43F45" w:rsidP="00D16D74">
      <w:pPr>
        <w:pStyle w:val="ListParagraph"/>
        <w:numPr>
          <w:ilvl w:val="0"/>
          <w:numId w:val="63"/>
        </w:numPr>
        <w:shd w:val="clear" w:color="auto" w:fill="FFFFFF"/>
        <w:spacing w:after="240"/>
      </w:pPr>
      <w:r>
        <w:t xml:space="preserve">Consolidating support for </w:t>
      </w:r>
      <w:r w:rsidR="007B3C9A" w:rsidRPr="00565E6E">
        <w:t>30</w:t>
      </w:r>
      <w:r w:rsidR="00B17520">
        <w:t xml:space="preserve"> current</w:t>
      </w:r>
      <w:r>
        <w:t xml:space="preserve"> priority</w:t>
      </w:r>
      <w:r w:rsidR="007B3C9A" w:rsidRPr="00565E6E">
        <w:t xml:space="preserve"> countries</w:t>
      </w:r>
      <w:r>
        <w:t xml:space="preserve">, including </w:t>
      </w:r>
      <w:r w:rsidR="00D94308">
        <w:t xml:space="preserve">extending delivery to </w:t>
      </w:r>
      <w:r w:rsidR="008937ED">
        <w:t>rural and marginalised communities in those countries</w:t>
      </w:r>
      <w:r w:rsidR="007B3C9A" w:rsidRPr="00565E6E">
        <w:t xml:space="preserve"> </w:t>
      </w:r>
    </w:p>
    <w:p w14:paraId="478E094C" w14:textId="37D0D78D" w:rsidR="007B3C9A" w:rsidRPr="00565E6E" w:rsidRDefault="00C46FCC" w:rsidP="00D16D74">
      <w:pPr>
        <w:pStyle w:val="ListParagraph"/>
        <w:numPr>
          <w:ilvl w:val="0"/>
          <w:numId w:val="63"/>
        </w:numPr>
        <w:shd w:val="clear" w:color="auto" w:fill="FFFFFF"/>
        <w:spacing w:after="240"/>
      </w:pPr>
      <w:r w:rsidRPr="00565E6E">
        <w:t>20</w:t>
      </w:r>
      <w:r w:rsidR="0033626A" w:rsidRPr="00565E6E">
        <w:t xml:space="preserve"> </w:t>
      </w:r>
      <w:r w:rsidR="00765154" w:rsidRPr="00565E6E">
        <w:t xml:space="preserve">participants achieving </w:t>
      </w:r>
      <w:r w:rsidRPr="00565E6E">
        <w:t>Level 4</w:t>
      </w:r>
      <w:r w:rsidR="0033626A" w:rsidRPr="00565E6E">
        <w:t xml:space="preserve">: </w:t>
      </w:r>
      <w:r w:rsidRPr="00565E6E">
        <w:t>Advocacy Champion Level</w:t>
      </w:r>
      <w:r w:rsidR="0033626A" w:rsidRPr="00565E6E">
        <w:t xml:space="preserve"> </w:t>
      </w:r>
      <w:r w:rsidR="00765154" w:rsidRPr="00565E6E">
        <w:t>qualifications</w:t>
      </w:r>
    </w:p>
    <w:p w14:paraId="3A4A020F" w14:textId="5CF004E8" w:rsidR="0033626A" w:rsidRPr="00565E6E" w:rsidRDefault="0031409C" w:rsidP="00D16D74">
      <w:pPr>
        <w:pStyle w:val="ListParagraph"/>
        <w:numPr>
          <w:ilvl w:val="0"/>
          <w:numId w:val="63"/>
        </w:numPr>
        <w:shd w:val="clear" w:color="auto" w:fill="FFFFFF"/>
        <w:spacing w:after="240"/>
      </w:pPr>
      <w:r w:rsidRPr="00565E6E">
        <w:t>200</w:t>
      </w:r>
      <w:r w:rsidR="00765154" w:rsidRPr="00565E6E">
        <w:t xml:space="preserve"> participants </w:t>
      </w:r>
      <w:r w:rsidR="00037116" w:rsidRPr="00565E6E">
        <w:t xml:space="preserve">achieving </w:t>
      </w:r>
      <w:r w:rsidRPr="00565E6E">
        <w:t xml:space="preserve">Level 4 </w:t>
      </w:r>
      <w:r w:rsidR="0064536F" w:rsidRPr="00565E6E">
        <w:t>Policy training for Advocacy Champions</w:t>
      </w:r>
    </w:p>
    <w:p w14:paraId="09AB8D51" w14:textId="6A29CED4" w:rsidR="0064536F" w:rsidRPr="00565E6E" w:rsidRDefault="0064536F" w:rsidP="00D16D74">
      <w:pPr>
        <w:pStyle w:val="ListParagraph"/>
        <w:numPr>
          <w:ilvl w:val="0"/>
          <w:numId w:val="63"/>
        </w:numPr>
        <w:shd w:val="clear" w:color="auto" w:fill="FFFFFF"/>
        <w:spacing w:after="240"/>
      </w:pPr>
      <w:r w:rsidRPr="00565E6E">
        <w:t xml:space="preserve">700 </w:t>
      </w:r>
      <w:r w:rsidR="00765154" w:rsidRPr="00565E6E">
        <w:t xml:space="preserve">participants achieving </w:t>
      </w:r>
      <w:r w:rsidRPr="00565E6E">
        <w:t xml:space="preserve">Level 3 Champion Level </w:t>
      </w:r>
      <w:r w:rsidR="00765154" w:rsidRPr="00565E6E">
        <w:t>qualifications</w:t>
      </w:r>
    </w:p>
    <w:p w14:paraId="5FF01262" w14:textId="680E2718" w:rsidR="0082666C" w:rsidRDefault="001C40C6" w:rsidP="00565E6E">
      <w:pPr>
        <w:pStyle w:val="ListParagraph"/>
        <w:numPr>
          <w:ilvl w:val="0"/>
          <w:numId w:val="63"/>
        </w:numPr>
        <w:shd w:val="clear" w:color="auto" w:fill="FFFFFF"/>
        <w:spacing w:after="240"/>
      </w:pPr>
      <w:r w:rsidRPr="00565E6E">
        <w:lastRenderedPageBreak/>
        <w:t>55,000 participants reaching Level 1 (Entry Level) or Level 2 (Leader Level)</w:t>
      </w:r>
      <w:r w:rsidR="00765154" w:rsidRPr="00565E6E">
        <w:t xml:space="preserve"> qualifications</w:t>
      </w:r>
    </w:p>
    <w:p w14:paraId="27FF4C9D" w14:textId="03ACEC61" w:rsidR="0090227E" w:rsidRPr="00565E6E" w:rsidRDefault="0090227E" w:rsidP="0090227E">
      <w:pPr>
        <w:shd w:val="clear" w:color="auto" w:fill="FFFFFF"/>
        <w:spacing w:after="240"/>
      </w:pPr>
      <w:r>
        <w:t>Results will be tracked through the logframe developed in partnership with UNEP, at this stage in draft form, included in the management case.</w:t>
      </w:r>
    </w:p>
    <w:p w14:paraId="64042909" w14:textId="3351081D" w:rsidR="00113B03" w:rsidRDefault="00113B03" w:rsidP="00113B03">
      <w:pPr>
        <w:pStyle w:val="Heading3"/>
      </w:pPr>
      <w:r w:rsidRPr="00446B22">
        <w:t xml:space="preserve">Component 2 – </w:t>
      </w:r>
      <w:r>
        <w:t>SUPPORT FOR INC NEGOTIATIONS</w:t>
      </w:r>
    </w:p>
    <w:p w14:paraId="72F688E2" w14:textId="559F86D3" w:rsidR="00056386" w:rsidRDefault="00056386" w:rsidP="00565E6E">
      <w:pPr>
        <w:spacing w:after="240"/>
      </w:pPr>
      <w:r>
        <w:t>In addition, financial support for the INC negotiations will support ODA-eligible delegates to participate in shaping global plastic pollution policy, which will bring</w:t>
      </w:r>
      <w:r w:rsidR="00434B38">
        <w:t xml:space="preserve"> the interests of</w:t>
      </w:r>
      <w:r>
        <w:t xml:space="preserve"> under-represented voices to the negotiations, </w:t>
      </w:r>
      <w:r w:rsidR="00434B38">
        <w:t>ensuring the interests of countries that have a high level of marginalised communities such as the informal waste picking sector are also</w:t>
      </w:r>
      <w:r>
        <w:t xml:space="preserve"> at the table</w:t>
      </w:r>
      <w:r w:rsidR="00434B38">
        <w:t xml:space="preserve"> so their views can be reflected and protected</w:t>
      </w:r>
      <w:r>
        <w:t xml:space="preserve"> </w:t>
      </w:r>
      <w:r w:rsidR="00434B38">
        <w:t>in the negotiated treaty.</w:t>
      </w:r>
      <w:r w:rsidRPr="000404D9">
        <w:t xml:space="preserve"> </w:t>
      </w:r>
    </w:p>
    <w:p w14:paraId="349DE896" w14:textId="532CA659" w:rsidR="00446B22" w:rsidRPr="008A2D5A" w:rsidRDefault="000A6B7D" w:rsidP="00565E6E">
      <w:pPr>
        <w:spacing w:after="240"/>
      </w:pPr>
      <w:r>
        <w:t xml:space="preserve">There are also opportunities for interoperability as </w:t>
      </w:r>
      <w:r w:rsidRPr="00704E23">
        <w:t xml:space="preserve">during programme delivery, the </w:t>
      </w:r>
      <w:r w:rsidRPr="00EE1D3D">
        <w:t xml:space="preserve">Tide Turners Challenge would seek opportunities to create stronger connections to INC delivery so that the programme </w:t>
      </w:r>
      <w:r w:rsidR="00565E6E">
        <w:t>can</w:t>
      </w:r>
      <w:r w:rsidRPr="00EE1D3D">
        <w:t xml:space="preserve"> be part of the youth advocacy component for this outcome.</w:t>
      </w:r>
      <w:r>
        <w:t xml:space="preserve"> Equally, we are working with the Global Plastic Action Partnership (GPAP) to uplift the support offered to the informal waste sector and better integrate their inclusion in the systems change approach to tackling plastic pollution. This will include working with waste picker associations and Ministers to advocate and involve the informal economy in negotiations.</w:t>
      </w:r>
      <w:r w:rsidR="00B518B8" w:rsidRPr="007F0139">
        <w:br w:type="page"/>
      </w:r>
    </w:p>
    <w:p w14:paraId="2A982113" w14:textId="2F1B4F00" w:rsidR="00241C84" w:rsidRPr="00217F59" w:rsidRDefault="00FF072D" w:rsidP="00F47E59">
      <w:pPr>
        <w:pStyle w:val="Heading1"/>
      </w:pPr>
      <w:bookmarkStart w:id="12" w:name="_Toc121224094"/>
      <w:r w:rsidRPr="00217F59">
        <w:lastRenderedPageBreak/>
        <w:t>STRATEGIC CASE</w:t>
      </w:r>
      <w:bookmarkEnd w:id="12"/>
    </w:p>
    <w:p w14:paraId="2B7162E6" w14:textId="03D53EA8" w:rsidR="00483512" w:rsidRPr="00E00022" w:rsidRDefault="005C104B" w:rsidP="00F47E59">
      <w:pPr>
        <w:pStyle w:val="Heading2"/>
      </w:pPr>
      <w:bookmarkStart w:id="13" w:name="_Toc121224095"/>
      <w:r w:rsidRPr="00217F59">
        <w:t>Context and need for a UK intervention</w:t>
      </w:r>
      <w:bookmarkEnd w:id="13"/>
    </w:p>
    <w:p w14:paraId="3374CA3D" w14:textId="72E1C09D" w:rsidR="00162EF4" w:rsidRPr="00217F59" w:rsidRDefault="00162EF4" w:rsidP="00595499">
      <w:pPr>
        <w:pStyle w:val="Heading3"/>
      </w:pPr>
      <w:r w:rsidRPr="00217F59">
        <w:t>Environmental and poverty context</w:t>
      </w:r>
    </w:p>
    <w:p w14:paraId="022DF7DC" w14:textId="395DE27A" w:rsidR="00162EF4" w:rsidRPr="00217F59" w:rsidRDefault="00162EF4" w:rsidP="00613ABF">
      <w:pPr>
        <w:pStyle w:val="NoSpacing"/>
        <w:spacing w:after="240"/>
        <w:jc w:val="both"/>
        <w:rPr>
          <w:rFonts w:cstheme="minorHAnsi"/>
          <w:b/>
          <w:bCs/>
          <w:sz w:val="22"/>
          <w:szCs w:val="22"/>
        </w:rPr>
      </w:pPr>
      <w:bookmarkStart w:id="14" w:name="_Hlk65663835"/>
      <w:r w:rsidRPr="00217F59">
        <w:rPr>
          <w:rFonts w:cstheme="minorHAnsi"/>
          <w:b/>
          <w:bCs/>
          <w:sz w:val="22"/>
          <w:szCs w:val="22"/>
        </w:rPr>
        <w:t>Marine (plastic) pollution is a crucial pressure on the marine environment – and a priority area for UK leadership</w:t>
      </w:r>
      <w:bookmarkEnd w:id="14"/>
      <w:r w:rsidRPr="00217F59">
        <w:rPr>
          <w:rFonts w:cstheme="minorHAnsi"/>
          <w:b/>
          <w:bCs/>
          <w:sz w:val="22"/>
          <w:szCs w:val="22"/>
        </w:rPr>
        <w:t>.</w:t>
      </w:r>
    </w:p>
    <w:p w14:paraId="4A87714E" w14:textId="54DDE4D7" w:rsidR="0058699C" w:rsidRDefault="005814EE" w:rsidP="00613ABF">
      <w:pPr>
        <w:shd w:val="clear" w:color="auto" w:fill="FFFFFF"/>
        <w:spacing w:after="240"/>
        <w:rPr>
          <w:rFonts w:cstheme="minorHAnsi"/>
          <w:color w:val="201F1E"/>
        </w:rPr>
      </w:pPr>
      <w:r w:rsidRPr="00217F59">
        <w:rPr>
          <w:rFonts w:cstheme="minorHAnsi"/>
          <w:color w:val="201F1E"/>
        </w:rPr>
        <w:t xml:space="preserve">By 2040, the volume of plastics flowing into the ocean </w:t>
      </w:r>
      <w:r w:rsidR="00E051B0">
        <w:rPr>
          <w:rFonts w:cstheme="minorHAnsi"/>
          <w:color w:val="201F1E"/>
        </w:rPr>
        <w:t>is expected to</w:t>
      </w:r>
      <w:r w:rsidR="00E051B0" w:rsidRPr="00217F59">
        <w:rPr>
          <w:rFonts w:cstheme="minorHAnsi"/>
          <w:color w:val="201F1E"/>
        </w:rPr>
        <w:t xml:space="preserve"> </w:t>
      </w:r>
      <w:r w:rsidRPr="00217F59">
        <w:rPr>
          <w:rFonts w:cstheme="minorHAnsi"/>
          <w:color w:val="201F1E"/>
        </w:rPr>
        <w:t xml:space="preserve">triple, hitting </w:t>
      </w:r>
      <w:r w:rsidR="00323D08">
        <w:rPr>
          <w:rFonts w:cstheme="minorHAnsi"/>
          <w:b/>
          <w:bCs/>
          <w:color w:val="201F1E"/>
        </w:rPr>
        <w:t>29</w:t>
      </w:r>
      <w:r w:rsidR="00323D08" w:rsidRPr="00840344">
        <w:rPr>
          <w:rFonts w:cstheme="minorHAnsi"/>
          <w:b/>
          <w:bCs/>
          <w:color w:val="201F1E"/>
        </w:rPr>
        <w:t xml:space="preserve"> </w:t>
      </w:r>
      <w:r w:rsidRPr="00840344">
        <w:rPr>
          <w:rFonts w:cstheme="minorHAnsi"/>
          <w:b/>
          <w:bCs/>
          <w:color w:val="201F1E"/>
        </w:rPr>
        <w:t>million tonnes per yea</w:t>
      </w:r>
      <w:r w:rsidR="00E051B0" w:rsidRPr="00840344">
        <w:rPr>
          <w:rFonts w:cstheme="minorHAnsi"/>
          <w:b/>
          <w:bCs/>
          <w:color w:val="201F1E"/>
        </w:rPr>
        <w:t>r.</w:t>
      </w:r>
      <w:r w:rsidR="0058699C" w:rsidRPr="00840344">
        <w:rPr>
          <w:rStyle w:val="FootnoteReference"/>
          <w:rFonts w:cstheme="minorHAnsi"/>
          <w:b/>
          <w:bCs/>
          <w:color w:val="201F1E"/>
        </w:rPr>
        <w:footnoteReference w:id="9"/>
      </w:r>
      <w:r w:rsidR="00E051B0">
        <w:rPr>
          <w:rFonts w:cstheme="minorHAnsi"/>
          <w:color w:val="201F1E"/>
        </w:rPr>
        <w:t xml:space="preserve"> </w:t>
      </w:r>
      <w:r w:rsidR="00C964C2" w:rsidRPr="00C964C2">
        <w:rPr>
          <w:rFonts w:cstheme="minorHAnsi"/>
          <w:color w:val="201F1E"/>
        </w:rPr>
        <w:t>Up to 66% of marine mammal and 50% of seabird species are affected by the rising tide of ocean plastic</w:t>
      </w:r>
      <w:r w:rsidR="00C964C2">
        <w:rPr>
          <w:rStyle w:val="FootnoteReference"/>
          <w:rFonts w:cstheme="minorHAnsi"/>
          <w:color w:val="201F1E"/>
        </w:rPr>
        <w:footnoteReference w:id="10"/>
      </w:r>
      <w:r w:rsidR="00C964C2">
        <w:rPr>
          <w:rFonts w:cstheme="minorHAnsi"/>
          <w:color w:val="201F1E"/>
        </w:rPr>
        <w:t xml:space="preserve">. </w:t>
      </w:r>
      <w:r w:rsidR="00C964C2" w:rsidRPr="00C964C2">
        <w:rPr>
          <w:rFonts w:cstheme="minorHAnsi"/>
          <w:color w:val="201F1E"/>
        </w:rPr>
        <w:t>Abandoned, lost or otherwise discarded fishing gear (ALDFG) is currently the form of marine litter with the greatest known impact on marine life, and has been estimated to cause a 5-30% decline in some fish stock levels</w:t>
      </w:r>
      <w:r w:rsidR="00FA5C9E">
        <w:rPr>
          <w:rStyle w:val="FootnoteReference"/>
          <w:rFonts w:cstheme="minorHAnsi"/>
          <w:color w:val="201F1E"/>
        </w:rPr>
        <w:footnoteReference w:id="11"/>
      </w:r>
      <w:r w:rsidR="00C964C2" w:rsidRPr="00C964C2">
        <w:rPr>
          <w:rFonts w:cstheme="minorHAnsi"/>
          <w:color w:val="201F1E"/>
        </w:rPr>
        <w:t>.</w:t>
      </w:r>
      <w:r w:rsidR="00C964C2">
        <w:rPr>
          <w:rFonts w:cstheme="minorHAnsi"/>
          <w:color w:val="201F1E"/>
        </w:rPr>
        <w:t xml:space="preserve"> O</w:t>
      </w:r>
      <w:r w:rsidR="00C964C2" w:rsidRPr="00C964C2">
        <w:rPr>
          <w:rFonts w:cstheme="minorHAnsi"/>
          <w:color w:val="201F1E"/>
        </w:rPr>
        <w:t xml:space="preserve">ver 90% of fish caught in </w:t>
      </w:r>
      <w:r w:rsidR="00C964C2">
        <w:rPr>
          <w:rFonts w:cstheme="minorHAnsi"/>
          <w:color w:val="201F1E"/>
        </w:rPr>
        <w:t>ALDFG</w:t>
      </w:r>
      <w:r w:rsidR="00C964C2" w:rsidRPr="00C964C2">
        <w:rPr>
          <w:rFonts w:cstheme="minorHAnsi"/>
          <w:color w:val="201F1E"/>
        </w:rPr>
        <w:t xml:space="preserve"> is of commercial value, endangering fish populations with no commercial benefit</w:t>
      </w:r>
      <w:r w:rsidR="00FA5C9E">
        <w:rPr>
          <w:rStyle w:val="FootnoteReference"/>
          <w:rFonts w:cstheme="minorHAnsi"/>
          <w:color w:val="201F1E"/>
        </w:rPr>
        <w:footnoteReference w:id="12"/>
      </w:r>
      <w:r w:rsidR="00C964C2">
        <w:rPr>
          <w:rFonts w:cstheme="minorHAnsi"/>
          <w:color w:val="201F1E"/>
        </w:rPr>
        <w:t xml:space="preserve">. </w:t>
      </w:r>
      <w:r w:rsidR="00E051B0">
        <w:rPr>
          <w:rFonts w:cstheme="minorHAnsi"/>
          <w:color w:val="201F1E"/>
        </w:rPr>
        <w:t>T</w:t>
      </w:r>
      <w:r w:rsidRPr="00217F59">
        <w:rPr>
          <w:rFonts w:cstheme="minorHAnsi"/>
          <w:color w:val="201F1E"/>
        </w:rPr>
        <w:t>his is a</w:t>
      </w:r>
      <w:r w:rsidR="0058699C">
        <w:rPr>
          <w:rFonts w:cstheme="minorHAnsi"/>
          <w:color w:val="201F1E"/>
        </w:rPr>
        <w:t xml:space="preserve"> social, </w:t>
      </w:r>
      <w:r w:rsidRPr="00217F59">
        <w:rPr>
          <w:rFonts w:cstheme="minorHAnsi"/>
          <w:color w:val="201F1E"/>
        </w:rPr>
        <w:t xml:space="preserve">economic </w:t>
      </w:r>
      <w:r w:rsidR="0058699C">
        <w:rPr>
          <w:rFonts w:cstheme="minorHAnsi"/>
          <w:color w:val="201F1E"/>
        </w:rPr>
        <w:t xml:space="preserve">and environmental </w:t>
      </w:r>
      <w:r w:rsidRPr="00217F59">
        <w:rPr>
          <w:rFonts w:cstheme="minorHAnsi"/>
          <w:color w:val="201F1E"/>
        </w:rPr>
        <w:t>issue</w:t>
      </w:r>
      <w:r w:rsidR="0058699C">
        <w:rPr>
          <w:rFonts w:cstheme="minorHAnsi"/>
          <w:color w:val="201F1E"/>
        </w:rPr>
        <w:t xml:space="preserve">, </w:t>
      </w:r>
      <w:r w:rsidRPr="00217F59">
        <w:rPr>
          <w:rFonts w:cstheme="minorHAnsi"/>
          <w:color w:val="201F1E"/>
        </w:rPr>
        <w:t xml:space="preserve">reducing </w:t>
      </w:r>
      <w:r w:rsidR="006F36E0">
        <w:rPr>
          <w:rFonts w:cstheme="minorHAnsi"/>
          <w:color w:val="201F1E"/>
        </w:rPr>
        <w:t xml:space="preserve">the value of </w:t>
      </w:r>
      <w:r w:rsidR="00BF4CBA">
        <w:rPr>
          <w:rFonts w:cstheme="minorHAnsi"/>
          <w:color w:val="201F1E"/>
        </w:rPr>
        <w:t xml:space="preserve">global </w:t>
      </w:r>
      <w:r w:rsidRPr="00217F59">
        <w:rPr>
          <w:rFonts w:cstheme="minorHAnsi"/>
          <w:color w:val="201F1E"/>
        </w:rPr>
        <w:t>marine ecosystem services</w:t>
      </w:r>
      <w:r w:rsidR="005229CB">
        <w:rPr>
          <w:rFonts w:cstheme="minorHAnsi"/>
          <w:color w:val="201F1E"/>
        </w:rPr>
        <w:t xml:space="preserve"> </w:t>
      </w:r>
      <w:r w:rsidRPr="00217F59">
        <w:rPr>
          <w:rFonts w:cstheme="minorHAnsi"/>
          <w:color w:val="201F1E"/>
        </w:rPr>
        <w:t xml:space="preserve">by up to </w:t>
      </w:r>
      <w:r w:rsidRPr="00840344">
        <w:rPr>
          <w:rFonts w:cstheme="minorHAnsi"/>
          <w:b/>
          <w:bCs/>
          <w:color w:val="201F1E"/>
        </w:rPr>
        <w:t xml:space="preserve">USD </w:t>
      </w:r>
      <w:r w:rsidR="00BF4CBA">
        <w:rPr>
          <w:rFonts w:cstheme="minorHAnsi"/>
          <w:b/>
          <w:bCs/>
          <w:color w:val="201F1E"/>
        </w:rPr>
        <w:t>13 billion</w:t>
      </w:r>
      <w:r w:rsidRPr="00217F59">
        <w:rPr>
          <w:rFonts w:cstheme="minorHAnsi"/>
          <w:color w:val="201F1E"/>
        </w:rPr>
        <w:t xml:space="preserve"> </w:t>
      </w:r>
      <w:r w:rsidRPr="00840344">
        <w:rPr>
          <w:rFonts w:cstheme="minorHAnsi"/>
          <w:b/>
          <w:bCs/>
          <w:color w:val="201F1E"/>
        </w:rPr>
        <w:t>each year</w:t>
      </w:r>
      <w:r w:rsidR="00BF4CBA">
        <w:rPr>
          <w:rStyle w:val="FootnoteReference"/>
          <w:rFonts w:cstheme="minorHAnsi"/>
          <w:b/>
          <w:bCs/>
          <w:color w:val="201F1E"/>
        </w:rPr>
        <w:footnoteReference w:id="13"/>
      </w:r>
      <w:r w:rsidR="00E051B0">
        <w:rPr>
          <w:rFonts w:cstheme="minorHAnsi"/>
          <w:color w:val="201F1E"/>
        </w:rPr>
        <w:t>,</w:t>
      </w:r>
      <w:r w:rsidRPr="00217F59">
        <w:rPr>
          <w:rFonts w:cstheme="minorHAnsi"/>
          <w:color w:val="201F1E"/>
        </w:rPr>
        <w:t xml:space="preserve"> alter</w:t>
      </w:r>
      <w:r w:rsidR="0058699C">
        <w:rPr>
          <w:rFonts w:cstheme="minorHAnsi"/>
          <w:color w:val="201F1E"/>
        </w:rPr>
        <w:t>ing</w:t>
      </w:r>
      <w:r w:rsidRPr="00217F59">
        <w:rPr>
          <w:rFonts w:cstheme="minorHAnsi"/>
          <w:color w:val="201F1E"/>
        </w:rPr>
        <w:t xml:space="preserve"> habitats and natural processes, while reducing ecosystems’ ability to adapt to climate change</w:t>
      </w:r>
      <w:r w:rsidR="0058699C">
        <w:rPr>
          <w:rFonts w:cstheme="minorHAnsi"/>
          <w:color w:val="201F1E"/>
        </w:rPr>
        <w:t>,</w:t>
      </w:r>
      <w:r w:rsidRPr="00217F59">
        <w:rPr>
          <w:rFonts w:cstheme="minorHAnsi"/>
          <w:color w:val="201F1E"/>
        </w:rPr>
        <w:t xml:space="preserve"> </w:t>
      </w:r>
      <w:r w:rsidR="006F36E0">
        <w:rPr>
          <w:rFonts w:cstheme="minorHAnsi"/>
          <w:color w:val="201F1E"/>
        </w:rPr>
        <w:t xml:space="preserve">thereby </w:t>
      </w:r>
      <w:r w:rsidRPr="00217F59">
        <w:rPr>
          <w:rFonts w:cstheme="minorHAnsi"/>
          <w:color w:val="201F1E"/>
        </w:rPr>
        <w:t>directly affecting millions of people’s livelihoods, food production capabilities and social well-being.</w:t>
      </w:r>
    </w:p>
    <w:p w14:paraId="30F64D89" w14:textId="5FA0E57E" w:rsidR="00162EF4" w:rsidRPr="00217F59" w:rsidRDefault="00162EF4" w:rsidP="005229CB">
      <w:pPr>
        <w:spacing w:after="240"/>
        <w:rPr>
          <w:rFonts w:cstheme="minorHAnsi"/>
        </w:rPr>
      </w:pPr>
      <w:r w:rsidRPr="1927469B">
        <w:t>There are clear externalities</w:t>
      </w:r>
      <w:r w:rsidRPr="1927469B">
        <w:rPr>
          <w:rStyle w:val="FootnoteReference"/>
        </w:rPr>
        <w:footnoteReference w:id="14"/>
      </w:r>
      <w:r w:rsidRPr="1927469B">
        <w:t xml:space="preserve"> associated with the items which become marine litter: </w:t>
      </w:r>
      <w:r w:rsidR="00A72FCC">
        <w:t xml:space="preserve">UNEP estimate </w:t>
      </w:r>
      <w:r w:rsidRPr="1927469B">
        <w:t xml:space="preserve">global </w:t>
      </w:r>
      <w:r w:rsidR="00A72FCC">
        <w:t xml:space="preserve">annual </w:t>
      </w:r>
      <w:r w:rsidRPr="1927469B">
        <w:t>costs at $13 billion</w:t>
      </w:r>
      <w:r w:rsidRPr="1927469B">
        <w:rPr>
          <w:rStyle w:val="FootnoteReference"/>
        </w:rPr>
        <w:footnoteReference w:id="15"/>
      </w:r>
      <w:r w:rsidR="005229CB">
        <w:t xml:space="preserve">, </w:t>
      </w:r>
      <w:r w:rsidR="00A72FCC">
        <w:t>with costs</w:t>
      </w:r>
      <w:r w:rsidR="005229CB">
        <w:t xml:space="preserve"> </w:t>
      </w:r>
      <w:r w:rsidR="00FD7830">
        <w:t xml:space="preserve">likely </w:t>
      </w:r>
      <w:r w:rsidR="005229CB">
        <w:t>increasing</w:t>
      </w:r>
      <w:r w:rsidR="00A72FCC">
        <w:t xml:space="preserve"> as the issue worsens</w:t>
      </w:r>
      <w:r w:rsidR="005229CB">
        <w:t>.</w:t>
      </w:r>
      <w:bookmarkStart w:id="15" w:name="_Hlk72405431"/>
      <w:r w:rsidR="005229CB">
        <w:t xml:space="preserve"> </w:t>
      </w:r>
      <w:r w:rsidR="0058699C">
        <w:rPr>
          <w:rFonts w:cstheme="minorHAnsi"/>
        </w:rPr>
        <w:t>K</w:t>
      </w:r>
      <w:r w:rsidRPr="00217F59">
        <w:rPr>
          <w:rFonts w:cstheme="minorHAnsi"/>
        </w:rPr>
        <w:t>ey species</w:t>
      </w:r>
      <w:r w:rsidR="0058699C">
        <w:rPr>
          <w:rFonts w:cstheme="minorHAnsi"/>
        </w:rPr>
        <w:t xml:space="preserve">, </w:t>
      </w:r>
      <w:r w:rsidRPr="00217F59">
        <w:rPr>
          <w:rFonts w:cstheme="minorHAnsi"/>
        </w:rPr>
        <w:t>the health of the ocean</w:t>
      </w:r>
      <w:r w:rsidR="0058699C">
        <w:rPr>
          <w:rFonts w:cstheme="minorHAnsi"/>
        </w:rPr>
        <w:t>,</w:t>
      </w:r>
      <w:r w:rsidRPr="00217F59">
        <w:rPr>
          <w:rFonts w:cstheme="minorHAnsi"/>
        </w:rPr>
        <w:t xml:space="preserve"> and the health and livelihoods of those living in coastal regions</w:t>
      </w:r>
      <w:r w:rsidR="0058699C">
        <w:rPr>
          <w:rFonts w:cstheme="minorHAnsi"/>
        </w:rPr>
        <w:t xml:space="preserve"> are all threatened by </w:t>
      </w:r>
      <w:bookmarkEnd w:id="15"/>
      <w:r w:rsidR="0058699C">
        <w:rPr>
          <w:rFonts w:cstheme="minorHAnsi"/>
        </w:rPr>
        <w:t>m</w:t>
      </w:r>
      <w:r w:rsidRPr="00217F59">
        <w:rPr>
          <w:rFonts w:cstheme="minorHAnsi"/>
        </w:rPr>
        <w:t>arine litter</w:t>
      </w:r>
      <w:r w:rsidRPr="00217F59">
        <w:rPr>
          <w:rStyle w:val="FootnoteReference"/>
          <w:rFonts w:cstheme="minorHAnsi"/>
        </w:rPr>
        <w:footnoteReference w:id="16"/>
      </w:r>
      <w:r w:rsidR="005229CB">
        <w:rPr>
          <w:rFonts w:cstheme="minorHAnsi"/>
        </w:rPr>
        <w:t>,</w:t>
      </w:r>
      <w:r w:rsidRPr="00217F59">
        <w:rPr>
          <w:rFonts w:cstheme="minorHAnsi"/>
        </w:rPr>
        <w:t xml:space="preserve"> sewage</w:t>
      </w:r>
      <w:r w:rsidR="005229CB">
        <w:rPr>
          <w:rFonts w:cstheme="minorHAnsi"/>
        </w:rPr>
        <w:t xml:space="preserve">, </w:t>
      </w:r>
      <w:r w:rsidRPr="00217F59">
        <w:rPr>
          <w:rFonts w:cstheme="minorHAnsi"/>
        </w:rPr>
        <w:t xml:space="preserve">wastewater, </w:t>
      </w:r>
      <w:r w:rsidR="005229CB" w:rsidRPr="00217F59">
        <w:rPr>
          <w:rFonts w:cstheme="minorHAnsi"/>
        </w:rPr>
        <w:t>chemicals,</w:t>
      </w:r>
      <w:r w:rsidRPr="00217F59">
        <w:rPr>
          <w:rFonts w:cstheme="minorHAnsi"/>
        </w:rPr>
        <w:t xml:space="preserve"> and other pollutants</w:t>
      </w:r>
      <w:r w:rsidR="005229CB">
        <w:rPr>
          <w:rFonts w:cstheme="minorHAnsi"/>
        </w:rPr>
        <w:t>,</w:t>
      </w:r>
      <w:r w:rsidR="0058699C">
        <w:rPr>
          <w:rFonts w:cstheme="minorHAnsi"/>
        </w:rPr>
        <w:t xml:space="preserve"> which not only</w:t>
      </w:r>
      <w:r w:rsidRPr="00217F59">
        <w:rPr>
          <w:rFonts w:cstheme="minorHAnsi"/>
        </w:rPr>
        <w:t xml:space="preserve"> have detrimental impacts on the marine environment </w:t>
      </w:r>
      <w:r w:rsidR="0058699C">
        <w:rPr>
          <w:rFonts w:cstheme="minorHAnsi"/>
        </w:rPr>
        <w:t xml:space="preserve">but also </w:t>
      </w:r>
      <w:r w:rsidRPr="00217F59">
        <w:rPr>
          <w:rFonts w:cstheme="minorHAnsi"/>
        </w:rPr>
        <w:t xml:space="preserve">act as barriers to </w:t>
      </w:r>
      <w:r w:rsidR="0058699C">
        <w:rPr>
          <w:rFonts w:cstheme="minorHAnsi"/>
        </w:rPr>
        <w:t xml:space="preserve">climate resilient </w:t>
      </w:r>
      <w:r w:rsidRPr="00217F59">
        <w:rPr>
          <w:rFonts w:cstheme="minorHAnsi"/>
        </w:rPr>
        <w:t>development. Evidence shows that plastic in the ocean impacts on food supply, climate regulation and tourism, as well as through impacts on</w:t>
      </w:r>
      <w:r w:rsidR="005229CB">
        <w:rPr>
          <w:rFonts w:cstheme="minorHAnsi"/>
        </w:rPr>
        <w:t xml:space="preserve"> the biosphere</w:t>
      </w:r>
      <w:r w:rsidRPr="00217F59">
        <w:rPr>
          <w:rFonts w:cstheme="minorHAnsi"/>
        </w:rPr>
        <w:t>.</w:t>
      </w:r>
      <w:r w:rsidRPr="00217F59">
        <w:rPr>
          <w:rStyle w:val="FootnoteReference"/>
          <w:rFonts w:cstheme="minorHAnsi"/>
        </w:rPr>
        <w:footnoteReference w:id="17"/>
      </w:r>
      <w:r w:rsidRPr="00217F59">
        <w:rPr>
          <w:rFonts w:cstheme="minorHAnsi"/>
        </w:rPr>
        <w:t xml:space="preserve"> Marine litter from fishing gear (‘ghost gear’) is currently the form of marine litter with the greatest known impact on marine ecosystems;</w:t>
      </w:r>
      <w:r w:rsidR="00E00022">
        <w:rPr>
          <w:rFonts w:cstheme="minorHAnsi"/>
        </w:rPr>
        <w:t xml:space="preserve"> </w:t>
      </w:r>
      <w:r w:rsidRPr="00217F59">
        <w:rPr>
          <w:rFonts w:cstheme="minorHAnsi"/>
        </w:rPr>
        <w:t>negatively impacting marine biodiversity including endangered and protected marine species, habitats</w:t>
      </w:r>
      <w:r w:rsidR="00D8442A">
        <w:rPr>
          <w:rFonts w:cstheme="minorHAnsi"/>
        </w:rPr>
        <w:t>,</w:t>
      </w:r>
      <w:r w:rsidRPr="00217F59">
        <w:rPr>
          <w:rFonts w:cstheme="minorHAnsi"/>
        </w:rPr>
        <w:t xml:space="preserve"> and fisheries.</w:t>
      </w:r>
      <w:r w:rsidRPr="00217F59">
        <w:rPr>
          <w:rStyle w:val="FootnoteReference"/>
          <w:rFonts w:cstheme="minorHAnsi"/>
        </w:rPr>
        <w:footnoteReference w:id="18"/>
      </w:r>
      <w:r w:rsidRPr="00217F59">
        <w:rPr>
          <w:rFonts w:cstheme="minorHAnsi"/>
        </w:rPr>
        <w:t xml:space="preserve"> </w:t>
      </w:r>
    </w:p>
    <w:p w14:paraId="5AB9A6A8" w14:textId="098A3554" w:rsidR="009E4F51" w:rsidRPr="00217F59" w:rsidRDefault="009E4F51" w:rsidP="00595499">
      <w:pPr>
        <w:pStyle w:val="Heading3"/>
      </w:pPr>
      <w:r w:rsidRPr="00217F59">
        <w:t>Tide Turners</w:t>
      </w:r>
    </w:p>
    <w:p w14:paraId="54AB185F" w14:textId="74F1DF36" w:rsidR="00996596" w:rsidRPr="00565E6E" w:rsidRDefault="00FA7503" w:rsidP="00613ABF">
      <w:pPr>
        <w:spacing w:after="240"/>
        <w:rPr>
          <w:rFonts w:cstheme="minorHAnsi"/>
          <w:color w:val="000000" w:themeColor="text1"/>
          <w:sz w:val="20"/>
          <w:szCs w:val="20"/>
          <w:lang w:eastAsia="en-GB"/>
        </w:rPr>
      </w:pPr>
      <w:r w:rsidRPr="00217F59">
        <w:rPr>
          <w:rFonts w:cstheme="minorHAnsi"/>
          <w:color w:val="000000" w:themeColor="text1"/>
          <w:lang w:eastAsia="en-GB"/>
        </w:rPr>
        <w:t xml:space="preserve">In the absence of </w:t>
      </w:r>
      <w:r w:rsidR="00D2319A">
        <w:rPr>
          <w:rFonts w:cstheme="minorHAnsi"/>
          <w:color w:val="000000" w:themeColor="text1"/>
          <w:lang w:eastAsia="en-GB"/>
        </w:rPr>
        <w:t xml:space="preserve">structured </w:t>
      </w:r>
      <w:r w:rsidR="00FD7830">
        <w:rPr>
          <w:rFonts w:cstheme="minorHAnsi"/>
          <w:color w:val="000000" w:themeColor="text1"/>
          <w:lang w:eastAsia="en-GB"/>
        </w:rPr>
        <w:t xml:space="preserve">environmental education, for instance with community-focused </w:t>
      </w:r>
      <w:r w:rsidR="00BA3F08">
        <w:rPr>
          <w:rFonts w:cstheme="minorHAnsi"/>
          <w:color w:val="000000" w:themeColor="text1"/>
          <w:lang w:eastAsia="en-GB"/>
        </w:rPr>
        <w:t>informal/</w:t>
      </w:r>
      <w:r w:rsidR="000603BD">
        <w:rPr>
          <w:rFonts w:cstheme="minorHAnsi"/>
          <w:color w:val="000000" w:themeColor="text1"/>
          <w:lang w:eastAsia="en-GB"/>
        </w:rPr>
        <w:t xml:space="preserve">non-formal </w:t>
      </w:r>
      <w:r w:rsidR="00FD7830">
        <w:rPr>
          <w:rFonts w:cstheme="minorHAnsi"/>
          <w:color w:val="000000" w:themeColor="text1"/>
          <w:lang w:eastAsia="en-GB"/>
        </w:rPr>
        <w:t xml:space="preserve">educational </w:t>
      </w:r>
      <w:r w:rsidR="00D2319A">
        <w:rPr>
          <w:rFonts w:cstheme="minorHAnsi"/>
          <w:color w:val="000000" w:themeColor="text1"/>
          <w:lang w:eastAsia="en-GB"/>
        </w:rPr>
        <w:t>programmes</w:t>
      </w:r>
      <w:r w:rsidRPr="00217F59">
        <w:rPr>
          <w:rFonts w:cstheme="minorHAnsi"/>
          <w:color w:val="000000" w:themeColor="text1"/>
          <w:lang w:eastAsia="en-GB"/>
        </w:rPr>
        <w:t xml:space="preserve"> </w:t>
      </w:r>
      <w:r w:rsidRPr="00BD39C8">
        <w:rPr>
          <w:rFonts w:cstheme="minorHAnsi"/>
          <w:color w:val="000000" w:themeColor="text1"/>
          <w:lang w:eastAsia="en-GB"/>
        </w:rPr>
        <w:t xml:space="preserve">such as </w:t>
      </w:r>
      <w:r w:rsidR="00A72FCC">
        <w:rPr>
          <w:rFonts w:cstheme="minorHAnsi"/>
          <w:color w:val="000000" w:themeColor="text1"/>
          <w:lang w:eastAsia="en-GB"/>
        </w:rPr>
        <w:t xml:space="preserve">the </w:t>
      </w:r>
      <w:r w:rsidR="00A72FCC" w:rsidRPr="00A72FCC">
        <w:rPr>
          <w:rFonts w:cstheme="minorHAnsi"/>
          <w:b/>
          <w:bCs/>
          <w:color w:val="000000" w:themeColor="text1"/>
          <w:lang w:eastAsia="en-GB"/>
        </w:rPr>
        <w:t xml:space="preserve">UNEP </w:t>
      </w:r>
      <w:r w:rsidRPr="00A72FCC">
        <w:rPr>
          <w:rFonts w:cstheme="minorHAnsi"/>
          <w:b/>
          <w:bCs/>
          <w:color w:val="000000" w:themeColor="text1"/>
          <w:lang w:eastAsia="en-GB"/>
        </w:rPr>
        <w:t>Tide Turners</w:t>
      </w:r>
      <w:r w:rsidR="00A72FCC" w:rsidRPr="00A72FCC">
        <w:rPr>
          <w:rFonts w:cstheme="minorHAnsi"/>
          <w:b/>
          <w:bCs/>
          <w:color w:val="000000" w:themeColor="text1"/>
          <w:lang w:eastAsia="en-GB"/>
        </w:rPr>
        <w:t xml:space="preserve"> programme</w:t>
      </w:r>
      <w:r w:rsidRPr="00BD39C8">
        <w:rPr>
          <w:rFonts w:cstheme="minorHAnsi"/>
          <w:color w:val="000000" w:themeColor="text1"/>
          <w:lang w:eastAsia="en-GB"/>
        </w:rPr>
        <w:t xml:space="preserve">, youth in developing countries have </w:t>
      </w:r>
      <w:r w:rsidR="00FD7830">
        <w:rPr>
          <w:rFonts w:cstheme="minorHAnsi"/>
          <w:color w:val="000000" w:themeColor="text1"/>
          <w:lang w:eastAsia="en-GB"/>
        </w:rPr>
        <w:t>been hindered by failures at the institutional level</w:t>
      </w:r>
      <w:r w:rsidR="001B5518">
        <w:rPr>
          <w:rFonts w:cstheme="minorHAnsi"/>
          <w:color w:val="000000" w:themeColor="text1"/>
          <w:lang w:eastAsia="en-GB"/>
        </w:rPr>
        <w:t xml:space="preserve">, with </w:t>
      </w:r>
      <w:r w:rsidRPr="00BD39C8">
        <w:rPr>
          <w:rFonts w:cstheme="minorHAnsi"/>
          <w:color w:val="000000" w:themeColor="text1"/>
          <w:lang w:eastAsia="en-GB"/>
        </w:rPr>
        <w:t xml:space="preserve">limited </w:t>
      </w:r>
      <w:r w:rsidR="00D2322A">
        <w:rPr>
          <w:rFonts w:cstheme="minorHAnsi"/>
          <w:color w:val="000000" w:themeColor="text1"/>
          <w:lang w:eastAsia="en-GB"/>
        </w:rPr>
        <w:t xml:space="preserve">access to information, initiatives, </w:t>
      </w:r>
      <w:r w:rsidR="00FD7830">
        <w:rPr>
          <w:rFonts w:cstheme="minorHAnsi"/>
          <w:color w:val="000000" w:themeColor="text1"/>
          <w:lang w:eastAsia="en-GB"/>
        </w:rPr>
        <w:t xml:space="preserve">or </w:t>
      </w:r>
      <w:r w:rsidRPr="00BD39C8">
        <w:rPr>
          <w:rFonts w:cstheme="minorHAnsi"/>
          <w:color w:val="000000" w:themeColor="text1"/>
          <w:lang w:eastAsia="en-GB"/>
        </w:rPr>
        <w:t xml:space="preserve">incentives to </w:t>
      </w:r>
      <w:r w:rsidR="00D2322A">
        <w:rPr>
          <w:rFonts w:cstheme="minorHAnsi"/>
          <w:color w:val="000000" w:themeColor="text1"/>
          <w:lang w:eastAsia="en-GB"/>
        </w:rPr>
        <w:t xml:space="preserve">receive </w:t>
      </w:r>
      <w:r w:rsidRPr="00BD39C8">
        <w:rPr>
          <w:rFonts w:cstheme="minorHAnsi"/>
          <w:color w:val="000000" w:themeColor="text1"/>
          <w:lang w:eastAsia="en-GB"/>
        </w:rPr>
        <w:t>educat</w:t>
      </w:r>
      <w:r w:rsidR="00D2322A">
        <w:rPr>
          <w:rFonts w:cstheme="minorHAnsi"/>
          <w:color w:val="000000" w:themeColor="text1"/>
          <w:lang w:eastAsia="en-GB"/>
        </w:rPr>
        <w:t>ion</w:t>
      </w:r>
      <w:r w:rsidRPr="00BD39C8">
        <w:rPr>
          <w:rFonts w:cstheme="minorHAnsi"/>
          <w:color w:val="000000" w:themeColor="text1"/>
          <w:lang w:eastAsia="en-GB"/>
        </w:rPr>
        <w:t xml:space="preserve"> on the benefits of effective waste management and </w:t>
      </w:r>
      <w:r w:rsidRPr="00217F59">
        <w:rPr>
          <w:rFonts w:cstheme="minorHAnsi"/>
          <w:color w:val="000000" w:themeColor="text1"/>
          <w:lang w:eastAsia="en-GB"/>
        </w:rPr>
        <w:t>protection of the ocean.</w:t>
      </w:r>
      <w:r w:rsidR="009228DF">
        <w:rPr>
          <w:rFonts w:cstheme="minorHAnsi"/>
          <w:color w:val="000000" w:themeColor="text1"/>
          <w:lang w:eastAsia="en-GB"/>
        </w:rPr>
        <w:t xml:space="preserve"> </w:t>
      </w:r>
      <w:r w:rsidR="004A5B85" w:rsidRPr="00B639D0">
        <w:rPr>
          <w:rFonts w:cstheme="minorHAnsi"/>
          <w:color w:val="000000" w:themeColor="text1"/>
          <w:lang w:eastAsia="en-GB"/>
        </w:rPr>
        <w:t xml:space="preserve">Non-formal education takes place outside the main education and training structures </w:t>
      </w:r>
      <w:r w:rsidR="00757C32" w:rsidRPr="00B639D0">
        <w:rPr>
          <w:rFonts w:cstheme="minorHAnsi"/>
          <w:color w:val="000000" w:themeColor="text1"/>
          <w:lang w:eastAsia="en-GB"/>
        </w:rPr>
        <w:t>that often exclude marginalised communities (youth, women, the disabled) and</w:t>
      </w:r>
      <w:r w:rsidR="00946E60" w:rsidRPr="00B639D0">
        <w:rPr>
          <w:rFonts w:cstheme="minorHAnsi"/>
          <w:color w:val="000000" w:themeColor="text1"/>
          <w:lang w:eastAsia="en-GB"/>
        </w:rPr>
        <w:t xml:space="preserve"> </w:t>
      </w:r>
      <w:r w:rsidR="004A5B85" w:rsidRPr="00B639D0">
        <w:rPr>
          <w:rFonts w:cstheme="minorHAnsi"/>
          <w:color w:val="000000" w:themeColor="text1"/>
          <w:lang w:eastAsia="en-GB"/>
        </w:rPr>
        <w:t>can be offered as a</w:t>
      </w:r>
      <w:r w:rsidR="00946E60" w:rsidRPr="00B639D0">
        <w:rPr>
          <w:rFonts w:cstheme="minorHAnsi"/>
          <w:color w:val="000000" w:themeColor="text1"/>
          <w:lang w:eastAsia="en-GB"/>
        </w:rPr>
        <w:t xml:space="preserve"> cost-effective and equitable</w:t>
      </w:r>
      <w:r w:rsidR="004A5B85" w:rsidRPr="00B639D0">
        <w:rPr>
          <w:rFonts w:cstheme="minorHAnsi"/>
          <w:color w:val="000000" w:themeColor="text1"/>
          <w:lang w:eastAsia="en-GB"/>
        </w:rPr>
        <w:t xml:space="preserve"> complement to the formal institutionalised system.</w:t>
      </w:r>
      <w:r w:rsidR="004A5B85" w:rsidRPr="00B639D0">
        <w:rPr>
          <w:rFonts w:cstheme="minorHAnsi" w:hint="eastAsia"/>
          <w:color w:val="000000" w:themeColor="text1"/>
          <w:lang w:eastAsia="en-GB"/>
        </w:rPr>
        <w:t> </w:t>
      </w:r>
      <w:r w:rsidR="00BA3F08" w:rsidRPr="00B639D0">
        <w:rPr>
          <w:rFonts w:cstheme="minorHAnsi"/>
          <w:color w:val="000000" w:themeColor="text1"/>
          <w:lang w:eastAsia="en-GB"/>
        </w:rPr>
        <w:t xml:space="preserve">The absence of </w:t>
      </w:r>
      <w:r w:rsidR="000603BD" w:rsidRPr="00B639D0">
        <w:rPr>
          <w:rFonts w:cstheme="minorHAnsi"/>
          <w:color w:val="000000" w:themeColor="text1"/>
          <w:lang w:eastAsia="en-GB"/>
        </w:rPr>
        <w:t>non-formal education can result in</w:t>
      </w:r>
      <w:r w:rsidR="00C1741D" w:rsidRPr="00B639D0">
        <w:rPr>
          <w:rFonts w:cstheme="minorHAnsi"/>
          <w:color w:val="000000" w:themeColor="text1"/>
          <w:lang w:eastAsia="en-GB"/>
        </w:rPr>
        <w:t xml:space="preserve"> those communities being </w:t>
      </w:r>
      <w:r w:rsidR="00C1741D" w:rsidRPr="00B639D0">
        <w:rPr>
          <w:rFonts w:cstheme="minorHAnsi"/>
          <w:color w:val="000000" w:themeColor="text1"/>
          <w:lang w:eastAsia="en-GB"/>
        </w:rPr>
        <w:lastRenderedPageBreak/>
        <w:t xml:space="preserve">further marginalised and </w:t>
      </w:r>
      <w:r w:rsidR="00014B62" w:rsidRPr="00B639D0">
        <w:rPr>
          <w:rFonts w:cstheme="minorHAnsi"/>
          <w:color w:val="000000" w:themeColor="text1"/>
          <w:lang w:eastAsia="en-GB"/>
        </w:rPr>
        <w:t>restricting</w:t>
      </w:r>
      <w:r w:rsidR="00C1741D" w:rsidRPr="00B639D0">
        <w:rPr>
          <w:rFonts w:cstheme="minorHAnsi"/>
          <w:color w:val="000000" w:themeColor="text1"/>
          <w:lang w:eastAsia="en-GB"/>
        </w:rPr>
        <w:t xml:space="preserve"> the</w:t>
      </w:r>
      <w:r w:rsidR="00014B62" w:rsidRPr="00B639D0">
        <w:rPr>
          <w:rFonts w:cstheme="minorHAnsi"/>
          <w:color w:val="000000" w:themeColor="text1"/>
          <w:lang w:eastAsia="en-GB"/>
        </w:rPr>
        <w:t>ir right to participate and improve their communities and the world around them.</w:t>
      </w:r>
      <w:r w:rsidR="00565E6E" w:rsidRPr="00B639D0">
        <w:rPr>
          <w:rFonts w:cstheme="minorHAnsi"/>
          <w:color w:val="000000" w:themeColor="text1"/>
          <w:lang w:eastAsia="en-GB"/>
        </w:rPr>
        <w:t xml:space="preserve"> </w:t>
      </w:r>
      <w:r w:rsidR="00D2322A">
        <w:rPr>
          <w:rFonts w:cstheme="minorHAnsi"/>
          <w:color w:val="000000" w:themeColor="text1"/>
          <w:lang w:eastAsia="en-GB"/>
        </w:rPr>
        <w:t xml:space="preserve">It is these failures that are an </w:t>
      </w:r>
      <w:r w:rsidR="00996596" w:rsidRPr="00996596">
        <w:rPr>
          <w:rFonts w:cstheme="minorHAnsi"/>
          <w:color w:val="000000" w:themeColor="text1"/>
          <w:lang w:eastAsia="en-GB"/>
        </w:rPr>
        <w:t xml:space="preserve">important </w:t>
      </w:r>
      <w:r w:rsidR="00D2322A">
        <w:rPr>
          <w:rFonts w:cstheme="minorHAnsi"/>
          <w:color w:val="000000" w:themeColor="text1"/>
          <w:lang w:eastAsia="en-GB"/>
        </w:rPr>
        <w:t xml:space="preserve">motivation </w:t>
      </w:r>
      <w:r w:rsidR="00996596" w:rsidRPr="00996596">
        <w:rPr>
          <w:rFonts w:cstheme="minorHAnsi"/>
          <w:color w:val="000000" w:themeColor="text1"/>
          <w:lang w:eastAsia="en-GB"/>
        </w:rPr>
        <w:t xml:space="preserve">for </w:t>
      </w:r>
      <w:r w:rsidR="00D2322A">
        <w:rPr>
          <w:rFonts w:cstheme="minorHAnsi"/>
          <w:color w:val="000000" w:themeColor="text1"/>
          <w:lang w:eastAsia="en-GB"/>
        </w:rPr>
        <w:t xml:space="preserve">Tide Turners </w:t>
      </w:r>
      <w:r w:rsidR="00A72FCC">
        <w:rPr>
          <w:rFonts w:cstheme="minorHAnsi"/>
          <w:color w:val="000000" w:themeColor="text1"/>
          <w:lang w:eastAsia="en-GB"/>
        </w:rPr>
        <w:t xml:space="preserve">– </w:t>
      </w:r>
      <w:r w:rsidR="00D2322A">
        <w:rPr>
          <w:rFonts w:cstheme="minorHAnsi"/>
          <w:color w:val="000000" w:themeColor="text1"/>
          <w:lang w:eastAsia="en-GB"/>
        </w:rPr>
        <w:t xml:space="preserve">to ensure </w:t>
      </w:r>
      <w:r w:rsidR="00996596" w:rsidRPr="00996596">
        <w:rPr>
          <w:rFonts w:cstheme="minorHAnsi"/>
          <w:color w:val="000000" w:themeColor="text1"/>
          <w:lang w:eastAsia="en-GB"/>
        </w:rPr>
        <w:t xml:space="preserve">youth organisations prioritise investing in environmental education. In addition, educational tools and approaches are co-created together with the partners and young people to test the viability of the </w:t>
      </w:r>
      <w:r w:rsidR="0002054D">
        <w:rPr>
          <w:rFonts w:cstheme="minorHAnsi"/>
          <w:color w:val="000000" w:themeColor="text1"/>
          <w:lang w:eastAsia="en-GB"/>
        </w:rPr>
        <w:t>teaching methods</w:t>
      </w:r>
      <w:r w:rsidR="00AA41E5">
        <w:rPr>
          <w:rFonts w:cstheme="minorHAnsi"/>
          <w:color w:val="000000" w:themeColor="text1"/>
          <w:lang w:eastAsia="en-GB"/>
        </w:rPr>
        <w:t xml:space="preserve">, </w:t>
      </w:r>
      <w:r w:rsidR="00996596" w:rsidRPr="00996596">
        <w:rPr>
          <w:rFonts w:cstheme="minorHAnsi"/>
          <w:color w:val="000000" w:themeColor="text1"/>
          <w:lang w:eastAsia="en-GB"/>
        </w:rPr>
        <w:t xml:space="preserve">approaches </w:t>
      </w:r>
      <w:r w:rsidR="00AA41E5">
        <w:rPr>
          <w:rFonts w:cstheme="minorHAnsi"/>
          <w:color w:val="000000" w:themeColor="text1"/>
          <w:lang w:eastAsia="en-GB"/>
        </w:rPr>
        <w:t>and practices</w:t>
      </w:r>
      <w:r w:rsidR="00996596" w:rsidRPr="00996596">
        <w:rPr>
          <w:rFonts w:cstheme="minorHAnsi"/>
          <w:color w:val="000000" w:themeColor="text1"/>
          <w:lang w:eastAsia="en-GB"/>
        </w:rPr>
        <w:t xml:space="preserve"> </w:t>
      </w:r>
      <w:r w:rsidR="006F5709">
        <w:rPr>
          <w:rFonts w:cstheme="minorHAnsi"/>
          <w:color w:val="000000" w:themeColor="text1"/>
          <w:lang w:eastAsia="en-GB"/>
        </w:rPr>
        <w:t>at</w:t>
      </w:r>
      <w:r w:rsidR="006F5709" w:rsidRPr="00996596">
        <w:rPr>
          <w:rFonts w:cstheme="minorHAnsi"/>
          <w:color w:val="000000" w:themeColor="text1"/>
          <w:lang w:eastAsia="en-GB"/>
        </w:rPr>
        <w:t xml:space="preserve"> </w:t>
      </w:r>
      <w:r w:rsidR="00996596" w:rsidRPr="00996596">
        <w:rPr>
          <w:rFonts w:cstheme="minorHAnsi"/>
          <w:color w:val="000000" w:themeColor="text1"/>
          <w:lang w:eastAsia="en-GB"/>
        </w:rPr>
        <w:t xml:space="preserve">an early </w:t>
      </w:r>
      <w:r w:rsidR="006F5709">
        <w:rPr>
          <w:rFonts w:cstheme="minorHAnsi"/>
          <w:color w:val="000000" w:themeColor="text1"/>
          <w:lang w:eastAsia="en-GB"/>
        </w:rPr>
        <w:t>stage</w:t>
      </w:r>
      <w:r w:rsidR="00996596" w:rsidRPr="00996596">
        <w:rPr>
          <w:rFonts w:cstheme="minorHAnsi"/>
          <w:color w:val="000000" w:themeColor="text1"/>
          <w:lang w:eastAsia="en-GB"/>
        </w:rPr>
        <w:t xml:space="preserve">. </w:t>
      </w:r>
    </w:p>
    <w:p w14:paraId="2F3A023A" w14:textId="1A31CA78" w:rsidR="00996596" w:rsidRPr="00996596" w:rsidRDefault="006F5709" w:rsidP="00613ABF">
      <w:pPr>
        <w:spacing w:after="240"/>
        <w:rPr>
          <w:rFonts w:cstheme="minorHAnsi"/>
          <w:color w:val="000000" w:themeColor="text1"/>
          <w:lang w:eastAsia="en-GB"/>
        </w:rPr>
      </w:pPr>
      <w:r>
        <w:rPr>
          <w:rFonts w:cstheme="minorHAnsi"/>
          <w:color w:val="000000" w:themeColor="text1"/>
          <w:lang w:eastAsia="en-GB"/>
        </w:rPr>
        <w:t>K</w:t>
      </w:r>
      <w:r w:rsidR="00996596" w:rsidRPr="00996596">
        <w:rPr>
          <w:rFonts w:cstheme="minorHAnsi"/>
          <w:color w:val="000000" w:themeColor="text1"/>
          <w:lang w:eastAsia="en-GB"/>
        </w:rPr>
        <w:t xml:space="preserve">ey components of the Tide Turners programme are knowledge, access to resources, training, and education of local and indigenous youth, </w:t>
      </w:r>
      <w:r w:rsidR="0082113F">
        <w:rPr>
          <w:rFonts w:cstheme="minorHAnsi"/>
          <w:color w:val="000000" w:themeColor="text1"/>
          <w:lang w:eastAsia="en-GB"/>
        </w:rPr>
        <w:t xml:space="preserve">those with disabilities, </w:t>
      </w:r>
      <w:r w:rsidR="00996596" w:rsidRPr="00996596">
        <w:rPr>
          <w:rFonts w:cstheme="minorHAnsi"/>
          <w:color w:val="000000" w:themeColor="text1"/>
          <w:lang w:eastAsia="en-GB"/>
        </w:rPr>
        <w:t xml:space="preserve">non-formal educators, and teachers alike. This in turn provides </w:t>
      </w:r>
      <w:r w:rsidR="003C62F1">
        <w:rPr>
          <w:rFonts w:cstheme="minorHAnsi"/>
          <w:color w:val="000000" w:themeColor="text1"/>
          <w:lang w:eastAsia="en-GB"/>
        </w:rPr>
        <w:t xml:space="preserve">a </w:t>
      </w:r>
      <w:r w:rsidR="00996596" w:rsidRPr="00996596">
        <w:rPr>
          <w:rFonts w:cstheme="minorHAnsi"/>
          <w:color w:val="000000" w:themeColor="text1"/>
          <w:lang w:eastAsia="en-GB"/>
        </w:rPr>
        <w:t>sustainable methodology for marine litter awareness in non-formal and formal education settings and an increased number of trained youth and educators within the system changing their daily plastic consumption behaviours</w:t>
      </w:r>
      <w:r w:rsidR="00A60F76">
        <w:rPr>
          <w:rFonts w:cstheme="minorHAnsi"/>
          <w:color w:val="000000" w:themeColor="text1"/>
          <w:lang w:eastAsia="en-GB"/>
        </w:rPr>
        <w:t>,</w:t>
      </w:r>
      <w:r w:rsidR="00996596" w:rsidRPr="00996596">
        <w:rPr>
          <w:rFonts w:cstheme="minorHAnsi"/>
          <w:color w:val="000000" w:themeColor="text1"/>
          <w:lang w:eastAsia="en-GB"/>
        </w:rPr>
        <w:t xml:space="preserve"> potential livelihood</w:t>
      </w:r>
      <w:r w:rsidR="00A60F76">
        <w:rPr>
          <w:rFonts w:cstheme="minorHAnsi"/>
          <w:color w:val="000000" w:themeColor="text1"/>
          <w:lang w:eastAsia="en-GB"/>
        </w:rPr>
        <w:t xml:space="preserve"> decisions and </w:t>
      </w:r>
      <w:r w:rsidR="00996596" w:rsidRPr="00996596">
        <w:rPr>
          <w:rFonts w:cstheme="minorHAnsi"/>
          <w:color w:val="000000" w:themeColor="text1"/>
          <w:lang w:eastAsia="en-GB"/>
        </w:rPr>
        <w:t xml:space="preserve">career paths.     </w:t>
      </w:r>
    </w:p>
    <w:p w14:paraId="549154C6" w14:textId="77777777" w:rsidR="00F9019C" w:rsidRPr="00217F59" w:rsidRDefault="00F9019C" w:rsidP="00595499">
      <w:pPr>
        <w:pStyle w:val="Heading3"/>
      </w:pPr>
      <w:r w:rsidRPr="00217F59">
        <w:t>Support for INC Negotiations</w:t>
      </w:r>
    </w:p>
    <w:p w14:paraId="015095B0" w14:textId="41D5A465" w:rsidR="00C041A0" w:rsidRPr="00565E6E" w:rsidRDefault="00FA5C9E" w:rsidP="00613ABF">
      <w:pPr>
        <w:pStyle w:val="BodyText2"/>
        <w:spacing w:after="240" w:line="240" w:lineRule="auto"/>
        <w:jc w:val="both"/>
        <w:rPr>
          <w:rFonts w:cstheme="minorHAnsi"/>
          <w:b w:val="0"/>
          <w:bCs w:val="0"/>
        </w:rPr>
      </w:pPr>
      <w:r>
        <w:rPr>
          <w:rFonts w:cstheme="minorHAnsi"/>
          <w:b w:val="0"/>
          <w:bCs w:val="0"/>
          <w:color w:val="000000" w:themeColor="text1"/>
          <w:lang w:eastAsia="en-GB"/>
        </w:rPr>
        <w:t xml:space="preserve">UNEP have extensive expertise in setting up and running international negotiations as hosts for the secretariats of several international conventions, including Basel, Stockholm, Rotterdam, Minamata, Montreal Protocol among others. </w:t>
      </w:r>
      <w:r w:rsidR="00C041A0" w:rsidRPr="00565E6E">
        <w:rPr>
          <w:rFonts w:cstheme="minorHAnsi"/>
          <w:b w:val="0"/>
          <w:bCs w:val="0"/>
          <w:color w:val="000000" w:themeColor="text1"/>
          <w:lang w:eastAsia="en-GB"/>
        </w:rPr>
        <w:t>Through UNEP-mobilised support and government engagement, UNEP has leveraged its unprecedented access to member states through its Committee of Permanent Representatives, hosting the Regional Seas Programmes as well as being the anchor for the Intergovernmental Negotiating Committee (INC) process.</w:t>
      </w:r>
      <w:r w:rsidR="00546A1F">
        <w:rPr>
          <w:rFonts w:cstheme="minorHAnsi"/>
          <w:b w:val="0"/>
          <w:bCs w:val="0"/>
          <w:color w:val="000000" w:themeColor="text1"/>
          <w:lang w:eastAsia="en-GB"/>
        </w:rPr>
        <w:t xml:space="preserve"> </w:t>
      </w:r>
      <w:r>
        <w:rPr>
          <w:rFonts w:cstheme="minorHAnsi"/>
          <w:b w:val="0"/>
          <w:bCs w:val="0"/>
          <w:color w:val="000000" w:themeColor="text1"/>
          <w:lang w:eastAsia="en-GB"/>
        </w:rPr>
        <w:t>The Secretariat for the INC has</w:t>
      </w:r>
      <w:r w:rsidR="003170BE">
        <w:rPr>
          <w:rFonts w:cstheme="minorHAnsi"/>
          <w:b w:val="0"/>
          <w:bCs w:val="0"/>
          <w:color w:val="000000" w:themeColor="text1"/>
          <w:lang w:eastAsia="en-GB"/>
        </w:rPr>
        <w:t xml:space="preserve"> issued a request for contributions from donor countries as is standard practice and have worked up a budget based on standard UN budgetary needs for running these negotiation</w:t>
      </w:r>
      <w:r w:rsidR="0018196D">
        <w:rPr>
          <w:rFonts w:cstheme="minorHAnsi"/>
          <w:b w:val="0"/>
          <w:bCs w:val="0"/>
          <w:color w:val="000000" w:themeColor="text1"/>
          <w:lang w:eastAsia="en-GB"/>
        </w:rPr>
        <w:t>s</w:t>
      </w:r>
      <w:r w:rsidR="003170BE">
        <w:rPr>
          <w:rFonts w:cstheme="minorHAnsi"/>
          <w:b w:val="0"/>
          <w:bCs w:val="0"/>
          <w:color w:val="000000" w:themeColor="text1"/>
          <w:lang w:eastAsia="en-GB"/>
        </w:rPr>
        <w:t>. As a key donor country we are expected to provide some support toward the INC and can earmark our funding</w:t>
      </w:r>
      <w:r w:rsidR="00546A1F">
        <w:rPr>
          <w:rFonts w:cstheme="minorHAnsi"/>
          <w:b w:val="0"/>
          <w:bCs w:val="0"/>
          <w:color w:val="000000" w:themeColor="text1"/>
          <w:lang w:eastAsia="en-GB"/>
        </w:rPr>
        <w:t xml:space="preserve"> to ensure</w:t>
      </w:r>
      <w:r w:rsidR="003170BE">
        <w:rPr>
          <w:rFonts w:cstheme="minorHAnsi"/>
          <w:b w:val="0"/>
          <w:bCs w:val="0"/>
          <w:color w:val="000000" w:themeColor="text1"/>
          <w:lang w:eastAsia="en-GB"/>
        </w:rPr>
        <w:t xml:space="preserve"> it goes towards supporting</w:t>
      </w:r>
      <w:r w:rsidR="00546A1F">
        <w:rPr>
          <w:rFonts w:cstheme="minorHAnsi"/>
          <w:b w:val="0"/>
          <w:bCs w:val="0"/>
          <w:color w:val="000000" w:themeColor="text1"/>
          <w:lang w:eastAsia="en-GB"/>
        </w:rPr>
        <w:t xml:space="preserve"> delegates from ODA-eligible participating countries. </w:t>
      </w:r>
    </w:p>
    <w:p w14:paraId="0FC55F75" w14:textId="19D9B0FE" w:rsidR="00F9019C" w:rsidRPr="00565E6E" w:rsidRDefault="00FC0155" w:rsidP="00613ABF">
      <w:pPr>
        <w:spacing w:after="240"/>
        <w:rPr>
          <w:rFonts w:cstheme="minorHAnsi"/>
          <w:color w:val="000000" w:themeColor="text1"/>
          <w:lang w:eastAsia="en-GB"/>
        </w:rPr>
      </w:pPr>
      <w:r>
        <w:rPr>
          <w:rFonts w:cstheme="minorHAnsi"/>
          <w:color w:val="000000" w:themeColor="text1"/>
          <w:lang w:eastAsia="en-GB"/>
        </w:rPr>
        <w:t xml:space="preserve">This financial support will ensure more inclusive, diverse dialogue and decision-making, </w:t>
      </w:r>
      <w:r w:rsidR="00972436">
        <w:rPr>
          <w:rFonts w:cstheme="minorHAnsi"/>
          <w:color w:val="000000" w:themeColor="text1"/>
          <w:lang w:eastAsia="en-GB"/>
        </w:rPr>
        <w:t xml:space="preserve">which </w:t>
      </w:r>
      <w:r w:rsidR="00645EC0">
        <w:rPr>
          <w:rFonts w:cstheme="minorHAnsi"/>
          <w:color w:val="000000" w:themeColor="text1"/>
          <w:lang w:eastAsia="en-GB"/>
        </w:rPr>
        <w:t xml:space="preserve">will be crucial for </w:t>
      </w:r>
      <w:r w:rsidR="00490AE6">
        <w:rPr>
          <w:rFonts w:cstheme="minorHAnsi"/>
          <w:color w:val="000000" w:themeColor="text1"/>
          <w:lang w:eastAsia="en-GB"/>
        </w:rPr>
        <w:t xml:space="preserve">less </w:t>
      </w:r>
      <w:r w:rsidR="006E7F43">
        <w:rPr>
          <w:rFonts w:cstheme="minorHAnsi"/>
          <w:color w:val="000000" w:themeColor="text1"/>
          <w:lang w:eastAsia="en-GB"/>
        </w:rPr>
        <w:t>economically developed</w:t>
      </w:r>
      <w:r w:rsidR="00490AE6">
        <w:rPr>
          <w:rFonts w:cstheme="minorHAnsi"/>
          <w:color w:val="000000" w:themeColor="text1"/>
          <w:lang w:eastAsia="en-GB"/>
        </w:rPr>
        <w:t xml:space="preserve"> or more geographically dispersed</w:t>
      </w:r>
      <w:r w:rsidR="00972436">
        <w:rPr>
          <w:rFonts w:cstheme="minorHAnsi"/>
          <w:color w:val="000000" w:themeColor="text1"/>
          <w:lang w:eastAsia="en-GB"/>
        </w:rPr>
        <w:t xml:space="preserve"> member states</w:t>
      </w:r>
      <w:r w:rsidR="00490AE6">
        <w:rPr>
          <w:rFonts w:cstheme="minorHAnsi"/>
          <w:color w:val="000000" w:themeColor="text1"/>
          <w:lang w:eastAsia="en-GB"/>
        </w:rPr>
        <w:t>. These member states can often not fund</w:t>
      </w:r>
      <w:r w:rsidR="00972436">
        <w:rPr>
          <w:rFonts w:cstheme="minorHAnsi"/>
          <w:color w:val="000000" w:themeColor="text1"/>
          <w:lang w:eastAsia="en-GB"/>
        </w:rPr>
        <w:t xml:space="preserve"> </w:t>
      </w:r>
      <w:r w:rsidR="00645EC0">
        <w:rPr>
          <w:rFonts w:cstheme="minorHAnsi"/>
          <w:color w:val="000000" w:themeColor="text1"/>
          <w:lang w:eastAsia="en-GB"/>
        </w:rPr>
        <w:t xml:space="preserve">travel to meetings and conferences that are often far from </w:t>
      </w:r>
      <w:r w:rsidR="00D5172C">
        <w:rPr>
          <w:rFonts w:cstheme="minorHAnsi"/>
          <w:color w:val="000000" w:themeColor="text1"/>
          <w:lang w:eastAsia="en-GB"/>
        </w:rPr>
        <w:t xml:space="preserve">conference </w:t>
      </w:r>
      <w:r w:rsidR="00645EC0">
        <w:rPr>
          <w:rFonts w:cstheme="minorHAnsi"/>
          <w:color w:val="000000" w:themeColor="text1"/>
          <w:lang w:eastAsia="en-GB"/>
        </w:rPr>
        <w:t>nations</w:t>
      </w:r>
      <w:r w:rsidR="00D5172C">
        <w:rPr>
          <w:rFonts w:cstheme="minorHAnsi"/>
          <w:color w:val="000000" w:themeColor="text1"/>
          <w:lang w:eastAsia="en-GB"/>
        </w:rPr>
        <w:t xml:space="preserve"> (e.g., </w:t>
      </w:r>
      <w:r w:rsidR="00565E6E">
        <w:rPr>
          <w:rFonts w:cstheme="minorHAnsi"/>
          <w:color w:val="000000" w:themeColor="text1"/>
          <w:lang w:eastAsia="en-GB"/>
        </w:rPr>
        <w:t>remote</w:t>
      </w:r>
      <w:r w:rsidR="00645EC0">
        <w:rPr>
          <w:rFonts w:cstheme="minorHAnsi"/>
          <w:color w:val="000000" w:themeColor="text1"/>
          <w:lang w:eastAsia="en-GB"/>
        </w:rPr>
        <w:t xml:space="preserve"> Small Island Developing States (SIDS)</w:t>
      </w:r>
      <w:r w:rsidR="00D5172C">
        <w:rPr>
          <w:rFonts w:cstheme="minorHAnsi"/>
          <w:color w:val="000000" w:themeColor="text1"/>
          <w:lang w:eastAsia="en-GB"/>
        </w:rPr>
        <w:t>)</w:t>
      </w:r>
      <w:r w:rsidR="00C041A0">
        <w:rPr>
          <w:rFonts w:cstheme="minorHAnsi"/>
          <w:color w:val="000000" w:themeColor="text1"/>
          <w:lang w:eastAsia="en-GB"/>
        </w:rPr>
        <w:t xml:space="preserve"> or are </w:t>
      </w:r>
      <w:r w:rsidR="00D5172C">
        <w:rPr>
          <w:rFonts w:cstheme="minorHAnsi"/>
          <w:color w:val="000000" w:themeColor="text1"/>
          <w:lang w:eastAsia="en-GB"/>
        </w:rPr>
        <w:t xml:space="preserve">simply </w:t>
      </w:r>
      <w:r w:rsidR="00C041A0">
        <w:rPr>
          <w:rFonts w:cstheme="minorHAnsi"/>
          <w:color w:val="000000" w:themeColor="text1"/>
          <w:lang w:eastAsia="en-GB"/>
        </w:rPr>
        <w:t>to</w:t>
      </w:r>
      <w:r w:rsidR="00DF501D">
        <w:rPr>
          <w:rFonts w:cstheme="minorHAnsi"/>
          <w:color w:val="000000" w:themeColor="text1"/>
          <w:lang w:eastAsia="en-GB"/>
        </w:rPr>
        <w:t>o</w:t>
      </w:r>
      <w:r w:rsidR="00C041A0">
        <w:rPr>
          <w:rFonts w:cstheme="minorHAnsi"/>
          <w:color w:val="000000" w:themeColor="text1"/>
          <w:lang w:eastAsia="en-GB"/>
        </w:rPr>
        <w:t xml:space="preserve"> expensive </w:t>
      </w:r>
      <w:r w:rsidR="00565E6E">
        <w:rPr>
          <w:rFonts w:cstheme="minorHAnsi"/>
          <w:color w:val="000000" w:themeColor="text1"/>
          <w:lang w:eastAsia="en-GB"/>
        </w:rPr>
        <w:t>for delegates to attend</w:t>
      </w:r>
      <w:r w:rsidR="00C041A0">
        <w:rPr>
          <w:rFonts w:cstheme="minorHAnsi"/>
          <w:color w:val="000000" w:themeColor="text1"/>
          <w:lang w:eastAsia="en-GB"/>
        </w:rPr>
        <w:t>.</w:t>
      </w:r>
      <w:r w:rsidR="00645EC0">
        <w:rPr>
          <w:rFonts w:cstheme="minorHAnsi"/>
          <w:color w:val="000000" w:themeColor="text1"/>
          <w:lang w:eastAsia="en-GB"/>
        </w:rPr>
        <w:t xml:space="preserve"> </w:t>
      </w:r>
      <w:r w:rsidR="00565E6E">
        <w:rPr>
          <w:rFonts w:cstheme="minorHAnsi"/>
          <w:color w:val="000000" w:themeColor="text1"/>
          <w:lang w:eastAsia="en-GB"/>
        </w:rPr>
        <w:t>This</w:t>
      </w:r>
      <w:r w:rsidR="0042332E">
        <w:rPr>
          <w:rFonts w:cstheme="minorHAnsi"/>
          <w:color w:val="000000" w:themeColor="text1"/>
          <w:lang w:eastAsia="en-GB"/>
        </w:rPr>
        <w:t xml:space="preserve"> support </w:t>
      </w:r>
      <w:r w:rsidR="007664AD">
        <w:rPr>
          <w:rFonts w:cstheme="minorHAnsi"/>
          <w:color w:val="000000" w:themeColor="text1"/>
          <w:lang w:eastAsia="en-GB"/>
        </w:rPr>
        <w:t xml:space="preserve">will reinforce </w:t>
      </w:r>
      <w:r w:rsidR="0042332E">
        <w:rPr>
          <w:rFonts w:cstheme="minorHAnsi"/>
          <w:color w:val="000000" w:themeColor="text1"/>
          <w:lang w:eastAsia="en-GB"/>
        </w:rPr>
        <w:t xml:space="preserve">our </w:t>
      </w:r>
      <w:r w:rsidR="00DF501D">
        <w:rPr>
          <w:rFonts w:cstheme="minorHAnsi"/>
          <w:color w:val="000000" w:themeColor="text1"/>
          <w:lang w:eastAsia="en-GB"/>
        </w:rPr>
        <w:t>vision</w:t>
      </w:r>
      <w:r w:rsidR="0042332E">
        <w:rPr>
          <w:rFonts w:cstheme="minorHAnsi"/>
          <w:color w:val="000000" w:themeColor="text1"/>
          <w:lang w:eastAsia="en-GB"/>
        </w:rPr>
        <w:t xml:space="preserve"> </w:t>
      </w:r>
      <w:r w:rsidR="007664AD">
        <w:rPr>
          <w:rFonts w:cstheme="minorHAnsi"/>
          <w:color w:val="000000" w:themeColor="text1"/>
          <w:lang w:eastAsia="en-GB"/>
        </w:rPr>
        <w:t>for</w:t>
      </w:r>
      <w:r w:rsidR="0042332E">
        <w:rPr>
          <w:rFonts w:cstheme="minorHAnsi"/>
          <w:color w:val="000000" w:themeColor="text1"/>
          <w:lang w:eastAsia="en-GB"/>
        </w:rPr>
        <w:t xml:space="preserve"> </w:t>
      </w:r>
      <w:r w:rsidR="00DF501D">
        <w:rPr>
          <w:rFonts w:cstheme="minorHAnsi"/>
          <w:color w:val="000000" w:themeColor="text1"/>
          <w:lang w:eastAsia="en-GB"/>
        </w:rPr>
        <w:t xml:space="preserve">international development </w:t>
      </w:r>
      <w:r w:rsidR="007664AD">
        <w:rPr>
          <w:rFonts w:cstheme="minorHAnsi"/>
          <w:color w:val="000000" w:themeColor="text1"/>
          <w:lang w:eastAsia="en-GB"/>
        </w:rPr>
        <w:t>that</w:t>
      </w:r>
      <w:r w:rsidR="00DF501D">
        <w:rPr>
          <w:rFonts w:cstheme="minorHAnsi"/>
          <w:color w:val="000000" w:themeColor="text1"/>
          <w:lang w:eastAsia="en-GB"/>
        </w:rPr>
        <w:t xml:space="preserve"> is inclusive for all.</w:t>
      </w:r>
      <w:r w:rsidR="00565E6E">
        <w:rPr>
          <w:rFonts w:cstheme="minorHAnsi"/>
          <w:color w:val="000000" w:themeColor="text1"/>
          <w:lang w:eastAsia="en-GB"/>
        </w:rPr>
        <w:t xml:space="preserve"> </w:t>
      </w:r>
      <w:r w:rsidR="00565E6E">
        <w:rPr>
          <w:rFonts w:cstheme="minorHAnsi"/>
        </w:rPr>
        <w:t xml:space="preserve">The impacts of this intervention will far exceed this investment through the contributions (political, scientific, analytical etc) that recipient countries will make to the INC process, materialising within the next few years into a legally binding instrument on plastic pollution. </w:t>
      </w:r>
      <w:r w:rsidR="00E863CE">
        <w:rPr>
          <w:rFonts w:cstheme="minorHAnsi"/>
        </w:rPr>
        <w:t>However, the negotiations depend on externalities beyond the UK’s support, and the benefits of a</w:t>
      </w:r>
      <w:r w:rsidR="00C16094">
        <w:rPr>
          <w:rFonts w:cstheme="minorHAnsi"/>
        </w:rPr>
        <w:t>n ambitious and widely-implemented treaty will be delivered well beyond the lifetime of this programme</w:t>
      </w:r>
      <w:r w:rsidR="0033383F">
        <w:rPr>
          <w:rFonts w:cstheme="minorHAnsi"/>
        </w:rPr>
        <w:t xml:space="preserve">. These two factors </w:t>
      </w:r>
      <w:r w:rsidR="00317E2F">
        <w:rPr>
          <w:rFonts w:cstheme="minorHAnsi"/>
        </w:rPr>
        <w:t xml:space="preserve">mean it is unlikely that quantifiable impact benefits will be measurable in the programme lifetime. </w:t>
      </w:r>
    </w:p>
    <w:p w14:paraId="27F81BDB" w14:textId="47705D5F" w:rsidR="004846AA" w:rsidRPr="00217F59" w:rsidRDefault="009E0BBB" w:rsidP="00F47E59">
      <w:pPr>
        <w:pStyle w:val="Heading2"/>
      </w:pPr>
      <w:bookmarkStart w:id="16" w:name="_Toc121224096"/>
      <w:r w:rsidRPr="00217F59">
        <w:t>What support will the UK provide?</w:t>
      </w:r>
      <w:bookmarkEnd w:id="16"/>
    </w:p>
    <w:p w14:paraId="4B61D560" w14:textId="7B789996" w:rsidR="00F9019C" w:rsidRPr="00217F59" w:rsidRDefault="00F9019C" w:rsidP="00595499">
      <w:pPr>
        <w:pStyle w:val="Heading3"/>
      </w:pPr>
      <w:r w:rsidRPr="00217F59">
        <w:t>Tide Turners</w:t>
      </w:r>
    </w:p>
    <w:p w14:paraId="49B12A68" w14:textId="017FE114" w:rsidR="00955BE7" w:rsidRPr="00565E6E" w:rsidRDefault="00830CC0" w:rsidP="00613ABF">
      <w:pPr>
        <w:spacing w:after="240"/>
        <w:rPr>
          <w:rFonts w:cstheme="minorHAnsi"/>
          <w:b/>
          <w:bCs/>
        </w:rPr>
      </w:pPr>
      <w:r w:rsidRPr="00BD39C8">
        <w:rPr>
          <w:rFonts w:cstheme="minorHAnsi"/>
          <w:lang w:eastAsia="en-GB"/>
        </w:rPr>
        <w:t>Defra</w:t>
      </w:r>
      <w:r w:rsidRPr="00217F59">
        <w:rPr>
          <w:rFonts w:cstheme="minorHAnsi"/>
          <w:lang w:eastAsia="en-GB"/>
        </w:rPr>
        <w:t xml:space="preserve"> is looking to </w:t>
      </w:r>
      <w:r w:rsidR="007A43FB">
        <w:rPr>
          <w:rFonts w:cstheme="minorHAnsi"/>
          <w:lang w:eastAsia="en-GB"/>
        </w:rPr>
        <w:t>contribute</w:t>
      </w:r>
      <w:r w:rsidRPr="00217F59">
        <w:rPr>
          <w:rFonts w:cstheme="minorHAnsi"/>
          <w:lang w:eastAsia="en-GB"/>
        </w:rPr>
        <w:t xml:space="preserve"> </w:t>
      </w:r>
      <w:r w:rsidRPr="00217F59">
        <w:rPr>
          <w:rFonts w:cstheme="minorHAnsi"/>
          <w:b/>
          <w:lang w:eastAsia="en-GB"/>
        </w:rPr>
        <w:t>£1.6</w:t>
      </w:r>
      <w:r w:rsidR="00FD7830">
        <w:rPr>
          <w:rFonts w:cstheme="minorHAnsi"/>
          <w:b/>
          <w:lang w:eastAsia="en-GB"/>
        </w:rPr>
        <w:t xml:space="preserve"> million</w:t>
      </w:r>
      <w:r w:rsidRPr="00BD39C8">
        <w:rPr>
          <w:rFonts w:cstheme="minorHAnsi"/>
          <w:lang w:eastAsia="en-GB"/>
        </w:rPr>
        <w:t xml:space="preserve"> </w:t>
      </w:r>
      <w:r w:rsidR="00BC6FEE">
        <w:rPr>
          <w:rFonts w:cstheme="minorHAnsi"/>
          <w:lang w:eastAsia="en-GB"/>
        </w:rPr>
        <w:t xml:space="preserve">over </w:t>
      </w:r>
      <w:r w:rsidR="00BC6FEE" w:rsidRPr="00BC6FEE">
        <w:rPr>
          <w:rFonts w:cstheme="minorHAnsi"/>
          <w:b/>
          <w:bCs/>
          <w:lang w:eastAsia="en-GB"/>
        </w:rPr>
        <w:t>three years</w:t>
      </w:r>
      <w:r w:rsidRPr="00217F59">
        <w:rPr>
          <w:rFonts w:cstheme="minorHAnsi"/>
          <w:lang w:eastAsia="en-GB"/>
        </w:rPr>
        <w:t xml:space="preserve"> </w:t>
      </w:r>
      <w:r w:rsidR="00FD7830">
        <w:rPr>
          <w:rFonts w:cstheme="minorHAnsi"/>
          <w:lang w:eastAsia="en-GB"/>
        </w:rPr>
        <w:t>for</w:t>
      </w:r>
      <w:r w:rsidRPr="00217F59">
        <w:rPr>
          <w:rFonts w:cstheme="minorHAnsi"/>
          <w:lang w:eastAsia="en-GB"/>
        </w:rPr>
        <w:t xml:space="preserve"> the UNEP Tide Turners programme.</w:t>
      </w:r>
      <w:r w:rsidR="00E64DE2">
        <w:rPr>
          <w:rFonts w:cstheme="minorHAnsi"/>
          <w:lang w:eastAsia="en-GB"/>
        </w:rPr>
        <w:t xml:space="preserve"> </w:t>
      </w:r>
      <w:r w:rsidR="00E64DE2" w:rsidRPr="00E00022">
        <w:rPr>
          <w:rFonts w:cstheme="minorHAnsi"/>
          <w:lang w:eastAsia="en-GB"/>
        </w:rPr>
        <w:t>As</w:t>
      </w:r>
      <w:r w:rsidR="00E64DE2">
        <w:rPr>
          <w:rFonts w:cstheme="minorHAnsi"/>
          <w:lang w:eastAsia="en-GB"/>
        </w:rPr>
        <w:t xml:space="preserve"> explored in the Financial Case, this will proceed via a </w:t>
      </w:r>
      <w:r w:rsidR="00E64DE2" w:rsidRPr="002F5702">
        <w:rPr>
          <w:rFonts w:cstheme="minorHAnsi"/>
          <w:b/>
          <w:lang w:eastAsia="en-GB"/>
        </w:rPr>
        <w:t>contribution</w:t>
      </w:r>
      <w:r w:rsidR="002F5702">
        <w:rPr>
          <w:rFonts w:cstheme="minorHAnsi"/>
          <w:lang w:eastAsia="en-GB"/>
        </w:rPr>
        <w:t xml:space="preserve"> </w:t>
      </w:r>
      <w:r w:rsidR="00E64DE2" w:rsidRPr="002F5702">
        <w:rPr>
          <w:rFonts w:cstheme="minorHAnsi"/>
          <w:b/>
          <w:lang w:eastAsia="en-GB"/>
        </w:rPr>
        <w:t>to UNEP.</w:t>
      </w:r>
      <w:r w:rsidR="00DB0541">
        <w:rPr>
          <w:rFonts w:cstheme="minorHAnsi"/>
          <w:b/>
          <w:bCs/>
          <w:lang w:eastAsia="en-GB"/>
        </w:rPr>
        <w:t xml:space="preserve"> </w:t>
      </w:r>
      <w:r w:rsidR="00DB0541">
        <w:rPr>
          <w:rFonts w:eastAsia="Calibri Light" w:cstheme="minorHAnsi"/>
          <w:lang w:val="en-US"/>
        </w:rPr>
        <w:t>T</w:t>
      </w:r>
      <w:r w:rsidR="00DB0541" w:rsidRPr="00DA7948">
        <w:rPr>
          <w:rFonts w:eastAsia="Calibri Light" w:cstheme="minorHAnsi"/>
          <w:lang w:val="en-US"/>
        </w:rPr>
        <w:t xml:space="preserve">ide Turners </w:t>
      </w:r>
      <w:r w:rsidR="000A6B8A">
        <w:rPr>
          <w:rFonts w:eastAsia="Calibri Light" w:cstheme="minorHAnsi"/>
          <w:lang w:val="en-US"/>
        </w:rPr>
        <w:t xml:space="preserve">aim </w:t>
      </w:r>
      <w:r w:rsidR="00DB0541" w:rsidRPr="00DA7948">
        <w:rPr>
          <w:rFonts w:eastAsia="Calibri Light" w:cstheme="minorHAnsi"/>
          <w:lang w:val="en-US"/>
        </w:rPr>
        <w:t xml:space="preserve">to </w:t>
      </w:r>
      <w:r w:rsidR="00DB0541">
        <w:rPr>
          <w:rFonts w:eastAsia="Calibri Light" w:cstheme="minorHAnsi"/>
          <w:lang w:val="en-US"/>
        </w:rPr>
        <w:t xml:space="preserve">use </w:t>
      </w:r>
      <w:r w:rsidR="00DB0541" w:rsidRPr="00546A1F">
        <w:rPr>
          <w:rFonts w:eastAsia="Calibri Light" w:cstheme="minorHAnsi"/>
          <w:lang w:val="en-US"/>
        </w:rPr>
        <w:t>some of the £1.6m funding to work</w:t>
      </w:r>
      <w:r w:rsidR="00DB0541" w:rsidRPr="00546A1F">
        <w:rPr>
          <w:rFonts w:cstheme="minorHAnsi"/>
        </w:rPr>
        <w:t xml:space="preserve"> with 5-10 new universities that have previously engaged in the programme.</w:t>
      </w:r>
      <w:r w:rsidR="00DB0541" w:rsidRPr="00565E6E">
        <w:rPr>
          <w:rFonts w:cstheme="minorHAnsi"/>
          <w:b/>
          <w:bCs/>
        </w:rPr>
        <w:t xml:space="preserve"> </w:t>
      </w:r>
    </w:p>
    <w:p w14:paraId="1D6061CA" w14:textId="1151AC0E" w:rsidR="00830CC0" w:rsidRPr="004D4A72" w:rsidRDefault="00830CC0" w:rsidP="00613ABF">
      <w:pPr>
        <w:spacing w:after="240"/>
        <w:rPr>
          <w:rFonts w:cstheme="minorHAnsi"/>
          <w:lang w:eastAsia="en-GB"/>
        </w:rPr>
      </w:pPr>
      <w:r w:rsidRPr="00E00022">
        <w:rPr>
          <w:rFonts w:cstheme="minorHAnsi"/>
          <w:bCs/>
          <w:u w:val="single"/>
          <w:lang w:eastAsia="en-GB"/>
        </w:rPr>
        <w:t>The investment</w:t>
      </w:r>
      <w:r w:rsidR="004D4A72" w:rsidRPr="004D4A72">
        <w:rPr>
          <w:rFonts w:cstheme="minorHAnsi"/>
          <w:bCs/>
          <w:u w:val="single"/>
          <w:lang w:eastAsia="en-GB"/>
        </w:rPr>
        <w:t xml:space="preserve"> breakdown</w:t>
      </w:r>
      <w:r w:rsidRPr="00E00022">
        <w:rPr>
          <w:rFonts w:cstheme="minorHAnsi"/>
          <w:bCs/>
          <w:u w:val="single"/>
          <w:lang w:eastAsia="en-GB"/>
        </w:rPr>
        <w:t xml:space="preserve"> </w:t>
      </w:r>
      <w:r w:rsidR="004D4A72" w:rsidRPr="004D4A72">
        <w:rPr>
          <w:rFonts w:cstheme="minorHAnsi"/>
          <w:bCs/>
          <w:u w:val="single"/>
          <w:lang w:eastAsia="en-GB"/>
        </w:rPr>
        <w:t>is proposed</w:t>
      </w:r>
      <w:r w:rsidR="004D4A72" w:rsidRPr="00E00022">
        <w:rPr>
          <w:rFonts w:cstheme="minorHAnsi"/>
          <w:bCs/>
          <w:u w:val="single"/>
          <w:lang w:eastAsia="en-GB"/>
        </w:rPr>
        <w:t xml:space="preserve"> </w:t>
      </w:r>
      <w:r w:rsidR="004D4A72" w:rsidRPr="004D4A72">
        <w:rPr>
          <w:rFonts w:cstheme="minorHAnsi"/>
          <w:bCs/>
          <w:u w:val="single"/>
          <w:lang w:eastAsia="en-GB"/>
        </w:rPr>
        <w:t xml:space="preserve">to </w:t>
      </w:r>
      <w:r w:rsidRPr="00E00022">
        <w:rPr>
          <w:rFonts w:cstheme="minorHAnsi"/>
          <w:bCs/>
          <w:u w:val="single"/>
          <w:lang w:eastAsia="en-GB"/>
        </w:rPr>
        <w:t>be granted as follows:</w:t>
      </w:r>
    </w:p>
    <w:p w14:paraId="0315C512" w14:textId="67BD5AA7" w:rsidR="00830CC0" w:rsidRPr="008A6564" w:rsidRDefault="00830CC0" w:rsidP="005C25BE">
      <w:pPr>
        <w:pStyle w:val="ListParagraph"/>
        <w:numPr>
          <w:ilvl w:val="0"/>
          <w:numId w:val="7"/>
        </w:numPr>
        <w:spacing w:after="240" w:line="240" w:lineRule="auto"/>
        <w:rPr>
          <w:rFonts w:asciiTheme="minorHAnsi" w:hAnsiTheme="minorHAnsi" w:cstheme="minorHAnsi"/>
          <w:b/>
          <w:lang w:eastAsia="en-GB"/>
        </w:rPr>
      </w:pPr>
      <w:r w:rsidRPr="00546A1F">
        <w:rPr>
          <w:rFonts w:asciiTheme="minorHAnsi" w:hAnsiTheme="minorHAnsi" w:cstheme="minorHAnsi"/>
          <w:bCs/>
          <w:lang w:eastAsia="en-GB"/>
        </w:rPr>
        <w:t>Year 1 (FY22/23):</w:t>
      </w:r>
      <w:r w:rsidRPr="008A6564">
        <w:rPr>
          <w:rFonts w:asciiTheme="minorHAnsi" w:hAnsiTheme="minorHAnsi" w:cstheme="minorHAnsi"/>
          <w:b/>
          <w:lang w:eastAsia="en-GB"/>
        </w:rPr>
        <w:t xml:space="preserve"> £0.3m</w:t>
      </w:r>
    </w:p>
    <w:p w14:paraId="664BA5D6" w14:textId="50C427F2" w:rsidR="00830CC0" w:rsidRPr="008A6564" w:rsidRDefault="00830CC0" w:rsidP="005C25BE">
      <w:pPr>
        <w:pStyle w:val="ListParagraph"/>
        <w:numPr>
          <w:ilvl w:val="0"/>
          <w:numId w:val="7"/>
        </w:numPr>
        <w:spacing w:after="240" w:line="240" w:lineRule="auto"/>
        <w:rPr>
          <w:rFonts w:asciiTheme="minorHAnsi" w:hAnsiTheme="minorHAnsi" w:cstheme="minorHAnsi"/>
          <w:b/>
          <w:lang w:eastAsia="en-GB"/>
        </w:rPr>
      </w:pPr>
      <w:r w:rsidRPr="00546A1F">
        <w:rPr>
          <w:rFonts w:asciiTheme="minorHAnsi" w:hAnsiTheme="minorHAnsi" w:cstheme="minorHAnsi"/>
          <w:bCs/>
          <w:lang w:eastAsia="en-GB"/>
        </w:rPr>
        <w:t>Year 2 (FY23/24):</w:t>
      </w:r>
      <w:r w:rsidRPr="008A6564">
        <w:rPr>
          <w:rFonts w:asciiTheme="minorHAnsi" w:hAnsiTheme="minorHAnsi" w:cstheme="minorHAnsi"/>
          <w:b/>
          <w:lang w:eastAsia="en-GB"/>
        </w:rPr>
        <w:t xml:space="preserve"> £0.8m</w:t>
      </w:r>
    </w:p>
    <w:p w14:paraId="28069D10" w14:textId="43E32FE2" w:rsidR="00C76FB7" w:rsidRPr="00565E6E" w:rsidRDefault="00830CC0" w:rsidP="005C25BE">
      <w:pPr>
        <w:pStyle w:val="ListParagraph"/>
        <w:numPr>
          <w:ilvl w:val="0"/>
          <w:numId w:val="7"/>
        </w:numPr>
        <w:spacing w:after="240" w:line="240" w:lineRule="auto"/>
        <w:rPr>
          <w:rFonts w:asciiTheme="minorHAnsi" w:hAnsiTheme="minorHAnsi" w:cstheme="minorHAnsi"/>
          <w:b/>
          <w:lang w:eastAsia="en-GB"/>
        </w:rPr>
      </w:pPr>
      <w:r w:rsidRPr="00546A1F">
        <w:rPr>
          <w:rFonts w:cstheme="minorHAnsi"/>
          <w:bCs/>
          <w:lang w:eastAsia="en-GB"/>
        </w:rPr>
        <w:t>Year 3 (FY24/25):</w:t>
      </w:r>
      <w:r w:rsidRPr="008A6564">
        <w:rPr>
          <w:rFonts w:cstheme="minorHAnsi"/>
          <w:b/>
          <w:lang w:eastAsia="en-GB"/>
        </w:rPr>
        <w:t xml:space="preserve"> £0.5m</w:t>
      </w:r>
    </w:p>
    <w:p w14:paraId="6D8AA417" w14:textId="2279D882" w:rsidR="00F53C7B" w:rsidRPr="00A20E3E" w:rsidRDefault="000159B6" w:rsidP="00565E6E">
      <w:pPr>
        <w:spacing w:after="240"/>
        <w:rPr>
          <w:b/>
          <w:u w:val="single"/>
          <w:lang w:eastAsia="en-GB"/>
        </w:rPr>
      </w:pPr>
      <w:r>
        <w:rPr>
          <w:rFonts w:cstheme="minorHAnsi"/>
          <w:b/>
          <w:lang w:eastAsia="en-GB"/>
        </w:rPr>
        <w:lastRenderedPageBreak/>
        <w:t xml:space="preserve">NB: </w:t>
      </w:r>
      <w:r w:rsidR="00F53C7B" w:rsidRPr="00340CC6">
        <w:rPr>
          <w:lang w:eastAsia="en-GB"/>
        </w:rPr>
        <w:t>Existing donors include the Global Environment Fund (GEF)</w:t>
      </w:r>
      <w:r w:rsidR="002150F6">
        <w:rPr>
          <w:lang w:eastAsia="en-GB"/>
        </w:rPr>
        <w:t>; the</w:t>
      </w:r>
      <w:r w:rsidR="00F53C7B" w:rsidRPr="00340CC6">
        <w:rPr>
          <w:lang w:eastAsia="en-GB"/>
        </w:rPr>
        <w:t xml:space="preserve"> Green Growth Knowledge Platform (GGKP) (</w:t>
      </w:r>
      <w:r w:rsidR="00F53C7B">
        <w:rPr>
          <w:lang w:eastAsia="en-GB"/>
        </w:rPr>
        <w:t xml:space="preserve">totalling </w:t>
      </w:r>
      <w:r w:rsidR="00F53C7B" w:rsidRPr="00340CC6">
        <w:rPr>
          <w:lang w:eastAsia="en-GB"/>
        </w:rPr>
        <w:t>USD 1,152,000)</w:t>
      </w:r>
      <w:r w:rsidR="002150F6">
        <w:rPr>
          <w:lang w:eastAsia="en-GB"/>
        </w:rPr>
        <w:t xml:space="preserve">; </w:t>
      </w:r>
      <w:r w:rsidR="003F1D3F">
        <w:rPr>
          <w:lang w:eastAsia="en-GB"/>
        </w:rPr>
        <w:t>the Swedish International Co</w:t>
      </w:r>
      <w:r w:rsidR="00182E6C">
        <w:rPr>
          <w:lang w:eastAsia="en-GB"/>
        </w:rPr>
        <w:t>operation and Dev</w:t>
      </w:r>
      <w:r w:rsidR="002150F6">
        <w:rPr>
          <w:lang w:eastAsia="en-GB"/>
        </w:rPr>
        <w:t>el</w:t>
      </w:r>
      <w:r w:rsidR="00182E6C">
        <w:rPr>
          <w:lang w:eastAsia="en-GB"/>
        </w:rPr>
        <w:t xml:space="preserve">opment </w:t>
      </w:r>
      <w:r w:rsidR="002150F6">
        <w:rPr>
          <w:lang w:eastAsia="en-GB"/>
        </w:rPr>
        <w:t>Agency</w:t>
      </w:r>
      <w:r w:rsidR="00182E6C">
        <w:rPr>
          <w:lang w:eastAsia="en-GB"/>
        </w:rPr>
        <w:t xml:space="preserve"> (SIDA)</w:t>
      </w:r>
      <w:r w:rsidR="002150F6">
        <w:rPr>
          <w:lang w:eastAsia="en-GB"/>
        </w:rPr>
        <w:t xml:space="preserve"> and the </w:t>
      </w:r>
      <w:r w:rsidR="00F53C7B" w:rsidRPr="00340CC6">
        <w:rPr>
          <w:lang w:eastAsia="en-GB"/>
        </w:rPr>
        <w:t>Norwegian Government (</w:t>
      </w:r>
      <w:r w:rsidR="002150F6">
        <w:rPr>
          <w:lang w:eastAsia="en-GB"/>
        </w:rPr>
        <w:t xml:space="preserve">combined </w:t>
      </w:r>
      <w:r w:rsidR="00F53C7B">
        <w:rPr>
          <w:lang w:eastAsia="en-GB"/>
        </w:rPr>
        <w:t>total</w:t>
      </w:r>
      <w:r w:rsidR="002150F6">
        <w:rPr>
          <w:lang w:eastAsia="en-GB"/>
        </w:rPr>
        <w:t xml:space="preserve"> of</w:t>
      </w:r>
      <w:r w:rsidR="00F53C7B">
        <w:rPr>
          <w:lang w:eastAsia="en-GB"/>
        </w:rPr>
        <w:t xml:space="preserve"> </w:t>
      </w:r>
      <w:r w:rsidR="00F53C7B" w:rsidRPr="00340CC6">
        <w:rPr>
          <w:lang w:eastAsia="en-GB"/>
        </w:rPr>
        <w:t>USD 30,000)</w:t>
      </w:r>
      <w:r w:rsidR="00F53C7B">
        <w:rPr>
          <w:lang w:eastAsia="en-GB"/>
        </w:rPr>
        <w:t>.</w:t>
      </w:r>
    </w:p>
    <w:p w14:paraId="5FC262E4" w14:textId="77777777" w:rsidR="0018196D" w:rsidRDefault="0018196D" w:rsidP="00F87376">
      <w:pPr>
        <w:rPr>
          <w:rFonts w:cstheme="minorHAnsi"/>
          <w:u w:val="single"/>
          <w:lang w:eastAsia="en-GB"/>
        </w:rPr>
      </w:pPr>
    </w:p>
    <w:p w14:paraId="60D0C987" w14:textId="3C107E19" w:rsidR="00F87376" w:rsidRDefault="009C4290" w:rsidP="00F87376">
      <w:pPr>
        <w:rPr>
          <w:rFonts w:cstheme="minorHAnsi"/>
          <w:u w:val="single"/>
          <w:lang w:eastAsia="en-GB"/>
        </w:rPr>
      </w:pPr>
      <w:r w:rsidRPr="00AE79F1">
        <w:rPr>
          <w:rFonts w:cstheme="minorHAnsi"/>
          <w:u w:val="single"/>
          <w:lang w:eastAsia="en-GB"/>
        </w:rPr>
        <w:t xml:space="preserve">Potential activities </w:t>
      </w:r>
      <w:r w:rsidR="005B2613">
        <w:rPr>
          <w:rFonts w:cstheme="minorHAnsi"/>
          <w:u w:val="single"/>
          <w:lang w:eastAsia="en-GB"/>
        </w:rPr>
        <w:t>include</w:t>
      </w:r>
      <w:r w:rsidR="00F87376" w:rsidRPr="00AE79F1">
        <w:rPr>
          <w:rFonts w:cstheme="minorHAnsi"/>
          <w:u w:val="single"/>
          <w:lang w:eastAsia="en-GB"/>
        </w:rPr>
        <w:t xml:space="preserve"> (not exhaustive):</w:t>
      </w:r>
    </w:p>
    <w:p w14:paraId="0BE9BF96" w14:textId="77777777" w:rsidR="00224CEB" w:rsidRPr="00AE79F1" w:rsidRDefault="00224CEB" w:rsidP="00F87376">
      <w:pPr>
        <w:rPr>
          <w:rFonts w:cstheme="minorHAnsi"/>
          <w:u w:val="single"/>
          <w:lang w:eastAsia="en-GB"/>
        </w:rPr>
      </w:pPr>
    </w:p>
    <w:p w14:paraId="280A3830" w14:textId="62EE1951" w:rsidR="00A44F3D" w:rsidRPr="00565E6E" w:rsidRDefault="005B2613" w:rsidP="000355EF">
      <w:pPr>
        <w:pStyle w:val="ListParagraph"/>
        <w:numPr>
          <w:ilvl w:val="0"/>
          <w:numId w:val="26"/>
        </w:numPr>
        <w:spacing w:after="0" w:line="240" w:lineRule="auto"/>
        <w:jc w:val="left"/>
        <w:rPr>
          <w:rFonts w:asciiTheme="minorHAnsi" w:eastAsia="Times New Roman" w:hAnsiTheme="minorHAnsi" w:cstheme="minorHAnsi"/>
          <w:lang w:eastAsia="en-GB"/>
        </w:rPr>
      </w:pPr>
      <w:r>
        <w:rPr>
          <w:rFonts w:asciiTheme="minorHAnsi" w:eastAsia="Times New Roman" w:hAnsiTheme="minorHAnsi" w:cstheme="minorHAnsi"/>
          <w:b/>
          <w:bCs/>
          <w:color w:val="242424"/>
          <w:lang w:eastAsia="en-GB"/>
        </w:rPr>
        <w:t>Establish a baseline on support to</w:t>
      </w:r>
      <w:r w:rsidR="000355EF" w:rsidRPr="00565E6E">
        <w:rPr>
          <w:rFonts w:asciiTheme="minorHAnsi" w:eastAsia="Times New Roman" w:hAnsiTheme="minorHAnsi" w:cstheme="minorHAnsi"/>
          <w:b/>
          <w:bCs/>
          <w:color w:val="242424"/>
          <w:lang w:eastAsia="en-GB"/>
        </w:rPr>
        <w:t xml:space="preserve"> marginalised communities </w:t>
      </w:r>
      <w:r w:rsidR="000355EF" w:rsidRPr="00E52D65">
        <w:rPr>
          <w:rFonts w:asciiTheme="minorHAnsi" w:eastAsia="Times New Roman" w:hAnsiTheme="minorHAnsi" w:cstheme="minorHAnsi"/>
          <w:color w:val="242424"/>
          <w:lang w:eastAsia="en-GB"/>
        </w:rPr>
        <w:t xml:space="preserve">within the first six months of the programme </w:t>
      </w:r>
      <w:r w:rsidR="00261166" w:rsidRPr="00E52D65">
        <w:rPr>
          <w:rFonts w:asciiTheme="minorHAnsi" w:eastAsia="Times New Roman" w:hAnsiTheme="minorHAnsi" w:cstheme="minorHAnsi"/>
          <w:color w:val="242424"/>
          <w:lang w:eastAsia="en-GB"/>
        </w:rPr>
        <w:t>to determine new activities to support this sector.</w:t>
      </w:r>
      <w:r w:rsidR="00261166">
        <w:rPr>
          <w:rFonts w:asciiTheme="minorHAnsi" w:eastAsia="Times New Roman" w:hAnsiTheme="minorHAnsi" w:cstheme="minorHAnsi"/>
          <w:b/>
          <w:bCs/>
          <w:color w:val="242424"/>
          <w:lang w:eastAsia="en-GB"/>
        </w:rPr>
        <w:t xml:space="preserve"> </w:t>
      </w:r>
      <w:r w:rsidR="000355EF" w:rsidRPr="00565E6E" w:rsidDel="00261166">
        <w:rPr>
          <w:rFonts w:asciiTheme="minorHAnsi" w:eastAsia="Times New Roman" w:hAnsiTheme="minorHAnsi" w:cstheme="minorHAnsi"/>
          <w:color w:val="242424"/>
          <w:lang w:eastAsia="en-GB"/>
        </w:rPr>
        <w:t xml:space="preserve"> </w:t>
      </w:r>
      <w:r w:rsidR="000355EF" w:rsidRPr="00565E6E">
        <w:rPr>
          <w:rFonts w:asciiTheme="minorHAnsi" w:eastAsia="Times New Roman" w:hAnsiTheme="minorHAnsi" w:cstheme="minorHAnsi"/>
          <w:color w:val="242424"/>
          <w:lang w:eastAsia="en-GB"/>
        </w:rPr>
        <w:t>(</w:t>
      </w:r>
      <w:r w:rsidR="00007505" w:rsidRPr="000355EF">
        <w:rPr>
          <w:rFonts w:asciiTheme="minorHAnsi" w:eastAsia="Times New Roman" w:hAnsiTheme="minorHAnsi" w:cstheme="minorHAnsi"/>
          <w:color w:val="242424"/>
          <w:lang w:eastAsia="en-GB"/>
        </w:rPr>
        <w:t>e.g.,</w:t>
      </w:r>
      <w:r w:rsidR="000355EF" w:rsidRPr="00565E6E">
        <w:rPr>
          <w:rFonts w:asciiTheme="minorHAnsi" w:eastAsia="Times New Roman" w:hAnsiTheme="minorHAnsi" w:cstheme="minorHAnsi"/>
          <w:color w:val="242424"/>
          <w:lang w:eastAsia="en-GB"/>
        </w:rPr>
        <w:t xml:space="preserve"> </w:t>
      </w:r>
      <w:r w:rsidR="00261166">
        <w:rPr>
          <w:rFonts w:asciiTheme="minorHAnsi" w:eastAsia="Times New Roman" w:hAnsiTheme="minorHAnsi" w:cstheme="minorHAnsi"/>
          <w:color w:val="242424"/>
          <w:lang w:eastAsia="en-GB"/>
        </w:rPr>
        <w:t xml:space="preserve">supporting </w:t>
      </w:r>
      <w:r w:rsidR="000355EF" w:rsidRPr="00565E6E">
        <w:rPr>
          <w:rFonts w:asciiTheme="minorHAnsi" w:eastAsia="Times New Roman" w:hAnsiTheme="minorHAnsi" w:cstheme="minorHAnsi"/>
          <w:color w:val="242424"/>
          <w:lang w:eastAsia="en-GB"/>
        </w:rPr>
        <w:t xml:space="preserve">WAGGGs member organisations </w:t>
      </w:r>
      <w:r w:rsidR="00261166">
        <w:rPr>
          <w:rFonts w:asciiTheme="minorHAnsi" w:eastAsia="Times New Roman" w:hAnsiTheme="minorHAnsi" w:cstheme="minorHAnsi"/>
          <w:color w:val="242424"/>
          <w:lang w:eastAsia="en-GB"/>
        </w:rPr>
        <w:t>through their</w:t>
      </w:r>
      <w:r w:rsidR="000355EF" w:rsidRPr="00565E6E">
        <w:rPr>
          <w:rFonts w:asciiTheme="minorHAnsi" w:eastAsia="Times New Roman" w:hAnsiTheme="minorHAnsi" w:cstheme="minorHAnsi"/>
          <w:color w:val="242424"/>
          <w:lang w:eastAsia="en-GB"/>
        </w:rPr>
        <w:t xml:space="preserve"> special units for disabled girls)</w:t>
      </w:r>
      <w:r w:rsidR="00BC6FEE">
        <w:rPr>
          <w:rFonts w:asciiTheme="minorHAnsi" w:eastAsia="Times New Roman" w:hAnsiTheme="minorHAnsi" w:cstheme="minorHAnsi"/>
          <w:color w:val="242424"/>
          <w:lang w:eastAsia="en-GB"/>
        </w:rPr>
        <w:t>;</w:t>
      </w:r>
    </w:p>
    <w:p w14:paraId="546082AD" w14:textId="63772FAA" w:rsidR="00A95970" w:rsidRPr="00565E6E" w:rsidRDefault="00843AB7">
      <w:pPr>
        <w:pStyle w:val="ListParagraph"/>
        <w:numPr>
          <w:ilvl w:val="0"/>
          <w:numId w:val="26"/>
        </w:numPr>
        <w:spacing w:after="240" w:line="240" w:lineRule="auto"/>
        <w:rPr>
          <w:b/>
          <w:bCs/>
        </w:rPr>
      </w:pPr>
      <w:r w:rsidRPr="00565E6E">
        <w:rPr>
          <w:rFonts w:eastAsia="Times New Roman" w:cstheme="minorHAnsi"/>
          <w:b/>
          <w:color w:val="242424"/>
          <w:lang w:eastAsia="en-GB"/>
        </w:rPr>
        <w:t xml:space="preserve">A </w:t>
      </w:r>
      <w:r w:rsidR="00A95970" w:rsidRPr="00565E6E">
        <w:rPr>
          <w:b/>
          <w:bCs/>
        </w:rPr>
        <w:t xml:space="preserve">new area to be explored is a </w:t>
      </w:r>
      <w:r w:rsidR="00A95970" w:rsidRPr="00843AB7">
        <w:rPr>
          <w:b/>
        </w:rPr>
        <w:t>rural-specific programme</w:t>
      </w:r>
      <w:r w:rsidR="00A95970" w:rsidRPr="00565E6E">
        <w:rPr>
          <w:b/>
          <w:bCs/>
        </w:rPr>
        <w:t xml:space="preserve"> to ensure that the programme reaches beyond urban areas, </w:t>
      </w:r>
      <w:r w:rsidR="00A95970" w:rsidRPr="00E52D65">
        <w:t>particularly in India.</w:t>
      </w:r>
      <w:r w:rsidR="00A95970" w:rsidRPr="00565E6E">
        <w:rPr>
          <w:b/>
          <w:bCs/>
        </w:rPr>
        <w:t xml:space="preserve"> </w:t>
      </w:r>
      <w:r w:rsidR="00A95970" w:rsidRPr="00843AB7">
        <w:t>The rural model is piloted in India with the programme seeking to reach marginalised youth populations in rural plastic pollution hotspots. The learnings of this approach will inform the extent to which the rural model is adapted into other contexts</w:t>
      </w:r>
      <w:r w:rsidR="00E52D65">
        <w:t>;</w:t>
      </w:r>
    </w:p>
    <w:p w14:paraId="7E08F342" w14:textId="0D55B1BC" w:rsidR="00F87376" w:rsidRPr="00F87376" w:rsidRDefault="00F87376" w:rsidP="005C25BE">
      <w:pPr>
        <w:pStyle w:val="ListParagraph"/>
        <w:numPr>
          <w:ilvl w:val="0"/>
          <w:numId w:val="26"/>
        </w:numPr>
      </w:pPr>
      <w:r w:rsidRPr="00F87376">
        <w:rPr>
          <w:b/>
          <w:bCs/>
        </w:rPr>
        <w:t xml:space="preserve">Building out stronger communications </w:t>
      </w:r>
      <w:r w:rsidRPr="00F87376">
        <w:t xml:space="preserve">around the impact and success of the programme through </w:t>
      </w:r>
      <w:r w:rsidRPr="00F87376">
        <w:rPr>
          <w:b/>
          <w:bCs/>
        </w:rPr>
        <w:t>robust storytelling</w:t>
      </w:r>
      <w:r w:rsidRPr="00F87376">
        <w:t>. This would see unpacking the stories of change from the grass-root level with a much stronger web and social presence, including within the Clean Seas campaign</w:t>
      </w:r>
      <w:r w:rsidR="00E52D65">
        <w:t>;</w:t>
      </w:r>
    </w:p>
    <w:p w14:paraId="780C988E" w14:textId="57D879A8" w:rsidR="00F87376" w:rsidRPr="00F87376" w:rsidRDefault="00F87376" w:rsidP="005C25BE">
      <w:pPr>
        <w:pStyle w:val="ListParagraph"/>
        <w:numPr>
          <w:ilvl w:val="0"/>
          <w:numId w:val="26"/>
        </w:numPr>
      </w:pPr>
      <w:r w:rsidRPr="00F87376">
        <w:rPr>
          <w:b/>
          <w:bCs/>
        </w:rPr>
        <w:t>Develop</w:t>
      </w:r>
      <w:r>
        <w:rPr>
          <w:b/>
          <w:bCs/>
        </w:rPr>
        <w:t>ing</w:t>
      </w:r>
      <w:r w:rsidRPr="00F87376">
        <w:rPr>
          <w:b/>
          <w:bCs/>
        </w:rPr>
        <w:t xml:space="preserve"> web stories and multimedia assets </w:t>
      </w:r>
      <w:r w:rsidRPr="00F87376">
        <w:t xml:space="preserve">with an aim to have improved media placement and media engagement, along with </w:t>
      </w:r>
      <w:r w:rsidRPr="00E52D65">
        <w:t>Tide Turners promotions</w:t>
      </w:r>
      <w:r w:rsidRPr="00F87376">
        <w:t xml:space="preserve"> at key global moments in the build up to the INC and its implementation</w:t>
      </w:r>
      <w:r w:rsidR="00E52D65">
        <w:t>;</w:t>
      </w:r>
    </w:p>
    <w:p w14:paraId="52767E53" w14:textId="30CC2D8D" w:rsidR="00F87376" w:rsidRDefault="00F87376" w:rsidP="005C25BE">
      <w:pPr>
        <w:pStyle w:val="ListParagraph"/>
        <w:numPr>
          <w:ilvl w:val="0"/>
          <w:numId w:val="26"/>
        </w:numPr>
      </w:pPr>
      <w:r w:rsidRPr="00F87376">
        <w:rPr>
          <w:b/>
          <w:bCs/>
        </w:rPr>
        <w:t>Supporting the</w:t>
      </w:r>
      <w:r w:rsidRPr="00F87376">
        <w:t xml:space="preserve"> </w:t>
      </w:r>
      <w:r w:rsidRPr="00F87376">
        <w:rPr>
          <w:b/>
          <w:bCs/>
        </w:rPr>
        <w:t>design and creation of the Tide Turners App</w:t>
      </w:r>
      <w:r w:rsidRPr="00F87376">
        <w:t xml:space="preserve"> to increase the reach and impact of the programme, to explore peer-to-peer learning, better monitor progress, and to have better access to data and success stories from communities</w:t>
      </w:r>
      <w:r w:rsidR="00E52D65">
        <w:t>;</w:t>
      </w:r>
    </w:p>
    <w:p w14:paraId="292F1B8F" w14:textId="02300BAC" w:rsidR="00224CEB" w:rsidRPr="00565E6E" w:rsidRDefault="00224CEB" w:rsidP="00565E6E">
      <w:pPr>
        <w:pStyle w:val="ListParagraph"/>
        <w:numPr>
          <w:ilvl w:val="1"/>
          <w:numId w:val="26"/>
        </w:numPr>
        <w:jc w:val="left"/>
        <w:rPr>
          <w:rFonts w:asciiTheme="minorHAnsi" w:eastAsia="Times New Roman" w:hAnsiTheme="minorHAnsi" w:cstheme="minorHAnsi"/>
          <w:lang w:eastAsia="en-GB"/>
        </w:rPr>
      </w:pPr>
      <w:r w:rsidRPr="00565E6E">
        <w:rPr>
          <w:rFonts w:eastAsia="Times New Roman" w:cstheme="minorHAnsi"/>
          <w:b/>
          <w:bCs/>
          <w:color w:val="242424"/>
          <w:lang w:eastAsia="en-GB"/>
        </w:rPr>
        <w:t>Inclusion</w:t>
      </w:r>
      <w:r>
        <w:rPr>
          <w:rFonts w:eastAsia="Times New Roman" w:cstheme="minorHAnsi"/>
          <w:b/>
          <w:bCs/>
          <w:color w:val="242424"/>
          <w:lang w:eastAsia="en-GB"/>
        </w:rPr>
        <w:t xml:space="preserve"> and accessibility</w:t>
      </w:r>
      <w:r w:rsidRPr="00565E6E">
        <w:rPr>
          <w:rFonts w:eastAsia="Times New Roman" w:cstheme="minorHAnsi"/>
          <w:b/>
          <w:bCs/>
          <w:color w:val="242424"/>
          <w:lang w:eastAsia="en-GB"/>
        </w:rPr>
        <w:t>:</w:t>
      </w:r>
      <w:r>
        <w:rPr>
          <w:rFonts w:eastAsia="Times New Roman" w:cstheme="minorHAnsi"/>
          <w:color w:val="242424"/>
          <w:lang w:eastAsia="en-GB"/>
        </w:rPr>
        <w:t xml:space="preserve"> </w:t>
      </w:r>
      <w:r w:rsidRPr="00CB23F5">
        <w:rPr>
          <w:rFonts w:eastAsia="Times New Roman" w:cstheme="minorHAnsi"/>
          <w:color w:val="242424"/>
          <w:lang w:eastAsia="en-GB"/>
        </w:rPr>
        <w:t>In addition, while budget implications will need to be considered with the developer, the accessibility of the Tide Turners app to disabled youth will be closely considered in the design process, particularly for those who may need audio-visual support to access the content.</w:t>
      </w:r>
    </w:p>
    <w:p w14:paraId="38C8A35B" w14:textId="21F55E34" w:rsidR="00F87376" w:rsidRDefault="00F87376" w:rsidP="005C25BE">
      <w:pPr>
        <w:pStyle w:val="ListParagraph"/>
        <w:numPr>
          <w:ilvl w:val="0"/>
          <w:numId w:val="26"/>
        </w:numPr>
      </w:pPr>
      <w:r w:rsidRPr="00F87376">
        <w:rPr>
          <w:b/>
          <w:bCs/>
        </w:rPr>
        <w:t>Deepening and scaling up the advocacy training</w:t>
      </w:r>
      <w:r w:rsidRPr="00F87376">
        <w:t xml:space="preserve">, peer-to-peer training with coaching and mentoring from experts, with the </w:t>
      </w:r>
      <w:r>
        <w:t>a</w:t>
      </w:r>
      <w:r w:rsidRPr="00F87376">
        <w:t xml:space="preserve">mbition of securing clear and discernible policy outcomes </w:t>
      </w:r>
      <w:r w:rsidR="00AE79F1">
        <w:t>from</w:t>
      </w:r>
      <w:r w:rsidRPr="00F87376">
        <w:t xml:space="preserve"> the programme</w:t>
      </w:r>
      <w:r w:rsidR="00E52D65">
        <w:t>;</w:t>
      </w:r>
    </w:p>
    <w:p w14:paraId="1A255E45" w14:textId="18DDFA9A" w:rsidR="00F87376" w:rsidRDefault="00F87376" w:rsidP="005C25BE">
      <w:pPr>
        <w:pStyle w:val="ListParagraph"/>
        <w:numPr>
          <w:ilvl w:val="0"/>
          <w:numId w:val="26"/>
        </w:numPr>
      </w:pPr>
      <w:r w:rsidRPr="00F87376">
        <w:rPr>
          <w:b/>
          <w:bCs/>
        </w:rPr>
        <w:t>Increasing youth engagement around the plastic value chain</w:t>
      </w:r>
      <w:r w:rsidRPr="00F87376">
        <w:t xml:space="preserve"> at all levels with different stakeholders so that youth / youth networks are meaningfully</w:t>
      </w:r>
      <w:r w:rsidR="00910F46">
        <w:t xml:space="preserve"> engaged in </w:t>
      </w:r>
      <w:r w:rsidR="00215373">
        <w:t>upstream and downstream waste management</w:t>
      </w:r>
      <w:r w:rsidR="00E52D65">
        <w:t>;</w:t>
      </w:r>
    </w:p>
    <w:p w14:paraId="375D595E" w14:textId="5C0A0335" w:rsidR="00F87376" w:rsidRDefault="00F87376" w:rsidP="005C25BE">
      <w:pPr>
        <w:pStyle w:val="ListParagraph"/>
        <w:numPr>
          <w:ilvl w:val="0"/>
          <w:numId w:val="26"/>
        </w:numPr>
      </w:pPr>
      <w:r w:rsidRPr="00F87376">
        <w:rPr>
          <w:b/>
          <w:bCs/>
        </w:rPr>
        <w:t xml:space="preserve">Integrating the programme into over 100,000 </w:t>
      </w:r>
      <w:r w:rsidR="009B02F0">
        <w:rPr>
          <w:b/>
          <w:bCs/>
        </w:rPr>
        <w:t>‘</w:t>
      </w:r>
      <w:r w:rsidRPr="00F87376">
        <w:rPr>
          <w:b/>
          <w:bCs/>
        </w:rPr>
        <w:t>EcoClubs</w:t>
      </w:r>
      <w:r w:rsidR="009B02F0">
        <w:rPr>
          <w:b/>
          <w:bCs/>
        </w:rPr>
        <w:t>’</w:t>
      </w:r>
      <w:r w:rsidRPr="00F87376">
        <w:t xml:space="preserve"> over the coming months, with strong leadership from different levels of the state to support the work</w:t>
      </w:r>
      <w:r w:rsidR="00E52D65">
        <w:t>.</w:t>
      </w:r>
    </w:p>
    <w:p w14:paraId="76E99219" w14:textId="7033B425" w:rsidR="000A6B8A" w:rsidRPr="00113B03" w:rsidRDefault="000A6B8A" w:rsidP="00565E6E">
      <w:pPr>
        <w:rPr>
          <w:b/>
          <w:bCs/>
          <w:u w:val="single"/>
        </w:rPr>
      </w:pPr>
      <w:r w:rsidRPr="00565E6E">
        <w:rPr>
          <w:b/>
          <w:bCs/>
          <w:u w:val="single"/>
        </w:rPr>
        <w:t xml:space="preserve">Expanding support to marginalised groups </w:t>
      </w:r>
    </w:p>
    <w:p w14:paraId="67398C8A" w14:textId="12E30328" w:rsidR="000A6B8A" w:rsidRPr="00BF56C5" w:rsidRDefault="000A6B8A" w:rsidP="000A6B8A">
      <w:pPr>
        <w:shd w:val="clear" w:color="auto" w:fill="FFFFFF"/>
        <w:spacing w:after="240"/>
        <w:rPr>
          <w:color w:val="242424"/>
        </w:rPr>
      </w:pPr>
      <w:r>
        <w:rPr>
          <w:color w:val="242424"/>
        </w:rPr>
        <w:t>T</w:t>
      </w:r>
      <w:r w:rsidRPr="00BF56C5">
        <w:rPr>
          <w:color w:val="242424"/>
        </w:rPr>
        <w:t>he principle of inclusion and engagement with all sectors of society is built into Tide Turners as a core offering. While more examples and approaches will be test</w:t>
      </w:r>
      <w:r w:rsidR="00B03DC6">
        <w:rPr>
          <w:color w:val="242424"/>
        </w:rPr>
        <w:t>ed</w:t>
      </w:r>
      <w:r w:rsidRPr="00BF56C5">
        <w:rPr>
          <w:color w:val="242424"/>
        </w:rPr>
        <w:t xml:space="preserve"> in the three-year cycle of the programme, there are </w:t>
      </w:r>
      <w:r w:rsidR="00B10163">
        <w:rPr>
          <w:color w:val="242424"/>
        </w:rPr>
        <w:t>two</w:t>
      </w:r>
      <w:r w:rsidRPr="00BF56C5">
        <w:rPr>
          <w:color w:val="242424"/>
        </w:rPr>
        <w:t xml:space="preserve"> </w:t>
      </w:r>
      <w:r w:rsidR="00B10163">
        <w:rPr>
          <w:color w:val="242424"/>
        </w:rPr>
        <w:t xml:space="preserve">main </w:t>
      </w:r>
      <w:r w:rsidRPr="00BF56C5">
        <w:rPr>
          <w:color w:val="242424"/>
        </w:rPr>
        <w:t>approaches Tide Turners will take on</w:t>
      </w:r>
      <w:r w:rsidR="00B03DC6">
        <w:rPr>
          <w:color w:val="242424"/>
        </w:rPr>
        <w:t xml:space="preserve"> to deliver</w:t>
      </w:r>
      <w:r w:rsidRPr="00BF56C5">
        <w:rPr>
          <w:color w:val="242424"/>
        </w:rPr>
        <w:t xml:space="preserve"> the inclusion of marginalised </w:t>
      </w:r>
      <w:r w:rsidR="00B03DC6">
        <w:rPr>
          <w:color w:val="242424"/>
        </w:rPr>
        <w:t xml:space="preserve">communities </w:t>
      </w:r>
      <w:r w:rsidRPr="00BF56C5">
        <w:rPr>
          <w:color w:val="242424"/>
        </w:rPr>
        <w:t>agenda:</w:t>
      </w:r>
    </w:p>
    <w:p w14:paraId="25D16F4A" w14:textId="34C1FE66" w:rsidR="000A6B8A" w:rsidRPr="00C324CE" w:rsidRDefault="000A6B8A" w:rsidP="000A6B8A">
      <w:pPr>
        <w:pStyle w:val="ListParagraph"/>
        <w:numPr>
          <w:ilvl w:val="0"/>
          <w:numId w:val="51"/>
        </w:numPr>
        <w:shd w:val="clear" w:color="auto" w:fill="FFFFFF"/>
        <w:spacing w:after="240"/>
        <w:ind w:left="360"/>
        <w:rPr>
          <w:color w:val="242424"/>
        </w:rPr>
      </w:pPr>
      <w:r w:rsidRPr="00C324CE">
        <w:rPr>
          <w:b/>
          <w:bCs/>
          <w:color w:val="242424"/>
        </w:rPr>
        <w:t xml:space="preserve">Establishing best practice using the UN disability policy as a framework: </w:t>
      </w:r>
      <w:r w:rsidRPr="00CB23F5">
        <w:rPr>
          <w:color w:val="242424"/>
        </w:rPr>
        <w:t xml:space="preserve"> UN has in place its Disability Inclusion Strategy, which provides the foundation for sustainable and transformative progress on disability inclusion</w:t>
      </w:r>
      <w:r w:rsidR="00D97E9B">
        <w:rPr>
          <w:color w:val="242424"/>
        </w:rPr>
        <w:t>.</w:t>
      </w:r>
      <w:r w:rsidRPr="00CB23F5">
        <w:rPr>
          <w:color w:val="242424"/>
        </w:rPr>
        <w:t xml:space="preserve"> The Strategy enables the UN system to support the implementation of the Convention on the Rights of Persons with Disabilities and includes a policy </w:t>
      </w:r>
      <w:r w:rsidRPr="00CB23F5">
        <w:rPr>
          <w:color w:val="242424"/>
        </w:rPr>
        <w:lastRenderedPageBreak/>
        <w:t xml:space="preserve">and an accountability framework, with benchmarks to assess progress and accelerate change on disability inclusion. The UNEP Tide Turners team will explore </w:t>
      </w:r>
      <w:r w:rsidR="00D97E9B">
        <w:rPr>
          <w:color w:val="242424"/>
        </w:rPr>
        <w:t>applying</w:t>
      </w:r>
      <w:r w:rsidR="00D97E9B" w:rsidRPr="00CB23F5">
        <w:rPr>
          <w:color w:val="242424"/>
        </w:rPr>
        <w:t xml:space="preserve"> </w:t>
      </w:r>
      <w:r w:rsidRPr="00CB23F5">
        <w:rPr>
          <w:color w:val="242424"/>
        </w:rPr>
        <w:t>this framework. Partners in India have already confirmed that they would explore how t</w:t>
      </w:r>
      <w:r w:rsidR="00D97E9B">
        <w:rPr>
          <w:color w:val="242424"/>
        </w:rPr>
        <w:t xml:space="preserve">o </w:t>
      </w:r>
      <w:r w:rsidRPr="00CB23F5">
        <w:rPr>
          <w:color w:val="242424"/>
        </w:rPr>
        <w:t xml:space="preserve">focus on disability and </w:t>
      </w:r>
      <w:r w:rsidR="00D97E9B">
        <w:rPr>
          <w:color w:val="242424"/>
        </w:rPr>
        <w:t>how</w:t>
      </w:r>
      <w:r w:rsidR="00D97E9B" w:rsidRPr="00CB23F5">
        <w:rPr>
          <w:color w:val="242424"/>
        </w:rPr>
        <w:t xml:space="preserve"> </w:t>
      </w:r>
      <w:r w:rsidRPr="00CB23F5">
        <w:rPr>
          <w:color w:val="242424"/>
        </w:rPr>
        <w:t>the curriculum could be adapted for braille</w:t>
      </w:r>
      <w:r w:rsidR="00D97E9B">
        <w:rPr>
          <w:color w:val="242424"/>
        </w:rPr>
        <w:t>.</w:t>
      </w:r>
    </w:p>
    <w:p w14:paraId="4BF73F05" w14:textId="6AB7D983" w:rsidR="000A6B8A" w:rsidRPr="00AE79F1" w:rsidRDefault="000A6B8A" w:rsidP="00565E6E">
      <w:pPr>
        <w:pStyle w:val="ListParagraph"/>
        <w:numPr>
          <w:ilvl w:val="0"/>
          <w:numId w:val="51"/>
        </w:numPr>
        <w:shd w:val="clear" w:color="auto" w:fill="FFFFFF"/>
        <w:spacing w:after="240"/>
        <w:ind w:left="360"/>
      </w:pPr>
      <w:r w:rsidRPr="00565E6E">
        <w:rPr>
          <w:b/>
          <w:bCs/>
          <w:color w:val="242424"/>
        </w:rPr>
        <w:t>Indigenous groups as a key audience:</w:t>
      </w:r>
      <w:r w:rsidRPr="00565E6E">
        <w:rPr>
          <w:color w:val="242424"/>
        </w:rPr>
        <w:t xml:space="preserve"> In Africa, India and the Pacific region, the UNEP Tide Turners team will explore with existing partners what current work is being undertaken with indigenous communities and what steps could be taken to improve this.</w:t>
      </w:r>
    </w:p>
    <w:p w14:paraId="0343A297" w14:textId="42324D26" w:rsidR="00F9019C" w:rsidRDefault="00F9019C" w:rsidP="00595499">
      <w:pPr>
        <w:pStyle w:val="Heading3"/>
      </w:pPr>
      <w:r w:rsidRPr="00217F59">
        <w:t>Support for INC Negotiations</w:t>
      </w:r>
    </w:p>
    <w:p w14:paraId="61995BFC" w14:textId="3E93BA73" w:rsidR="003C62F1" w:rsidRPr="00595499" w:rsidRDefault="003C62F1" w:rsidP="00595499">
      <w:pPr>
        <w:spacing w:after="240"/>
        <w:rPr>
          <w:rFonts w:cstheme="minorHAnsi"/>
          <w:b/>
          <w:lang w:eastAsia="en-GB"/>
        </w:rPr>
      </w:pPr>
      <w:r>
        <w:rPr>
          <w:rFonts w:cstheme="minorHAnsi"/>
          <w:lang w:eastAsia="en-GB"/>
        </w:rPr>
        <w:t xml:space="preserve">Defra is looking to </w:t>
      </w:r>
      <w:r w:rsidRPr="00432660">
        <w:rPr>
          <w:rFonts w:cstheme="minorHAnsi"/>
          <w:lang w:eastAsia="en-GB"/>
        </w:rPr>
        <w:t>provide</w:t>
      </w:r>
      <w:r>
        <w:rPr>
          <w:rFonts w:cstheme="minorHAnsi"/>
          <w:lang w:eastAsia="en-GB"/>
        </w:rPr>
        <w:t xml:space="preserve"> </w:t>
      </w:r>
      <w:r w:rsidRPr="003C62F1">
        <w:rPr>
          <w:rFonts w:cstheme="minorHAnsi"/>
          <w:b/>
          <w:bCs/>
          <w:lang w:eastAsia="en-GB"/>
        </w:rPr>
        <w:t>up to £2m</w:t>
      </w:r>
      <w:r>
        <w:rPr>
          <w:rFonts w:cstheme="minorHAnsi"/>
          <w:lang w:eastAsia="en-GB"/>
        </w:rPr>
        <w:t xml:space="preserve"> of ODA funding to UNEP over three years to support the implementation of UNEA resolution 5/14, with funding towards ensuring more inclusive attendance at INC meetings. </w:t>
      </w:r>
      <w:r w:rsidR="00E64DE2">
        <w:rPr>
          <w:rFonts w:cstheme="minorHAnsi"/>
          <w:lang w:eastAsia="en-GB"/>
        </w:rPr>
        <w:t xml:space="preserve"> </w:t>
      </w:r>
      <w:r w:rsidR="00E64DE2" w:rsidRPr="00E00022">
        <w:rPr>
          <w:rFonts w:cstheme="minorHAnsi"/>
          <w:lang w:eastAsia="en-GB"/>
        </w:rPr>
        <w:t>As</w:t>
      </w:r>
      <w:r w:rsidR="00E64DE2">
        <w:rPr>
          <w:rFonts w:cstheme="minorHAnsi"/>
          <w:lang w:eastAsia="en-GB"/>
        </w:rPr>
        <w:t xml:space="preserve"> explored in the Financial Case, this will proceed via a contribution</w:t>
      </w:r>
      <w:r w:rsidR="00267DA6">
        <w:rPr>
          <w:rFonts w:cstheme="minorHAnsi"/>
          <w:lang w:eastAsia="en-GB"/>
        </w:rPr>
        <w:t xml:space="preserve"> </w:t>
      </w:r>
      <w:r w:rsidR="00E64DE2">
        <w:rPr>
          <w:rFonts w:cstheme="minorHAnsi"/>
          <w:lang w:eastAsia="en-GB"/>
        </w:rPr>
        <w:t>to UNEP.</w:t>
      </w:r>
    </w:p>
    <w:p w14:paraId="2B649949" w14:textId="08A98FF2" w:rsidR="00EE3487" w:rsidRPr="001074FF" w:rsidRDefault="00EE3487" w:rsidP="00613ABF">
      <w:pPr>
        <w:spacing w:after="240"/>
        <w:rPr>
          <w:rFonts w:cstheme="minorHAnsi"/>
          <w:u w:val="single"/>
          <w:lang w:eastAsia="en-GB"/>
        </w:rPr>
      </w:pPr>
      <w:r w:rsidRPr="00E00022">
        <w:rPr>
          <w:rFonts w:cstheme="minorHAnsi"/>
          <w:bCs/>
          <w:u w:val="single"/>
          <w:lang w:eastAsia="en-GB"/>
        </w:rPr>
        <w:t xml:space="preserve">The investment </w:t>
      </w:r>
      <w:r w:rsidR="001074FF" w:rsidRPr="005D0226">
        <w:rPr>
          <w:rFonts w:cstheme="minorHAnsi"/>
          <w:bCs/>
          <w:u w:val="single"/>
          <w:lang w:eastAsia="en-GB"/>
        </w:rPr>
        <w:t>breakdown is proposed to be granted</w:t>
      </w:r>
      <w:r w:rsidRPr="00E00022">
        <w:rPr>
          <w:rFonts w:cstheme="minorHAnsi"/>
          <w:bCs/>
          <w:u w:val="single"/>
          <w:lang w:eastAsia="en-GB"/>
        </w:rPr>
        <w:t>:</w:t>
      </w:r>
    </w:p>
    <w:p w14:paraId="79333803" w14:textId="4097B01D" w:rsidR="00EE3487" w:rsidRPr="008A6564" w:rsidRDefault="00EE3487" w:rsidP="005C25BE">
      <w:pPr>
        <w:pStyle w:val="ListParagraph"/>
        <w:numPr>
          <w:ilvl w:val="0"/>
          <w:numId w:val="19"/>
        </w:numPr>
        <w:spacing w:after="240" w:line="240" w:lineRule="auto"/>
        <w:rPr>
          <w:rFonts w:cstheme="minorHAnsi"/>
          <w:b/>
          <w:lang w:eastAsia="en-GB"/>
        </w:rPr>
      </w:pPr>
      <w:r w:rsidRPr="00546A1F">
        <w:rPr>
          <w:rFonts w:cstheme="minorHAnsi"/>
          <w:bCs/>
          <w:lang w:eastAsia="en-GB"/>
        </w:rPr>
        <w:t>Year 1 (FY22/23):</w:t>
      </w:r>
      <w:r w:rsidRPr="008A6564">
        <w:rPr>
          <w:rFonts w:cstheme="minorHAnsi"/>
          <w:b/>
          <w:lang w:eastAsia="en-GB"/>
        </w:rPr>
        <w:t xml:space="preserve"> </w:t>
      </w:r>
      <w:r w:rsidR="008A6564">
        <w:rPr>
          <w:rFonts w:cstheme="minorHAnsi"/>
          <w:b/>
          <w:lang w:eastAsia="en-GB"/>
        </w:rPr>
        <w:t xml:space="preserve">up to </w:t>
      </w:r>
      <w:r w:rsidRPr="008A6564">
        <w:rPr>
          <w:rFonts w:cstheme="minorHAnsi"/>
          <w:b/>
          <w:lang w:eastAsia="en-GB"/>
        </w:rPr>
        <w:t>£</w:t>
      </w:r>
      <w:r w:rsidR="004774FB" w:rsidRPr="008A6564">
        <w:rPr>
          <w:rFonts w:cstheme="minorHAnsi"/>
          <w:b/>
          <w:lang w:eastAsia="en-GB"/>
        </w:rPr>
        <w:t>0.4m</w:t>
      </w:r>
    </w:p>
    <w:p w14:paraId="3C918455" w14:textId="361A8EAA" w:rsidR="00EE3487" w:rsidRPr="008A6564" w:rsidRDefault="00EE3487" w:rsidP="005C25BE">
      <w:pPr>
        <w:pStyle w:val="ListParagraph"/>
        <w:numPr>
          <w:ilvl w:val="0"/>
          <w:numId w:val="19"/>
        </w:numPr>
        <w:spacing w:after="240" w:line="240" w:lineRule="auto"/>
        <w:rPr>
          <w:rFonts w:cstheme="minorHAnsi"/>
          <w:b/>
          <w:lang w:eastAsia="en-GB"/>
        </w:rPr>
      </w:pPr>
      <w:r w:rsidRPr="00546A1F">
        <w:rPr>
          <w:rFonts w:cstheme="minorHAnsi"/>
          <w:bCs/>
          <w:lang w:eastAsia="en-GB"/>
        </w:rPr>
        <w:t xml:space="preserve">Year 2 </w:t>
      </w:r>
      <w:r w:rsidR="00B76CC3" w:rsidRPr="00546A1F">
        <w:rPr>
          <w:rFonts w:cstheme="minorHAnsi"/>
          <w:bCs/>
          <w:lang w:eastAsia="en-GB"/>
        </w:rPr>
        <w:t>(FY23/24):</w:t>
      </w:r>
      <w:r w:rsidR="00B76CC3" w:rsidRPr="008A6564">
        <w:rPr>
          <w:rFonts w:cstheme="minorHAnsi"/>
          <w:b/>
          <w:lang w:eastAsia="en-GB"/>
        </w:rPr>
        <w:t xml:space="preserve"> </w:t>
      </w:r>
      <w:r w:rsidR="008A6564">
        <w:rPr>
          <w:rFonts w:cstheme="minorHAnsi"/>
          <w:b/>
          <w:lang w:eastAsia="en-GB"/>
        </w:rPr>
        <w:t xml:space="preserve">up to </w:t>
      </w:r>
      <w:r w:rsidR="00B76CC3" w:rsidRPr="008A6564">
        <w:rPr>
          <w:rFonts w:cstheme="minorHAnsi"/>
          <w:b/>
          <w:lang w:eastAsia="en-GB"/>
        </w:rPr>
        <w:t>£</w:t>
      </w:r>
      <w:r w:rsidR="004774FB" w:rsidRPr="008A6564">
        <w:rPr>
          <w:rFonts w:cstheme="minorHAnsi"/>
          <w:b/>
          <w:lang w:eastAsia="en-GB"/>
        </w:rPr>
        <w:t>0.8m</w:t>
      </w:r>
    </w:p>
    <w:p w14:paraId="7A01258B" w14:textId="7045AE36" w:rsidR="00B76CC3" w:rsidRPr="00E00022" w:rsidRDefault="00B76CC3" w:rsidP="005C25BE">
      <w:pPr>
        <w:pStyle w:val="ListParagraph"/>
        <w:numPr>
          <w:ilvl w:val="0"/>
          <w:numId w:val="19"/>
        </w:numPr>
        <w:spacing w:after="240" w:line="240" w:lineRule="auto"/>
        <w:rPr>
          <w:rFonts w:cstheme="minorHAnsi"/>
          <w:b/>
          <w:bCs/>
          <w:lang w:eastAsia="en-GB"/>
        </w:rPr>
      </w:pPr>
      <w:r w:rsidRPr="00546A1F">
        <w:rPr>
          <w:rFonts w:cstheme="minorHAnsi"/>
          <w:bCs/>
          <w:lang w:eastAsia="en-GB"/>
        </w:rPr>
        <w:t>Year 3 (FY24/25):</w:t>
      </w:r>
      <w:r w:rsidRPr="008A6564">
        <w:rPr>
          <w:rFonts w:cstheme="minorHAnsi"/>
          <w:b/>
          <w:lang w:eastAsia="en-GB"/>
        </w:rPr>
        <w:t xml:space="preserve"> </w:t>
      </w:r>
      <w:r w:rsidR="008A6564">
        <w:rPr>
          <w:rFonts w:cstheme="minorHAnsi"/>
          <w:b/>
          <w:lang w:eastAsia="en-GB"/>
        </w:rPr>
        <w:t xml:space="preserve">up to </w:t>
      </w:r>
      <w:r w:rsidRPr="008A6564">
        <w:rPr>
          <w:rFonts w:cstheme="minorHAnsi"/>
          <w:b/>
          <w:lang w:eastAsia="en-GB"/>
        </w:rPr>
        <w:t>£</w:t>
      </w:r>
      <w:r w:rsidR="004774FB" w:rsidRPr="008A6564">
        <w:rPr>
          <w:rFonts w:cstheme="minorHAnsi"/>
          <w:b/>
          <w:lang w:eastAsia="en-GB"/>
        </w:rPr>
        <w:t>0.8m</w:t>
      </w:r>
    </w:p>
    <w:p w14:paraId="5CF26973" w14:textId="08419852" w:rsidR="00AE79F1" w:rsidRPr="00AE79F1" w:rsidRDefault="00E64DE2" w:rsidP="00947E4C">
      <w:pPr>
        <w:pStyle w:val="BodyText2"/>
        <w:spacing w:after="240"/>
        <w:jc w:val="both"/>
        <w:rPr>
          <w:b w:val="0"/>
          <w:u w:val="single"/>
        </w:rPr>
      </w:pPr>
      <w:r w:rsidRPr="00AE79F1">
        <w:rPr>
          <w:b w:val="0"/>
          <w:u w:val="single"/>
        </w:rPr>
        <w:t>Potential activities that can use ODA funding include</w:t>
      </w:r>
      <w:r w:rsidR="00AE79F1" w:rsidRPr="00AE79F1">
        <w:rPr>
          <w:b w:val="0"/>
          <w:u w:val="single"/>
        </w:rPr>
        <w:t xml:space="preserve"> (not exhaustive):</w:t>
      </w:r>
    </w:p>
    <w:p w14:paraId="1A41449E" w14:textId="44D5AEB9" w:rsidR="008700CD" w:rsidRDefault="008700CD" w:rsidP="005C25BE">
      <w:pPr>
        <w:pStyle w:val="BodyText2"/>
        <w:numPr>
          <w:ilvl w:val="0"/>
          <w:numId w:val="27"/>
        </w:numPr>
        <w:spacing w:after="0"/>
        <w:jc w:val="both"/>
        <w:rPr>
          <w:b w:val="0"/>
        </w:rPr>
      </w:pPr>
      <w:r w:rsidRPr="00AE79F1">
        <w:rPr>
          <w:bCs w:val="0"/>
        </w:rPr>
        <w:t xml:space="preserve">Travel and subsistence for </w:t>
      </w:r>
      <w:r w:rsidR="003170BE">
        <w:rPr>
          <w:bCs w:val="0"/>
        </w:rPr>
        <w:t>up to 2</w:t>
      </w:r>
      <w:r>
        <w:rPr>
          <w:bCs w:val="0"/>
        </w:rPr>
        <w:t xml:space="preserve"> delegate</w:t>
      </w:r>
      <w:r w:rsidR="003170BE">
        <w:rPr>
          <w:bCs w:val="0"/>
        </w:rPr>
        <w:t>s</w:t>
      </w:r>
      <w:r w:rsidRPr="00AE79F1">
        <w:rPr>
          <w:bCs w:val="0"/>
        </w:rPr>
        <w:t xml:space="preserve"> per ODA-eligible country</w:t>
      </w:r>
      <w:r w:rsidRPr="00AE79F1">
        <w:rPr>
          <w:b w:val="0"/>
        </w:rPr>
        <w:t>,</w:t>
      </w:r>
      <w:r>
        <w:rPr>
          <w:b w:val="0"/>
        </w:rPr>
        <w:t xml:space="preserve"> to ensure participation from all countries in the INC process. This</w:t>
      </w:r>
      <w:r w:rsidR="003170BE">
        <w:rPr>
          <w:b w:val="0"/>
        </w:rPr>
        <w:t xml:space="preserve"> contribution will de-risk </w:t>
      </w:r>
      <w:r>
        <w:rPr>
          <w:b w:val="0"/>
        </w:rPr>
        <w:t xml:space="preserve">the </w:t>
      </w:r>
      <w:r w:rsidRPr="008700CD">
        <w:rPr>
          <w:b w:val="0"/>
        </w:rPr>
        <w:t xml:space="preserve">likelihood </w:t>
      </w:r>
      <w:r w:rsidR="003170BE">
        <w:rPr>
          <w:b w:val="0"/>
        </w:rPr>
        <w:t>of only one negotiating track occurring, so negotiations can proceed at pace and</w:t>
      </w:r>
      <w:r w:rsidRPr="008700CD">
        <w:rPr>
          <w:b w:val="0"/>
        </w:rPr>
        <w:t xml:space="preserve"> be agreed by the end of 2024 with buy-in and support from the greatest number of countries possible, leading to more positive outcomes and a greater reduction in plastic pollution in the long-term</w:t>
      </w:r>
      <w:r w:rsidR="00E52D65">
        <w:rPr>
          <w:b w:val="0"/>
        </w:rPr>
        <w:t>;</w:t>
      </w:r>
    </w:p>
    <w:p w14:paraId="180D64D6" w14:textId="530BBE4F" w:rsidR="008700CD" w:rsidRDefault="008700CD" w:rsidP="005C25BE">
      <w:pPr>
        <w:pStyle w:val="BodyText2"/>
        <w:numPr>
          <w:ilvl w:val="0"/>
          <w:numId w:val="27"/>
        </w:numPr>
        <w:spacing w:after="0"/>
        <w:jc w:val="both"/>
        <w:rPr>
          <w:b w:val="0"/>
        </w:rPr>
      </w:pPr>
      <w:r w:rsidRPr="008700CD">
        <w:rPr>
          <w:bCs w:val="0"/>
        </w:rPr>
        <w:t xml:space="preserve">Support for </w:t>
      </w:r>
      <w:r w:rsidR="3DAFA834">
        <w:t xml:space="preserve">ODA-eligible delegates at </w:t>
      </w:r>
      <w:r w:rsidRPr="008700CD">
        <w:rPr>
          <w:bCs w:val="0"/>
        </w:rPr>
        <w:t>intersessional regional meetings</w:t>
      </w:r>
      <w:r>
        <w:t xml:space="preserve"> </w:t>
      </w:r>
      <w:r w:rsidR="3DAFA834">
        <w:rPr>
          <w:b w:val="0"/>
          <w:bCs w:val="0"/>
        </w:rPr>
        <w:t>including possible funding to support meeting proceedings where all attendees are ODA eligible (such as the Africa region)</w:t>
      </w:r>
      <w:r w:rsidR="00E52D65">
        <w:rPr>
          <w:b w:val="0"/>
          <w:bCs w:val="0"/>
        </w:rPr>
        <w:t>;</w:t>
      </w:r>
    </w:p>
    <w:p w14:paraId="12D40CA4" w14:textId="21EA652E" w:rsidR="00AE79F1" w:rsidRDefault="00AE79F1" w:rsidP="005C25BE">
      <w:pPr>
        <w:pStyle w:val="BodyText2"/>
        <w:numPr>
          <w:ilvl w:val="0"/>
          <w:numId w:val="27"/>
        </w:numPr>
        <w:spacing w:after="0"/>
        <w:jc w:val="both"/>
        <w:rPr>
          <w:b w:val="0"/>
        </w:rPr>
      </w:pPr>
      <w:r w:rsidRPr="00AE79F1">
        <w:rPr>
          <w:bCs w:val="0"/>
        </w:rPr>
        <w:t>T</w:t>
      </w:r>
      <w:r w:rsidR="00E64DE2" w:rsidRPr="00AE79F1">
        <w:rPr>
          <w:bCs w:val="0"/>
        </w:rPr>
        <w:t xml:space="preserve">raining for </w:t>
      </w:r>
      <w:r w:rsidR="002C03BD">
        <w:rPr>
          <w:bCs w:val="0"/>
        </w:rPr>
        <w:t>delegates</w:t>
      </w:r>
      <w:r w:rsidR="00E64DE2" w:rsidRPr="00AE79F1">
        <w:rPr>
          <w:bCs w:val="0"/>
        </w:rPr>
        <w:t xml:space="preserve"> taking leadership roles</w:t>
      </w:r>
      <w:r w:rsidR="00E64DE2">
        <w:rPr>
          <w:bCs w:val="0"/>
        </w:rPr>
        <w:t xml:space="preserve"> </w:t>
      </w:r>
      <w:r w:rsidR="002C03BD">
        <w:rPr>
          <w:bCs w:val="0"/>
        </w:rPr>
        <w:t>from ODA-eligible countries</w:t>
      </w:r>
      <w:r w:rsidR="00E64DE2" w:rsidRPr="150D0DB9">
        <w:rPr>
          <w:b w:val="0"/>
          <w:bCs w:val="0"/>
        </w:rPr>
        <w:t xml:space="preserve"> (e.g.</w:t>
      </w:r>
      <w:r w:rsidR="00E64DE2">
        <w:rPr>
          <w:b w:val="0"/>
          <w:bCs w:val="0"/>
        </w:rPr>
        <w:t xml:space="preserve">, </w:t>
      </w:r>
      <w:r w:rsidR="00E64DE2" w:rsidRPr="150D0DB9">
        <w:rPr>
          <w:b w:val="0"/>
          <w:bCs w:val="0"/>
        </w:rPr>
        <w:t>chairing, co-facilitating</w:t>
      </w:r>
      <w:r w:rsidR="002C03BD">
        <w:rPr>
          <w:b w:val="0"/>
          <w:bCs w:val="0"/>
        </w:rPr>
        <w:t>, members of the Bureau</w:t>
      </w:r>
      <w:r>
        <w:rPr>
          <w:b w:val="0"/>
          <w:bCs w:val="0"/>
        </w:rPr>
        <w:t>)</w:t>
      </w:r>
      <w:r w:rsidR="00BB0194">
        <w:rPr>
          <w:b w:val="0"/>
          <w:bCs w:val="0"/>
        </w:rPr>
        <w:t>.</w:t>
      </w:r>
    </w:p>
    <w:p w14:paraId="38384FEF" w14:textId="635F47F8" w:rsidR="008A6E85" w:rsidRDefault="008A6E85" w:rsidP="008A6E85">
      <w:pPr>
        <w:pStyle w:val="BodyText2"/>
        <w:spacing w:after="0"/>
        <w:jc w:val="both"/>
        <w:rPr>
          <w:b w:val="0"/>
        </w:rPr>
      </w:pPr>
    </w:p>
    <w:p w14:paraId="430F6A11" w14:textId="47B133FE" w:rsidR="008A6E85" w:rsidRPr="00480B63" w:rsidRDefault="008A6E85" w:rsidP="008A6E85">
      <w:r>
        <w:t xml:space="preserve">The funding for </w:t>
      </w:r>
      <w:r w:rsidR="00216685">
        <w:t>INC</w:t>
      </w:r>
      <w:r>
        <w:t xml:space="preserve"> was e</w:t>
      </w:r>
      <w:r w:rsidR="002965EC">
        <w:t>stimated</w:t>
      </w:r>
      <w:r>
        <w:t xml:space="preserve"> in the Blue Planet Fund’s return for the 2021 Spending Review </w:t>
      </w:r>
      <w:r w:rsidR="002965EC">
        <w:t xml:space="preserve">bid </w:t>
      </w:r>
      <w:r>
        <w:t xml:space="preserve">at </w:t>
      </w:r>
      <w:r w:rsidR="002965EC">
        <w:t>£</w:t>
      </w:r>
      <w:r>
        <w:t>1.5 million across the three years.</w:t>
      </w:r>
      <w:r w:rsidR="008B79EE">
        <w:t xml:space="preserve"> This was part of a </w:t>
      </w:r>
      <w:r w:rsidR="00A67F96">
        <w:t>general</w:t>
      </w:r>
      <w:r w:rsidR="008B79EE">
        <w:t xml:space="preserve"> allocat</w:t>
      </w:r>
      <w:r w:rsidR="00A67F96">
        <w:t xml:space="preserve">ion </w:t>
      </w:r>
      <w:r w:rsidR="008B79EE">
        <w:t xml:space="preserve">for pollution programmes </w:t>
      </w:r>
      <w:r w:rsidR="00A67F96">
        <w:t>delivered under</w:t>
      </w:r>
      <w:r w:rsidR="008B79EE">
        <w:t xml:space="preserve"> the BPF, </w:t>
      </w:r>
      <w:r w:rsidR="00A67F96">
        <w:t>and</w:t>
      </w:r>
      <w:r w:rsidR="008B79EE">
        <w:t xml:space="preserve"> not specifically attributed to the INC process.</w:t>
      </w:r>
      <w:r>
        <w:t xml:space="preserve"> Th</w:t>
      </w:r>
      <w:r w:rsidR="00A67F96">
        <w:t>e £1.5m estimate</w:t>
      </w:r>
      <w:r>
        <w:t xml:space="preserve"> has been revis</w:t>
      </w:r>
      <w:r w:rsidR="002965EC">
        <w:t xml:space="preserve">ed up </w:t>
      </w:r>
      <w:r w:rsidR="00004683">
        <w:t>in line with demand from the INC in line with countries of similar ambition to the UK</w:t>
      </w:r>
      <w:r w:rsidR="001D4BA5">
        <w:t xml:space="preserve">, </w:t>
      </w:r>
      <w:r>
        <w:t>and</w:t>
      </w:r>
      <w:r w:rsidR="001D4BA5">
        <w:t xml:space="preserve"> to</w:t>
      </w:r>
      <w:r>
        <w:t xml:space="preserve"> demonstrate the UK’s leading role in catalysing action as we negotiate a legally-binding global instrument on tackling plastic pollution.</w:t>
      </w:r>
    </w:p>
    <w:p w14:paraId="79FE1D09" w14:textId="77777777" w:rsidR="00AE79F1" w:rsidRDefault="00AE79F1" w:rsidP="00524626"/>
    <w:p w14:paraId="0644B5E6" w14:textId="158ED1A1" w:rsidR="004846AA" w:rsidRPr="00217F59" w:rsidRDefault="009E0BBB" w:rsidP="00F47E59">
      <w:pPr>
        <w:pStyle w:val="Heading2"/>
      </w:pPr>
      <w:bookmarkStart w:id="17" w:name="_Toc121224097"/>
      <w:r w:rsidRPr="00217F59">
        <w:t xml:space="preserve">How will this programme contribute to </w:t>
      </w:r>
      <w:r w:rsidR="00E64DE2">
        <w:t xml:space="preserve">UK, Defra and BPF </w:t>
      </w:r>
      <w:r w:rsidRPr="00217F59">
        <w:t>outcomes?</w:t>
      </w:r>
      <w:bookmarkEnd w:id="17"/>
    </w:p>
    <w:p w14:paraId="756E3DD8" w14:textId="06B287B8" w:rsidR="00111848" w:rsidRPr="00EE1D3D" w:rsidRDefault="00426ED0" w:rsidP="00613ABF">
      <w:pPr>
        <w:spacing w:after="240"/>
        <w:rPr>
          <w:b/>
          <w:u w:val="single"/>
        </w:rPr>
      </w:pPr>
      <w:r w:rsidRPr="00EE1D3D">
        <w:rPr>
          <w:b/>
          <w:u w:val="single"/>
        </w:rPr>
        <w:t xml:space="preserve">UK </w:t>
      </w:r>
      <w:r w:rsidR="00AA4B4B" w:rsidRPr="00EE1D3D">
        <w:rPr>
          <w:b/>
          <w:u w:val="single"/>
        </w:rPr>
        <w:t>&amp; Defra</w:t>
      </w:r>
      <w:r w:rsidRPr="00EE1D3D">
        <w:rPr>
          <w:b/>
          <w:u w:val="single"/>
        </w:rPr>
        <w:t xml:space="preserve"> outcomes</w:t>
      </w:r>
    </w:p>
    <w:p w14:paraId="099390FD" w14:textId="5D1A2E08" w:rsidR="00704E23" w:rsidRDefault="00704E23" w:rsidP="00613ABF">
      <w:pPr>
        <w:spacing w:after="240"/>
        <w:rPr>
          <w:rFonts w:cstheme="minorHAnsi"/>
        </w:rPr>
      </w:pPr>
      <w:r>
        <w:t>Addressing</w:t>
      </w:r>
      <w:r w:rsidR="00AA4B4B" w:rsidRPr="00EE1D3D">
        <w:t xml:space="preserve"> marine pollution is a UK Government priority</w:t>
      </w:r>
      <w:r w:rsidRPr="00EE1D3D">
        <w:t xml:space="preserve"> and </w:t>
      </w:r>
      <w:r>
        <w:t>the UK</w:t>
      </w:r>
      <w:r w:rsidRPr="00704E23">
        <w:t xml:space="preserve"> are global leaders in driving forward ambitious action to reduce plastic pollution in the ocean.</w:t>
      </w:r>
      <w:r w:rsidR="00AA4B4B">
        <w:t xml:space="preserve"> HMG’s </w:t>
      </w:r>
      <w:r w:rsidR="00AA4B4B" w:rsidRPr="00B92C37">
        <w:rPr>
          <w:b/>
          <w:bCs/>
        </w:rPr>
        <w:t>25 Year Environment Plan</w:t>
      </w:r>
      <w:r w:rsidR="00AA4B4B">
        <w:t xml:space="preserve"> states that “tackling marine litter requires coordinated global and regional strategies” and th</w:t>
      </w:r>
      <w:r w:rsidR="00E64DE2">
        <w:t>at</w:t>
      </w:r>
      <w:r w:rsidR="00AA4B4B">
        <w:t xml:space="preserve"> “the </w:t>
      </w:r>
      <w:r w:rsidR="00AA4B4B">
        <w:lastRenderedPageBreak/>
        <w:t>UK will pursue a sustainable, international and transboundary approach”</w:t>
      </w:r>
      <w:r w:rsidR="00AA4B4B" w:rsidRPr="003A4533">
        <w:rPr>
          <w:rStyle w:val="FootnoteReference"/>
          <w:rFonts w:cstheme="minorHAnsi"/>
          <w:i/>
          <w:iCs/>
        </w:rPr>
        <w:footnoteReference w:id="19"/>
      </w:r>
      <w:r>
        <w:rPr>
          <w:i/>
          <w:iCs/>
        </w:rPr>
        <w:t>.</w:t>
      </w:r>
      <w:r w:rsidR="001074FF">
        <w:rPr>
          <w:i/>
          <w:iCs/>
        </w:rPr>
        <w:t xml:space="preserve"> </w:t>
      </w:r>
      <w:r w:rsidR="00AA4B4B" w:rsidRPr="009B3A66">
        <w:t>P</w:t>
      </w:r>
      <w:r w:rsidR="00AA4B4B" w:rsidRPr="00217F59">
        <w:t xml:space="preserve">lastic pollution is a global challenge, and the UK </w:t>
      </w:r>
      <w:r w:rsidR="00E64DE2">
        <w:t>prioriti</w:t>
      </w:r>
      <w:r w:rsidR="003170BE">
        <w:t>s</w:t>
      </w:r>
      <w:r w:rsidR="00E64DE2">
        <w:t xml:space="preserve">es </w:t>
      </w:r>
      <w:r w:rsidR="00AA4B4B" w:rsidRPr="00217F59">
        <w:t>engag</w:t>
      </w:r>
      <w:r w:rsidR="00E64DE2">
        <w:t>ing</w:t>
      </w:r>
      <w:r w:rsidR="00AA4B4B" w:rsidRPr="00217F59">
        <w:t xml:space="preserve"> across multilateral forums and organisations </w:t>
      </w:r>
      <w:r w:rsidR="00AA4B4B" w:rsidRPr="00217F59">
        <w:rPr>
          <w:shd w:val="clear" w:color="auto" w:fill="FFFFFF"/>
        </w:rPr>
        <w:t>to raise global ambition and drive action to minimise plastic waste from both land</w:t>
      </w:r>
      <w:r w:rsidR="00AA4B4B">
        <w:rPr>
          <w:shd w:val="clear" w:color="auto" w:fill="FFFFFF"/>
        </w:rPr>
        <w:t>-</w:t>
      </w:r>
      <w:r w:rsidR="00AA4B4B" w:rsidRPr="00217F59">
        <w:rPr>
          <w:shd w:val="clear" w:color="auto" w:fill="FFFFFF"/>
        </w:rPr>
        <w:t xml:space="preserve"> and sea-based sources</w:t>
      </w:r>
      <w:r w:rsidR="00AA4B4B" w:rsidRPr="00217F59">
        <w:t xml:space="preserve">, including the G7 and G20, the OSPAR Convention, the World Trade Organisation and Organisation for Economic Co-operation and Development. </w:t>
      </w:r>
      <w:r w:rsidR="00F91386">
        <w:rPr>
          <w:rFonts w:cstheme="minorHAnsi"/>
          <w:lang w:eastAsia="en-GB"/>
        </w:rPr>
        <w:t>Both components</w:t>
      </w:r>
      <w:r w:rsidR="00F91386" w:rsidRPr="00217F59">
        <w:rPr>
          <w:rFonts w:cstheme="minorHAnsi"/>
          <w:lang w:eastAsia="en-GB"/>
        </w:rPr>
        <w:t xml:space="preserve"> fall within the marine pollution outcome for the Blue Planet Fund, which is governed by the following: </w:t>
      </w:r>
      <w:r w:rsidR="00F91386" w:rsidRPr="00217F59">
        <w:rPr>
          <w:rFonts w:cstheme="minorHAnsi"/>
          <w:b/>
          <w:bCs/>
          <w:i/>
          <w:iCs/>
        </w:rPr>
        <w:t>“Marine pollution reduced through action on land-based and sea-based sources that also contribute to improved livelihoods and healthier environments”</w:t>
      </w:r>
      <w:r w:rsidR="00F91386" w:rsidRPr="00217F59">
        <w:rPr>
          <w:rFonts w:cstheme="minorHAnsi"/>
        </w:rPr>
        <w:t>.</w:t>
      </w:r>
    </w:p>
    <w:p w14:paraId="388A04B2" w14:textId="228AA1A0" w:rsidR="00F24EB4" w:rsidRPr="00F24EB4" w:rsidRDefault="00F24EB4" w:rsidP="004E3328">
      <w:pPr>
        <w:pStyle w:val="Heading3"/>
      </w:pPr>
      <w:r>
        <w:t>TIDE TURNERS</w:t>
      </w:r>
    </w:p>
    <w:p w14:paraId="7C7FB35B" w14:textId="0E38128F" w:rsidR="00E31D85" w:rsidRPr="00565E6E" w:rsidRDefault="001074FF" w:rsidP="00613ABF">
      <w:pPr>
        <w:spacing w:after="240"/>
        <w:rPr>
          <w:rFonts w:ascii="Calibri" w:eastAsiaTheme="minorEastAsia" w:hAnsi="Calibri" w:cstheme="minorHAnsi"/>
          <w:i/>
          <w:u w:val="single"/>
        </w:rPr>
      </w:pPr>
      <w:r w:rsidRPr="00565E6E">
        <w:rPr>
          <w:b/>
        </w:rPr>
        <w:t>The</w:t>
      </w:r>
      <w:r w:rsidR="00E31D85" w:rsidRPr="00217F59">
        <w:rPr>
          <w:b/>
          <w:bCs/>
        </w:rPr>
        <w:t xml:space="preserve"> </w:t>
      </w:r>
      <w:r w:rsidR="00112C16">
        <w:rPr>
          <w:b/>
          <w:bCs/>
        </w:rPr>
        <w:t xml:space="preserve">UNEP </w:t>
      </w:r>
      <w:r w:rsidR="00E31D85" w:rsidRPr="00217F59">
        <w:rPr>
          <w:b/>
          <w:bCs/>
        </w:rPr>
        <w:t xml:space="preserve">Tide Turners programme </w:t>
      </w:r>
      <w:r w:rsidR="00E31D85" w:rsidRPr="00BD39C8">
        <w:t xml:space="preserve">takes participants on a learning journey consisting of three different levels: entry, leader, and champion. </w:t>
      </w:r>
      <w:r w:rsidR="003755B3">
        <w:t xml:space="preserve">This programme was designed in collaboration with the Scouts and Girl Guides, and continue to work closely on the framework. </w:t>
      </w:r>
      <w:r w:rsidR="00E31D85" w:rsidRPr="00BD39C8">
        <w:t>The young people who make it to t</w:t>
      </w:r>
      <w:r w:rsidR="00E31D85" w:rsidRPr="00217F59">
        <w:t>he champion level will have gained a thorough understanding of marine plastic pollution and how to address it and</w:t>
      </w:r>
      <w:r w:rsidR="00E31D85" w:rsidRPr="00BD39C8">
        <w:t xml:space="preserve"> are well equipped to become leaders in their communities</w:t>
      </w:r>
      <w:r w:rsidR="00E2100C">
        <w:t xml:space="preserve"> </w:t>
      </w:r>
      <w:r w:rsidR="00E2100C" w:rsidRPr="00565E6E">
        <w:rPr>
          <w:b/>
          <w:bCs/>
        </w:rPr>
        <w:t>(please see Case Study Example 1 below)</w:t>
      </w:r>
      <w:r w:rsidR="00E31D85" w:rsidRPr="00565E6E">
        <w:rPr>
          <w:b/>
          <w:bCs/>
        </w:rPr>
        <w:t>.</w:t>
      </w:r>
    </w:p>
    <w:p w14:paraId="7FD7D004" w14:textId="4C7014D9" w:rsidR="00E2100C" w:rsidRDefault="00E2100C" w:rsidP="00E2100C">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after="240" w:line="240" w:lineRule="auto"/>
        <w:ind w:left="0"/>
      </w:pPr>
      <w:r w:rsidRPr="00FC5491">
        <w:rPr>
          <w:rFonts w:cstheme="minorHAnsi"/>
          <w:b/>
          <w:u w:val="single"/>
        </w:rPr>
        <w:t xml:space="preserve">Case Study </w:t>
      </w:r>
      <w:r w:rsidRPr="00565E6E">
        <w:rPr>
          <w:rFonts w:cstheme="minorHAnsi"/>
          <w:b/>
          <w:bCs/>
          <w:iCs/>
          <w:u w:val="single"/>
        </w:rPr>
        <w:t>Example 1</w:t>
      </w:r>
      <w:r w:rsidR="00FC5491" w:rsidRPr="00565E6E">
        <w:rPr>
          <w:b/>
          <w:bCs/>
          <w:sz w:val="20"/>
          <w:szCs w:val="20"/>
          <w:u w:val="single"/>
        </w:rPr>
        <w:t xml:space="preserve"> - </w:t>
      </w:r>
      <w:r w:rsidRPr="00565E6E">
        <w:rPr>
          <w:b/>
          <w:bCs/>
          <w:u w:val="single"/>
        </w:rPr>
        <w:t>Sneha Shahi (India):</w:t>
      </w:r>
      <w:r w:rsidRPr="00217F59">
        <w:t xml:space="preserve"> Sneha </w:t>
      </w:r>
      <w:r w:rsidRPr="00B36A3E">
        <w:t>signed up 300 other students from her college</w:t>
      </w:r>
      <w:r>
        <w:t xml:space="preserve"> and </w:t>
      </w:r>
      <w:r w:rsidRPr="00217F59">
        <w:t xml:space="preserve">worked to clean </w:t>
      </w:r>
      <w:r>
        <w:t>a</w:t>
      </w:r>
      <w:r w:rsidRPr="00217F59">
        <w:t xml:space="preserve"> section of the Bukhi River on her University campus in Gujarat which led to the return of crocodiles and flapjack turtles, as a result of this experience she is now doing a PhD in Environmental Science.</w:t>
      </w:r>
      <w:r>
        <w:t xml:space="preserve">  In a joint effort, students signed up by Sneha removed 700KG (0.7 tonnes) of waste from the urban stream</w:t>
      </w:r>
      <w:r>
        <w:rPr>
          <w:rStyle w:val="FootnoteReference"/>
        </w:rPr>
        <w:footnoteReference w:id="20"/>
      </w:r>
      <w:r>
        <w:t xml:space="preserve">. </w:t>
      </w:r>
    </w:p>
    <w:p w14:paraId="15541BF2" w14:textId="77777777" w:rsidR="00E2100C" w:rsidRDefault="00E2100C" w:rsidP="00E2100C">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before="240" w:after="240" w:line="240" w:lineRule="auto"/>
        <w:ind w:left="0"/>
        <w:rPr>
          <w:rFonts w:cstheme="minorHAnsi"/>
          <w:i/>
          <w:iCs/>
        </w:rPr>
      </w:pPr>
    </w:p>
    <w:p w14:paraId="56C0DB5E" w14:textId="7A5D2AEC" w:rsidR="00E2100C" w:rsidRDefault="00E2100C" w:rsidP="29A29EE0">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after="240" w:line="240" w:lineRule="auto"/>
        <w:ind w:left="0"/>
      </w:pPr>
      <w:r>
        <w:t>The estimated GHG emissions savings of moving 700KG of waste from the residual waste in the marine environment to recycling is £120.74</w:t>
      </w:r>
      <w:r>
        <w:rPr>
          <w:rStyle w:val="FootnoteReference"/>
        </w:rPr>
        <w:footnoteReference w:id="21"/>
      </w:r>
      <w:r>
        <w:t xml:space="preserve">. </w:t>
      </w:r>
      <w:r w:rsidR="004925D0">
        <w:t>At this rate</w:t>
      </w:r>
      <w:r w:rsidR="00F115CF">
        <w:t xml:space="preserve"> of return</w:t>
      </w:r>
      <w:r>
        <w:t xml:space="preserve">, </w:t>
      </w:r>
      <w:r w:rsidRPr="00E52D65">
        <w:t xml:space="preserve">13,252 </w:t>
      </w:r>
      <w:r w:rsidR="00457AD7">
        <w:t xml:space="preserve">out of the estimated 165,000 </w:t>
      </w:r>
      <w:r w:rsidRPr="00E52D65">
        <w:t>participants</w:t>
      </w:r>
      <w:r w:rsidR="007005BF">
        <w:t xml:space="preserve"> (or 8%)</w:t>
      </w:r>
      <w:r w:rsidRPr="00E52D65">
        <w:t xml:space="preserve"> would need to deliver </w:t>
      </w:r>
      <w:r w:rsidR="00457AD7">
        <w:t>similar waste reduction</w:t>
      </w:r>
      <w:r w:rsidRPr="00E52D65">
        <w:t xml:space="preserve"> in their community for the Defra investment (£1.6m) to breakeven</w:t>
      </w:r>
      <w:r w:rsidR="007005BF">
        <w:t xml:space="preserve"> by March 2025</w:t>
      </w:r>
      <w:r w:rsidRPr="00E52D65">
        <w:t xml:space="preserve">. </w:t>
      </w:r>
    </w:p>
    <w:p w14:paraId="3FAC97CA" w14:textId="77777777" w:rsidR="00E2100C" w:rsidRDefault="00E2100C" w:rsidP="00E2100C">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after="240" w:line="240" w:lineRule="auto"/>
        <w:ind w:left="0"/>
      </w:pPr>
    </w:p>
    <w:p w14:paraId="4B11AAF2" w14:textId="3264DBF8" w:rsidR="00E2100C" w:rsidRPr="00217F59" w:rsidRDefault="00E2100C" w:rsidP="00565E6E">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after="240" w:line="240" w:lineRule="auto"/>
        <w:ind w:left="0"/>
      </w:pPr>
      <w:r>
        <w:t xml:space="preserve">If we assume that 10% of the total waste removed from the urban stream was recycled and sold on a secondary market, a further £34 could be generated from material revenues. The material revenue benefits could be obtained by the local </w:t>
      </w:r>
      <w:r w:rsidDel="00BD46FC">
        <w:t>community</w:t>
      </w:r>
      <w:r>
        <w:t xml:space="preserve"> but could alternatively be obtained by another community/organisation (such as an authoritative body). </w:t>
      </w:r>
      <w:r>
        <w:rPr>
          <w:b/>
          <w:bCs/>
        </w:rPr>
        <w:t>In this scenario,</w:t>
      </w:r>
      <w:r w:rsidRPr="00217F59">
        <w:rPr>
          <w:b/>
          <w:bCs/>
        </w:rPr>
        <w:t xml:space="preserve"> 10</w:t>
      </w:r>
      <w:r>
        <w:rPr>
          <w:b/>
          <w:bCs/>
        </w:rPr>
        <w:t>,</w:t>
      </w:r>
      <w:r w:rsidRPr="00217F59">
        <w:rPr>
          <w:b/>
          <w:bCs/>
        </w:rPr>
        <w:t xml:space="preserve">338 participants would be required to deliver meaningful change for the investment to breakeven - </w:t>
      </w:r>
      <w:r>
        <w:rPr>
          <w:b/>
          <w:bCs/>
        </w:rPr>
        <w:t>6</w:t>
      </w:r>
      <w:r w:rsidRPr="00217F59">
        <w:rPr>
          <w:b/>
          <w:bCs/>
        </w:rPr>
        <w:t>% of total participants.</w:t>
      </w:r>
      <w:r w:rsidRPr="00313F8B">
        <w:t xml:space="preserve"> </w:t>
      </w:r>
    </w:p>
    <w:p w14:paraId="6D9A30E7" w14:textId="3E016F47" w:rsidR="00427157" w:rsidRPr="00E52D65" w:rsidRDefault="008A7BB2" w:rsidP="00613ABF">
      <w:pPr>
        <w:spacing w:after="240"/>
      </w:pPr>
      <w:r w:rsidRPr="00E52D65">
        <w:t>Please see a list of ‘Significant Country Outcome</w:t>
      </w:r>
      <w:r w:rsidR="00E52D65">
        <w:t>s</w:t>
      </w:r>
      <w:r w:rsidRPr="00E52D65">
        <w:t>’ as a result of UK investment belo</w:t>
      </w:r>
      <w:r w:rsidR="00E52D65">
        <w:t>w:</w:t>
      </w: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336"/>
        <w:gridCol w:w="7670"/>
      </w:tblGrid>
      <w:tr w:rsidR="00533071" w:rsidRPr="00805248" w14:paraId="5817267E" w14:textId="77777777" w:rsidTr="00565E6E">
        <w:trPr>
          <w:trHeight w:val="3"/>
        </w:trPr>
        <w:tc>
          <w:tcPr>
            <w:tcW w:w="742" w:type="pct"/>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03157E21" w14:textId="77777777" w:rsidR="00533071" w:rsidRPr="00217F59" w:rsidRDefault="00533071" w:rsidP="00C652C8">
            <w:pPr>
              <w:spacing w:after="120"/>
              <w:jc w:val="left"/>
              <w:rPr>
                <w:rFonts w:cstheme="minorHAnsi"/>
                <w:b/>
                <w:sz w:val="20"/>
                <w:szCs w:val="20"/>
              </w:rPr>
            </w:pPr>
            <w:r w:rsidRPr="00217F59">
              <w:rPr>
                <w:rFonts w:cstheme="minorHAnsi"/>
                <w:b/>
                <w:sz w:val="20"/>
                <w:szCs w:val="20"/>
              </w:rPr>
              <w:t>Country</w:t>
            </w:r>
          </w:p>
        </w:tc>
        <w:tc>
          <w:tcPr>
            <w:tcW w:w="4258" w:type="pct"/>
            <w:tcBorders>
              <w:top w:val="single" w:sz="8" w:space="0" w:color="000000"/>
              <w:left w:val="nil"/>
              <w:bottom w:val="single" w:sz="8" w:space="0" w:color="000000"/>
              <w:right w:val="single" w:sz="8" w:space="0" w:color="000000"/>
            </w:tcBorders>
            <w:shd w:val="clear" w:color="auto" w:fill="B4C6E7"/>
            <w:tcMar>
              <w:top w:w="100" w:type="dxa"/>
              <w:left w:w="100" w:type="dxa"/>
              <w:bottom w:w="100" w:type="dxa"/>
              <w:right w:w="100" w:type="dxa"/>
            </w:tcMar>
          </w:tcPr>
          <w:p w14:paraId="6A945894" w14:textId="77777777" w:rsidR="00533071" w:rsidRPr="00217F59" w:rsidRDefault="00533071" w:rsidP="00C652C8">
            <w:pPr>
              <w:spacing w:after="120"/>
              <w:jc w:val="left"/>
              <w:rPr>
                <w:rFonts w:cstheme="minorHAnsi"/>
                <w:sz w:val="20"/>
                <w:szCs w:val="20"/>
              </w:rPr>
            </w:pPr>
            <w:r w:rsidRPr="00217F59">
              <w:rPr>
                <w:rFonts w:cstheme="minorHAnsi"/>
                <w:sz w:val="20"/>
                <w:szCs w:val="20"/>
              </w:rPr>
              <w:t>Significant Outcome delivered with support of the Tide Turners</w:t>
            </w:r>
          </w:p>
        </w:tc>
      </w:tr>
      <w:tr w:rsidR="00533071" w:rsidRPr="00805248" w14:paraId="6539E74B" w14:textId="77777777" w:rsidTr="00565E6E">
        <w:trPr>
          <w:trHeight w:val="3"/>
        </w:trPr>
        <w:tc>
          <w:tcPr>
            <w:tcW w:w="742"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2CA2DE" w14:textId="77777777" w:rsidR="00533071" w:rsidRPr="00217F59" w:rsidRDefault="00533071" w:rsidP="00C652C8">
            <w:pPr>
              <w:spacing w:after="120"/>
              <w:jc w:val="left"/>
              <w:rPr>
                <w:rFonts w:cstheme="minorHAnsi"/>
                <w:sz w:val="20"/>
                <w:szCs w:val="20"/>
              </w:rPr>
            </w:pPr>
            <w:r w:rsidRPr="00217F59">
              <w:rPr>
                <w:rFonts w:cstheme="minorHAnsi"/>
                <w:sz w:val="20"/>
                <w:szCs w:val="20"/>
              </w:rPr>
              <w:t>Uganda</w:t>
            </w:r>
          </w:p>
        </w:tc>
        <w:tc>
          <w:tcPr>
            <w:tcW w:w="4258" w:type="pct"/>
            <w:tcBorders>
              <w:top w:val="nil"/>
              <w:left w:val="nil"/>
              <w:bottom w:val="single" w:sz="8" w:space="0" w:color="000000"/>
              <w:right w:val="single" w:sz="8" w:space="0" w:color="000000"/>
            </w:tcBorders>
            <w:tcMar>
              <w:top w:w="100" w:type="dxa"/>
              <w:left w:w="100" w:type="dxa"/>
              <w:bottom w:w="100" w:type="dxa"/>
              <w:right w:w="100" w:type="dxa"/>
            </w:tcMar>
          </w:tcPr>
          <w:p w14:paraId="4A70D220" w14:textId="77777777" w:rsidR="00533071" w:rsidRPr="00217F59" w:rsidRDefault="00533071" w:rsidP="00C652C8">
            <w:pPr>
              <w:spacing w:after="120"/>
              <w:jc w:val="left"/>
              <w:rPr>
                <w:rFonts w:cstheme="minorHAnsi"/>
                <w:sz w:val="20"/>
                <w:szCs w:val="20"/>
              </w:rPr>
            </w:pPr>
            <w:r w:rsidRPr="00217F59">
              <w:rPr>
                <w:rFonts w:cstheme="minorHAnsi"/>
                <w:sz w:val="20"/>
                <w:szCs w:val="20"/>
              </w:rPr>
              <w:t xml:space="preserve">Reduced plastic pollution, increased community involvement in reducing plastic pollution and introducing new </w:t>
            </w:r>
            <w:r w:rsidRPr="006155F6">
              <w:rPr>
                <w:rFonts w:cstheme="minorHAnsi"/>
                <w:sz w:val="20"/>
                <w:szCs w:val="20"/>
              </w:rPr>
              <w:t>legislation</w:t>
            </w:r>
            <w:r w:rsidRPr="00217F59">
              <w:rPr>
                <w:rFonts w:cstheme="minorHAnsi"/>
                <w:sz w:val="20"/>
                <w:szCs w:val="20"/>
              </w:rPr>
              <w:t>.</w:t>
            </w:r>
          </w:p>
        </w:tc>
      </w:tr>
      <w:tr w:rsidR="00533071" w:rsidRPr="00805248" w14:paraId="76094A07" w14:textId="77777777" w:rsidTr="00565E6E">
        <w:trPr>
          <w:trHeight w:val="3"/>
        </w:trPr>
        <w:tc>
          <w:tcPr>
            <w:tcW w:w="742"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6B27FF" w14:textId="6E51D330" w:rsidR="00533071" w:rsidRPr="00217F59" w:rsidRDefault="00533071" w:rsidP="00E52D65">
            <w:pPr>
              <w:spacing w:after="120"/>
              <w:rPr>
                <w:rFonts w:cstheme="minorHAnsi"/>
                <w:sz w:val="20"/>
                <w:szCs w:val="20"/>
              </w:rPr>
            </w:pPr>
            <w:r w:rsidRPr="00217F59">
              <w:rPr>
                <w:rFonts w:cstheme="minorHAnsi"/>
                <w:sz w:val="20"/>
                <w:szCs w:val="20"/>
              </w:rPr>
              <w:t>India</w:t>
            </w:r>
          </w:p>
        </w:tc>
        <w:tc>
          <w:tcPr>
            <w:tcW w:w="4258" w:type="pct"/>
            <w:tcBorders>
              <w:top w:val="nil"/>
              <w:left w:val="nil"/>
              <w:bottom w:val="single" w:sz="8" w:space="0" w:color="000000"/>
              <w:right w:val="single" w:sz="8" w:space="0" w:color="000000"/>
            </w:tcBorders>
            <w:tcMar>
              <w:top w:w="100" w:type="dxa"/>
              <w:left w:w="100" w:type="dxa"/>
              <w:bottom w:w="100" w:type="dxa"/>
              <w:right w:w="100" w:type="dxa"/>
            </w:tcMar>
          </w:tcPr>
          <w:p w14:paraId="1EEA563A" w14:textId="77777777" w:rsidR="00533071" w:rsidRPr="00217F59" w:rsidRDefault="00533071" w:rsidP="00C652C8">
            <w:pPr>
              <w:spacing w:after="120"/>
              <w:jc w:val="left"/>
              <w:rPr>
                <w:rFonts w:cstheme="minorHAnsi"/>
                <w:sz w:val="20"/>
                <w:szCs w:val="20"/>
              </w:rPr>
            </w:pPr>
            <w:r w:rsidRPr="00217F59">
              <w:rPr>
                <w:sz w:val="20"/>
                <w:szCs w:val="20"/>
              </w:rPr>
              <w:t>India has seen the strongest uptake of Tide Turners. Indian states across the whole of India have rolled out 100,000 EcoClubs schools. India has now r</w:t>
            </w:r>
            <w:r w:rsidRPr="00217F59">
              <w:rPr>
                <w:rFonts w:cstheme="minorHAnsi"/>
                <w:sz w:val="20"/>
                <w:szCs w:val="20"/>
              </w:rPr>
              <w:t>eached 1,000 Advocacy Champions at grassroots level.</w:t>
            </w:r>
          </w:p>
          <w:p w14:paraId="1EFABAD3" w14:textId="77777777" w:rsidR="00533071" w:rsidRPr="00217F59" w:rsidRDefault="00533071" w:rsidP="00C652C8">
            <w:pPr>
              <w:spacing w:after="120"/>
              <w:rPr>
                <w:rFonts w:cstheme="minorHAnsi"/>
                <w:sz w:val="20"/>
                <w:szCs w:val="20"/>
              </w:rPr>
            </w:pPr>
            <w:r w:rsidRPr="00217F59">
              <w:rPr>
                <w:rFonts w:cstheme="minorHAnsi"/>
                <w:i/>
                <w:sz w:val="20"/>
                <w:szCs w:val="20"/>
                <w:shd w:val="clear" w:color="auto" w:fill="FFFFFF"/>
              </w:rPr>
              <w:lastRenderedPageBreak/>
              <w:t xml:space="preserve">World Wildlife Fund (WWF): </w:t>
            </w:r>
            <w:r w:rsidRPr="00217F59">
              <w:rPr>
                <w:rFonts w:cstheme="minorHAnsi"/>
                <w:sz w:val="20"/>
                <w:szCs w:val="20"/>
              </w:rPr>
              <w:t xml:space="preserve">Whilst working in India with WWF, </w:t>
            </w:r>
            <w:r>
              <w:rPr>
                <w:rFonts w:cstheme="minorHAnsi"/>
                <w:sz w:val="20"/>
                <w:szCs w:val="20"/>
              </w:rPr>
              <w:t>Tide Turners</w:t>
            </w:r>
            <w:r w:rsidRPr="00217F59">
              <w:rPr>
                <w:rFonts w:cstheme="minorHAnsi"/>
                <w:sz w:val="20"/>
                <w:szCs w:val="20"/>
              </w:rPr>
              <w:t xml:space="preserve"> adapted and revised the tide turners plastic challenge toolkit to make it suitable for the Indian population and conducted leadership workshops for over 1,600 young environment leaders. This phase witnessed participation from 25,400 youth from select universities within a period of four months and an outreach of over 10 million people through key partners.</w:t>
            </w:r>
          </w:p>
          <w:p w14:paraId="13DDFCA2" w14:textId="77777777" w:rsidR="00533071" w:rsidRPr="00217F59" w:rsidRDefault="00533071" w:rsidP="00C652C8">
            <w:pPr>
              <w:spacing w:after="120"/>
              <w:jc w:val="left"/>
              <w:rPr>
                <w:rFonts w:cstheme="minorHAnsi"/>
                <w:b/>
                <w:bCs/>
                <w:sz w:val="20"/>
                <w:szCs w:val="20"/>
                <w:shd w:val="clear" w:color="auto" w:fill="FFFFFF"/>
              </w:rPr>
            </w:pPr>
            <w:r w:rsidRPr="00217F59">
              <w:rPr>
                <w:rFonts w:cstheme="minorHAnsi"/>
                <w:i/>
                <w:iCs/>
                <w:sz w:val="20"/>
                <w:szCs w:val="20"/>
                <w:shd w:val="clear" w:color="auto" w:fill="FFFFFF"/>
              </w:rPr>
              <w:t>Centre for Environment Education (CEE)</w:t>
            </w:r>
            <w:r w:rsidRPr="00217F59">
              <w:rPr>
                <w:rFonts w:cstheme="minorHAnsi"/>
                <w:b/>
                <w:bCs/>
                <w:sz w:val="20"/>
                <w:szCs w:val="20"/>
                <w:shd w:val="clear" w:color="auto" w:fill="FFFFFF"/>
              </w:rPr>
              <w:t xml:space="preserve">: </w:t>
            </w:r>
            <w:r w:rsidRPr="00217F59">
              <w:rPr>
                <w:rFonts w:cstheme="minorHAnsi"/>
                <w:sz w:val="20"/>
                <w:szCs w:val="20"/>
                <w:shd w:val="clear" w:color="auto" w:fill="FFFFFF"/>
              </w:rPr>
              <w:t xml:space="preserve">Through their work with the UNEP, CEE reached out to 25,000 youth who took action at individual, institutional and community level to beat plastic pollution. </w:t>
            </w:r>
          </w:p>
          <w:p w14:paraId="46318D5F" w14:textId="77777777" w:rsidR="00533071" w:rsidRPr="00217F59" w:rsidRDefault="00533071" w:rsidP="00C652C8">
            <w:pPr>
              <w:spacing w:after="120"/>
              <w:rPr>
                <w:rFonts w:cstheme="minorHAnsi"/>
                <w:sz w:val="20"/>
                <w:szCs w:val="20"/>
              </w:rPr>
            </w:pPr>
            <w:r w:rsidRPr="00217F59">
              <w:rPr>
                <w:sz w:val="20"/>
                <w:szCs w:val="20"/>
              </w:rPr>
              <w:t xml:space="preserve">A survey on Indian Tide Turners participants showed that 31% of people reported having more discussions on plastic and 44% practised waste segregation after being on the programme. </w:t>
            </w:r>
            <w:r w:rsidRPr="00217F59">
              <w:rPr>
                <w:b/>
                <w:sz w:val="20"/>
                <w:szCs w:val="20"/>
                <w:u w:val="single"/>
              </w:rPr>
              <w:t xml:space="preserve"> </w:t>
            </w:r>
          </w:p>
        </w:tc>
      </w:tr>
      <w:tr w:rsidR="00533071" w:rsidRPr="00805248" w14:paraId="1F60B9D6" w14:textId="77777777" w:rsidTr="00565E6E">
        <w:trPr>
          <w:trHeight w:val="3"/>
        </w:trPr>
        <w:tc>
          <w:tcPr>
            <w:tcW w:w="742"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69EA8C" w14:textId="541FCD2D" w:rsidR="00533071" w:rsidRPr="00217F59" w:rsidRDefault="00533071" w:rsidP="00C652C8">
            <w:pPr>
              <w:spacing w:after="120"/>
              <w:jc w:val="left"/>
              <w:rPr>
                <w:rFonts w:cstheme="minorHAnsi"/>
                <w:sz w:val="20"/>
                <w:szCs w:val="20"/>
              </w:rPr>
            </w:pPr>
            <w:r w:rsidRPr="00217F59">
              <w:rPr>
                <w:rFonts w:cstheme="minorHAnsi"/>
                <w:sz w:val="20"/>
                <w:szCs w:val="20"/>
              </w:rPr>
              <w:lastRenderedPageBreak/>
              <w:t>Pakistan</w:t>
            </w:r>
          </w:p>
        </w:tc>
        <w:tc>
          <w:tcPr>
            <w:tcW w:w="4258" w:type="pct"/>
            <w:tcBorders>
              <w:top w:val="nil"/>
              <w:left w:val="nil"/>
              <w:bottom w:val="single" w:sz="8" w:space="0" w:color="000000"/>
              <w:right w:val="single" w:sz="8" w:space="0" w:color="000000"/>
            </w:tcBorders>
            <w:tcMar>
              <w:top w:w="100" w:type="dxa"/>
              <w:left w:w="100" w:type="dxa"/>
              <w:bottom w:w="100" w:type="dxa"/>
              <w:right w:w="100" w:type="dxa"/>
            </w:tcMar>
          </w:tcPr>
          <w:p w14:paraId="4357EE60" w14:textId="77777777" w:rsidR="00533071" w:rsidRPr="00217F59" w:rsidRDefault="00533071" w:rsidP="00C652C8">
            <w:pPr>
              <w:spacing w:after="120"/>
              <w:jc w:val="left"/>
              <w:rPr>
                <w:rFonts w:cstheme="minorHAnsi"/>
                <w:sz w:val="20"/>
                <w:szCs w:val="20"/>
              </w:rPr>
            </w:pPr>
            <w:r w:rsidRPr="00217F59">
              <w:rPr>
                <w:rFonts w:cstheme="minorHAnsi"/>
                <w:sz w:val="20"/>
                <w:szCs w:val="20"/>
              </w:rPr>
              <w:t>Advocacy campaigns delivered including: “Say no to plastic”, “Save our planet”, “Stop using disposable plastic materials”. And increased use of reusable items and shopping bags.</w:t>
            </w:r>
          </w:p>
        </w:tc>
      </w:tr>
      <w:tr w:rsidR="00533071" w:rsidRPr="00805248" w14:paraId="18D67471" w14:textId="77777777" w:rsidTr="00565E6E">
        <w:trPr>
          <w:trHeight w:val="3"/>
        </w:trPr>
        <w:tc>
          <w:tcPr>
            <w:tcW w:w="742"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C5FBDD" w14:textId="77777777" w:rsidR="00533071" w:rsidRPr="00217F59" w:rsidRDefault="00533071" w:rsidP="00C652C8">
            <w:pPr>
              <w:spacing w:after="120"/>
              <w:jc w:val="left"/>
              <w:rPr>
                <w:rFonts w:cstheme="minorHAnsi"/>
                <w:sz w:val="20"/>
                <w:szCs w:val="20"/>
              </w:rPr>
            </w:pPr>
            <w:r w:rsidRPr="00217F59">
              <w:rPr>
                <w:rFonts w:cstheme="minorHAnsi"/>
                <w:sz w:val="20"/>
                <w:szCs w:val="20"/>
              </w:rPr>
              <w:t>Malaysia</w:t>
            </w:r>
          </w:p>
        </w:tc>
        <w:tc>
          <w:tcPr>
            <w:tcW w:w="4258" w:type="pct"/>
            <w:tcBorders>
              <w:top w:val="nil"/>
              <w:left w:val="nil"/>
              <w:bottom w:val="single" w:sz="8" w:space="0" w:color="000000"/>
              <w:right w:val="single" w:sz="8" w:space="0" w:color="000000"/>
            </w:tcBorders>
            <w:tcMar>
              <w:top w:w="100" w:type="dxa"/>
              <w:left w:w="100" w:type="dxa"/>
              <w:bottom w:w="100" w:type="dxa"/>
              <w:right w:w="100" w:type="dxa"/>
            </w:tcMar>
          </w:tcPr>
          <w:p w14:paraId="325C452C" w14:textId="77777777" w:rsidR="00533071" w:rsidRPr="00217F59" w:rsidRDefault="00533071" w:rsidP="00C652C8">
            <w:pPr>
              <w:spacing w:after="120"/>
              <w:jc w:val="left"/>
              <w:rPr>
                <w:rFonts w:cstheme="minorHAnsi"/>
                <w:sz w:val="20"/>
                <w:szCs w:val="20"/>
              </w:rPr>
            </w:pPr>
            <w:r w:rsidRPr="00217F59">
              <w:rPr>
                <w:rFonts w:cstheme="minorHAnsi"/>
                <w:sz w:val="20"/>
                <w:szCs w:val="20"/>
              </w:rPr>
              <w:t>Delivery of the “#Bedrasticsaynotoplastic” campaign</w:t>
            </w:r>
          </w:p>
        </w:tc>
      </w:tr>
      <w:tr w:rsidR="00533071" w:rsidRPr="00805248" w14:paraId="273F7ADE" w14:textId="77777777" w:rsidTr="00565E6E">
        <w:trPr>
          <w:trHeight w:val="3"/>
        </w:trPr>
        <w:tc>
          <w:tcPr>
            <w:tcW w:w="742" w:type="pct"/>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763DC327" w14:textId="77777777" w:rsidR="00533071" w:rsidRPr="00217F59" w:rsidRDefault="00533071" w:rsidP="00C652C8">
            <w:pPr>
              <w:spacing w:after="120"/>
              <w:jc w:val="left"/>
              <w:rPr>
                <w:rFonts w:cstheme="minorHAnsi"/>
                <w:sz w:val="20"/>
                <w:szCs w:val="20"/>
              </w:rPr>
            </w:pPr>
            <w:r w:rsidRPr="00217F59">
              <w:rPr>
                <w:rFonts w:cstheme="minorHAnsi"/>
                <w:sz w:val="20"/>
                <w:szCs w:val="20"/>
              </w:rPr>
              <w:t>Madagascar Mpanazava</w:t>
            </w:r>
          </w:p>
        </w:tc>
        <w:tc>
          <w:tcPr>
            <w:tcW w:w="4258" w:type="pct"/>
            <w:tcBorders>
              <w:top w:val="nil"/>
              <w:left w:val="nil"/>
              <w:bottom w:val="single" w:sz="4" w:space="0" w:color="auto"/>
              <w:right w:val="single" w:sz="8" w:space="0" w:color="000000"/>
            </w:tcBorders>
            <w:tcMar>
              <w:top w:w="100" w:type="dxa"/>
              <w:left w:w="100" w:type="dxa"/>
              <w:bottom w:w="100" w:type="dxa"/>
              <w:right w:w="100" w:type="dxa"/>
            </w:tcMar>
          </w:tcPr>
          <w:p w14:paraId="3A74A089" w14:textId="77777777" w:rsidR="00533071" w:rsidRPr="00217F59" w:rsidRDefault="00533071" w:rsidP="00C652C8">
            <w:pPr>
              <w:spacing w:after="120"/>
              <w:jc w:val="left"/>
              <w:rPr>
                <w:rFonts w:cstheme="minorHAnsi"/>
                <w:sz w:val="20"/>
                <w:szCs w:val="20"/>
              </w:rPr>
            </w:pPr>
            <w:r w:rsidRPr="00217F59">
              <w:rPr>
                <w:rFonts w:cstheme="minorHAnsi"/>
                <w:sz w:val="20"/>
                <w:szCs w:val="20"/>
              </w:rPr>
              <w:t>Advocated for a law regulating the importation, production and use of plastic in Madagascar.</w:t>
            </w:r>
          </w:p>
        </w:tc>
      </w:tr>
      <w:tr w:rsidR="00533071" w:rsidRPr="00805248" w14:paraId="326C7166" w14:textId="77777777" w:rsidTr="00565E6E">
        <w:trPr>
          <w:trHeight w:val="3"/>
        </w:trPr>
        <w:tc>
          <w:tcPr>
            <w:tcW w:w="74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595AFC" w14:textId="77777777" w:rsidR="00533071" w:rsidRPr="00217F59" w:rsidRDefault="00533071" w:rsidP="00C652C8">
            <w:pPr>
              <w:spacing w:after="120"/>
              <w:jc w:val="left"/>
              <w:rPr>
                <w:rFonts w:cstheme="minorHAnsi"/>
                <w:sz w:val="20"/>
                <w:szCs w:val="20"/>
              </w:rPr>
            </w:pPr>
            <w:r w:rsidRPr="00217F59">
              <w:rPr>
                <w:rFonts w:cstheme="minorHAnsi"/>
                <w:sz w:val="20"/>
                <w:szCs w:val="20"/>
              </w:rPr>
              <w:t>Madagascar Fanilo</w:t>
            </w:r>
          </w:p>
        </w:tc>
        <w:tc>
          <w:tcPr>
            <w:tcW w:w="425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044234" w14:textId="77777777" w:rsidR="00533071" w:rsidRPr="00217F59" w:rsidRDefault="00533071" w:rsidP="00C652C8">
            <w:pPr>
              <w:spacing w:after="120"/>
              <w:jc w:val="left"/>
              <w:rPr>
                <w:rFonts w:cstheme="minorHAnsi"/>
                <w:sz w:val="20"/>
                <w:szCs w:val="20"/>
              </w:rPr>
            </w:pPr>
            <w:r w:rsidRPr="00217F59">
              <w:rPr>
                <w:rFonts w:cstheme="minorHAnsi"/>
                <w:sz w:val="20"/>
                <w:szCs w:val="20"/>
              </w:rPr>
              <w:t>Advocacy at the level of the Ministry of the Environment and Industry, to reduce the production of plastic bags and create new degradable tools.</w:t>
            </w:r>
          </w:p>
        </w:tc>
      </w:tr>
      <w:tr w:rsidR="00533071" w:rsidRPr="00805248" w14:paraId="7B15E293" w14:textId="77777777" w:rsidTr="00565E6E">
        <w:trPr>
          <w:trHeight w:val="3"/>
        </w:trPr>
        <w:tc>
          <w:tcPr>
            <w:tcW w:w="74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472BDA" w14:textId="77777777" w:rsidR="00533071" w:rsidRPr="00217F59" w:rsidRDefault="00533071" w:rsidP="00C652C8">
            <w:pPr>
              <w:spacing w:after="120"/>
              <w:jc w:val="left"/>
              <w:rPr>
                <w:rFonts w:cstheme="minorHAnsi"/>
                <w:sz w:val="20"/>
                <w:szCs w:val="20"/>
              </w:rPr>
            </w:pPr>
            <w:r w:rsidRPr="00217F59">
              <w:rPr>
                <w:rFonts w:cstheme="minorHAnsi"/>
                <w:sz w:val="20"/>
                <w:szCs w:val="20"/>
              </w:rPr>
              <w:t>Kenya</w:t>
            </w:r>
          </w:p>
        </w:tc>
        <w:tc>
          <w:tcPr>
            <w:tcW w:w="425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69FCDA" w14:textId="77777777" w:rsidR="00533071" w:rsidRPr="00217F59" w:rsidRDefault="00533071" w:rsidP="00C652C8">
            <w:pPr>
              <w:spacing w:after="120"/>
              <w:jc w:val="left"/>
              <w:rPr>
                <w:rFonts w:cstheme="minorHAnsi"/>
                <w:sz w:val="20"/>
                <w:szCs w:val="20"/>
              </w:rPr>
            </w:pPr>
            <w:r w:rsidRPr="00217F59">
              <w:rPr>
                <w:rFonts w:cstheme="minorHAnsi"/>
                <w:sz w:val="20"/>
                <w:szCs w:val="20"/>
              </w:rPr>
              <w:t>Engaged the government in enforcing existing laws on plastic use.</w:t>
            </w:r>
          </w:p>
        </w:tc>
      </w:tr>
      <w:tr w:rsidR="00533071" w:rsidRPr="006155F6" w14:paraId="74891ACD" w14:textId="77777777" w:rsidTr="00565E6E">
        <w:trPr>
          <w:trHeight w:val="3"/>
        </w:trPr>
        <w:tc>
          <w:tcPr>
            <w:tcW w:w="74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A22820" w14:textId="77777777" w:rsidR="00533071" w:rsidRPr="00217F59" w:rsidRDefault="00533071" w:rsidP="00C652C8">
            <w:pPr>
              <w:spacing w:after="120"/>
              <w:jc w:val="left"/>
              <w:rPr>
                <w:rFonts w:cstheme="minorHAnsi"/>
                <w:sz w:val="20"/>
                <w:szCs w:val="20"/>
              </w:rPr>
            </w:pPr>
            <w:r w:rsidRPr="00217F59">
              <w:rPr>
                <w:rFonts w:cstheme="minorHAnsi"/>
                <w:sz w:val="20"/>
                <w:szCs w:val="20"/>
              </w:rPr>
              <w:t>Tanzania</w:t>
            </w:r>
          </w:p>
        </w:tc>
        <w:tc>
          <w:tcPr>
            <w:tcW w:w="425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4EA1DE2" w14:textId="77777777" w:rsidR="00533071" w:rsidRPr="00217F59" w:rsidRDefault="00533071" w:rsidP="00C652C8">
            <w:pPr>
              <w:spacing w:after="120"/>
              <w:rPr>
                <w:sz w:val="20"/>
                <w:szCs w:val="20"/>
              </w:rPr>
            </w:pPr>
            <w:r w:rsidRPr="00217F59">
              <w:rPr>
                <w:sz w:val="20"/>
                <w:szCs w:val="20"/>
              </w:rPr>
              <w:t xml:space="preserve">Following Tide Turners training in Tanzania, the Scouts lobbied the government to introduce a ban on plastic carrier bags. </w:t>
            </w:r>
          </w:p>
        </w:tc>
      </w:tr>
    </w:tbl>
    <w:p w14:paraId="7B7B4D93" w14:textId="097DE71B" w:rsidR="00533071" w:rsidRDefault="00533071" w:rsidP="00613ABF">
      <w:pPr>
        <w:spacing w:after="240"/>
        <w:rPr>
          <w:b/>
          <w:bCs/>
        </w:rPr>
      </w:pPr>
    </w:p>
    <w:p w14:paraId="029A67F0" w14:textId="09E040D6" w:rsidR="00F24EB4" w:rsidRPr="00F24EB4" w:rsidRDefault="00F24EB4" w:rsidP="004E3328">
      <w:pPr>
        <w:pStyle w:val="Heading3"/>
      </w:pPr>
      <w:r w:rsidRPr="00F24EB4">
        <w:t>INC</w:t>
      </w:r>
    </w:p>
    <w:p w14:paraId="44864CAA" w14:textId="3B673CF5" w:rsidR="00AF4AB7" w:rsidRDefault="000F13EA" w:rsidP="00613ABF">
      <w:pPr>
        <w:spacing w:after="240"/>
      </w:pPr>
      <w:r w:rsidRPr="29A29EE0">
        <w:rPr>
          <w:b/>
          <w:bCs/>
        </w:rPr>
        <w:t>The INC</w:t>
      </w:r>
      <w:r>
        <w:t xml:space="preserve"> will deliver the international commitment made at the UN Environment Assembly in March 2022 to begin negotiating a legally binding treaty to end </w:t>
      </w:r>
      <w:r w:rsidR="0072181B">
        <w:t>P</w:t>
      </w:r>
      <w:r>
        <w:t xml:space="preserve">lastic </w:t>
      </w:r>
      <w:r w:rsidR="0072181B">
        <w:t>P</w:t>
      </w:r>
      <w:r>
        <w:t>ollution</w:t>
      </w:r>
      <w:r w:rsidR="00EE0A16">
        <w:t xml:space="preserve">; the UK was a </w:t>
      </w:r>
      <w:r w:rsidR="0072181B">
        <w:t xml:space="preserve">key </w:t>
      </w:r>
      <w:r w:rsidR="00EE0A16">
        <w:t>supporter of the resolution that led to this decision</w:t>
      </w:r>
      <w:r>
        <w:t xml:space="preserve">.  </w:t>
      </w:r>
    </w:p>
    <w:p w14:paraId="4B29EB1E" w14:textId="44BEA0A7" w:rsidR="00472406" w:rsidRDefault="00CC450A" w:rsidP="00613ABF">
      <w:pPr>
        <w:spacing w:after="240"/>
      </w:pPr>
      <w:r>
        <w:t xml:space="preserve">A co-ordinated, global approach to the problem </w:t>
      </w:r>
      <w:r w:rsidR="00AF4AB7">
        <w:t xml:space="preserve">of plastic </w:t>
      </w:r>
      <w:r w:rsidR="00570854">
        <w:t>pollution will</w:t>
      </w:r>
      <w:r>
        <w:t xml:space="preserve"> </w:t>
      </w:r>
      <w:r w:rsidR="000F13EA">
        <w:t xml:space="preserve">align with, and complement, </w:t>
      </w:r>
      <w:r w:rsidR="00472406">
        <w:t xml:space="preserve">the </w:t>
      </w:r>
      <w:r w:rsidR="00472406" w:rsidRPr="00472406">
        <w:t xml:space="preserve">world-leading efforts to tackle plastic pollution </w:t>
      </w:r>
      <w:r w:rsidR="000F13EA">
        <w:t xml:space="preserve">the </w:t>
      </w:r>
      <w:r>
        <w:t>UK</w:t>
      </w:r>
      <w:r w:rsidR="000F13EA">
        <w:t xml:space="preserve"> has already taken </w:t>
      </w:r>
      <w:r w:rsidR="00472406">
        <w:t xml:space="preserve">domestically </w:t>
      </w:r>
      <w:r w:rsidR="000F13EA">
        <w:t xml:space="preserve">to reduce single-use </w:t>
      </w:r>
      <w:r>
        <w:t>plastic</w:t>
      </w:r>
      <w:r w:rsidR="00F74D4B">
        <w:t xml:space="preserve"> </w:t>
      </w:r>
      <w:r w:rsidR="000F13EA">
        <w:t xml:space="preserve">and create a circular economy for plastic. </w:t>
      </w:r>
    </w:p>
    <w:p w14:paraId="2FF735CB" w14:textId="388B1AC4" w:rsidR="00925B3F" w:rsidRDefault="00570854" w:rsidP="00613ABF">
      <w:pPr>
        <w:spacing w:after="240"/>
      </w:pPr>
      <w:r w:rsidRPr="00BD3245">
        <w:t>Global</w:t>
      </w:r>
      <w:r w:rsidR="00925B3F" w:rsidRPr="00BD3245">
        <w:t xml:space="preserve"> obligations </w:t>
      </w:r>
      <w:r w:rsidRPr="00BD3245">
        <w:t>set out in a Treat</w:t>
      </w:r>
      <w:r w:rsidR="00F74D4B">
        <w:t>y</w:t>
      </w:r>
      <w:r w:rsidRPr="00BD3245">
        <w:t xml:space="preserve"> could help ensure </w:t>
      </w:r>
      <w:r w:rsidR="00925B3F" w:rsidRPr="00BD3245">
        <w:t>a more harmonised global regulatory framework that promotes transparency, enable</w:t>
      </w:r>
      <w:r w:rsidR="00F74D4B">
        <w:t>s</w:t>
      </w:r>
      <w:r w:rsidR="00925B3F" w:rsidRPr="00BD3245">
        <w:t> and accelerate</w:t>
      </w:r>
      <w:r w:rsidR="00F74D4B">
        <w:t>s</w:t>
      </w:r>
      <w:r w:rsidR="00925B3F" w:rsidRPr="00BD3245">
        <w:t> investment in technologies and provide</w:t>
      </w:r>
      <w:r w:rsidR="00F74D4B">
        <w:t>s</w:t>
      </w:r>
      <w:r w:rsidR="00925B3F" w:rsidRPr="00BD3245">
        <w:t xml:space="preserve"> long term certainty to businesses</w:t>
      </w:r>
      <w:r w:rsidRPr="00BD3245">
        <w:t xml:space="preserve">, helping to support the UK </w:t>
      </w:r>
      <w:r w:rsidR="00BD3245" w:rsidRPr="00BD3245">
        <w:t>Government’s commitment to prevent all avoidable plastic waste by the end of 2042</w:t>
      </w:r>
      <w:r w:rsidR="00F74D4B">
        <w:t xml:space="preserve">.  </w:t>
      </w:r>
    </w:p>
    <w:p w14:paraId="4ED5D57A" w14:textId="5E31419D" w:rsidR="0018196D" w:rsidRPr="00A42089" w:rsidRDefault="00D76D01" w:rsidP="00613ABF">
      <w:pPr>
        <w:spacing w:after="240"/>
      </w:pPr>
      <w:r w:rsidRPr="00D76D01">
        <w:t>A</w:t>
      </w:r>
      <w:r w:rsidR="00FB52E4" w:rsidRPr="00D76D01">
        <w:t xml:space="preserve"> clear direction of travel</w:t>
      </w:r>
      <w:r w:rsidRPr="00D76D01">
        <w:t xml:space="preserve"> at international level</w:t>
      </w:r>
      <w:r w:rsidR="00FB52E4" w:rsidRPr="00D76D01">
        <w:t xml:space="preserve"> </w:t>
      </w:r>
      <w:r w:rsidRPr="00D76D01">
        <w:t>is</w:t>
      </w:r>
      <w:r w:rsidR="00FB52E4" w:rsidRPr="00D76D01">
        <w:t xml:space="preserve"> an important element of what th</w:t>
      </w:r>
      <w:r w:rsidR="00694E6C">
        <w:t>e</w:t>
      </w:r>
      <w:r w:rsidR="00FB52E4" w:rsidRPr="00D76D01">
        <w:t xml:space="preserve"> treaty can provide, </w:t>
      </w:r>
      <w:r w:rsidRPr="00D76D01">
        <w:t>as this can</w:t>
      </w:r>
      <w:r w:rsidR="00FB52E4" w:rsidRPr="00D76D01">
        <w:t xml:space="preserve"> help mobilise funding</w:t>
      </w:r>
      <w:r w:rsidRPr="00D76D01">
        <w:t xml:space="preserve">.  </w:t>
      </w:r>
      <w:r w:rsidR="00FB52E4" w:rsidRPr="00D76D01">
        <w:t>There are huge amounts of private sector finance waiting to be unlocked. Th</w:t>
      </w:r>
      <w:r w:rsidR="00694E6C">
        <w:t>e new</w:t>
      </w:r>
      <w:r w:rsidR="00FB52E4" w:rsidRPr="00D76D01">
        <w:t xml:space="preserve"> treaty can act as an enabler to unleash that funding</w:t>
      </w:r>
      <w:r w:rsidR="00694E6C">
        <w:t>.  For example,</w:t>
      </w:r>
      <w:r w:rsidR="00FB52E4" w:rsidRPr="00D76D01">
        <w:t xml:space="preserve"> by establishing common standards and waste management principles, the treaty can unlock private investment into waste management infrastructure and aid the development of technologies</w:t>
      </w:r>
      <w:r>
        <w:t xml:space="preserve">.  </w:t>
      </w:r>
      <w:r w:rsidR="008B2345" w:rsidRPr="008B2345">
        <w:t>This will help support the BPF goal of bringing together a wide range of sectors to encourage action and investment into sustainable ocean projects.</w:t>
      </w:r>
    </w:p>
    <w:p w14:paraId="4FE6078A" w14:textId="07B0801C" w:rsidR="00ED33B4" w:rsidRDefault="00536CB4" w:rsidP="00F47E59">
      <w:pPr>
        <w:pStyle w:val="Heading2"/>
      </w:pPr>
      <w:bookmarkStart w:id="18" w:name="_Toc121224098"/>
      <w:r>
        <w:lastRenderedPageBreak/>
        <w:t>P</w:t>
      </w:r>
      <w:r w:rsidR="00112C16">
        <w:t>aris agreement alignment</w:t>
      </w:r>
      <w:bookmarkEnd w:id="18"/>
    </w:p>
    <w:p w14:paraId="510F8CF5" w14:textId="2A7432DE" w:rsidR="00ED33B4" w:rsidRPr="00217F59" w:rsidRDefault="00DD2C06" w:rsidP="00613ABF">
      <w:pPr>
        <w:spacing w:after="240"/>
      </w:pPr>
      <w:r>
        <w:t xml:space="preserve">It is expected that negotiations on a new legally binding instrument will consider circular economy approaches and alternatives to fossil fuel-based plastics, in a bid to reduce the GHG emissions associated with the plastics lifecycle. </w:t>
      </w:r>
      <w:r w:rsidR="005B724A">
        <w:t>Action under th</w:t>
      </w:r>
      <w:r w:rsidR="007A55A7">
        <w:t>is</w:t>
      </w:r>
      <w:r w:rsidR="00ED33B4" w:rsidRPr="00217F59">
        <w:t xml:space="preserve"> programme </w:t>
      </w:r>
      <w:r w:rsidR="005B724A">
        <w:t xml:space="preserve">is </w:t>
      </w:r>
      <w:r w:rsidR="00ED33B4" w:rsidRPr="00217F59">
        <w:t>in alignment with the Paris Agreement</w:t>
      </w:r>
      <w:r w:rsidR="005B724A">
        <w:t xml:space="preserve">, acting as </w:t>
      </w:r>
      <w:r w:rsidR="00ED33B4" w:rsidRPr="00217F59">
        <w:t>an accelerant to meet th</w:t>
      </w:r>
      <w:r w:rsidR="005B724A">
        <w:t>ese</w:t>
      </w:r>
      <w:r w:rsidR="00ED33B4" w:rsidRPr="00217F59">
        <w:t xml:space="preserve"> outcomes as the youth </w:t>
      </w:r>
      <w:r w:rsidR="007A55A7">
        <w:t xml:space="preserve">and global south </w:t>
      </w:r>
      <w:r w:rsidR="00ED33B4" w:rsidRPr="00217F59">
        <w:t xml:space="preserve">leaders that are engaging in this programme see this as a gateway to wider and deeper environmental action. </w:t>
      </w:r>
    </w:p>
    <w:p w14:paraId="3F1EE88A" w14:textId="58D1CFA2" w:rsidR="00CB1B4E" w:rsidRDefault="009B02F0" w:rsidP="00CB1B4E">
      <w:pPr>
        <w:spacing w:after="240"/>
      </w:pPr>
      <w:r w:rsidRPr="009B02F0">
        <w:rPr>
          <w:b/>
          <w:bCs/>
        </w:rPr>
        <w:t>Over the past four decades, global plastics production has quadrupled.</w:t>
      </w:r>
      <w:r w:rsidRPr="009B02F0">
        <w:t xml:space="preserve"> If this trend were to continue, the GHG emissions from plastics would reach </w:t>
      </w:r>
      <w:r w:rsidRPr="009B02F0">
        <w:rPr>
          <w:b/>
          <w:bCs/>
        </w:rPr>
        <w:t>15% of the global carbon budget by 2050</w:t>
      </w:r>
      <w:r w:rsidRPr="009B02F0">
        <w:t xml:space="preserve">. </w:t>
      </w:r>
      <w:r w:rsidR="00ED33B4" w:rsidRPr="00217F59">
        <w:t xml:space="preserve">The life-cycle greenhouse gas emissions of plastics </w:t>
      </w:r>
      <w:r w:rsidR="005B724A">
        <w:t xml:space="preserve">reached </w:t>
      </w:r>
      <w:r w:rsidR="00ED33B4" w:rsidRPr="00E52D65">
        <w:t>1.7 gigatons of CO2-equivalent in 2015</w:t>
      </w:r>
      <w:r w:rsidRPr="00E52D65">
        <w:t xml:space="preserve">, which </w:t>
      </w:r>
      <w:r w:rsidR="00D51709" w:rsidRPr="00E52D65">
        <w:t>is expected to</w:t>
      </w:r>
      <w:r w:rsidRPr="00E52D65">
        <w:t xml:space="preserve"> grow to 6.5 GtCO2e by 2050</w:t>
      </w:r>
      <w:r w:rsidRPr="009B02F0">
        <w:rPr>
          <w:b/>
          <w:bCs/>
        </w:rPr>
        <w:t xml:space="preserve"> </w:t>
      </w:r>
      <w:r w:rsidRPr="00D51709">
        <w:t>under the current trajectory</w:t>
      </w:r>
      <w:r w:rsidRPr="00A60162">
        <w:t>.</w:t>
      </w:r>
    </w:p>
    <w:p w14:paraId="04174D1A" w14:textId="0CF58A5B" w:rsidR="00CB1B4E" w:rsidRPr="00CB1B4E" w:rsidRDefault="00CB1B4E" w:rsidP="00CB1B4E">
      <w:pPr>
        <w:spacing w:after="240"/>
        <w:rPr>
          <w:b/>
          <w:bCs/>
        </w:rPr>
      </w:pPr>
      <w:r w:rsidRPr="00217F59">
        <w:t xml:space="preserve">Greenhouse gas emissions </w:t>
      </w:r>
      <w:r>
        <w:t xml:space="preserve">(GHG) </w:t>
      </w:r>
      <w:r w:rsidRPr="00217F59">
        <w:t xml:space="preserve">from the production, recycling and incineration of plastics could account for </w:t>
      </w:r>
      <w:r w:rsidRPr="00E52D65">
        <w:t xml:space="preserve">19% of the Paris Agreement's total allowable emissions in 2040 </w:t>
      </w:r>
      <w:r>
        <w:t>under a 1.5 degrees</w:t>
      </w:r>
      <w:r w:rsidRPr="00217F59">
        <w:t xml:space="preserve"> </w:t>
      </w:r>
      <w:r>
        <w:t>scenario</w:t>
      </w:r>
      <w:r w:rsidRPr="00217F59">
        <w:t>.</w:t>
      </w:r>
    </w:p>
    <w:p w14:paraId="3B38830C" w14:textId="00CFE1F7" w:rsidR="00112C16" w:rsidRDefault="00112C16" w:rsidP="00F47E59">
      <w:pPr>
        <w:pStyle w:val="Heading2"/>
      </w:pPr>
      <w:bookmarkStart w:id="19" w:name="_Toc121224099"/>
      <w:r>
        <w:t>C</w:t>
      </w:r>
      <w:r w:rsidR="00536CB4">
        <w:t>ompliance</w:t>
      </w:r>
      <w:bookmarkEnd w:id="19"/>
    </w:p>
    <w:p w14:paraId="447C55DB" w14:textId="793EAD37" w:rsidR="00112C16" w:rsidRDefault="00112C16" w:rsidP="00595499">
      <w:pPr>
        <w:pStyle w:val="Heading3"/>
      </w:pPr>
      <w:r>
        <w:t>ANTI-MONEY LAUNDERING</w:t>
      </w:r>
    </w:p>
    <w:p w14:paraId="27A6165A" w14:textId="6B889CF6" w:rsidR="00112C16" w:rsidRDefault="00112C16" w:rsidP="00613ABF">
      <w:pPr>
        <w:spacing w:after="240"/>
        <w:rPr>
          <w:color w:val="201F1E"/>
        </w:rPr>
      </w:pPr>
      <w:r w:rsidRPr="00217F59">
        <w:rPr>
          <w:color w:val="201F1E"/>
        </w:rPr>
        <w:t xml:space="preserve">Established by the </w:t>
      </w:r>
      <w:r w:rsidRPr="001245ED">
        <w:rPr>
          <w:color w:val="201F1E"/>
        </w:rPr>
        <w:t>General Assembly resolution 2997 (XXVII) on 15 December 1972</w:t>
      </w:r>
      <w:r w:rsidRPr="00217F59">
        <w:rPr>
          <w:color w:val="201F1E"/>
        </w:rPr>
        <w:t xml:space="preserve">, UNEP is a subsidiary organ of the United Nations General Assembly and as such, part of the UN Secretariat. UNEP is accordingly required to implement the misconduct, anti-fraud and anti-corruption rules, regulations, </w:t>
      </w:r>
      <w:r w:rsidR="008A6564" w:rsidRPr="00217F59">
        <w:rPr>
          <w:color w:val="201F1E"/>
        </w:rPr>
        <w:t>policies,</w:t>
      </w:r>
      <w:r w:rsidRPr="00217F59">
        <w:rPr>
          <w:color w:val="201F1E"/>
        </w:rPr>
        <w:t xml:space="preserve"> and procedures of the United Nations. </w:t>
      </w:r>
      <w:r w:rsidRPr="00AA4B4B">
        <w:rPr>
          <w:b/>
          <w:color w:val="201F1E"/>
        </w:rPr>
        <w:t>UNEP Anti-Fraud and Anti-Corruption Guidelines</w:t>
      </w:r>
      <w:r w:rsidRPr="00217F59">
        <w:rPr>
          <w:color w:val="201F1E"/>
        </w:rPr>
        <w:t xml:space="preserve"> can be found</w:t>
      </w:r>
      <w:hyperlink r:id="rId16">
        <w:r w:rsidRPr="00217F59">
          <w:rPr>
            <w:color w:val="201F1E"/>
          </w:rPr>
          <w:t xml:space="preserve"> </w:t>
        </w:r>
      </w:hyperlink>
      <w:hyperlink r:id="rId17">
        <w:r w:rsidRPr="00AA4B4B">
          <w:rPr>
            <w:b/>
            <w:color w:val="1155CC"/>
            <w:u w:val="single"/>
          </w:rPr>
          <w:t>here</w:t>
        </w:r>
      </w:hyperlink>
      <w:r w:rsidRPr="00AA4B4B">
        <w:rPr>
          <w:b/>
          <w:color w:val="201F1E"/>
        </w:rPr>
        <w:t>.</w:t>
      </w:r>
    </w:p>
    <w:p w14:paraId="044FF223" w14:textId="67912EF2" w:rsidR="00112C16" w:rsidRDefault="00112C16" w:rsidP="00595499">
      <w:pPr>
        <w:pStyle w:val="Heading3"/>
      </w:pPr>
      <w:r>
        <w:t>DUE DILIGENCE</w:t>
      </w:r>
    </w:p>
    <w:p w14:paraId="383F9FFE" w14:textId="690C1E90" w:rsidR="00112C16" w:rsidRPr="00217F59" w:rsidRDefault="00112C16" w:rsidP="00613ABF">
      <w:pPr>
        <w:spacing w:before="240" w:after="240"/>
        <w:rPr>
          <w:color w:val="242424"/>
        </w:rPr>
      </w:pPr>
      <w:r w:rsidRPr="00E52D65">
        <w:rPr>
          <w:bCs/>
          <w:color w:val="242424"/>
        </w:rPr>
        <w:t xml:space="preserve">UNEP’s </w:t>
      </w:r>
      <w:r w:rsidR="005B724A" w:rsidRPr="00E52D65">
        <w:rPr>
          <w:bCs/>
          <w:color w:val="242424"/>
        </w:rPr>
        <w:t xml:space="preserve">downstream </w:t>
      </w:r>
      <w:r w:rsidRPr="00E52D65">
        <w:rPr>
          <w:bCs/>
          <w:color w:val="242424"/>
        </w:rPr>
        <w:t xml:space="preserve">due diligence policy </w:t>
      </w:r>
      <w:r w:rsidR="005B724A" w:rsidRPr="00E52D65">
        <w:rPr>
          <w:bCs/>
          <w:color w:val="242424"/>
        </w:rPr>
        <w:t xml:space="preserve">for partners </w:t>
      </w:r>
      <w:r w:rsidRPr="00E52D65">
        <w:rPr>
          <w:bCs/>
          <w:color w:val="242424"/>
        </w:rPr>
        <w:t>is governed by the 2011 UNEP Partnership Policy and Procedures.</w:t>
      </w:r>
      <w:r w:rsidRPr="00217F59">
        <w:rPr>
          <w:color w:val="242424"/>
        </w:rPr>
        <w:t xml:space="preserve"> Within the United Nations, partnerships are commonly defined as voluntary and collaborative relationships between various parties, both public and non-public, in which all participants agree to work together to achieve a common purpose or undertake a specific task, and to share risks, responsibilities, resources and benefits. </w:t>
      </w:r>
    </w:p>
    <w:p w14:paraId="2BB1E39C" w14:textId="52CFD41B" w:rsidR="007C5B6A" w:rsidRDefault="00112C16" w:rsidP="00613ABF">
      <w:pPr>
        <w:spacing w:after="240"/>
        <w:rPr>
          <w:color w:val="242424"/>
        </w:rPr>
      </w:pPr>
      <w:r w:rsidRPr="00217F59">
        <w:rPr>
          <w:color w:val="242424"/>
        </w:rPr>
        <w:t>UNEP has two partnership due diligence procedures, applied to for-profit and not-for-profit entities, respectively.</w:t>
      </w:r>
      <w:r w:rsidR="00DE16E4">
        <w:rPr>
          <w:color w:val="242424"/>
        </w:rPr>
        <w:t xml:space="preserve"> </w:t>
      </w:r>
      <w:r w:rsidRPr="00217F59">
        <w:rPr>
          <w:color w:val="242424"/>
        </w:rPr>
        <w:t xml:space="preserve"> These require </w:t>
      </w:r>
      <w:r w:rsidR="00D5171B">
        <w:rPr>
          <w:color w:val="242424"/>
        </w:rPr>
        <w:t xml:space="preserve">the </w:t>
      </w:r>
      <w:r w:rsidR="00E70894">
        <w:rPr>
          <w:color w:val="242424"/>
        </w:rPr>
        <w:t>compilation of a</w:t>
      </w:r>
      <w:r w:rsidRPr="00217F59">
        <w:rPr>
          <w:color w:val="242424"/>
        </w:rPr>
        <w:t xml:space="preserve"> standard checklist of information, </w:t>
      </w:r>
      <w:r w:rsidR="00E70894">
        <w:rPr>
          <w:color w:val="242424"/>
        </w:rPr>
        <w:t>through</w:t>
      </w:r>
      <w:r w:rsidR="00E70894" w:rsidRPr="00217F59">
        <w:rPr>
          <w:color w:val="242424"/>
        </w:rPr>
        <w:t xml:space="preserve"> </w:t>
      </w:r>
      <w:r w:rsidRPr="00217F59">
        <w:rPr>
          <w:color w:val="242424"/>
        </w:rPr>
        <w:t>a screening of the prospective partner organisation. Each list covers negative or exclusionary criteria, followed by positive screening criteria that also serve to identify those organisations that are ahead of their peers. The due diligence procedures, as key components of the partnership review process, also serve as a risk and opportunity management tool. They also address potential audit concerns related to the credentials of the organisation involved, essential financial and administrative information and potential conflicts of interest. When conducting due diligence, UNEP ensures that potential partners are accorded the utmost respect, particularly by ensuring that the evaluation of their suitability is handled as early and as efficiently as possible.</w:t>
      </w:r>
    </w:p>
    <w:p w14:paraId="642C3201" w14:textId="42C98978" w:rsidR="00C5798E" w:rsidRDefault="007C5B6A" w:rsidP="00613ABF">
      <w:pPr>
        <w:spacing w:after="240"/>
        <w:rPr>
          <w:color w:val="242424"/>
        </w:rPr>
      </w:pPr>
      <w:r w:rsidRPr="00E52D65">
        <w:rPr>
          <w:color w:val="242424"/>
        </w:rPr>
        <w:t xml:space="preserve">The UNEP due diligence procedures align with the </w:t>
      </w:r>
      <w:r w:rsidR="004267B6" w:rsidRPr="00E52D65">
        <w:rPr>
          <w:color w:val="242424"/>
        </w:rPr>
        <w:t xml:space="preserve">four </w:t>
      </w:r>
      <w:r w:rsidRPr="00E52D65">
        <w:rPr>
          <w:color w:val="242424"/>
        </w:rPr>
        <w:t xml:space="preserve">FCDO ‘Assessment Pillars’ </w:t>
      </w:r>
      <w:r w:rsidR="004267B6" w:rsidRPr="00E52D65">
        <w:rPr>
          <w:color w:val="242424"/>
        </w:rPr>
        <w:t>–</w:t>
      </w:r>
      <w:r w:rsidR="00112C16" w:rsidRPr="00E52D65">
        <w:rPr>
          <w:color w:val="242424"/>
        </w:rPr>
        <w:t xml:space="preserve"> </w:t>
      </w:r>
      <w:r w:rsidR="004267B6" w:rsidRPr="00E52D65">
        <w:rPr>
          <w:color w:val="242424"/>
        </w:rPr>
        <w:t>namely, Governance and Control (UNEP examine governance, fraud, risk management and ethics); Ability to Deliver (UNEP have stringent performance and programme management reviews/checks); Financial Stability (financial management and viability of partners is continuously monitored and evaluated) and Downstream Partners (UNEP ensure partners are monitored, have clear and transparent management frameworks and contracts, and undergo fraud and corruption checks).</w:t>
      </w:r>
    </w:p>
    <w:p w14:paraId="48AB9437" w14:textId="77777777" w:rsidR="00CB1B4E" w:rsidRPr="00E52D65" w:rsidRDefault="00CB1B4E" w:rsidP="00613ABF">
      <w:pPr>
        <w:spacing w:after="240"/>
      </w:pPr>
    </w:p>
    <w:p w14:paraId="4CE8DC0C" w14:textId="0895692F" w:rsidR="00D2319A" w:rsidRPr="00217F59" w:rsidRDefault="007D3968" w:rsidP="00595499">
      <w:pPr>
        <w:pStyle w:val="Heading3"/>
      </w:pPr>
      <w:r w:rsidRPr="00217F59">
        <w:lastRenderedPageBreak/>
        <w:t>gender sections of 2002 International Development Act</w:t>
      </w:r>
      <w:r w:rsidR="00EE5AD7">
        <w:t xml:space="preserve"> / GENDER EQUALITY</w:t>
      </w:r>
    </w:p>
    <w:p w14:paraId="6CDE9113" w14:textId="7445E33E" w:rsidR="00EE5AD7" w:rsidRPr="00217F59" w:rsidRDefault="00EE5AD7" w:rsidP="00613ABF">
      <w:pPr>
        <w:spacing w:after="240"/>
      </w:pPr>
      <w:r w:rsidRPr="00EE1D3D">
        <w:rPr>
          <w:b/>
        </w:rPr>
        <w:t>All partner organisations will monitor and report the gender division of programme participants.</w:t>
      </w:r>
      <w:r w:rsidRPr="00217F59">
        <w:t xml:space="preserve"> UNEP </w:t>
      </w:r>
      <w:r w:rsidR="00AE11B5">
        <w:t>considers</w:t>
      </w:r>
      <w:r w:rsidRPr="00217F59">
        <w:t xml:space="preserve"> gender and generational balance when planning events, inviting youth voices to the events and when conducting publications. UNEP is also considering </w:t>
      </w:r>
      <w:r w:rsidRPr="00E52D65">
        <w:t>gender equality in the selection of partner organisations to implement the Tide Turners programme. The World Association of Girl Guides and Girl Scouts (WAGGGS) is targeting girls and young women within the Tide Turners programme</w:t>
      </w:r>
      <w:r w:rsidR="00FB6D1A" w:rsidRPr="00E52D65">
        <w:t xml:space="preserve">, </w:t>
      </w:r>
      <w:r w:rsidRPr="00E52D65">
        <w:t>providing equal opportunities</w:t>
      </w:r>
      <w:r w:rsidRPr="00217F59">
        <w:t xml:space="preserve"> to young women around the world regardless of race and class</w:t>
      </w:r>
      <w:r w:rsidR="00FB6D1A">
        <w:t>, in</w:t>
      </w:r>
      <w:r w:rsidRPr="00217F59">
        <w:t xml:space="preserve"> align</w:t>
      </w:r>
      <w:r w:rsidR="00FB6D1A">
        <w:t>ment</w:t>
      </w:r>
      <w:r w:rsidRPr="00217F59">
        <w:t xml:space="preserve"> with the </w:t>
      </w:r>
      <w:r w:rsidRPr="00AA4B4B">
        <w:rPr>
          <w:b/>
        </w:rPr>
        <w:t>International Development (Gender Equality) Act 2014, section 3.1.</w:t>
      </w:r>
      <w:r w:rsidRPr="00217F59">
        <w:t xml:space="preserve"> </w:t>
      </w:r>
    </w:p>
    <w:p w14:paraId="6D1B544D" w14:textId="1070E1AC" w:rsidR="002B2819" w:rsidRPr="00217F59" w:rsidRDefault="00EE5AD7" w:rsidP="00613ABF">
      <w:pPr>
        <w:spacing w:after="240"/>
        <w:rPr>
          <w:rFonts w:cstheme="minorHAnsi"/>
        </w:rPr>
      </w:pPr>
      <w:r w:rsidRPr="00217F59">
        <w:t xml:space="preserve">UNEP </w:t>
      </w:r>
      <w:r w:rsidR="00FB6D1A">
        <w:t xml:space="preserve">follows </w:t>
      </w:r>
      <w:r w:rsidRPr="00217F59">
        <w:t xml:space="preserve">gender mainstreaming guidelines </w:t>
      </w:r>
      <w:r w:rsidR="00FB6D1A">
        <w:t xml:space="preserve">on </w:t>
      </w:r>
      <w:r w:rsidRPr="00217F59">
        <w:t>data collection and gender-sensitive language</w:t>
      </w:r>
      <w:r w:rsidR="00FB6D1A">
        <w:t xml:space="preserve"> in research, where </w:t>
      </w:r>
      <w:r w:rsidRPr="00217F59">
        <w:t>all efforts should be made to ensure a gender balance of experts</w:t>
      </w:r>
      <w:r w:rsidR="00FB6D1A">
        <w:t xml:space="preserve">, and for </w:t>
      </w:r>
      <w:r w:rsidRPr="00217F59">
        <w:t xml:space="preserve">all data and information collected </w:t>
      </w:r>
      <w:r w:rsidR="00FB6D1A">
        <w:t xml:space="preserve">all </w:t>
      </w:r>
      <w:r w:rsidRPr="00217F59">
        <w:t>efforts should be made to collect data that is disaggregated by sex, age, and geographical distribution.</w:t>
      </w:r>
    </w:p>
    <w:p w14:paraId="7EF74B58" w14:textId="6EC1013F" w:rsidR="00C5798E" w:rsidRPr="00217F59" w:rsidRDefault="007D3968" w:rsidP="00F47E59">
      <w:pPr>
        <w:pStyle w:val="Heading2"/>
      </w:pPr>
      <w:bookmarkStart w:id="20" w:name="_Toc121224100"/>
      <w:r w:rsidRPr="00217F59">
        <w:t xml:space="preserve">Safeguarding and </w:t>
      </w:r>
      <w:r w:rsidR="00F13C4A">
        <w:t>E</w:t>
      </w:r>
      <w:r w:rsidRPr="00217F59">
        <w:t>quality</w:t>
      </w:r>
      <w:bookmarkEnd w:id="20"/>
    </w:p>
    <w:p w14:paraId="4893F4F5" w14:textId="7098EEB0" w:rsidR="00D000C4" w:rsidRDefault="002B2819" w:rsidP="00565E6E">
      <w:pPr>
        <w:pStyle w:val="Heading3"/>
      </w:pPr>
      <w:r w:rsidRPr="00BD39C8">
        <w:t>Social safeguarding</w:t>
      </w:r>
    </w:p>
    <w:p w14:paraId="05770DC6" w14:textId="69A016D9" w:rsidR="00EE176C" w:rsidRPr="00B639D0" w:rsidRDefault="00EE176C" w:rsidP="00EE176C">
      <w:pPr>
        <w:shd w:val="clear" w:color="auto" w:fill="FFFFFF"/>
        <w:spacing w:after="240"/>
        <w:rPr>
          <w:rFonts w:cstheme="minorHAnsi"/>
        </w:rPr>
      </w:pPr>
      <w:r w:rsidRPr="00B639D0">
        <w:rPr>
          <w:rFonts w:cstheme="minorHAnsi"/>
        </w:rPr>
        <w:t>UNEP work with some of the biggest youth organisations in the world who have extensive experience in working with youth</w:t>
      </w:r>
      <w:r>
        <w:rPr>
          <w:rFonts w:cstheme="minorHAnsi"/>
        </w:rPr>
        <w:t xml:space="preserve">, and </w:t>
      </w:r>
      <w:r w:rsidR="00FA3FF8">
        <w:rPr>
          <w:rFonts w:cstheme="minorHAnsi"/>
        </w:rPr>
        <w:t>requires all</w:t>
      </w:r>
      <w:r w:rsidRPr="00B639D0">
        <w:rPr>
          <w:rFonts w:cstheme="minorHAnsi"/>
        </w:rPr>
        <w:t xml:space="preserve"> </w:t>
      </w:r>
      <w:r w:rsidR="00FA3FF8" w:rsidRPr="00FA3FF8">
        <w:rPr>
          <w:rFonts w:cstheme="minorHAnsi"/>
        </w:rPr>
        <w:t>partners to adhere to best practice in duty of care and have safeguarding policies in place when working with youth</w:t>
      </w:r>
      <w:r w:rsidR="00506E94">
        <w:rPr>
          <w:rFonts w:cstheme="minorHAnsi"/>
        </w:rPr>
        <w:t>.</w:t>
      </w:r>
      <w:r w:rsidRPr="00B639D0">
        <w:rPr>
          <w:rFonts w:cstheme="minorHAnsi"/>
        </w:rPr>
        <w:t xml:space="preserve"> </w:t>
      </w:r>
      <w:r w:rsidR="00F4406D" w:rsidRPr="00F4406D">
        <w:rPr>
          <w:rFonts w:cstheme="minorHAnsi"/>
        </w:rPr>
        <w:t>All the Tide Turners partner organisations working with young people have their safeguarding policies that are applied to all volunteers, employees and contractors</w:t>
      </w:r>
      <w:r w:rsidR="00F4406D">
        <w:rPr>
          <w:rFonts w:cstheme="minorHAnsi"/>
        </w:rPr>
        <w:t xml:space="preserve">. </w:t>
      </w:r>
      <w:r w:rsidRPr="00B639D0">
        <w:rPr>
          <w:rFonts w:cstheme="minorHAnsi"/>
        </w:rPr>
        <w:t>For example, the World Organization of the Scout Movement (WOSM) has a</w:t>
      </w:r>
      <w:hyperlink r:id="rId18">
        <w:r w:rsidRPr="00B639D0">
          <w:rPr>
            <w:rFonts w:cstheme="minorHAnsi"/>
          </w:rPr>
          <w:t xml:space="preserve"> Safe from Harm Policy</w:t>
        </w:r>
      </w:hyperlink>
      <w:r w:rsidRPr="00B639D0">
        <w:rPr>
          <w:rFonts w:cstheme="minorHAnsi"/>
        </w:rPr>
        <w:t xml:space="preserve"> and a new service on WOSM’s Service Platform, where National Scout Organisations (NSOs) can request direct support in strengthening efforts at the national level. Not having a Safe from Harm policy is considered a “major non-conformity issue” in WOSM’s quality standards for NSOs. </w:t>
      </w:r>
    </w:p>
    <w:p w14:paraId="43582512" w14:textId="77777777" w:rsidR="00EE176C" w:rsidRPr="00217F59" w:rsidRDefault="00EE176C" w:rsidP="00EE176C">
      <w:pPr>
        <w:shd w:val="clear" w:color="auto" w:fill="FFFFFF" w:themeFill="background1"/>
        <w:spacing w:after="240"/>
        <w:rPr>
          <w:color w:val="242424"/>
        </w:rPr>
      </w:pPr>
      <w:r w:rsidRPr="336AD0F0">
        <w:t xml:space="preserve">To date, over 110 NSOs have been assessed using their quality standard. </w:t>
      </w:r>
      <w:r>
        <w:t>WAGGGS</w:t>
      </w:r>
      <w:r w:rsidRPr="336AD0F0">
        <w:t xml:space="preserve"> </w:t>
      </w:r>
      <w:r>
        <w:t>Safeguarding and Child policy key principles</w:t>
      </w:r>
      <w:r w:rsidRPr="336AD0F0">
        <w:t xml:space="preserve"> ensures everyone has an equal right to protection from abuse and exploitation regardless of age, race, sex, sexual orientation, marriage and civil partnership, pregnancy or having a child, gender reassignment, language, religion, political or other opinion, national, ethnic, or social origin, property, disability, birth or other status.</w:t>
      </w:r>
      <w:r>
        <w:t xml:space="preserve"> TTPC activities are delivered in partnership with education institutions in partner countries, and UNEP’s delivery partners provide training for teaching professionals on delivering the TTPC modules. Direct contact between partners and young people is therefore limited and conducted in the presence of teaching staff.</w:t>
      </w:r>
    </w:p>
    <w:p w14:paraId="50D5D093" w14:textId="0038F935" w:rsidR="00D000C4" w:rsidRPr="00565E6E" w:rsidRDefault="00D000C4" w:rsidP="00E52D65">
      <w:pPr>
        <w:shd w:val="clear" w:color="auto" w:fill="FFFFFF"/>
        <w:spacing w:after="120"/>
        <w:rPr>
          <w:rFonts w:eastAsia="Times New Roman" w:cstheme="minorHAnsi"/>
          <w:lang w:eastAsia="en-GB"/>
        </w:rPr>
      </w:pPr>
      <w:r w:rsidRPr="00565E6E">
        <w:rPr>
          <w:rFonts w:eastAsia="Times New Roman" w:cstheme="minorHAnsi"/>
          <w:b/>
          <w:bCs/>
          <w:color w:val="242424"/>
          <w:lang w:eastAsia="en-GB"/>
        </w:rPr>
        <w:t>For the Tide Turners programme, the following considerations will be made: </w:t>
      </w:r>
    </w:p>
    <w:p w14:paraId="35AF657B" w14:textId="6BCBFC93" w:rsidR="00D000C4" w:rsidRPr="00565E6E" w:rsidRDefault="00D000C4" w:rsidP="00E52D65">
      <w:pPr>
        <w:numPr>
          <w:ilvl w:val="0"/>
          <w:numId w:val="62"/>
        </w:numPr>
        <w:shd w:val="clear" w:color="auto" w:fill="FFFFFF"/>
        <w:textAlignment w:val="baseline"/>
        <w:rPr>
          <w:rFonts w:eastAsia="Times New Roman" w:cstheme="minorHAnsi"/>
          <w:b/>
          <w:bCs/>
          <w:color w:val="242424"/>
          <w:lang w:eastAsia="en-GB"/>
        </w:rPr>
      </w:pPr>
      <w:r w:rsidRPr="00565E6E">
        <w:rPr>
          <w:rFonts w:eastAsia="Times New Roman" w:cstheme="minorHAnsi"/>
          <w:b/>
          <w:bCs/>
          <w:color w:val="242424"/>
          <w:lang w:eastAsia="en-GB"/>
        </w:rPr>
        <w:t xml:space="preserve">Do no harm and referral as a first principle: </w:t>
      </w:r>
      <w:r w:rsidRPr="00565E6E">
        <w:rPr>
          <w:rFonts w:eastAsia="Times New Roman" w:cstheme="minorHAnsi"/>
          <w:color w:val="242424"/>
          <w:lang w:eastAsia="en-GB"/>
        </w:rPr>
        <w:t xml:space="preserve">Due to the sensitivity of some </w:t>
      </w:r>
      <w:r w:rsidR="00A940D7">
        <w:rPr>
          <w:rFonts w:eastAsia="Times New Roman" w:cstheme="minorHAnsi"/>
          <w:color w:val="242424"/>
          <w:lang w:eastAsia="en-GB"/>
        </w:rPr>
        <w:t>Violence Against Women and Girls (</w:t>
      </w:r>
      <w:r w:rsidRPr="00565E6E">
        <w:rPr>
          <w:rFonts w:eastAsia="Times New Roman" w:cstheme="minorHAnsi"/>
          <w:color w:val="242424"/>
          <w:lang w:eastAsia="en-GB"/>
        </w:rPr>
        <w:t>VAWG</w:t>
      </w:r>
      <w:r w:rsidR="00A940D7">
        <w:rPr>
          <w:rFonts w:eastAsia="Times New Roman" w:cstheme="minorHAnsi"/>
          <w:color w:val="242424"/>
          <w:lang w:eastAsia="en-GB"/>
        </w:rPr>
        <w:t>)</w:t>
      </w:r>
      <w:r w:rsidRPr="00565E6E">
        <w:rPr>
          <w:rFonts w:eastAsia="Times New Roman" w:cstheme="minorHAnsi"/>
          <w:color w:val="242424"/>
          <w:lang w:eastAsia="en-GB"/>
        </w:rPr>
        <w:t xml:space="preserve"> topics (including FGM) and safeguarding implications, WAGGGS works with civil society organisations with expertise in VAWG. Their approach is, when disclosures are made by girls and women, WAGGGS seeks appropriate referrals to suitable, expert organisations with the expertise and resources to support on these topics with the principle of “do no harm” being applied</w:t>
      </w:r>
      <w:r w:rsidR="00E52D65">
        <w:rPr>
          <w:rFonts w:eastAsia="Times New Roman" w:cstheme="minorHAnsi"/>
          <w:color w:val="242424"/>
          <w:lang w:eastAsia="en-GB"/>
        </w:rPr>
        <w:t>;</w:t>
      </w:r>
    </w:p>
    <w:p w14:paraId="24D4DD80" w14:textId="02224F6A" w:rsidR="00D000C4" w:rsidRPr="00565E6E" w:rsidRDefault="00D000C4" w:rsidP="00E52D65">
      <w:pPr>
        <w:numPr>
          <w:ilvl w:val="0"/>
          <w:numId w:val="62"/>
        </w:numPr>
        <w:shd w:val="clear" w:color="auto" w:fill="FFFFFF"/>
        <w:textAlignment w:val="baseline"/>
        <w:rPr>
          <w:rFonts w:eastAsia="Times New Roman" w:cstheme="minorHAnsi"/>
          <w:b/>
          <w:bCs/>
          <w:color w:val="242424"/>
          <w:lang w:eastAsia="en-GB"/>
        </w:rPr>
      </w:pPr>
      <w:r w:rsidRPr="00565E6E">
        <w:rPr>
          <w:rFonts w:eastAsia="Times New Roman" w:cstheme="minorHAnsi"/>
          <w:b/>
          <w:bCs/>
          <w:color w:val="242424"/>
          <w:lang w:eastAsia="en-GB"/>
        </w:rPr>
        <w:t xml:space="preserve">Integration: </w:t>
      </w:r>
      <w:r w:rsidRPr="00565E6E">
        <w:rPr>
          <w:rFonts w:eastAsia="Times New Roman" w:cstheme="minorHAnsi"/>
          <w:color w:val="242424"/>
          <w:lang w:eastAsia="en-GB"/>
        </w:rPr>
        <w:t>All WAGGGS global programmes make reference to the Stop the Violence campaign. Staff working on Tide Turners will collaborate closely with STV staff for training and programme design and delivery and the WAGGGs approach to addressing STV will be shared with other partners in the programme for their consideration</w:t>
      </w:r>
      <w:r w:rsidR="00E52D65">
        <w:rPr>
          <w:rFonts w:eastAsia="Times New Roman" w:cstheme="minorHAnsi"/>
          <w:color w:val="242424"/>
          <w:lang w:eastAsia="en-GB"/>
        </w:rPr>
        <w:t>;</w:t>
      </w:r>
    </w:p>
    <w:p w14:paraId="15424BB9" w14:textId="756D1499" w:rsidR="00D000C4" w:rsidRPr="00565E6E" w:rsidRDefault="00D000C4" w:rsidP="00E52D65">
      <w:pPr>
        <w:numPr>
          <w:ilvl w:val="0"/>
          <w:numId w:val="62"/>
        </w:numPr>
        <w:shd w:val="clear" w:color="auto" w:fill="FFFFFF"/>
        <w:spacing w:after="120"/>
        <w:textAlignment w:val="baseline"/>
        <w:rPr>
          <w:rFonts w:eastAsia="Times New Roman" w:cstheme="minorHAnsi"/>
          <w:b/>
          <w:bCs/>
          <w:color w:val="242424"/>
          <w:lang w:eastAsia="en-GB"/>
        </w:rPr>
      </w:pPr>
      <w:r w:rsidRPr="00565E6E">
        <w:rPr>
          <w:rFonts w:eastAsia="Times New Roman" w:cstheme="minorHAnsi"/>
          <w:b/>
          <w:bCs/>
          <w:color w:val="242424"/>
          <w:lang w:eastAsia="en-GB"/>
        </w:rPr>
        <w:t>Safeguarding policies</w:t>
      </w:r>
      <w:r w:rsidRPr="00565E6E">
        <w:rPr>
          <w:rFonts w:eastAsia="Times New Roman" w:cstheme="minorHAnsi"/>
          <w:color w:val="242424"/>
          <w:lang w:eastAsia="en-GB"/>
        </w:rPr>
        <w:t>: Offering safe spaces is an essential foundation for quality Girl Guiding and Girl Scouting</w:t>
      </w:r>
      <w:r w:rsidR="00A42089">
        <w:rPr>
          <w:rFonts w:eastAsia="Times New Roman" w:cstheme="minorHAnsi"/>
          <w:color w:val="242424"/>
          <w:lang w:eastAsia="en-GB"/>
        </w:rPr>
        <w:t xml:space="preserve">. </w:t>
      </w:r>
      <w:r w:rsidRPr="00565E6E">
        <w:rPr>
          <w:rFonts w:eastAsia="Times New Roman" w:cstheme="minorHAnsi"/>
          <w:color w:val="242424"/>
          <w:lang w:eastAsia="en-GB"/>
        </w:rPr>
        <w:t xml:space="preserve"> </w:t>
      </w:r>
      <w:r w:rsidR="00A42089">
        <w:rPr>
          <w:rFonts w:eastAsia="Times New Roman" w:cstheme="minorHAnsi"/>
          <w:color w:val="242424"/>
          <w:lang w:eastAsia="en-GB"/>
        </w:rPr>
        <w:t>WAGGGS</w:t>
      </w:r>
      <w:r w:rsidR="00380CA0">
        <w:rPr>
          <w:rFonts w:eastAsia="Times New Roman" w:cstheme="minorHAnsi"/>
          <w:color w:val="242424"/>
          <w:lang w:eastAsia="en-GB"/>
        </w:rPr>
        <w:t xml:space="preserve">’s </w:t>
      </w:r>
      <w:r w:rsidRPr="00565E6E">
        <w:rPr>
          <w:rFonts w:eastAsia="Times New Roman" w:cstheme="minorHAnsi"/>
          <w:color w:val="242424"/>
          <w:lang w:eastAsia="en-GB"/>
        </w:rPr>
        <w:t xml:space="preserve">acknowledge the particular importance is the need to create safe and supportive spaces for Girl Guides and Girl Scouts to participate in our work, to reduce risks and for any (safety and welfare) concerns to be raised and responded to. WAGGGS </w:t>
      </w:r>
      <w:r w:rsidRPr="00565E6E">
        <w:rPr>
          <w:rFonts w:eastAsia="Times New Roman" w:cstheme="minorHAnsi"/>
          <w:color w:val="242424"/>
          <w:lang w:eastAsia="en-GB"/>
        </w:rPr>
        <w:lastRenderedPageBreak/>
        <w:t>safeguarding policy was updated in 2022 and applies to all programme work funded through donors</w:t>
      </w:r>
      <w:r w:rsidRPr="00565E6E">
        <w:rPr>
          <w:rFonts w:eastAsia="Times New Roman" w:cstheme="minorHAnsi"/>
          <w:b/>
          <w:bCs/>
          <w:color w:val="242424"/>
          <w:lang w:eastAsia="en-GB"/>
        </w:rPr>
        <w:t>.</w:t>
      </w:r>
    </w:p>
    <w:p w14:paraId="31A3F81B" w14:textId="6818B390" w:rsidR="00EE176C" w:rsidRPr="00506E94" w:rsidRDefault="00D000C4" w:rsidP="00506E94">
      <w:pPr>
        <w:shd w:val="clear" w:color="auto" w:fill="FFFFFF"/>
        <w:rPr>
          <w:rFonts w:eastAsia="Times New Roman" w:cstheme="minorHAnsi"/>
          <w:color w:val="242424"/>
          <w:lang w:eastAsia="en-GB"/>
        </w:rPr>
      </w:pPr>
      <w:r w:rsidRPr="00565E6E">
        <w:rPr>
          <w:rFonts w:eastAsia="Times New Roman" w:cstheme="minorHAnsi"/>
          <w:color w:val="242424"/>
          <w:lang w:eastAsia="en-GB"/>
        </w:rPr>
        <w:t xml:space="preserve">Should further budget be made available from DEFRA, additional investment in WAGGGs to support this work and potentially a new collaboration with UN WOMEN could be explored. UN Women has developed a </w:t>
      </w:r>
      <w:hyperlink r:id="rId19" w:history="1">
        <w:r w:rsidRPr="00A940D7">
          <w:rPr>
            <w:rFonts w:eastAsia="Times New Roman" w:cstheme="minorHAnsi"/>
            <w:color w:val="242424"/>
            <w:lang w:eastAsia="en-GB"/>
          </w:rPr>
          <w:t>framewor</w:t>
        </w:r>
      </w:hyperlink>
      <w:r w:rsidRPr="00A940D7">
        <w:rPr>
          <w:rFonts w:eastAsia="Times New Roman" w:cstheme="minorHAnsi"/>
          <w:color w:val="242424"/>
          <w:lang w:eastAsia="en-GB"/>
        </w:rPr>
        <w:t>k</w:t>
      </w:r>
      <w:r w:rsidRPr="00565E6E">
        <w:rPr>
          <w:rFonts w:eastAsia="Times New Roman" w:cstheme="minorHAnsi"/>
          <w:color w:val="242424"/>
          <w:lang w:eastAsia="en-GB"/>
        </w:rPr>
        <w:t xml:space="preserve"> to inform policy makers and implementers about designing, planning, implementing, monitoring, and evaluating interventions and programmes on preventing and responding to violence against women, which provides an entry point to better mainstream gender into the Tide Turners programme.</w:t>
      </w:r>
    </w:p>
    <w:p w14:paraId="375E4B18" w14:textId="16AD7BF9" w:rsidR="00FC3E2F" w:rsidRPr="00EE176C" w:rsidRDefault="00506E94" w:rsidP="00EE176C">
      <w:pPr>
        <w:shd w:val="clear" w:color="auto" w:fill="FFFFFF" w:themeFill="background1"/>
        <w:spacing w:after="240"/>
      </w:pPr>
      <w:r>
        <w:br/>
      </w:r>
      <w:r w:rsidR="00EE176C" w:rsidRPr="336AD0F0">
        <w:t>For INC support, the contribution will be provided to UNEP and therefore fall within the scope of UNEP’s own safeguarding procedures.</w:t>
      </w:r>
    </w:p>
    <w:p w14:paraId="5E2632B3" w14:textId="4B436384" w:rsidR="002B2819" w:rsidRPr="00217F59" w:rsidRDefault="002B2819">
      <w:pPr>
        <w:pStyle w:val="Heading3"/>
      </w:pPr>
      <w:r w:rsidRPr="00BD39C8">
        <w:t xml:space="preserve">Digital </w:t>
      </w:r>
      <w:r w:rsidRPr="00217F59">
        <w:t>S</w:t>
      </w:r>
      <w:r w:rsidRPr="00BD39C8">
        <w:t xml:space="preserve">afeguarding </w:t>
      </w:r>
    </w:p>
    <w:p w14:paraId="17DF40D7" w14:textId="437EB3F3" w:rsidR="002B2819" w:rsidRPr="00217F59" w:rsidRDefault="002B2819" w:rsidP="00613ABF">
      <w:pPr>
        <w:spacing w:after="240"/>
        <w:rPr>
          <w:rFonts w:cstheme="minorHAnsi"/>
          <w:lang w:eastAsia="en-GB"/>
        </w:rPr>
      </w:pPr>
      <w:r w:rsidRPr="00BD39C8">
        <w:rPr>
          <w:rFonts w:cstheme="minorHAnsi"/>
          <w:lang w:eastAsia="en-GB"/>
        </w:rPr>
        <w:t>Partner organi</w:t>
      </w:r>
      <w:r w:rsidR="00FE2D7F">
        <w:rPr>
          <w:rFonts w:cstheme="minorHAnsi"/>
          <w:lang w:eastAsia="en-GB"/>
        </w:rPr>
        <w:t>s</w:t>
      </w:r>
      <w:r w:rsidRPr="00BD39C8">
        <w:rPr>
          <w:rFonts w:cstheme="minorHAnsi"/>
          <w:lang w:eastAsia="en-GB"/>
        </w:rPr>
        <w:t>ations have their own digital saf</w:t>
      </w:r>
      <w:r w:rsidRPr="00217F59">
        <w:rPr>
          <w:rFonts w:cstheme="minorHAnsi"/>
          <w:lang w:eastAsia="en-GB"/>
        </w:rPr>
        <w:t>eguarding policies</w:t>
      </w:r>
      <w:r w:rsidR="001245ED">
        <w:rPr>
          <w:rFonts w:cstheme="minorHAnsi"/>
          <w:lang w:eastAsia="en-GB"/>
        </w:rPr>
        <w:t xml:space="preserve">, e.g., </w:t>
      </w:r>
      <w:r w:rsidRPr="00217F59">
        <w:rPr>
          <w:rFonts w:cstheme="minorHAnsi"/>
          <w:lang w:eastAsia="en-GB"/>
        </w:rPr>
        <w:t xml:space="preserve">the World Organization of the Scout Movement </w:t>
      </w:r>
      <w:r w:rsidR="00EE1D3D">
        <w:rPr>
          <w:rFonts w:cstheme="minorHAnsi"/>
          <w:lang w:eastAsia="en-GB"/>
        </w:rPr>
        <w:t xml:space="preserve">(WOSM) </w:t>
      </w:r>
      <w:r w:rsidRPr="00217F59">
        <w:rPr>
          <w:rFonts w:cstheme="minorHAnsi"/>
          <w:lang w:eastAsia="en-GB"/>
        </w:rPr>
        <w:t>has training on online safety. A digital Tide Turners Training guide is being created to support partners and advise ways to deliver Tide Turners trainings and badge activities online. This will be taken forward by partners who have online safeguarding built into their outreach programmes.</w:t>
      </w:r>
    </w:p>
    <w:p w14:paraId="4AA52C91" w14:textId="42872F4F" w:rsidR="00D829E4" w:rsidRDefault="002B2819" w:rsidP="00565E6E">
      <w:pPr>
        <w:pStyle w:val="Heading3"/>
      </w:pPr>
      <w:r w:rsidRPr="00BD39C8">
        <w:t>Equality</w:t>
      </w:r>
      <w:r w:rsidRPr="00217F59">
        <w:t xml:space="preserve"> &amp; Inclusion</w:t>
      </w:r>
    </w:p>
    <w:p w14:paraId="1FFD3B72" w14:textId="77777777" w:rsidR="007618C2" w:rsidRDefault="00BF4854" w:rsidP="00031307">
      <w:r>
        <w:t xml:space="preserve">Evidenced by the </w:t>
      </w:r>
      <w:hyperlink r:id="rId20">
        <w:r w:rsidRPr="00595499">
          <w:t>f</w:t>
        </w:r>
      </w:hyperlink>
      <w:r w:rsidRPr="00595499">
        <w:t>lagship</w:t>
      </w:r>
      <w:r w:rsidRPr="00217F59">
        <w:rPr>
          <w:b/>
          <w:bCs/>
        </w:rPr>
        <w:t xml:space="preserve"> </w:t>
      </w:r>
      <w:r w:rsidRPr="00E52D65">
        <w:t>UN report on Disability and Development 2018</w:t>
      </w:r>
      <w:r w:rsidR="00D2319A" w:rsidRPr="00217F59">
        <w:t xml:space="preserve">, UNEP ensures  the full and equal participation of persons with disabilities in all spheres of society and creates enabling environments by, for and with persons with disabilities, </w:t>
      </w:r>
      <w:r>
        <w:t xml:space="preserve">to ensure </w:t>
      </w:r>
      <w:r w:rsidRPr="00217F59">
        <w:t>equal</w:t>
      </w:r>
      <w:r>
        <w:t xml:space="preserve"> treatment</w:t>
      </w:r>
      <w:r w:rsidRPr="00217F59">
        <w:t xml:space="preserve"> and equal opportunities </w:t>
      </w:r>
      <w:r w:rsidR="00D2319A" w:rsidRPr="00217F59">
        <w:t xml:space="preserve">in line with the </w:t>
      </w:r>
      <w:hyperlink r:id="rId21">
        <w:r w:rsidR="00D2319A" w:rsidRPr="00217F59">
          <w:t>Convention on the Rights of Persons with Disabilities</w:t>
        </w:r>
      </w:hyperlink>
      <w:r>
        <w:t xml:space="preserve"> and the </w:t>
      </w:r>
      <w:hyperlink r:id="rId22">
        <w:r w:rsidRPr="00217F59">
          <w:t>2030 Agenda for Sustainable Development</w:t>
        </w:r>
      </w:hyperlink>
      <w:r w:rsidRPr="00217F59">
        <w:t>, pledg</w:t>
      </w:r>
      <w:r>
        <w:t>e</w:t>
      </w:r>
      <w:r w:rsidRPr="00217F59">
        <w:t xml:space="preserve"> to “leave no one behind</w:t>
      </w:r>
      <w:r w:rsidR="00031307">
        <w:t xml:space="preserve">”. </w:t>
      </w:r>
    </w:p>
    <w:p w14:paraId="7B4ED240" w14:textId="77777777" w:rsidR="007618C2" w:rsidRDefault="007618C2" w:rsidP="00031307"/>
    <w:p w14:paraId="409ABD36" w14:textId="55E09C4A" w:rsidR="00D2319A" w:rsidRDefault="00031307" w:rsidP="00031307">
      <w:r>
        <w:t>D</w:t>
      </w:r>
      <w:r w:rsidR="00D2319A" w:rsidRPr="00217F59">
        <w:t xml:space="preserve">iversity and inclusion is one of </w:t>
      </w:r>
      <w:r w:rsidR="00D2319A" w:rsidRPr="00565E6E">
        <w:t>WOSM</w:t>
      </w:r>
      <w:r w:rsidR="00577106" w:rsidRPr="00565E6E">
        <w:t>’s</w:t>
      </w:r>
      <w:r w:rsidR="00D2319A" w:rsidRPr="00565E6E">
        <w:t xml:space="preserve"> Strategic Priorities</w:t>
      </w:r>
      <w:r w:rsidR="00BF4854" w:rsidRPr="00595499">
        <w:rPr>
          <w:bCs/>
        </w:rPr>
        <w:t>,</w:t>
      </w:r>
      <w:r w:rsidR="00D2319A" w:rsidRPr="00217F59">
        <w:t xml:space="preserve"> mak</w:t>
      </w:r>
      <w:r w:rsidR="00BF4854">
        <w:t>ing</w:t>
      </w:r>
      <w:r w:rsidR="00D2319A" w:rsidRPr="00217F59">
        <w:t xml:space="preserve"> Scouting inclusive by valuing the diversity of local and national communities</w:t>
      </w:r>
      <w:r w:rsidR="00BF4854">
        <w:t xml:space="preserve">, for example by </w:t>
      </w:r>
      <w:r w:rsidR="00D2319A" w:rsidRPr="00217F59">
        <w:t>designing inclusive youth programmes and ensuring diversity among adults who support scouting</w:t>
      </w:r>
      <w:r w:rsidR="00BF4854">
        <w:t>,</w:t>
      </w:r>
      <w:r w:rsidR="00D2319A" w:rsidRPr="00217F59">
        <w:t xml:space="preserve"> promoting and defending human rights and strongly opposing all forms of prejudice and discrimination, recognising, understanding and valuing individual differences </w:t>
      </w:r>
      <w:r w:rsidR="00D2319A" w:rsidRPr="00217F59" w:rsidDel="00EE5AD7">
        <w:t xml:space="preserve">and </w:t>
      </w:r>
      <w:r w:rsidR="00EE5AD7" w:rsidRPr="00217F59">
        <w:t>developing</w:t>
      </w:r>
      <w:r w:rsidR="00D2319A" w:rsidRPr="00217F59">
        <w:t xml:space="preserve"> inclusive management systems, processes and practices.</w:t>
      </w:r>
    </w:p>
    <w:p w14:paraId="796893CD" w14:textId="77777777" w:rsidR="00801D4D" w:rsidRDefault="00801D4D" w:rsidP="00031307"/>
    <w:p w14:paraId="2C14E05B" w14:textId="59CD689A" w:rsidR="00801D4D" w:rsidRDefault="00801D4D" w:rsidP="00031307">
      <w:r w:rsidRPr="00A47A66">
        <w:rPr>
          <w:b/>
          <w:bCs/>
        </w:rPr>
        <w:t>INC meetin</w:t>
      </w:r>
      <w:r w:rsidR="001E2C36" w:rsidRPr="00A47A66">
        <w:rPr>
          <w:b/>
          <w:bCs/>
        </w:rPr>
        <w:t>gs</w:t>
      </w:r>
      <w:r w:rsidR="001E2C36">
        <w:t xml:space="preserve"> </w:t>
      </w:r>
      <w:r w:rsidR="009C5C3A">
        <w:t>will be held in accordance with standard UNEP operational policies</w:t>
      </w:r>
      <w:r w:rsidR="00E64BAA">
        <w:t>, including</w:t>
      </w:r>
      <w:r w:rsidR="009C5C3A">
        <w:t xml:space="preserve"> on </w:t>
      </w:r>
      <w:r w:rsidR="005F1BDE">
        <w:t>the prevention and response to sexual misconduct</w:t>
      </w:r>
      <w:r w:rsidR="00E64BAA">
        <w:t xml:space="preserve"> </w:t>
      </w:r>
      <w:r w:rsidR="00037547">
        <w:t xml:space="preserve">and other prohibited conduct.  </w:t>
      </w:r>
    </w:p>
    <w:p w14:paraId="636C8B48" w14:textId="77777777" w:rsidR="007618C2" w:rsidRPr="007D41F7" w:rsidDel="00AE11B5" w:rsidRDefault="007618C2" w:rsidP="00565E6E"/>
    <w:p w14:paraId="29A4B525" w14:textId="36780FAE" w:rsidR="00B57E20" w:rsidRDefault="007D3968" w:rsidP="00565E6E">
      <w:pPr>
        <w:pStyle w:val="Heading2"/>
        <w:spacing w:after="240" w:line="240" w:lineRule="auto"/>
        <w:rPr>
          <w:rStyle w:val="Heading3Char"/>
        </w:rPr>
      </w:pPr>
      <w:bookmarkStart w:id="21" w:name="_Toc121224101"/>
      <w:r w:rsidRPr="00217F59">
        <w:t>Impact</w:t>
      </w:r>
      <w:r w:rsidR="00217F59">
        <w:t>s</w:t>
      </w:r>
      <w:r w:rsidRPr="00217F59">
        <w:t xml:space="preserve"> and outcomes</w:t>
      </w:r>
      <w:bookmarkEnd w:id="21"/>
    </w:p>
    <w:p w14:paraId="35DBE208" w14:textId="165CC427" w:rsidR="00045769" w:rsidRPr="00565E6E" w:rsidRDefault="00045769" w:rsidP="00565E6E">
      <w:pPr>
        <w:shd w:val="clear" w:color="auto" w:fill="FFFFFF" w:themeFill="background1"/>
        <w:rPr>
          <w:rStyle w:val="Heading3Char"/>
          <w:b/>
          <w:bCs/>
        </w:rPr>
      </w:pPr>
      <w:r>
        <w:rPr>
          <w:rStyle w:val="Heading3Char"/>
        </w:rPr>
        <w:t>DISABILITIES</w:t>
      </w:r>
      <w:r w:rsidR="00927F5A">
        <w:rPr>
          <w:rStyle w:val="Heading3Char"/>
        </w:rPr>
        <w:t xml:space="preserve"> &amp; Marginalised groups</w:t>
      </w:r>
      <w:r>
        <w:rPr>
          <w:rStyle w:val="Heading3Char"/>
        </w:rPr>
        <w:t xml:space="preserve"> INCLUSION</w:t>
      </w:r>
      <w:r w:rsidRPr="20687F17">
        <w:rPr>
          <w:rStyle w:val="Heading3Char"/>
        </w:rPr>
        <w:t xml:space="preserve">: </w:t>
      </w:r>
      <w:r w:rsidRPr="20687F17">
        <w:rPr>
          <w:rStyle w:val="Heading3Char"/>
          <w:b/>
          <w:bCs/>
        </w:rPr>
        <w:t>HIGH IMPACT</w:t>
      </w:r>
    </w:p>
    <w:p w14:paraId="071248E2" w14:textId="196FA24B" w:rsidR="00BF776D" w:rsidRPr="00217F59" w:rsidRDefault="00BF776D" w:rsidP="00BF776D">
      <w:pPr>
        <w:shd w:val="clear" w:color="auto" w:fill="FFFFFF"/>
        <w:rPr>
          <w:b/>
          <w:bCs/>
        </w:rPr>
      </w:pPr>
      <w:r>
        <w:rPr>
          <w:b/>
          <w:bCs/>
        </w:rPr>
        <w:t xml:space="preserve">Tide Turners: </w:t>
      </w:r>
      <w:r w:rsidR="00927F5A">
        <w:t>Inclusion of those with both physical and mental disabilities, and those from marginalised communities with a focus on:</w:t>
      </w:r>
    </w:p>
    <w:p w14:paraId="6382C497" w14:textId="5EC917FB" w:rsidR="00BF776D" w:rsidRPr="00217F59" w:rsidRDefault="00071050" w:rsidP="00565E6E">
      <w:pPr>
        <w:pStyle w:val="ListParagraph"/>
        <w:numPr>
          <w:ilvl w:val="0"/>
          <w:numId w:val="55"/>
        </w:numPr>
        <w:shd w:val="clear" w:color="auto" w:fill="FFFFFF"/>
        <w:spacing w:after="0" w:line="240" w:lineRule="auto"/>
      </w:pPr>
      <w:r>
        <w:rPr>
          <w:b/>
          <w:bCs/>
        </w:rPr>
        <w:t>Disabilities</w:t>
      </w:r>
      <w:r w:rsidR="002B1081">
        <w:rPr>
          <w:b/>
          <w:bCs/>
        </w:rPr>
        <w:t xml:space="preserve">: </w:t>
      </w:r>
      <w:r w:rsidR="002B1081" w:rsidRPr="00565E6E">
        <w:t xml:space="preserve">The Tide Turners team will ensure they </w:t>
      </w:r>
      <w:r w:rsidR="00DD0236" w:rsidRPr="00565E6E">
        <w:t xml:space="preserve">adapt the UN Disability Policy and framework to best suit the participants needs, working with delivery partners to ensure the </w:t>
      </w:r>
      <w:r w:rsidR="00762C4F">
        <w:t xml:space="preserve">Tide Turners </w:t>
      </w:r>
      <w:r w:rsidR="00DD0236" w:rsidRPr="00565E6E">
        <w:t>challenge is accessible and inclusive for all</w:t>
      </w:r>
      <w:r w:rsidR="00762C4F">
        <w:t xml:space="preserve"> who register.</w:t>
      </w:r>
      <w:r w:rsidR="003058C6">
        <w:t xml:space="preserve"> </w:t>
      </w:r>
    </w:p>
    <w:p w14:paraId="2ABCC16E" w14:textId="7B856534" w:rsidR="00BF776D" w:rsidRDefault="00071050" w:rsidP="00565E6E">
      <w:pPr>
        <w:pStyle w:val="ListParagraph"/>
        <w:numPr>
          <w:ilvl w:val="0"/>
          <w:numId w:val="55"/>
        </w:numPr>
        <w:shd w:val="clear" w:color="auto" w:fill="FFFFFF"/>
        <w:spacing w:after="0" w:line="240" w:lineRule="auto"/>
      </w:pPr>
      <w:r>
        <w:rPr>
          <w:b/>
          <w:bCs/>
        </w:rPr>
        <w:t>Indigenous groups</w:t>
      </w:r>
      <w:r w:rsidR="00BF776D" w:rsidRPr="00217F59">
        <w:rPr>
          <w:b/>
          <w:bCs/>
        </w:rPr>
        <w:t>:</w:t>
      </w:r>
      <w:r w:rsidR="00BF776D" w:rsidRPr="00BD39C8">
        <w:t xml:space="preserve"> </w:t>
      </w:r>
      <w:r w:rsidR="009A7926">
        <w:t>The UNEP Tide Turners team will work with delivery partners in the Africa, India and Pacific regions to ensure</w:t>
      </w:r>
      <w:r w:rsidR="00172BE5">
        <w:t xml:space="preserve"> collaboration with</w:t>
      </w:r>
      <w:r w:rsidR="00EB52E8">
        <w:t xml:space="preserve">, and fair representation of, </w:t>
      </w:r>
      <w:r w:rsidR="009A7926">
        <w:t>indigenous communities within the programme.</w:t>
      </w:r>
    </w:p>
    <w:p w14:paraId="2DA1EDEF" w14:textId="77777777" w:rsidR="006E1BDA" w:rsidRDefault="006E1BDA" w:rsidP="006E1BDA">
      <w:pPr>
        <w:shd w:val="clear" w:color="auto" w:fill="FFFFFF"/>
      </w:pPr>
    </w:p>
    <w:p w14:paraId="4472D331" w14:textId="08CACAFC" w:rsidR="006E1BDA" w:rsidRPr="00217F59" w:rsidRDefault="006E1BDA" w:rsidP="00D5251B">
      <w:pPr>
        <w:shd w:val="clear" w:color="auto" w:fill="FFFFFF"/>
      </w:pPr>
      <w:r w:rsidRPr="00A47A66">
        <w:rPr>
          <w:b/>
          <w:bCs/>
        </w:rPr>
        <w:t>INC:</w:t>
      </w:r>
      <w:r>
        <w:t xml:space="preserve"> The new Treaty has the potential to have a high impact on marginalised groups</w:t>
      </w:r>
      <w:r w:rsidR="00D5251B">
        <w:t xml:space="preserve">, </w:t>
      </w:r>
      <w:r w:rsidR="00DB1ACB">
        <w:t>through supporting actions which improve</w:t>
      </w:r>
      <w:r w:rsidR="00D5251B">
        <w:t xml:space="preserve"> conditions for waste pickers</w:t>
      </w:r>
      <w:r w:rsidR="00DB1ACB">
        <w:t xml:space="preserve"> (e.g. by </w:t>
      </w:r>
      <w:r w:rsidR="00AD0F5E">
        <w:t>encouraging global action on safer ingredients for plastics)</w:t>
      </w:r>
      <w:r w:rsidR="00D5251B">
        <w:t xml:space="preserve">.  </w:t>
      </w:r>
      <w:r w:rsidR="00D5251B" w:rsidRPr="00D5251B">
        <w:t>The majority of waste pickers have generally low levels of formal education. In many places the work is done primarily</w:t>
      </w:r>
      <w:r w:rsidR="007E6B0D">
        <w:t xml:space="preserve"> by</w:t>
      </w:r>
      <w:r w:rsidR="00D5251B" w:rsidRPr="00D5251B">
        <w:t xml:space="preserve"> disadvantaged groups</w:t>
      </w:r>
      <w:r w:rsidR="00AD0F5E">
        <w:t xml:space="preserve">.  However for </w:t>
      </w:r>
      <w:r w:rsidR="00F17330">
        <w:t xml:space="preserve">the </w:t>
      </w:r>
      <w:r w:rsidR="00F17330">
        <w:lastRenderedPageBreak/>
        <w:t xml:space="preserve">Treaty to have this impact </w:t>
      </w:r>
      <w:r w:rsidR="00AD0F5E">
        <w:t>the countries with larger wa</w:t>
      </w:r>
      <w:r w:rsidR="007E6B0D">
        <w:t>s</w:t>
      </w:r>
      <w:r w:rsidR="00AD0F5E">
        <w:t xml:space="preserve">te picking sectors, usually ODA eligible, must be able to participate in negotiations.  </w:t>
      </w:r>
      <w:r w:rsidR="00F17330">
        <w:t xml:space="preserve">UK funding will support this.  </w:t>
      </w:r>
    </w:p>
    <w:p w14:paraId="07BDAA62" w14:textId="77777777" w:rsidR="00071050" w:rsidRPr="00565E6E" w:rsidRDefault="00071050" w:rsidP="00565E6E">
      <w:pPr>
        <w:pStyle w:val="ListParagraph"/>
        <w:shd w:val="clear" w:color="auto" w:fill="FFFFFF" w:themeFill="background1"/>
        <w:spacing w:after="0" w:line="240" w:lineRule="auto"/>
        <w:rPr>
          <w:rStyle w:val="Heading3Char"/>
          <w:caps w:val="0"/>
          <w:color w:val="auto"/>
          <w:spacing w:val="0"/>
          <w:lang w:eastAsia="en-US"/>
        </w:rPr>
      </w:pPr>
    </w:p>
    <w:p w14:paraId="5D654D42" w14:textId="706AC64A" w:rsidR="00B518B8" w:rsidRDefault="03E091A8" w:rsidP="20687F17">
      <w:pPr>
        <w:shd w:val="clear" w:color="auto" w:fill="FFFFFF" w:themeFill="background1"/>
        <w:rPr>
          <w:rStyle w:val="Heading3Char"/>
          <w:b/>
          <w:bCs/>
        </w:rPr>
      </w:pPr>
      <w:r w:rsidRPr="20687F17">
        <w:rPr>
          <w:rStyle w:val="Heading3Char"/>
        </w:rPr>
        <w:t>Gender:</w:t>
      </w:r>
      <w:r w:rsidR="7F475675" w:rsidRPr="20687F17">
        <w:rPr>
          <w:rStyle w:val="Heading3Char"/>
        </w:rPr>
        <w:t xml:space="preserve"> </w:t>
      </w:r>
      <w:r w:rsidR="7F475675" w:rsidRPr="00AA4B4B">
        <w:rPr>
          <w:rStyle w:val="Heading3Char"/>
          <w:b/>
        </w:rPr>
        <w:t>HIGH IMPACT</w:t>
      </w:r>
    </w:p>
    <w:p w14:paraId="616A40B3" w14:textId="042181AF" w:rsidR="00B90AC9" w:rsidRPr="00617D25" w:rsidRDefault="00B90AC9" w:rsidP="00607AB4">
      <w:pPr>
        <w:shd w:val="clear" w:color="auto" w:fill="FFFFFF"/>
      </w:pPr>
      <w:r>
        <w:t>W</w:t>
      </w:r>
      <w:r w:rsidR="00743B65" w:rsidRPr="00217F59">
        <w:t xml:space="preserve">omen are at a </w:t>
      </w:r>
      <w:r w:rsidR="00743B65" w:rsidRPr="00E52D65">
        <w:rPr>
          <w:b/>
        </w:rPr>
        <w:t>higher risk of being negatively impacted by plastic waste.</w:t>
      </w:r>
      <w:r w:rsidR="00E52D65" w:rsidRPr="00E52D65">
        <w:rPr>
          <w:rStyle w:val="FootnoteReference"/>
          <w:b/>
        </w:rPr>
        <w:footnoteReference w:id="22"/>
      </w:r>
      <w:r w:rsidR="00743B65" w:rsidRPr="00E52D65">
        <w:t xml:space="preserve"> </w:t>
      </w:r>
      <w:r w:rsidR="00C60D83" w:rsidRPr="00565E6E">
        <w:t xml:space="preserve">At every stage of both components, every effort will be </w:t>
      </w:r>
      <w:r w:rsidR="00617D25" w:rsidRPr="00565E6E">
        <w:t>given to ensure that young girls and women are both fairly represented and adequately protected from risk and harm.</w:t>
      </w:r>
    </w:p>
    <w:p w14:paraId="2C909FC5" w14:textId="77777777" w:rsidR="00032FA0" w:rsidRDefault="00032FA0" w:rsidP="00607AB4">
      <w:pPr>
        <w:shd w:val="clear" w:color="auto" w:fill="FFFFFF"/>
        <w:rPr>
          <w:b/>
          <w:bCs/>
        </w:rPr>
      </w:pPr>
    </w:p>
    <w:p w14:paraId="7D4F7905" w14:textId="38F510C1" w:rsidR="009218F9" w:rsidRPr="00217F59" w:rsidRDefault="00B90AC9" w:rsidP="00607AB4">
      <w:pPr>
        <w:shd w:val="clear" w:color="auto" w:fill="FFFFFF"/>
        <w:rPr>
          <w:b/>
          <w:bCs/>
        </w:rPr>
      </w:pPr>
      <w:r>
        <w:rPr>
          <w:b/>
          <w:bCs/>
        </w:rPr>
        <w:t xml:space="preserve">Tide Turners: </w:t>
      </w:r>
      <w:bookmarkStart w:id="22" w:name="_Hlk111727553"/>
      <w:r w:rsidR="00743B65" w:rsidRPr="00217F59">
        <w:t>Gender impact is an area that will be emphasised in the next phase of the programme with a focus on:</w:t>
      </w:r>
    </w:p>
    <w:p w14:paraId="1FD98748" w14:textId="46CD9131" w:rsidR="009218F9" w:rsidRPr="00217F59" w:rsidRDefault="009218F9" w:rsidP="005C25BE">
      <w:pPr>
        <w:pStyle w:val="ListParagraph"/>
        <w:numPr>
          <w:ilvl w:val="0"/>
          <w:numId w:val="13"/>
        </w:numPr>
        <w:shd w:val="clear" w:color="auto" w:fill="FFFFFF"/>
        <w:spacing w:after="0" w:line="240" w:lineRule="auto"/>
      </w:pPr>
      <w:r w:rsidRPr="00217F59">
        <w:rPr>
          <w:b/>
          <w:bCs/>
        </w:rPr>
        <w:t>R</w:t>
      </w:r>
      <w:r w:rsidR="00743B65" w:rsidRPr="00217F59">
        <w:rPr>
          <w:b/>
          <w:bCs/>
        </w:rPr>
        <w:t>each:</w:t>
      </w:r>
      <w:r w:rsidR="00743B65" w:rsidRPr="00BD39C8">
        <w:t xml:space="preserve"> Minimum of 50% of all the programme participants should be young women and girls</w:t>
      </w:r>
    </w:p>
    <w:p w14:paraId="7E964B3D" w14:textId="77777777" w:rsidR="009218F9" w:rsidRPr="00217F59" w:rsidRDefault="00743B65" w:rsidP="005C25BE">
      <w:pPr>
        <w:pStyle w:val="ListParagraph"/>
        <w:numPr>
          <w:ilvl w:val="0"/>
          <w:numId w:val="13"/>
        </w:numPr>
        <w:shd w:val="clear" w:color="auto" w:fill="FFFFFF"/>
        <w:spacing w:after="0" w:line="240" w:lineRule="auto"/>
      </w:pPr>
      <w:r w:rsidRPr="00217F59">
        <w:rPr>
          <w:b/>
          <w:bCs/>
        </w:rPr>
        <w:t>Advocacy Programme:</w:t>
      </w:r>
      <w:r w:rsidRPr="00BD39C8">
        <w:t xml:space="preserve"> At least 50% of attendees should be young women and girls</w:t>
      </w:r>
    </w:p>
    <w:p w14:paraId="03D1C0C2" w14:textId="4B9E7E58" w:rsidR="00217F59" w:rsidRDefault="03E091A8" w:rsidP="20687F17">
      <w:pPr>
        <w:pStyle w:val="ListParagraph"/>
        <w:numPr>
          <w:ilvl w:val="0"/>
          <w:numId w:val="13"/>
        </w:numPr>
        <w:shd w:val="clear" w:color="auto" w:fill="FFFFFF" w:themeFill="background1"/>
        <w:spacing w:after="0" w:line="240" w:lineRule="auto"/>
      </w:pPr>
      <w:r w:rsidRPr="20687F17">
        <w:rPr>
          <w:b/>
          <w:bCs/>
        </w:rPr>
        <w:t>Event representation:</w:t>
      </w:r>
      <w:r>
        <w:t xml:space="preserve"> At least 50% of the selected representatives that speak about Tide Turners should be young women and girls</w:t>
      </w:r>
      <w:r w:rsidR="6F08F600">
        <w:t>.</w:t>
      </w:r>
    </w:p>
    <w:p w14:paraId="36750E13" w14:textId="77777777" w:rsidR="00F27A19" w:rsidRDefault="00F27A19" w:rsidP="00F166AE">
      <w:pPr>
        <w:shd w:val="clear" w:color="auto" w:fill="FFFFFF" w:themeFill="background1"/>
      </w:pPr>
    </w:p>
    <w:p w14:paraId="2F6C07E9" w14:textId="55F90C21" w:rsidR="00791426" w:rsidRDefault="00E52D65" w:rsidP="00F166AE">
      <w:pPr>
        <w:shd w:val="clear" w:color="auto" w:fill="FFFFFF" w:themeFill="background1"/>
      </w:pPr>
      <w:r>
        <w:rPr>
          <w:b/>
          <w:bCs/>
        </w:rPr>
        <w:t xml:space="preserve">INC: </w:t>
      </w:r>
      <w:r w:rsidR="002771BF">
        <w:t>Through</w:t>
      </w:r>
      <w:r w:rsidR="00746CB3">
        <w:t>out</w:t>
      </w:r>
      <w:r w:rsidR="002771BF">
        <w:t xml:space="preserve"> the INC process,</w:t>
      </w:r>
      <w:r w:rsidR="00E16218">
        <w:t xml:space="preserve"> appointments to</w:t>
      </w:r>
      <w:r w:rsidR="002771BF">
        <w:t xml:space="preserve"> </w:t>
      </w:r>
      <w:r w:rsidR="00E4542C">
        <w:t>leadership roles</w:t>
      </w:r>
      <w:r w:rsidR="00CF751D">
        <w:t>,</w:t>
      </w:r>
      <w:r w:rsidR="00E4542C">
        <w:t xml:space="preserve"> such as</w:t>
      </w:r>
      <w:r w:rsidR="00972889">
        <w:t xml:space="preserve"> Bureau </w:t>
      </w:r>
      <w:r w:rsidR="00A558E6">
        <w:t>and chairing roles</w:t>
      </w:r>
      <w:r w:rsidR="00CF751D">
        <w:t>,</w:t>
      </w:r>
      <w:r w:rsidR="003E1B9C">
        <w:t xml:space="preserve"> will </w:t>
      </w:r>
      <w:r w:rsidR="00E16218">
        <w:t>give due regard to</w:t>
      </w:r>
      <w:r w:rsidR="003E1B9C">
        <w:t xml:space="preserve"> gender balance. </w:t>
      </w:r>
      <w:r w:rsidR="00413C96">
        <w:t xml:space="preserve">Therefore, it is likely that </w:t>
      </w:r>
      <w:r w:rsidR="00DE6061">
        <w:t xml:space="preserve">capacity building activities will benefit women from developing countries and support them </w:t>
      </w:r>
      <w:r w:rsidR="00402635">
        <w:t xml:space="preserve">to progress </w:t>
      </w:r>
      <w:r w:rsidR="007D2E25">
        <w:t xml:space="preserve">in their careers. Similarly, the UNEP Secretariat have </w:t>
      </w:r>
      <w:r w:rsidR="007F6166">
        <w:t xml:space="preserve">invited Member States and stakeholders to </w:t>
      </w:r>
      <w:r w:rsidR="00791426">
        <w:t xml:space="preserve">promote the participation of women and youth in their delegations. </w:t>
      </w:r>
      <w:r w:rsidR="11526DB0">
        <w:t xml:space="preserve">We will explore with UNEP and other donors how we can </w:t>
      </w:r>
      <w:r w:rsidR="11D32386">
        <w:t xml:space="preserve">further </w:t>
      </w:r>
      <w:r w:rsidR="11526DB0">
        <w:t xml:space="preserve">incentivise participation from women delegates, including through consideration of an initiative similar to the Women’s Delegate Fund under UNFCCC. </w:t>
      </w:r>
      <w:r w:rsidR="00C73E21">
        <w:t xml:space="preserve">  </w:t>
      </w:r>
    </w:p>
    <w:p w14:paraId="00571D2D" w14:textId="77777777" w:rsidR="00791426" w:rsidRDefault="00791426" w:rsidP="00F166AE">
      <w:pPr>
        <w:shd w:val="clear" w:color="auto" w:fill="FFFFFF" w:themeFill="background1"/>
      </w:pPr>
    </w:p>
    <w:p w14:paraId="0C60FBDD" w14:textId="4CC4A995" w:rsidR="00791426" w:rsidRDefault="004C3DA8" w:rsidP="00565E6E">
      <w:pPr>
        <w:shd w:val="clear" w:color="auto" w:fill="FFFFFF" w:themeFill="background1"/>
      </w:pPr>
      <w:r>
        <w:t xml:space="preserve">Furthermore, </w:t>
      </w:r>
      <w:r w:rsidR="00B36E7A">
        <w:t>the intended impacts of the new treaty on plastic pollution</w:t>
      </w:r>
      <w:r w:rsidR="00856527">
        <w:t xml:space="preserve"> will </w:t>
      </w:r>
      <w:r w:rsidR="00BB2E1A">
        <w:t xml:space="preserve">have wide-reaching benefits for affected communities, </w:t>
      </w:r>
      <w:r w:rsidR="008F32F6">
        <w:t>including the informal waste picking sector</w:t>
      </w:r>
      <w:r w:rsidR="005A2AD4">
        <w:t xml:space="preserve">, many of whom are women and girls. </w:t>
      </w:r>
      <w:r w:rsidR="00E92A19">
        <w:t xml:space="preserve">Possible outcomes from negotiations could include </w:t>
      </w:r>
      <w:r w:rsidR="00420987">
        <w:t>improved working conditions for informal sector workers</w:t>
      </w:r>
      <w:r w:rsidR="002C7500">
        <w:t xml:space="preserve">. </w:t>
      </w:r>
      <w:r w:rsidR="00AC702B">
        <w:t xml:space="preserve">Women were identified in the note on stakeholder engagement for the first meeting as a key group to consider </w:t>
      </w:r>
      <w:r w:rsidR="00EF3A5D">
        <w:t xml:space="preserve">when planning </w:t>
      </w:r>
      <w:r w:rsidR="005F3068">
        <w:t>engagement of stakeholders in the instrument and related work</w:t>
      </w:r>
      <w:r w:rsidR="0023239F">
        <w:t xml:space="preserve">.  The </w:t>
      </w:r>
      <w:r w:rsidR="00F62E8D">
        <w:t>exact</w:t>
      </w:r>
      <w:r w:rsidR="0023239F">
        <w:t xml:space="preserve"> mechanism to achieve this </w:t>
      </w:r>
      <w:r w:rsidR="00F62E8D">
        <w:t xml:space="preserve">has </w:t>
      </w:r>
      <w:r w:rsidR="0023239F">
        <w:t xml:space="preserve">yet to be designed. </w:t>
      </w:r>
    </w:p>
    <w:p w14:paraId="4A7C2F48" w14:textId="77777777" w:rsidR="00607AB4" w:rsidRDefault="00607AB4" w:rsidP="00607AB4">
      <w:pPr>
        <w:pStyle w:val="ListParagraph"/>
        <w:shd w:val="clear" w:color="auto" w:fill="FFFFFF"/>
        <w:spacing w:after="0" w:line="240" w:lineRule="auto"/>
      </w:pPr>
    </w:p>
    <w:bookmarkEnd w:id="22"/>
    <w:p w14:paraId="70C3338D" w14:textId="02082669" w:rsidR="00E37412" w:rsidRPr="00E00022" w:rsidRDefault="00E37412" w:rsidP="00607AB4">
      <w:pPr>
        <w:shd w:val="clear" w:color="auto" w:fill="FFFFFF"/>
        <w:rPr>
          <w:b/>
          <w:i/>
          <w:sz w:val="20"/>
          <w:szCs w:val="20"/>
        </w:rPr>
      </w:pPr>
      <w:r w:rsidRPr="00217F59">
        <w:rPr>
          <w:rStyle w:val="Heading3Char"/>
        </w:rPr>
        <w:t>Poverty reduction</w:t>
      </w:r>
      <w:r>
        <w:rPr>
          <w:rStyle w:val="Heading3Char"/>
        </w:rPr>
        <w:t xml:space="preserve">: </w:t>
      </w:r>
      <w:r w:rsidRPr="00E37412">
        <w:rPr>
          <w:rStyle w:val="Heading3Char"/>
          <w:b/>
        </w:rPr>
        <w:t>Indirect</w:t>
      </w:r>
      <w:r w:rsidR="008D7B7B">
        <w:rPr>
          <w:rStyle w:val="Heading3Char"/>
          <w:b/>
        </w:rPr>
        <w:t>,</w:t>
      </w:r>
      <w:r w:rsidRPr="00E37412">
        <w:rPr>
          <w:rStyle w:val="Heading3Char"/>
          <w:b/>
        </w:rPr>
        <w:t xml:space="preserve"> MODERATE </w:t>
      </w:r>
      <w:r w:rsidR="008D7B7B">
        <w:rPr>
          <w:rStyle w:val="Heading3Char"/>
          <w:b/>
        </w:rPr>
        <w:t>IMPACT</w:t>
      </w:r>
    </w:p>
    <w:p w14:paraId="1F0EDD27" w14:textId="1CE6EF07" w:rsidR="00217F59" w:rsidRDefault="00B90AC9" w:rsidP="00607AB4">
      <w:pPr>
        <w:shd w:val="clear" w:color="auto" w:fill="FFFFFF"/>
      </w:pPr>
      <w:r>
        <w:rPr>
          <w:b/>
          <w:bCs/>
        </w:rPr>
        <w:t xml:space="preserve">Tide Turners: </w:t>
      </w:r>
      <w:r w:rsidR="00E37412" w:rsidRPr="00217F59">
        <w:t>Poverty reduction will be a</w:t>
      </w:r>
      <w:r w:rsidR="00E37412">
        <w:t xml:space="preserve"> moderate</w:t>
      </w:r>
      <w:r w:rsidR="00E37412" w:rsidRPr="00217F59">
        <w:t xml:space="preserve"> indirect outcome of this programme. It is anticipated that in some locations there will be economic benefits as a result of skills development and improved engagement in the circular economy from</w:t>
      </w:r>
      <w:r w:rsidR="00E37412">
        <w:t xml:space="preserve"> the</w:t>
      </w:r>
      <w:r w:rsidR="00E37412" w:rsidRPr="00217F59">
        <w:t xml:space="preserve"> youth</w:t>
      </w:r>
      <w:r w:rsidR="00E37412">
        <w:t xml:space="preserve"> community in specific programme locations</w:t>
      </w:r>
      <w:r w:rsidR="00E37412" w:rsidRPr="00217F59">
        <w:t>. Given this, indicators associated with the number of rural youths in skills-based training will be used as an indirect impact on measuring poverty reduction.</w:t>
      </w:r>
    </w:p>
    <w:p w14:paraId="6D0AFFDE" w14:textId="77777777" w:rsidR="00607AB4" w:rsidRPr="00BD39C8" w:rsidRDefault="00607AB4" w:rsidP="00607AB4">
      <w:pPr>
        <w:shd w:val="clear" w:color="auto" w:fill="FFFFFF"/>
      </w:pPr>
    </w:p>
    <w:p w14:paraId="0EF4FD69" w14:textId="5878C8EA" w:rsidR="009218F9" w:rsidRPr="00B518B8" w:rsidRDefault="009218F9" w:rsidP="00607AB4">
      <w:pPr>
        <w:shd w:val="clear" w:color="auto" w:fill="FFFFFF" w:themeFill="background1"/>
        <w:rPr>
          <w:b/>
          <w:i/>
          <w:sz w:val="20"/>
          <w:szCs w:val="20"/>
        </w:rPr>
      </w:pPr>
      <w:r>
        <w:rPr>
          <w:rStyle w:val="Heading3Char"/>
        </w:rPr>
        <w:t>L</w:t>
      </w:r>
      <w:r w:rsidR="00743B65" w:rsidRPr="00217F59">
        <w:rPr>
          <w:rStyle w:val="Heading3Char"/>
        </w:rPr>
        <w:t>ivelihoods</w:t>
      </w:r>
      <w:r>
        <w:rPr>
          <w:rStyle w:val="Heading3Char"/>
        </w:rPr>
        <w:t xml:space="preserve">: </w:t>
      </w:r>
      <w:r w:rsidRPr="00B518B8">
        <w:rPr>
          <w:rStyle w:val="Heading3Char"/>
          <w:b/>
        </w:rPr>
        <w:t>iNDIRECT</w:t>
      </w:r>
      <w:r w:rsidR="008D7B7B" w:rsidRPr="00B518B8">
        <w:rPr>
          <w:rStyle w:val="Heading3Char"/>
          <w:b/>
        </w:rPr>
        <w:t>,</w:t>
      </w:r>
      <w:r w:rsidRPr="00B518B8">
        <w:rPr>
          <w:rStyle w:val="Heading3Char"/>
          <w:b/>
        </w:rPr>
        <w:t xml:space="preserve"> MODERATE IMPACT</w:t>
      </w:r>
    </w:p>
    <w:p w14:paraId="70868D8B" w14:textId="26CBB474" w:rsidR="00217F59" w:rsidRDefault="003A37B1" w:rsidP="00E52D65">
      <w:pPr>
        <w:shd w:val="clear" w:color="auto" w:fill="FFFFFF"/>
      </w:pPr>
      <w:r>
        <w:rPr>
          <w:b/>
          <w:bCs/>
        </w:rPr>
        <w:t xml:space="preserve">Tide Turners: </w:t>
      </w:r>
      <w:r w:rsidR="00743B65" w:rsidRPr="00217F59">
        <w:t xml:space="preserve">In the longer-term, improved livelihoods among target communities </w:t>
      </w:r>
      <w:r w:rsidR="00B90AC9">
        <w:t>will</w:t>
      </w:r>
      <w:r w:rsidR="00B90AC9" w:rsidRPr="00217F59">
        <w:t xml:space="preserve"> </w:t>
      </w:r>
      <w:r w:rsidR="00743B65" w:rsidRPr="00217F59">
        <w:t xml:space="preserve">result due to an improved state of marine and freshwater ecosystems and their associated services (including </w:t>
      </w:r>
      <w:r w:rsidR="00743B65" w:rsidRPr="00AA4B4B">
        <w:t>inter alia livelihood opportunities associated with improved fish stocks, tourism and agricultural yields)</w:t>
      </w:r>
      <w:r w:rsidR="00743B65" w:rsidRPr="00217F59">
        <w:t xml:space="preserve">. </w:t>
      </w:r>
    </w:p>
    <w:p w14:paraId="2361F128" w14:textId="313A5643" w:rsidR="00D90A8F" w:rsidRDefault="00876C10" w:rsidP="00D90A8F">
      <w:pPr>
        <w:shd w:val="clear" w:color="auto" w:fill="FFFFFF"/>
        <w:rPr>
          <w:rFonts w:cstheme="minorHAnsi"/>
        </w:rPr>
      </w:pPr>
      <w:r>
        <w:rPr>
          <w:b/>
          <w:bCs/>
        </w:rPr>
        <w:t>INC:</w:t>
      </w:r>
      <w:r w:rsidR="003A37B1">
        <w:rPr>
          <w:rFonts w:cstheme="minorHAnsi"/>
        </w:rPr>
        <w:t xml:space="preserve"> The benefits of a legally binding instrument on plastic pollution will be seen beyond the lifetime of this investment, including livelihoods benefits associated with the reduction in plastic waste.</w:t>
      </w:r>
      <w:r w:rsidR="00835083" w:rsidRPr="00835083">
        <w:rPr>
          <w:rFonts w:ascii="Georgia" w:hAnsi="Georgia"/>
          <w:color w:val="222222"/>
          <w:sz w:val="30"/>
          <w:szCs w:val="30"/>
          <w:shd w:val="clear" w:color="auto" w:fill="FBFBFB"/>
        </w:rPr>
        <w:t xml:space="preserve"> </w:t>
      </w:r>
      <w:r w:rsidR="00E1186A" w:rsidRPr="00E1186A">
        <w:t>A global plastic treaty has the potential to not only curb plastic pollution, but to address poverty and gender inequality by creating better and </w:t>
      </w:r>
      <w:hyperlink r:id="rId23" w:history="1">
        <w:r w:rsidR="00E1186A" w:rsidRPr="00E1186A">
          <w:t>more inclusive jobs</w:t>
        </w:r>
      </w:hyperlink>
      <w:r w:rsidR="00E1186A" w:rsidRPr="00E1186A">
        <w:t xml:space="preserve">. There are an estimated 20 million waste pickers worldwide, predominantly women from socially and ethnically marginalized communities. A global plastic treaty could </w:t>
      </w:r>
      <w:r w:rsidR="00D90A8F">
        <w:t>support</w:t>
      </w:r>
      <w:r w:rsidR="00E1186A" w:rsidRPr="00E1186A">
        <w:t xml:space="preserve"> policies </w:t>
      </w:r>
      <w:r w:rsidR="00D90A8F">
        <w:t>which would help</w:t>
      </w:r>
      <w:r w:rsidR="00E1186A" w:rsidRPr="00E1186A">
        <w:t xml:space="preserve"> to improve working conditions </w:t>
      </w:r>
      <w:r w:rsidR="00E1186A">
        <w:t xml:space="preserve">and livelihood </w:t>
      </w:r>
      <w:r w:rsidR="00E1186A" w:rsidRPr="00E1186A">
        <w:t>for waste pickers.</w:t>
      </w:r>
      <w:r w:rsidR="00EA3AC8">
        <w:t xml:space="preserve"> </w:t>
      </w:r>
      <w:r w:rsidR="00EA3AC8" w:rsidRPr="00D90A8F">
        <w:t xml:space="preserve">The job creation potential of inclusive recycling systems involving waste reduction strategies like reuse, repair, composting and recycling </w:t>
      </w:r>
      <w:r w:rsidR="00D90A8F">
        <w:t>is greater</w:t>
      </w:r>
      <w:r w:rsidR="00EA3AC8" w:rsidRPr="00D90A8F">
        <w:t xml:space="preserve"> </w:t>
      </w:r>
      <w:r w:rsidR="00D90A8F">
        <w:t xml:space="preserve">than </w:t>
      </w:r>
      <w:r w:rsidR="00EA3AC8" w:rsidRPr="00D90A8F">
        <w:t xml:space="preserve">other disposal </w:t>
      </w:r>
      <w:r w:rsidR="00EA3AC8" w:rsidRPr="00D90A8F">
        <w:lastRenderedPageBreak/>
        <w:t>methods such as landfilling and incineration.</w:t>
      </w:r>
      <w:r w:rsidR="00D90A8F">
        <w:t xml:space="preserve">  A global Treaty </w:t>
      </w:r>
      <w:r w:rsidR="00650C7E">
        <w:t xml:space="preserve">therefore </w:t>
      </w:r>
      <w:r w:rsidR="00D90A8F">
        <w:t>has the potential to take action to address reduce poverty and support livelihood</w:t>
      </w:r>
      <w:r w:rsidR="00650C7E">
        <w:t xml:space="preserve">.  </w:t>
      </w:r>
      <w:r w:rsidR="00D90A8F">
        <w:t xml:space="preserve"> </w:t>
      </w:r>
    </w:p>
    <w:p w14:paraId="7120DE31" w14:textId="77777777" w:rsidR="00607AB4" w:rsidRPr="007D41F7" w:rsidRDefault="00607AB4" w:rsidP="00E52D65">
      <w:pPr>
        <w:shd w:val="clear" w:color="auto" w:fill="FFFFFF"/>
        <w:rPr>
          <w:b/>
          <w:bCs/>
        </w:rPr>
      </w:pPr>
    </w:p>
    <w:p w14:paraId="6D5289BE" w14:textId="4F194254" w:rsidR="009218F9" w:rsidRPr="00B518B8" w:rsidRDefault="00743B65" w:rsidP="00E52D65">
      <w:pPr>
        <w:shd w:val="clear" w:color="auto" w:fill="FFFFFF"/>
        <w:rPr>
          <w:b/>
          <w:color w:val="201F1E"/>
          <w:sz w:val="20"/>
          <w:szCs w:val="20"/>
        </w:rPr>
      </w:pPr>
      <w:r w:rsidRPr="00217F59">
        <w:rPr>
          <w:rStyle w:val="Heading3Char"/>
        </w:rPr>
        <w:t>Community impacts:</w:t>
      </w:r>
      <w:r w:rsidR="009218F9">
        <w:rPr>
          <w:rStyle w:val="Heading3Char"/>
        </w:rPr>
        <w:t xml:space="preserve"> </w:t>
      </w:r>
      <w:r w:rsidR="009218F9" w:rsidRPr="00B518B8">
        <w:rPr>
          <w:rStyle w:val="Heading3Char"/>
          <w:b/>
        </w:rPr>
        <w:t>HIGH IMPACT</w:t>
      </w:r>
    </w:p>
    <w:p w14:paraId="54996331" w14:textId="66BBFB71" w:rsidR="005A2545" w:rsidRDefault="00FE3B93" w:rsidP="00E52D65">
      <w:pPr>
        <w:shd w:val="clear" w:color="auto" w:fill="FFFFFF"/>
        <w:rPr>
          <w:color w:val="201F1E"/>
        </w:rPr>
      </w:pPr>
      <w:r>
        <w:rPr>
          <w:b/>
          <w:bCs/>
          <w:color w:val="201F1E"/>
        </w:rPr>
        <w:t xml:space="preserve">Tide Turners: </w:t>
      </w:r>
      <w:r w:rsidR="00743B65" w:rsidRPr="00217F59">
        <w:rPr>
          <w:color w:val="201F1E"/>
        </w:rPr>
        <w:t xml:space="preserve">The programme will measure the number of community projects/advocacy campaigns executed by Tide Turner participants in local communities, as described in the project’s logical framework. In the intermediate term the project is expected to lead to a decrease in the use of virgin and single-use plastics, a reduction in the </w:t>
      </w:r>
      <w:r w:rsidR="005A2545">
        <w:rPr>
          <w:color w:val="201F1E"/>
        </w:rPr>
        <w:t>quantity</w:t>
      </w:r>
      <w:r w:rsidR="00743B65" w:rsidRPr="00217F59">
        <w:rPr>
          <w:color w:val="201F1E"/>
        </w:rPr>
        <w:t xml:space="preserve"> </w:t>
      </w:r>
      <w:r w:rsidR="005A2545" w:rsidRPr="00217F59">
        <w:rPr>
          <w:color w:val="201F1E"/>
        </w:rPr>
        <w:t>of plastic</w:t>
      </w:r>
      <w:r w:rsidR="00743B65" w:rsidRPr="00217F59">
        <w:rPr>
          <w:color w:val="201F1E"/>
        </w:rPr>
        <w:t xml:space="preserve"> dumped into marine and freshwater ecosystems and an increased rate of recycling within the target communities.</w:t>
      </w:r>
    </w:p>
    <w:p w14:paraId="6B688D75" w14:textId="77777777" w:rsidR="007B5AAF" w:rsidRDefault="007B5AAF" w:rsidP="00E52D65">
      <w:pPr>
        <w:shd w:val="clear" w:color="auto" w:fill="FFFFFF"/>
        <w:rPr>
          <w:color w:val="201F1E"/>
        </w:rPr>
      </w:pPr>
    </w:p>
    <w:p w14:paraId="5B9A1CD4" w14:textId="47552DBD" w:rsidR="007B5AAF" w:rsidRDefault="007B5AAF" w:rsidP="007B5AAF">
      <w:pPr>
        <w:shd w:val="clear" w:color="auto" w:fill="FFFFFF"/>
        <w:rPr>
          <w:rFonts w:cstheme="minorHAnsi"/>
        </w:rPr>
      </w:pPr>
      <w:r w:rsidRPr="007B5AAF">
        <w:rPr>
          <w:b/>
          <w:bCs/>
          <w:color w:val="201F1E"/>
        </w:rPr>
        <w:t>INC:</w:t>
      </w:r>
      <w:r w:rsidRPr="007B5AAF">
        <w:t xml:space="preserve"> </w:t>
      </w:r>
      <w:r>
        <w:t>The</w:t>
      </w:r>
      <w:r w:rsidRPr="00835083">
        <w:t xml:space="preserve"> impacts of plastic are not shared equally. Plastic production is fuelled by the fossil fuel and fast-moving consumer goods industries primarily based in the global north, which then export the</w:t>
      </w:r>
      <w:hyperlink r:id="rId24" w:history="1">
        <w:r w:rsidRPr="00835083">
          <w:t> most unrecyclable packaged goods</w:t>
        </w:r>
      </w:hyperlink>
      <w:r w:rsidRPr="00835083">
        <w:t> and</w:t>
      </w:r>
      <w:hyperlink r:id="rId25" w:history="1">
        <w:r w:rsidRPr="00835083">
          <w:t> waste </w:t>
        </w:r>
      </w:hyperlink>
      <w:r w:rsidRPr="00835083">
        <w:t xml:space="preserve">to developing countries. </w:t>
      </w:r>
      <w:r>
        <w:t>Developing counties also suffer disproportionately from having to manage the impacts of plastic pollution: Pacific islands have to pay to manage plastic pollution that they did not either create or use.  C</w:t>
      </w:r>
      <w:r w:rsidRPr="00835083">
        <w:t xml:space="preserve">ommunities in developed countries reap the economic benefits of </w:t>
      </w:r>
      <w:r>
        <w:t xml:space="preserve">plastics </w:t>
      </w:r>
      <w:r w:rsidRPr="00835083">
        <w:t>industries while placing a disproportionate burden on the environment and communities in developing countries.</w:t>
      </w:r>
      <w:r>
        <w:t xml:space="preserve">  A global Treaty has the potential to take action to address this </w:t>
      </w:r>
      <w:r w:rsidR="006943C9">
        <w:t xml:space="preserve">imbalance, but to be </w:t>
      </w:r>
      <w:r w:rsidR="00D90A8F">
        <w:t>effective</w:t>
      </w:r>
      <w:r w:rsidR="006943C9">
        <w:t xml:space="preserve"> the countries with the communities that are most affected must be able to participate. </w:t>
      </w:r>
      <w:r w:rsidR="00D01EE1">
        <w:t xml:space="preserve"> UK funding will help ensure this happens.  </w:t>
      </w:r>
    </w:p>
    <w:p w14:paraId="3C71A5D3" w14:textId="0801CDD1" w:rsidR="00607AB4" w:rsidRPr="007D41F7" w:rsidRDefault="007B5AAF" w:rsidP="00E52D65">
      <w:pPr>
        <w:shd w:val="clear" w:color="auto" w:fill="FFFFFF"/>
        <w:rPr>
          <w:color w:val="201F1E"/>
        </w:rPr>
      </w:pPr>
      <w:r>
        <w:rPr>
          <w:color w:val="201F1E"/>
        </w:rPr>
        <w:t xml:space="preserve"> </w:t>
      </w:r>
    </w:p>
    <w:p w14:paraId="515C9374" w14:textId="014AC626" w:rsidR="005A2545" w:rsidRPr="00B518B8" w:rsidRDefault="00743B65" w:rsidP="00E52D65">
      <w:pPr>
        <w:shd w:val="clear" w:color="auto" w:fill="FFFFFF"/>
        <w:rPr>
          <w:color w:val="201F1E"/>
          <w:sz w:val="20"/>
          <w:szCs w:val="20"/>
        </w:rPr>
      </w:pPr>
      <w:r w:rsidRPr="00217F59">
        <w:rPr>
          <w:rStyle w:val="Heading3Char"/>
        </w:rPr>
        <w:t xml:space="preserve">Education and awareness: </w:t>
      </w:r>
      <w:r w:rsidR="005A2545" w:rsidRPr="00B518B8">
        <w:rPr>
          <w:rStyle w:val="Heading3Char"/>
          <w:b/>
        </w:rPr>
        <w:t>HIGH IMPACT</w:t>
      </w:r>
    </w:p>
    <w:p w14:paraId="58091F9A" w14:textId="55CB68AB" w:rsidR="00607AB4" w:rsidRDefault="00FE3B93" w:rsidP="00E52D65">
      <w:pPr>
        <w:shd w:val="clear" w:color="auto" w:fill="FFFFFF"/>
        <w:rPr>
          <w:color w:val="201F1E"/>
        </w:rPr>
      </w:pPr>
      <w:r>
        <w:rPr>
          <w:b/>
          <w:bCs/>
          <w:color w:val="201F1E"/>
        </w:rPr>
        <w:t xml:space="preserve">Tide Turners: </w:t>
      </w:r>
      <w:r w:rsidR="00743B65" w:rsidRPr="00217F59">
        <w:rPr>
          <w:color w:val="201F1E"/>
        </w:rPr>
        <w:t>As described in the project’s logical framework, the key indicators of the project include “% of youth that have reported better understanding on plastic pollution after taking part in the training” and “% of youth that have reported change in the use of plastic after taking part in the training.”</w:t>
      </w:r>
    </w:p>
    <w:p w14:paraId="4EC68A3A" w14:textId="77777777" w:rsidR="00607AB4" w:rsidRPr="007D41F7" w:rsidRDefault="00607AB4" w:rsidP="00E52D65">
      <w:pPr>
        <w:shd w:val="clear" w:color="auto" w:fill="FFFFFF"/>
        <w:rPr>
          <w:rStyle w:val="Heading3Char"/>
          <w:rFonts w:asciiTheme="minorHAnsi" w:eastAsiaTheme="minorHAnsi" w:hAnsiTheme="minorHAnsi" w:cstheme="minorBidi"/>
          <w:caps w:val="0"/>
          <w:color w:val="201F1E"/>
          <w:spacing w:val="0"/>
        </w:rPr>
      </w:pPr>
    </w:p>
    <w:p w14:paraId="71652CF6" w14:textId="4349CD8E" w:rsidR="005A2545" w:rsidRPr="00B518B8" w:rsidRDefault="00743B65" w:rsidP="00E52D65">
      <w:pPr>
        <w:shd w:val="clear" w:color="auto" w:fill="FFFFFF"/>
        <w:rPr>
          <w:color w:val="201F1E"/>
          <w:sz w:val="20"/>
          <w:szCs w:val="20"/>
        </w:rPr>
      </w:pPr>
      <w:r w:rsidRPr="00217F59">
        <w:rPr>
          <w:rStyle w:val="Heading3Char"/>
        </w:rPr>
        <w:t>Inequitable access to decision making:</w:t>
      </w:r>
      <w:r w:rsidRPr="00B518B8">
        <w:rPr>
          <w:color w:val="201F1E"/>
          <w:sz w:val="20"/>
          <w:szCs w:val="20"/>
        </w:rPr>
        <w:t xml:space="preserve"> </w:t>
      </w:r>
      <w:r w:rsidR="005A2545" w:rsidRPr="00B518B8">
        <w:rPr>
          <w:rStyle w:val="Heading3Char"/>
          <w:b/>
        </w:rPr>
        <w:t>HIGH IMPACT</w:t>
      </w:r>
    </w:p>
    <w:p w14:paraId="32025C2D" w14:textId="6E0BD980" w:rsidR="00217F59" w:rsidRDefault="00FE3B93" w:rsidP="00E52D65">
      <w:pPr>
        <w:shd w:val="clear" w:color="auto" w:fill="FFFFFF"/>
        <w:rPr>
          <w:color w:val="201F1E"/>
        </w:rPr>
      </w:pPr>
      <w:r>
        <w:rPr>
          <w:b/>
          <w:bCs/>
          <w:color w:val="201F1E"/>
        </w:rPr>
        <w:t xml:space="preserve">Tide Turners: </w:t>
      </w:r>
      <w:r w:rsidR="00743B65" w:rsidRPr="00217F59">
        <w:rPr>
          <w:color w:val="201F1E"/>
        </w:rPr>
        <w:t>As described in the project’s logical framework one of the key indicators for the programme is “Number of stakeholder discussions among youth and key governments facilitated.”</w:t>
      </w:r>
    </w:p>
    <w:p w14:paraId="298D806A" w14:textId="68D0B670" w:rsidR="003D1821" w:rsidRDefault="00FE3B93" w:rsidP="003D1821">
      <w:pPr>
        <w:shd w:val="clear" w:color="auto" w:fill="FFFFFF"/>
        <w:rPr>
          <w:rFonts w:cstheme="minorHAnsi"/>
        </w:rPr>
      </w:pPr>
      <w:r>
        <w:rPr>
          <w:b/>
          <w:bCs/>
          <w:color w:val="201F1E"/>
        </w:rPr>
        <w:t xml:space="preserve">INC: </w:t>
      </w:r>
      <w:r w:rsidR="003A37B1">
        <w:rPr>
          <w:rFonts w:cstheme="minorHAnsi"/>
        </w:rPr>
        <w:t>Bringing under-represented voices to the table will be critical in agreeing a global instrument that benefits the world’s most vulnerable, and takes into consideration the different social, economic and environmental contexts of the countries it will impact.</w:t>
      </w:r>
      <w:r w:rsidR="003D1821" w:rsidRPr="003D1821">
        <w:t xml:space="preserve"> </w:t>
      </w:r>
    </w:p>
    <w:p w14:paraId="0098A0AD" w14:textId="3484330F" w:rsidR="00CB1B4E" w:rsidRDefault="00CB1B4E" w:rsidP="00E52D65">
      <w:pPr>
        <w:shd w:val="clear" w:color="auto" w:fill="FFFFFF"/>
        <w:rPr>
          <w:rFonts w:cstheme="minorHAnsi"/>
        </w:rPr>
      </w:pPr>
    </w:p>
    <w:p w14:paraId="4731AC2D" w14:textId="452B4E92" w:rsidR="005A2545" w:rsidRPr="00217F59" w:rsidRDefault="00B518B8" w:rsidP="00607AB4">
      <w:pPr>
        <w:shd w:val="clear" w:color="auto" w:fill="FFFFFF"/>
        <w:rPr>
          <w:color w:val="201F1E"/>
          <w:sz w:val="20"/>
          <w:szCs w:val="20"/>
        </w:rPr>
      </w:pPr>
      <w:r>
        <w:rPr>
          <w:rStyle w:val="Heading3Char"/>
        </w:rPr>
        <w:t>C</w:t>
      </w:r>
      <w:r w:rsidR="00743B65" w:rsidRPr="00217F59">
        <w:rPr>
          <w:rStyle w:val="Heading3Char"/>
        </w:rPr>
        <w:t xml:space="preserve">apacity building: </w:t>
      </w:r>
      <w:r w:rsidR="005A2545" w:rsidRPr="00AA4B4B">
        <w:rPr>
          <w:rStyle w:val="Heading3Char"/>
          <w:b/>
        </w:rPr>
        <w:t>HIGH IMPACT</w:t>
      </w:r>
    </w:p>
    <w:p w14:paraId="05F482C9" w14:textId="6FD68DEB" w:rsidR="00743B65" w:rsidRDefault="00FE3B93" w:rsidP="00607AB4">
      <w:pPr>
        <w:shd w:val="clear" w:color="auto" w:fill="FFFFFF"/>
        <w:rPr>
          <w:color w:val="201F1E"/>
        </w:rPr>
      </w:pPr>
      <w:r>
        <w:rPr>
          <w:b/>
          <w:bCs/>
          <w:color w:val="201F1E"/>
        </w:rPr>
        <w:t xml:space="preserve">Tide Turners: </w:t>
      </w:r>
      <w:r w:rsidR="00743B65" w:rsidRPr="00217F59">
        <w:rPr>
          <w:color w:val="201F1E"/>
        </w:rPr>
        <w:t>One of the key qualitative indicators for the programme is “% of youth that have reported increased capabilities to execute advocacy projects/campaigns after taking part in the training.” In addition, the programme will measure the number of advocacy projects executed in the target communities and will present their impact.</w:t>
      </w:r>
    </w:p>
    <w:p w14:paraId="66367438" w14:textId="214410D5" w:rsidR="00596B07" w:rsidRDefault="00FE3B93" w:rsidP="00DE4372">
      <w:pPr>
        <w:rPr>
          <w:color w:val="201F1E"/>
        </w:rPr>
      </w:pPr>
      <w:r>
        <w:rPr>
          <w:b/>
          <w:bCs/>
          <w:color w:val="201F1E"/>
        </w:rPr>
        <w:t xml:space="preserve">INC: </w:t>
      </w:r>
      <w:r w:rsidR="003A37B1">
        <w:rPr>
          <w:color w:val="201F1E"/>
        </w:rPr>
        <w:t>W</w:t>
      </w:r>
      <w:r w:rsidR="005C045D">
        <w:rPr>
          <w:color w:val="201F1E"/>
        </w:rPr>
        <w:t>orking with the UNEP secr</w:t>
      </w:r>
      <w:r w:rsidR="003A37B1">
        <w:rPr>
          <w:color w:val="201F1E"/>
        </w:rPr>
        <w:t>e</w:t>
      </w:r>
      <w:r w:rsidR="005C045D">
        <w:rPr>
          <w:color w:val="201F1E"/>
        </w:rPr>
        <w:t>tariat and other partners</w:t>
      </w:r>
      <w:r w:rsidR="00F863C6">
        <w:rPr>
          <w:color w:val="201F1E"/>
        </w:rPr>
        <w:t xml:space="preserve"> </w:t>
      </w:r>
      <w:r w:rsidR="00D9511B">
        <w:rPr>
          <w:color w:val="201F1E"/>
        </w:rPr>
        <w:t>Defra</w:t>
      </w:r>
      <w:r w:rsidR="00535AA7">
        <w:rPr>
          <w:color w:val="201F1E"/>
        </w:rPr>
        <w:t xml:space="preserve"> will</w:t>
      </w:r>
      <w:r w:rsidR="003A37B1">
        <w:rPr>
          <w:color w:val="201F1E"/>
        </w:rPr>
        <w:t xml:space="preserve"> </w:t>
      </w:r>
      <w:r w:rsidR="005C045D">
        <w:rPr>
          <w:color w:val="201F1E"/>
        </w:rPr>
        <w:t xml:space="preserve">learn from the experience </w:t>
      </w:r>
      <w:r w:rsidR="00F4711B">
        <w:rPr>
          <w:color w:val="201F1E"/>
        </w:rPr>
        <w:t xml:space="preserve">other </w:t>
      </w:r>
      <w:r w:rsidR="003A37B1">
        <w:rPr>
          <w:color w:val="201F1E"/>
        </w:rPr>
        <w:t xml:space="preserve"> Conventions </w:t>
      </w:r>
      <w:r w:rsidR="00212E03">
        <w:rPr>
          <w:color w:val="201F1E"/>
        </w:rPr>
        <w:t xml:space="preserve">and </w:t>
      </w:r>
      <w:r w:rsidR="003A37B1">
        <w:rPr>
          <w:color w:val="201F1E"/>
        </w:rPr>
        <w:t xml:space="preserve">provide </w:t>
      </w:r>
      <w:r w:rsidR="00F4711B">
        <w:rPr>
          <w:color w:val="201F1E"/>
        </w:rPr>
        <w:t xml:space="preserve">appropriate </w:t>
      </w:r>
      <w:r w:rsidR="003A37B1">
        <w:rPr>
          <w:color w:val="201F1E"/>
        </w:rPr>
        <w:t xml:space="preserve">capacity building </w:t>
      </w:r>
      <w:r w:rsidR="00F4711B">
        <w:rPr>
          <w:color w:val="201F1E"/>
        </w:rPr>
        <w:t>for ODA-eligible</w:t>
      </w:r>
      <w:r w:rsidR="003A37B1">
        <w:rPr>
          <w:color w:val="201F1E"/>
        </w:rPr>
        <w:t xml:space="preserve"> delegates</w:t>
      </w:r>
      <w:r w:rsidR="00212E03">
        <w:rPr>
          <w:color w:val="201F1E"/>
        </w:rPr>
        <w:t xml:space="preserve"> (e.g. </w:t>
      </w:r>
      <w:r w:rsidR="00A546C9">
        <w:rPr>
          <w:color w:val="201F1E"/>
        </w:rPr>
        <w:t xml:space="preserve">through </w:t>
      </w:r>
      <w:r w:rsidR="00212E03">
        <w:rPr>
          <w:color w:val="201F1E"/>
        </w:rPr>
        <w:t xml:space="preserve">regional </w:t>
      </w:r>
      <w:r w:rsidR="00A546C9">
        <w:rPr>
          <w:color w:val="201F1E"/>
        </w:rPr>
        <w:t>training workshops.  For INC1, for example, Australia set up a capacity building workshop for delegates from the Pacific to enable them to prepare for INC1.  This is a model that it may be possible</w:t>
      </w:r>
      <w:r w:rsidR="00D01EE1">
        <w:rPr>
          <w:color w:val="201F1E"/>
        </w:rPr>
        <w:t xml:space="preserve"> </w:t>
      </w:r>
      <w:r w:rsidR="00A546C9">
        <w:rPr>
          <w:color w:val="201F1E"/>
        </w:rPr>
        <w:t>to replicate for other groups)</w:t>
      </w:r>
      <w:r w:rsidR="003A37B1">
        <w:rPr>
          <w:color w:val="201F1E"/>
        </w:rPr>
        <w:t>.</w:t>
      </w:r>
      <w:r w:rsidR="00E07CF9">
        <w:rPr>
          <w:color w:val="201F1E"/>
        </w:rPr>
        <w:t xml:space="preserve"> </w:t>
      </w:r>
      <w:r w:rsidR="00C01ED1">
        <w:rPr>
          <w:rFonts w:ascii="Segoe UI" w:hAnsi="Segoe UI" w:cs="Segoe UI"/>
          <w:color w:val="242424"/>
          <w:sz w:val="21"/>
          <w:szCs w:val="21"/>
          <w:shd w:val="clear" w:color="auto" w:fill="FFFFFF"/>
        </w:rPr>
        <w:t xml:space="preserve">The UK will </w:t>
      </w:r>
      <w:r w:rsidR="00A546C9">
        <w:rPr>
          <w:rFonts w:ascii="Segoe UI" w:hAnsi="Segoe UI" w:cs="Segoe UI"/>
          <w:color w:val="242424"/>
          <w:sz w:val="21"/>
          <w:szCs w:val="21"/>
          <w:shd w:val="clear" w:color="auto" w:fill="FFFFFF"/>
        </w:rPr>
        <w:t xml:space="preserve">also </w:t>
      </w:r>
      <w:r w:rsidR="00C01ED1">
        <w:rPr>
          <w:rFonts w:ascii="Segoe UI" w:hAnsi="Segoe UI" w:cs="Segoe UI"/>
          <w:color w:val="242424"/>
          <w:sz w:val="21"/>
          <w:szCs w:val="21"/>
          <w:shd w:val="clear" w:color="auto" w:fill="FFFFFF"/>
        </w:rPr>
        <w:t xml:space="preserve">work </w:t>
      </w:r>
      <w:r w:rsidR="00ED4CF1">
        <w:rPr>
          <w:rFonts w:ascii="Segoe UI" w:hAnsi="Segoe UI" w:cs="Segoe UI"/>
          <w:color w:val="242424"/>
          <w:sz w:val="21"/>
          <w:szCs w:val="21"/>
          <w:shd w:val="clear" w:color="auto" w:fill="FFFFFF"/>
        </w:rPr>
        <w:t>with partners to support</w:t>
      </w:r>
      <w:r w:rsidR="00C01ED1">
        <w:rPr>
          <w:rFonts w:ascii="Segoe UI" w:hAnsi="Segoe UI" w:cs="Segoe UI"/>
          <w:color w:val="242424"/>
          <w:sz w:val="21"/>
          <w:szCs w:val="21"/>
          <w:shd w:val="clear" w:color="auto" w:fill="FFFFFF"/>
        </w:rPr>
        <w:t xml:space="preserve"> </w:t>
      </w:r>
      <w:r w:rsidR="00ED4CF1">
        <w:rPr>
          <w:rFonts w:ascii="Segoe UI" w:hAnsi="Segoe UI" w:cs="Segoe UI"/>
          <w:color w:val="242424"/>
          <w:sz w:val="21"/>
          <w:szCs w:val="21"/>
          <w:shd w:val="clear" w:color="auto" w:fill="FFFFFF"/>
        </w:rPr>
        <w:t xml:space="preserve">the proposed plans for a multi-stakeholder forum </w:t>
      </w:r>
      <w:r w:rsidR="00003041">
        <w:rPr>
          <w:rFonts w:ascii="Segoe UI" w:hAnsi="Segoe UI" w:cs="Segoe UI"/>
          <w:color w:val="242424"/>
          <w:sz w:val="21"/>
          <w:szCs w:val="21"/>
          <w:shd w:val="clear" w:color="auto" w:fill="FFFFFF"/>
        </w:rPr>
        <w:t>to enable stakeholders</w:t>
      </w:r>
      <w:r w:rsidR="00212E03">
        <w:rPr>
          <w:rFonts w:ascii="Segoe UI" w:hAnsi="Segoe UI" w:cs="Segoe UI"/>
          <w:color w:val="242424"/>
          <w:sz w:val="21"/>
          <w:szCs w:val="21"/>
          <w:shd w:val="clear" w:color="auto" w:fill="FFFFFF"/>
        </w:rPr>
        <w:t xml:space="preserve"> from developing countries, including marginalized groups</w:t>
      </w:r>
      <w:r w:rsidR="00A546C9">
        <w:rPr>
          <w:rFonts w:ascii="Segoe UI" w:hAnsi="Segoe UI" w:cs="Segoe UI"/>
          <w:color w:val="242424"/>
          <w:sz w:val="21"/>
          <w:szCs w:val="21"/>
          <w:shd w:val="clear" w:color="auto" w:fill="FFFFFF"/>
        </w:rPr>
        <w:t xml:space="preserve">, </w:t>
      </w:r>
      <w:r w:rsidR="00003041">
        <w:rPr>
          <w:rFonts w:ascii="Segoe UI" w:hAnsi="Segoe UI" w:cs="Segoe UI"/>
          <w:color w:val="242424"/>
          <w:sz w:val="21"/>
          <w:szCs w:val="21"/>
          <w:shd w:val="clear" w:color="auto" w:fill="FFFFFF"/>
        </w:rPr>
        <w:t>to engage with the Treaty design process.</w:t>
      </w:r>
      <w:r w:rsidR="00A546C9">
        <w:rPr>
          <w:rFonts w:ascii="Segoe UI" w:hAnsi="Segoe UI" w:cs="Segoe UI"/>
          <w:color w:val="242424"/>
          <w:sz w:val="21"/>
          <w:szCs w:val="21"/>
          <w:shd w:val="clear" w:color="auto" w:fill="FFFFFF"/>
        </w:rPr>
        <w:t xml:space="preserve">  </w:t>
      </w:r>
      <w:r w:rsidR="00003041">
        <w:rPr>
          <w:rFonts w:ascii="Segoe UI" w:hAnsi="Segoe UI" w:cs="Segoe UI"/>
          <w:color w:val="242424"/>
          <w:sz w:val="21"/>
          <w:szCs w:val="21"/>
          <w:shd w:val="clear" w:color="auto" w:fill="FFFFFF"/>
        </w:rPr>
        <w:t xml:space="preserve">  </w:t>
      </w:r>
    </w:p>
    <w:p w14:paraId="3FB45670" w14:textId="77777777" w:rsidR="00607AB4" w:rsidRPr="007D41F7" w:rsidRDefault="00607AB4" w:rsidP="00607AB4">
      <w:pPr>
        <w:shd w:val="clear" w:color="auto" w:fill="FFFFFF"/>
        <w:rPr>
          <w:b/>
          <w:bCs/>
          <w:color w:val="201F1E"/>
        </w:rPr>
      </w:pPr>
    </w:p>
    <w:p w14:paraId="399B7DB7" w14:textId="2EA677FD" w:rsidR="0022205A" w:rsidRDefault="00993755" w:rsidP="00F47E59">
      <w:pPr>
        <w:pStyle w:val="Heading2"/>
        <w:spacing w:after="240" w:line="240" w:lineRule="auto"/>
      </w:pPr>
      <w:bookmarkStart w:id="23" w:name="_Toc121224102"/>
      <w:r>
        <w:t xml:space="preserve">Tide Turners </w:t>
      </w:r>
      <w:r w:rsidR="004846AA" w:rsidRPr="00217F59">
        <w:t>R</w:t>
      </w:r>
      <w:r w:rsidR="007D3968" w:rsidRPr="00217F59">
        <w:t>isks</w:t>
      </w:r>
      <w:r w:rsidR="00217F59">
        <w:t xml:space="preserve"> analysis</w:t>
      </w:r>
      <w:bookmarkEnd w:id="23"/>
    </w:p>
    <w:p w14:paraId="142AE26F" w14:textId="2C4B417B" w:rsidR="00E44D50" w:rsidRDefault="00E44D50" w:rsidP="00E44D50">
      <w:pPr>
        <w:rPr>
          <w:lang w:eastAsia="en-GB"/>
        </w:rPr>
      </w:pPr>
      <w:r>
        <w:rPr>
          <w:lang w:eastAsia="en-GB"/>
        </w:rPr>
        <w:t xml:space="preserve">Please see the UNEP Tide Turners Programme Risks </w:t>
      </w:r>
      <w:r w:rsidR="00AE7D4F">
        <w:rPr>
          <w:lang w:eastAsia="en-GB"/>
        </w:rPr>
        <w:t xml:space="preserve">Analysis </w:t>
      </w:r>
      <w:r>
        <w:rPr>
          <w:lang w:eastAsia="en-GB"/>
        </w:rPr>
        <w:t xml:space="preserve">Table in </w:t>
      </w:r>
      <w:r w:rsidRPr="00E44D50">
        <w:rPr>
          <w:b/>
          <w:bCs/>
          <w:lang w:eastAsia="en-GB"/>
        </w:rPr>
        <w:t>Table 1</w:t>
      </w:r>
      <w:r>
        <w:rPr>
          <w:lang w:eastAsia="en-GB"/>
        </w:rPr>
        <w:t xml:space="preserve"> below.</w:t>
      </w:r>
    </w:p>
    <w:p w14:paraId="2C6B3F1B" w14:textId="77777777" w:rsidR="00E44D50" w:rsidRDefault="00E44D50" w:rsidP="00E44D50">
      <w:pPr>
        <w:rPr>
          <w:lang w:eastAsia="en-GB"/>
        </w:rPr>
      </w:pPr>
    </w:p>
    <w:p w14:paraId="49E7F089" w14:textId="77777777" w:rsidR="0018196D" w:rsidRDefault="0018196D" w:rsidP="00DE4372">
      <w:pPr>
        <w:rPr>
          <w:b/>
          <w:bCs/>
          <w:color w:val="008A3E"/>
          <w:u w:val="single"/>
        </w:rPr>
      </w:pPr>
    </w:p>
    <w:p w14:paraId="7EED71C5" w14:textId="2B35CC36" w:rsidR="00E44D50" w:rsidRPr="00DE4372" w:rsidRDefault="00E44D50" w:rsidP="00DE4372">
      <w:pPr>
        <w:rPr>
          <w:b/>
          <w:bCs/>
          <w:color w:val="008A3E"/>
          <w:u w:val="single"/>
        </w:rPr>
      </w:pPr>
      <w:r w:rsidRPr="00DE4372">
        <w:rPr>
          <w:b/>
          <w:bCs/>
          <w:color w:val="008A3E"/>
          <w:u w:val="single"/>
        </w:rPr>
        <w:lastRenderedPageBreak/>
        <w:t>Table 1</w:t>
      </w:r>
      <w:r w:rsidR="00AE7D4F" w:rsidRPr="00DE4372">
        <w:rPr>
          <w:b/>
          <w:bCs/>
          <w:color w:val="008A3E"/>
          <w:u w:val="single"/>
        </w:rPr>
        <w:t xml:space="preserve"> – Risks Analysis</w:t>
      </w:r>
    </w:p>
    <w:p w14:paraId="19979CDF" w14:textId="77777777" w:rsidR="00E44D50" w:rsidRPr="00E44D50" w:rsidRDefault="00E44D50" w:rsidP="00E44D50">
      <w:pPr>
        <w:rPr>
          <w:lang w:eastAsia="en-GB"/>
        </w:rPr>
      </w:pPr>
    </w:p>
    <w:tbl>
      <w:tblPr>
        <w:tblW w:w="9724" w:type="dxa"/>
        <w:tblCellMar>
          <w:left w:w="0" w:type="dxa"/>
          <w:right w:w="0" w:type="dxa"/>
        </w:tblCellMar>
        <w:tblLook w:val="04A0" w:firstRow="1" w:lastRow="0" w:firstColumn="1" w:lastColumn="0" w:noHBand="0" w:noVBand="1"/>
      </w:tblPr>
      <w:tblGrid>
        <w:gridCol w:w="1949"/>
        <w:gridCol w:w="1357"/>
        <w:gridCol w:w="1206"/>
        <w:gridCol w:w="887"/>
        <w:gridCol w:w="4325"/>
      </w:tblGrid>
      <w:tr w:rsidR="0066721A" w:rsidRPr="00AD05A2" w14:paraId="24AC3468" w14:textId="77777777" w:rsidTr="00330FA5">
        <w:trPr>
          <w:trHeight w:val="50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DC31B" w14:textId="77777777" w:rsidR="00AD05A2" w:rsidRPr="00AD05A2" w:rsidRDefault="00AD05A2" w:rsidP="00AD05A2">
            <w:pPr>
              <w:jc w:val="left"/>
              <w:rPr>
                <w:rFonts w:ascii="Calibri" w:eastAsia="Calibri" w:hAnsi="Calibri" w:cs="Calibri"/>
                <w:lang w:eastAsia="en-GB"/>
              </w:rPr>
            </w:pPr>
            <w:r w:rsidRPr="00AD05A2">
              <w:rPr>
                <w:rFonts w:ascii="Calibri" w:eastAsia="Calibri" w:hAnsi="Calibri" w:cs="Calibri"/>
                <w:b/>
                <w:bCs/>
                <w:color w:val="000000"/>
                <w:lang w:eastAsia="en-GB"/>
              </w:rPr>
              <w:t>Risk</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A82B8D4" w14:textId="77777777" w:rsidR="00AD05A2" w:rsidRPr="00AD05A2" w:rsidRDefault="00AD05A2" w:rsidP="00AD05A2">
            <w:pPr>
              <w:jc w:val="left"/>
              <w:rPr>
                <w:rFonts w:ascii="Calibri" w:eastAsia="Calibri" w:hAnsi="Calibri" w:cs="Calibri"/>
                <w:lang w:eastAsia="en-GB"/>
              </w:rPr>
            </w:pPr>
            <w:r w:rsidRPr="00AD05A2">
              <w:rPr>
                <w:rFonts w:ascii="Calibri" w:eastAsia="Calibri" w:hAnsi="Calibri" w:cs="Calibri"/>
                <w:b/>
                <w:bCs/>
                <w:color w:val="000000"/>
                <w:lang w:eastAsia="en-GB"/>
              </w:rPr>
              <w:t>Risk category</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3F96492" w14:textId="13019BF7" w:rsidR="00AD05A2" w:rsidRPr="00AD05A2" w:rsidRDefault="00AD05A2" w:rsidP="00AD05A2">
            <w:pPr>
              <w:jc w:val="left"/>
              <w:rPr>
                <w:rFonts w:ascii="Calibri" w:eastAsia="Calibri" w:hAnsi="Calibri" w:cs="Calibri"/>
                <w:lang w:eastAsia="en-GB"/>
              </w:rPr>
            </w:pPr>
            <w:r w:rsidRPr="00AD05A2">
              <w:rPr>
                <w:rFonts w:ascii="Calibri" w:eastAsia="Calibri" w:hAnsi="Calibri" w:cs="Calibri"/>
                <w:b/>
                <w:bCs/>
                <w:color w:val="000000"/>
                <w:lang w:eastAsia="en-GB"/>
              </w:rPr>
              <w:t>Likelihood</w:t>
            </w:r>
            <w:r w:rsidR="00E6740F" w:rsidRPr="00272329">
              <w:rPr>
                <w:rFonts w:ascii="Calibri" w:eastAsia="Calibri" w:hAnsi="Calibri" w:cs="Calibri"/>
                <w:b/>
                <w:bCs/>
                <w:color w:val="000000"/>
                <w:lang w:eastAsia="en-GB"/>
              </w:rPr>
              <w:t xml:space="preserve"> (RAG)</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519420C9" w14:textId="77777777" w:rsidR="00AD05A2" w:rsidRPr="00AD05A2" w:rsidRDefault="00AD05A2" w:rsidP="00AD05A2">
            <w:pPr>
              <w:jc w:val="left"/>
              <w:rPr>
                <w:rFonts w:ascii="Calibri" w:eastAsia="Calibri" w:hAnsi="Calibri" w:cs="Calibri"/>
                <w:lang w:eastAsia="en-GB"/>
              </w:rPr>
            </w:pPr>
            <w:r w:rsidRPr="00AD05A2">
              <w:rPr>
                <w:rFonts w:ascii="Calibri" w:eastAsia="Calibri" w:hAnsi="Calibri" w:cs="Calibri"/>
                <w:b/>
                <w:bCs/>
                <w:color w:val="000000"/>
                <w:lang w:eastAsia="en-GB"/>
              </w:rPr>
              <w:t>Impact</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ABAA080" w14:textId="77777777" w:rsidR="00AD05A2" w:rsidRPr="00AD05A2" w:rsidRDefault="00AD05A2" w:rsidP="00AD05A2">
            <w:pPr>
              <w:jc w:val="left"/>
              <w:rPr>
                <w:rFonts w:ascii="Calibri" w:eastAsia="Calibri" w:hAnsi="Calibri" w:cs="Calibri"/>
                <w:lang w:eastAsia="en-GB"/>
              </w:rPr>
            </w:pPr>
            <w:r w:rsidRPr="00AD05A2">
              <w:rPr>
                <w:rFonts w:ascii="Calibri" w:eastAsia="Calibri" w:hAnsi="Calibri" w:cs="Calibri"/>
                <w:b/>
                <w:bCs/>
                <w:color w:val="000000"/>
                <w:lang w:eastAsia="en-GB"/>
              </w:rPr>
              <w:t>Mitigating actions</w:t>
            </w:r>
          </w:p>
        </w:tc>
      </w:tr>
      <w:tr w:rsidR="00E6740F" w:rsidRPr="00AD05A2" w14:paraId="396A36CF" w14:textId="77777777" w:rsidTr="00330FA5">
        <w:trPr>
          <w:trHeight w:val="1161"/>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D632E74" w14:textId="77777777" w:rsidR="00AD05A2" w:rsidRPr="00AD05A2" w:rsidRDefault="00AD05A2" w:rsidP="00E52D65">
            <w:pPr>
              <w:jc w:val="left"/>
              <w:rPr>
                <w:rFonts w:ascii="Calibri" w:eastAsia="Calibri" w:hAnsi="Calibri" w:cs="Calibri"/>
                <w:lang w:eastAsia="en-GB"/>
              </w:rPr>
            </w:pPr>
            <w:r w:rsidRPr="00AD05A2">
              <w:rPr>
                <w:rFonts w:ascii="Calibri" w:eastAsia="Calibri" w:hAnsi="Calibri" w:cs="Calibri"/>
                <w:color w:val="000000"/>
                <w:sz w:val="20"/>
                <w:szCs w:val="20"/>
                <w:shd w:val="clear" w:color="auto" w:fill="FFFFFF"/>
                <w:lang w:eastAsia="en-GB"/>
              </w:rPr>
              <w:t>Covid-19</w:t>
            </w:r>
            <w:r w:rsidRPr="00AD05A2">
              <w:rPr>
                <w:rFonts w:ascii="Calibri" w:eastAsia="Calibri" w:hAnsi="Calibri" w:cs="Calibri"/>
                <w:color w:val="000000"/>
                <w:sz w:val="20"/>
                <w:szCs w:val="20"/>
                <w:lang w:eastAsia="en-GB"/>
              </w:rPr>
              <w:t> prevents face to face roll out of the programme.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60FA0C94" w14:textId="77777777" w:rsidR="00AD05A2" w:rsidRPr="00AD05A2" w:rsidRDefault="00AD05A2" w:rsidP="00AD05A2">
            <w:pPr>
              <w:jc w:val="left"/>
              <w:rPr>
                <w:rFonts w:ascii="Calibri" w:eastAsia="Calibri" w:hAnsi="Calibri" w:cs="Calibri"/>
                <w:lang w:eastAsia="en-GB"/>
              </w:rPr>
            </w:pPr>
            <w:r w:rsidRPr="00AD05A2">
              <w:rPr>
                <w:rFonts w:ascii="Calibri" w:eastAsia="Calibri" w:hAnsi="Calibri" w:cs="Calibri"/>
                <w:color w:val="000000"/>
                <w:sz w:val="20"/>
                <w:szCs w:val="20"/>
                <w:lang w:eastAsia="en-GB"/>
              </w:rPr>
              <w:t>Programmatic</w:t>
            </w:r>
          </w:p>
        </w:tc>
        <w:tc>
          <w:tcPr>
            <w:tcW w:w="0" w:type="auto"/>
            <w:tcBorders>
              <w:top w:val="nil"/>
              <w:left w:val="nil"/>
              <w:bottom w:val="single" w:sz="8" w:space="0" w:color="000000"/>
              <w:right w:val="single" w:sz="8" w:space="0" w:color="000000"/>
            </w:tcBorders>
            <w:shd w:val="clear" w:color="auto" w:fill="FF0000"/>
            <w:tcMar>
              <w:top w:w="100" w:type="dxa"/>
              <w:left w:w="100" w:type="dxa"/>
              <w:bottom w:w="100" w:type="dxa"/>
              <w:right w:w="100" w:type="dxa"/>
            </w:tcMar>
            <w:hideMark/>
          </w:tcPr>
          <w:p w14:paraId="73C16E17" w14:textId="0BA0F2AE" w:rsidR="00AD05A2" w:rsidRPr="00AD05A2" w:rsidRDefault="00E6740F" w:rsidP="00AD05A2">
            <w:pPr>
              <w:jc w:val="left"/>
              <w:rPr>
                <w:rFonts w:ascii="Calibri" w:eastAsia="Calibri" w:hAnsi="Calibri" w:cs="Calibri"/>
                <w:lang w:eastAsia="en-GB"/>
              </w:rPr>
            </w:pPr>
            <w:r>
              <w:rPr>
                <w:rFonts w:ascii="Calibri" w:eastAsia="Calibri" w:hAnsi="Calibri" w:cs="Calibri"/>
                <w:color w:val="000000"/>
                <w:sz w:val="20"/>
                <w:szCs w:val="20"/>
                <w:lang w:eastAsia="en-GB"/>
              </w:rPr>
              <w:t xml:space="preserve">RED – HIGH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5EA970E0" w14:textId="77777777" w:rsidR="00AD05A2" w:rsidRPr="00AD05A2" w:rsidRDefault="00AD05A2" w:rsidP="00AD05A2">
            <w:pPr>
              <w:jc w:val="left"/>
              <w:rPr>
                <w:rFonts w:ascii="Calibri" w:eastAsia="Calibri" w:hAnsi="Calibri" w:cs="Calibri"/>
                <w:lang w:eastAsia="en-GB"/>
              </w:rPr>
            </w:pPr>
            <w:r w:rsidRPr="00AD05A2">
              <w:rPr>
                <w:rFonts w:ascii="Calibri" w:eastAsia="Calibri" w:hAnsi="Calibri" w:cs="Calibri"/>
                <w:color w:val="000000"/>
                <w:sz w:val="20"/>
                <w:szCs w:val="20"/>
                <w:lang w:eastAsia="en-GB"/>
              </w:rPr>
              <w:t>Low</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255C196B" w14:textId="77777777" w:rsidR="00AD05A2" w:rsidRPr="00AD05A2" w:rsidRDefault="00AD05A2" w:rsidP="00AD05A2">
            <w:pPr>
              <w:jc w:val="left"/>
              <w:rPr>
                <w:rFonts w:ascii="Calibri" w:eastAsia="Calibri" w:hAnsi="Calibri" w:cs="Calibri"/>
                <w:lang w:eastAsia="en-GB"/>
              </w:rPr>
            </w:pPr>
            <w:r w:rsidRPr="00AD05A2">
              <w:rPr>
                <w:rFonts w:ascii="Calibri" w:eastAsia="Calibri" w:hAnsi="Calibri" w:cs="Calibri"/>
                <w:color w:val="201F1E"/>
                <w:sz w:val="20"/>
                <w:szCs w:val="20"/>
                <w:lang w:eastAsia="en-GB"/>
              </w:rPr>
              <w:t>Online delivery curriculum has been developed and put in place since 2022 so programme well versed in virtual delivery.</w:t>
            </w:r>
          </w:p>
          <w:p w14:paraId="5947E1C1" w14:textId="77777777" w:rsidR="00AD05A2" w:rsidRPr="00AD05A2" w:rsidRDefault="00AD05A2" w:rsidP="00AD05A2">
            <w:pPr>
              <w:jc w:val="left"/>
              <w:rPr>
                <w:rFonts w:ascii="Calibri" w:eastAsia="Calibri" w:hAnsi="Calibri" w:cs="Calibri"/>
                <w:lang w:eastAsia="en-GB"/>
              </w:rPr>
            </w:pPr>
            <w:r w:rsidRPr="00AD05A2">
              <w:rPr>
                <w:rFonts w:ascii="Calibri" w:eastAsia="Calibri" w:hAnsi="Calibri" w:cs="Calibri"/>
                <w:color w:val="000000"/>
                <w:sz w:val="20"/>
                <w:szCs w:val="20"/>
                <w:lang w:eastAsia="en-GB"/>
              </w:rPr>
              <w:t> </w:t>
            </w:r>
          </w:p>
          <w:p w14:paraId="35AC98AF" w14:textId="77777777" w:rsidR="00AD05A2" w:rsidRPr="00AD05A2" w:rsidRDefault="00AD05A2" w:rsidP="00AD05A2">
            <w:pPr>
              <w:jc w:val="left"/>
              <w:rPr>
                <w:rFonts w:ascii="Calibri" w:eastAsia="Calibri" w:hAnsi="Calibri" w:cs="Calibri"/>
                <w:lang w:eastAsia="en-GB"/>
              </w:rPr>
            </w:pPr>
            <w:r w:rsidRPr="00AD05A2">
              <w:rPr>
                <w:rFonts w:ascii="Calibri" w:eastAsia="Calibri" w:hAnsi="Calibri" w:cs="Calibri"/>
                <w:color w:val="000000"/>
                <w:sz w:val="20"/>
                <w:szCs w:val="20"/>
                <w:lang w:eastAsia="en-GB"/>
              </w:rPr>
              <w:t>Tide Turners App launched in Q4 2022.</w:t>
            </w:r>
          </w:p>
        </w:tc>
      </w:tr>
      <w:tr w:rsidR="0005625F" w:rsidRPr="00AD05A2" w14:paraId="23CE9BB4" w14:textId="77777777" w:rsidTr="00330FA5">
        <w:trPr>
          <w:trHeight w:val="1838"/>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2005EA" w14:textId="0ECAC04E" w:rsidR="00E6740F" w:rsidRPr="00AD05A2" w:rsidRDefault="00E6740F" w:rsidP="00E52D65">
            <w:pPr>
              <w:jc w:val="left"/>
              <w:rPr>
                <w:rFonts w:ascii="Calibri" w:eastAsia="Calibri" w:hAnsi="Calibri" w:cs="Calibri"/>
                <w:color w:val="000000"/>
                <w:sz w:val="20"/>
                <w:szCs w:val="20"/>
                <w:lang w:eastAsia="en-GB"/>
              </w:rPr>
            </w:pPr>
            <w:r w:rsidRPr="00AD05A2">
              <w:rPr>
                <w:rFonts w:ascii="Calibri" w:eastAsia="Calibri" w:hAnsi="Calibri" w:cs="Calibri"/>
                <w:color w:val="000000"/>
                <w:sz w:val="20"/>
                <w:szCs w:val="20"/>
                <w:lang w:eastAsia="en-GB"/>
              </w:rPr>
              <w:t>Lack of knowledge on behaviour change among participants negatively impacts content design.</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58FA00D" w14:textId="13403439" w:rsidR="00E6740F" w:rsidRPr="00AD05A2" w:rsidRDefault="00E6740F" w:rsidP="00E6740F">
            <w:pPr>
              <w:jc w:val="left"/>
              <w:rPr>
                <w:rFonts w:ascii="Calibri" w:eastAsia="Calibri" w:hAnsi="Calibri" w:cs="Calibri"/>
                <w:color w:val="000000"/>
                <w:sz w:val="20"/>
                <w:szCs w:val="20"/>
                <w:lang w:eastAsia="en-GB"/>
              </w:rPr>
            </w:pPr>
            <w:r w:rsidRPr="00AD05A2">
              <w:rPr>
                <w:rFonts w:ascii="Calibri" w:eastAsia="Calibri" w:hAnsi="Calibri" w:cs="Calibri"/>
                <w:color w:val="000000"/>
                <w:sz w:val="20"/>
                <w:szCs w:val="20"/>
                <w:lang w:eastAsia="en-GB"/>
              </w:rPr>
              <w:t>Programmatic</w:t>
            </w:r>
          </w:p>
        </w:tc>
        <w:tc>
          <w:tcPr>
            <w:tcW w:w="0" w:type="auto"/>
            <w:tcBorders>
              <w:top w:val="nil"/>
              <w:left w:val="nil"/>
              <w:bottom w:val="single" w:sz="8" w:space="0" w:color="000000"/>
              <w:right w:val="single" w:sz="8" w:space="0" w:color="000000"/>
            </w:tcBorders>
            <w:shd w:val="clear" w:color="auto" w:fill="FF0000"/>
            <w:tcMar>
              <w:top w:w="100" w:type="dxa"/>
              <w:left w:w="100" w:type="dxa"/>
              <w:bottom w:w="100" w:type="dxa"/>
              <w:right w:w="100" w:type="dxa"/>
            </w:tcMar>
          </w:tcPr>
          <w:p w14:paraId="71FBD57B" w14:textId="2DFADA99" w:rsidR="00E6740F" w:rsidRDefault="00E6740F" w:rsidP="00E6740F">
            <w:pPr>
              <w:jc w:val="left"/>
              <w:rPr>
                <w:rFonts w:ascii="Calibri" w:eastAsia="Calibri" w:hAnsi="Calibri" w:cs="Calibri"/>
                <w:color w:val="000000"/>
                <w:sz w:val="20"/>
                <w:szCs w:val="20"/>
                <w:lang w:eastAsia="en-GB"/>
              </w:rPr>
            </w:pPr>
            <w:r>
              <w:rPr>
                <w:rFonts w:ascii="Calibri" w:eastAsia="Calibri" w:hAnsi="Calibri" w:cs="Calibri"/>
                <w:color w:val="000000"/>
                <w:sz w:val="20"/>
                <w:szCs w:val="20"/>
                <w:lang w:eastAsia="en-GB"/>
              </w:rPr>
              <w:t xml:space="preserve">RED </w:t>
            </w:r>
            <w:r w:rsidR="00FC1947">
              <w:rPr>
                <w:rFonts w:ascii="Calibri" w:eastAsia="Calibri" w:hAnsi="Calibri" w:cs="Calibri"/>
                <w:color w:val="000000"/>
                <w:sz w:val="20"/>
                <w:szCs w:val="20"/>
                <w:lang w:eastAsia="en-GB"/>
              </w:rPr>
              <w:t>–</w:t>
            </w:r>
            <w:r>
              <w:rPr>
                <w:rFonts w:ascii="Calibri" w:eastAsia="Calibri" w:hAnsi="Calibri" w:cs="Calibri"/>
                <w:color w:val="000000"/>
                <w:sz w:val="20"/>
                <w:szCs w:val="20"/>
                <w:lang w:eastAsia="en-GB"/>
              </w:rPr>
              <w:t xml:space="preserve"> </w:t>
            </w:r>
            <w:r w:rsidRPr="00AD05A2">
              <w:rPr>
                <w:rFonts w:ascii="Calibri" w:eastAsia="Calibri" w:hAnsi="Calibri" w:cs="Calibri"/>
                <w:color w:val="000000"/>
                <w:sz w:val="20"/>
                <w:szCs w:val="20"/>
                <w:lang w:eastAsia="en-GB"/>
              </w:rPr>
              <w:t>H</w:t>
            </w:r>
            <w:r>
              <w:rPr>
                <w:rFonts w:ascii="Calibri" w:eastAsia="Calibri" w:hAnsi="Calibri" w:cs="Calibri"/>
                <w:color w:val="000000"/>
                <w:sz w:val="20"/>
                <w:szCs w:val="20"/>
                <w:lang w:eastAsia="en-GB"/>
              </w:rPr>
              <w:t>IGH</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39C9D1" w14:textId="6C0DD13D" w:rsidR="00E6740F" w:rsidRPr="00AD05A2" w:rsidRDefault="00E6740F" w:rsidP="00E6740F">
            <w:pPr>
              <w:jc w:val="left"/>
              <w:rPr>
                <w:rFonts w:ascii="Calibri" w:eastAsia="Calibri" w:hAnsi="Calibri" w:cs="Calibri"/>
                <w:color w:val="000000"/>
                <w:sz w:val="20"/>
                <w:szCs w:val="20"/>
                <w:lang w:eastAsia="en-GB"/>
              </w:rPr>
            </w:pPr>
            <w:r w:rsidRPr="00AD05A2">
              <w:rPr>
                <w:rFonts w:ascii="Calibri" w:eastAsia="Calibri" w:hAnsi="Calibri" w:cs="Calibri"/>
                <w:color w:val="000000"/>
                <w:sz w:val="20"/>
                <w:szCs w:val="20"/>
                <w:lang w:eastAsia="en-GB"/>
              </w:rPr>
              <w:t>Medium</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50033C2" w14:textId="69210B11" w:rsidR="00E6740F" w:rsidRPr="00AD05A2" w:rsidRDefault="00E6740F" w:rsidP="00E6740F">
            <w:pPr>
              <w:jc w:val="left"/>
              <w:rPr>
                <w:rFonts w:ascii="Calibri" w:eastAsia="Calibri" w:hAnsi="Calibri" w:cs="Calibri"/>
                <w:color w:val="000000"/>
                <w:sz w:val="20"/>
                <w:szCs w:val="20"/>
                <w:lang w:eastAsia="en-GB"/>
              </w:rPr>
            </w:pPr>
            <w:r w:rsidRPr="00AD05A2">
              <w:rPr>
                <w:rFonts w:ascii="Calibri" w:eastAsia="Calibri" w:hAnsi="Calibri" w:cs="Calibri"/>
                <w:color w:val="201F1E"/>
                <w:sz w:val="20"/>
                <w:szCs w:val="20"/>
                <w:lang w:eastAsia="en-GB"/>
              </w:rPr>
              <w:t>A pre-programme/baseline assessment</w:t>
            </w:r>
            <w:r w:rsidRPr="00AD05A2">
              <w:rPr>
                <w:rFonts w:ascii="Calibri" w:eastAsia="Calibri" w:hAnsi="Calibri" w:cs="Calibri"/>
                <w:color w:val="000000"/>
                <w:sz w:val="20"/>
                <w:szCs w:val="20"/>
                <w:lang w:eastAsia="en-GB"/>
              </w:rPr>
              <w:t> on participant skills/knowledge will be conducted.</w:t>
            </w:r>
          </w:p>
        </w:tc>
      </w:tr>
      <w:tr w:rsidR="00272329" w:rsidRPr="00AD05A2" w14:paraId="3BCE7D68" w14:textId="77777777" w:rsidTr="00330FA5">
        <w:trPr>
          <w:trHeight w:val="1838"/>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B9F84F" w14:textId="51898F57" w:rsidR="00E6740F" w:rsidRPr="00AD05A2" w:rsidRDefault="00E6740F" w:rsidP="00E52D65">
            <w:pPr>
              <w:jc w:val="left"/>
              <w:rPr>
                <w:rFonts w:ascii="Calibri" w:eastAsia="Calibri" w:hAnsi="Calibri" w:cs="Calibri"/>
                <w:color w:val="000000"/>
                <w:sz w:val="20"/>
                <w:szCs w:val="20"/>
                <w:lang w:eastAsia="en-GB"/>
              </w:rPr>
            </w:pPr>
            <w:r w:rsidRPr="00AD05A2">
              <w:rPr>
                <w:rFonts w:ascii="Calibri" w:eastAsia="Calibri" w:hAnsi="Calibri" w:cs="Calibri"/>
                <w:color w:val="000000"/>
                <w:sz w:val="20"/>
                <w:szCs w:val="20"/>
                <w:lang w:eastAsia="en-GB"/>
              </w:rPr>
              <w:t>Digital delivery increases participation attrition.</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2A77CE3C" w14:textId="254CD938" w:rsidR="00E6740F" w:rsidRPr="00AD05A2" w:rsidRDefault="00E6740F" w:rsidP="00E6740F">
            <w:pPr>
              <w:jc w:val="left"/>
              <w:rPr>
                <w:rFonts w:ascii="Calibri" w:eastAsia="Calibri" w:hAnsi="Calibri" w:cs="Calibri"/>
                <w:color w:val="000000"/>
                <w:sz w:val="20"/>
                <w:szCs w:val="20"/>
                <w:lang w:eastAsia="en-GB"/>
              </w:rPr>
            </w:pPr>
            <w:r w:rsidRPr="00AD05A2">
              <w:rPr>
                <w:rFonts w:ascii="Calibri" w:eastAsia="Calibri" w:hAnsi="Calibri" w:cs="Calibri"/>
                <w:color w:val="000000"/>
                <w:sz w:val="20"/>
                <w:szCs w:val="20"/>
                <w:lang w:eastAsia="en-GB"/>
              </w:rPr>
              <w:t>Programmatic</w:t>
            </w:r>
          </w:p>
        </w:tc>
        <w:tc>
          <w:tcPr>
            <w:tcW w:w="0" w:type="auto"/>
            <w:tcBorders>
              <w:top w:val="nil"/>
              <w:left w:val="nil"/>
              <w:bottom w:val="single" w:sz="8" w:space="0" w:color="000000"/>
              <w:right w:val="single" w:sz="8" w:space="0" w:color="000000"/>
            </w:tcBorders>
            <w:shd w:val="clear" w:color="auto" w:fill="FFC000"/>
            <w:tcMar>
              <w:top w:w="100" w:type="dxa"/>
              <w:left w:w="100" w:type="dxa"/>
              <w:bottom w:w="100" w:type="dxa"/>
              <w:right w:w="100" w:type="dxa"/>
            </w:tcMar>
          </w:tcPr>
          <w:p w14:paraId="512F9DFA" w14:textId="0F73B151" w:rsidR="00E6740F" w:rsidRDefault="00E6740F" w:rsidP="00E6740F">
            <w:pPr>
              <w:jc w:val="left"/>
              <w:rPr>
                <w:rFonts w:ascii="Calibri" w:eastAsia="Calibri" w:hAnsi="Calibri" w:cs="Calibri"/>
                <w:color w:val="000000"/>
                <w:sz w:val="20"/>
                <w:szCs w:val="20"/>
                <w:lang w:eastAsia="en-GB"/>
              </w:rPr>
            </w:pPr>
            <w:r>
              <w:rPr>
                <w:rFonts w:ascii="Calibri" w:eastAsia="Calibri" w:hAnsi="Calibri" w:cs="Calibri"/>
                <w:color w:val="000000"/>
                <w:sz w:val="20"/>
                <w:szCs w:val="20"/>
                <w:lang w:eastAsia="en-GB"/>
              </w:rPr>
              <w:t>AMBER</w:t>
            </w:r>
            <w:r w:rsidR="0005625F">
              <w:rPr>
                <w:rFonts w:ascii="Calibri" w:eastAsia="Calibri" w:hAnsi="Calibri" w:cs="Calibri"/>
                <w:color w:val="000000"/>
                <w:sz w:val="20"/>
                <w:szCs w:val="20"/>
                <w:lang w:eastAsia="en-GB"/>
              </w:rPr>
              <w:t xml:space="preserve"> – M</w:t>
            </w:r>
            <w:r>
              <w:rPr>
                <w:rFonts w:ascii="Calibri" w:eastAsia="Calibri" w:hAnsi="Calibri" w:cs="Calibri"/>
                <w:color w:val="000000"/>
                <w:sz w:val="20"/>
                <w:szCs w:val="20"/>
                <w:lang w:eastAsia="en-GB"/>
              </w:rPr>
              <w:t>EDIUM</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CC52EB" w14:textId="02B66457" w:rsidR="00E6740F" w:rsidRPr="00AD05A2" w:rsidRDefault="00E6740F" w:rsidP="00E6740F">
            <w:pPr>
              <w:jc w:val="left"/>
              <w:rPr>
                <w:rFonts w:ascii="Calibri" w:eastAsia="Calibri" w:hAnsi="Calibri" w:cs="Calibri"/>
                <w:color w:val="000000"/>
                <w:sz w:val="20"/>
                <w:szCs w:val="20"/>
                <w:lang w:eastAsia="en-GB"/>
              </w:rPr>
            </w:pPr>
            <w:r w:rsidRPr="00AD05A2">
              <w:rPr>
                <w:rFonts w:ascii="Calibri" w:eastAsia="Calibri" w:hAnsi="Calibri" w:cs="Calibri"/>
                <w:color w:val="000000"/>
                <w:sz w:val="20"/>
                <w:szCs w:val="20"/>
                <w:lang w:eastAsia="en-GB"/>
              </w:rPr>
              <w:t>Medium</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2A341355" w14:textId="77777777" w:rsidR="00E6740F" w:rsidRPr="00AD05A2" w:rsidRDefault="00E6740F" w:rsidP="00E6740F">
            <w:pPr>
              <w:jc w:val="left"/>
              <w:rPr>
                <w:rFonts w:ascii="Calibri" w:eastAsia="Calibri" w:hAnsi="Calibri" w:cs="Calibri"/>
                <w:lang w:eastAsia="en-GB"/>
              </w:rPr>
            </w:pPr>
            <w:r w:rsidRPr="00AD05A2">
              <w:rPr>
                <w:rFonts w:ascii="Calibri" w:eastAsia="Calibri" w:hAnsi="Calibri" w:cs="Calibri"/>
                <w:color w:val="201F1E"/>
                <w:sz w:val="20"/>
                <w:szCs w:val="20"/>
                <w:lang w:eastAsia="en-GB"/>
              </w:rPr>
              <w:t>Programme delivery will utilize both online and in-person training of trainers.</w:t>
            </w:r>
          </w:p>
          <w:p w14:paraId="2AD6606D" w14:textId="77777777" w:rsidR="00E6740F" w:rsidRPr="00AD05A2" w:rsidRDefault="00E6740F" w:rsidP="00E6740F">
            <w:pPr>
              <w:jc w:val="left"/>
              <w:rPr>
                <w:rFonts w:ascii="Calibri" w:eastAsia="Calibri" w:hAnsi="Calibri" w:cs="Calibri"/>
                <w:lang w:eastAsia="en-GB"/>
              </w:rPr>
            </w:pPr>
            <w:r w:rsidRPr="00AD05A2">
              <w:rPr>
                <w:rFonts w:ascii="Calibri" w:eastAsia="Calibri" w:hAnsi="Calibri" w:cs="Calibri"/>
                <w:color w:val="000000"/>
                <w:sz w:val="20"/>
                <w:szCs w:val="20"/>
                <w:lang w:eastAsia="en-GB"/>
              </w:rPr>
              <w:t> </w:t>
            </w:r>
          </w:p>
          <w:p w14:paraId="7B95C5B4" w14:textId="7D3DF715" w:rsidR="00E6740F" w:rsidRPr="00AD05A2" w:rsidRDefault="00E6740F" w:rsidP="00E6740F">
            <w:pPr>
              <w:jc w:val="left"/>
              <w:rPr>
                <w:rFonts w:ascii="Calibri" w:eastAsia="Calibri" w:hAnsi="Calibri" w:cs="Calibri"/>
                <w:color w:val="000000"/>
                <w:sz w:val="20"/>
                <w:szCs w:val="20"/>
                <w:lang w:eastAsia="en-GB"/>
              </w:rPr>
            </w:pPr>
            <w:r w:rsidRPr="00AD05A2">
              <w:rPr>
                <w:rFonts w:ascii="Calibri" w:eastAsia="Calibri" w:hAnsi="Calibri" w:cs="Calibri"/>
                <w:color w:val="201F1E"/>
                <w:sz w:val="20"/>
                <w:szCs w:val="20"/>
                <w:lang w:eastAsia="en-GB"/>
              </w:rPr>
              <w:t>Tide Turners App created with gamification elements to engage users.</w:t>
            </w:r>
          </w:p>
        </w:tc>
      </w:tr>
      <w:tr w:rsidR="00FC1947" w:rsidRPr="00AD05A2" w14:paraId="72B508B8" w14:textId="77777777" w:rsidTr="00330FA5">
        <w:trPr>
          <w:trHeight w:val="1838"/>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24A447B" w14:textId="77777777" w:rsidR="00E6740F" w:rsidRPr="00AD05A2" w:rsidRDefault="00E6740F" w:rsidP="00E52D65">
            <w:pPr>
              <w:jc w:val="left"/>
              <w:rPr>
                <w:rFonts w:ascii="Calibri" w:eastAsia="Calibri" w:hAnsi="Calibri" w:cs="Calibri"/>
                <w:lang w:eastAsia="en-GB"/>
              </w:rPr>
            </w:pPr>
            <w:r w:rsidRPr="00AD05A2">
              <w:rPr>
                <w:rFonts w:ascii="Calibri" w:eastAsia="Calibri" w:hAnsi="Calibri" w:cs="Calibri"/>
                <w:color w:val="000000"/>
                <w:sz w:val="20"/>
                <w:szCs w:val="20"/>
                <w:lang w:eastAsia="en-GB"/>
              </w:rPr>
              <w:t>Funding delays disable coherent programme delivery.</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4631DB08" w14:textId="77777777" w:rsidR="00E6740F" w:rsidRPr="00AD05A2" w:rsidRDefault="00E6740F" w:rsidP="00E6740F">
            <w:pPr>
              <w:jc w:val="left"/>
              <w:rPr>
                <w:rFonts w:ascii="Calibri" w:eastAsia="Calibri" w:hAnsi="Calibri" w:cs="Calibri"/>
                <w:lang w:eastAsia="en-GB"/>
              </w:rPr>
            </w:pPr>
            <w:r w:rsidRPr="00AD05A2">
              <w:rPr>
                <w:rFonts w:ascii="Calibri" w:eastAsia="Calibri" w:hAnsi="Calibri" w:cs="Calibri"/>
                <w:color w:val="000000"/>
                <w:sz w:val="20"/>
                <w:szCs w:val="20"/>
                <w:lang w:eastAsia="en-GB"/>
              </w:rPr>
              <w:t>Programmatic</w:t>
            </w:r>
          </w:p>
        </w:tc>
        <w:tc>
          <w:tcPr>
            <w:tcW w:w="0" w:type="auto"/>
            <w:tcBorders>
              <w:top w:val="nil"/>
              <w:left w:val="nil"/>
              <w:bottom w:val="single" w:sz="8" w:space="0" w:color="000000"/>
              <w:right w:val="single" w:sz="8" w:space="0" w:color="000000"/>
            </w:tcBorders>
            <w:shd w:val="clear" w:color="auto" w:fill="FFC000"/>
            <w:tcMar>
              <w:top w:w="100" w:type="dxa"/>
              <w:left w:w="100" w:type="dxa"/>
              <w:bottom w:w="100" w:type="dxa"/>
              <w:right w:w="100" w:type="dxa"/>
            </w:tcMar>
            <w:hideMark/>
          </w:tcPr>
          <w:p w14:paraId="01AC8C2A" w14:textId="199A2C30" w:rsidR="00E6740F" w:rsidRPr="00AD05A2" w:rsidRDefault="00E6740F" w:rsidP="00E6740F">
            <w:pPr>
              <w:jc w:val="left"/>
              <w:rPr>
                <w:rFonts w:ascii="Calibri" w:eastAsia="Calibri" w:hAnsi="Calibri" w:cs="Calibri"/>
                <w:lang w:eastAsia="en-GB"/>
              </w:rPr>
            </w:pPr>
            <w:r>
              <w:rPr>
                <w:rFonts w:ascii="Calibri" w:eastAsia="Calibri" w:hAnsi="Calibri" w:cs="Calibri"/>
                <w:color w:val="000000"/>
                <w:sz w:val="20"/>
                <w:szCs w:val="20"/>
                <w:lang w:eastAsia="en-GB"/>
              </w:rPr>
              <w:t xml:space="preserve">AMBER – </w:t>
            </w:r>
            <w:r w:rsidRPr="00AD05A2">
              <w:rPr>
                <w:rFonts w:ascii="Calibri" w:eastAsia="Calibri" w:hAnsi="Calibri" w:cs="Calibri"/>
                <w:color w:val="000000"/>
                <w:sz w:val="20"/>
                <w:szCs w:val="20"/>
                <w:lang w:eastAsia="en-GB"/>
              </w:rPr>
              <w:t>M</w:t>
            </w:r>
            <w:r>
              <w:rPr>
                <w:rFonts w:ascii="Calibri" w:eastAsia="Calibri" w:hAnsi="Calibri" w:cs="Calibri"/>
                <w:color w:val="000000"/>
                <w:sz w:val="20"/>
                <w:szCs w:val="20"/>
                <w:lang w:eastAsia="en-GB"/>
              </w:rPr>
              <w:t>EDIUM</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14:paraId="5389DAF5" w14:textId="77777777" w:rsidR="00E6740F" w:rsidRPr="00AD05A2" w:rsidRDefault="00E6740F" w:rsidP="00E6740F">
            <w:pPr>
              <w:jc w:val="left"/>
              <w:rPr>
                <w:rFonts w:ascii="Calibri" w:eastAsia="Calibri" w:hAnsi="Calibri" w:cs="Calibri"/>
                <w:lang w:eastAsia="en-GB"/>
              </w:rPr>
            </w:pPr>
            <w:r w:rsidRPr="00AD05A2">
              <w:rPr>
                <w:rFonts w:ascii="Calibri" w:eastAsia="Calibri" w:hAnsi="Calibri" w:cs="Calibri"/>
                <w:color w:val="000000"/>
                <w:sz w:val="20"/>
                <w:szCs w:val="20"/>
                <w:lang w:eastAsia="en-GB"/>
              </w:rPr>
              <w:t>Medium</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6AA1CF95" w14:textId="629F24D6" w:rsidR="00E6740F" w:rsidRPr="00AD05A2" w:rsidRDefault="00E6740F" w:rsidP="00E6740F">
            <w:pPr>
              <w:jc w:val="left"/>
              <w:rPr>
                <w:rFonts w:ascii="Calibri" w:eastAsia="Calibri" w:hAnsi="Calibri" w:cs="Calibri"/>
                <w:lang w:eastAsia="en-GB"/>
              </w:rPr>
            </w:pPr>
            <w:r w:rsidRPr="00AD05A2">
              <w:rPr>
                <w:rFonts w:ascii="Calibri" w:eastAsia="Calibri" w:hAnsi="Calibri" w:cs="Calibri"/>
                <w:color w:val="000000"/>
                <w:sz w:val="20"/>
                <w:szCs w:val="20"/>
                <w:lang w:eastAsia="en-GB"/>
              </w:rPr>
              <w:t>Agreements and deliverables are created with partner organi</w:t>
            </w:r>
            <w:r w:rsidR="00FE2D7F">
              <w:rPr>
                <w:rFonts w:ascii="Calibri" w:eastAsia="Calibri" w:hAnsi="Calibri" w:cs="Calibri"/>
                <w:color w:val="000000"/>
                <w:sz w:val="20"/>
                <w:szCs w:val="20"/>
                <w:lang w:eastAsia="en-GB"/>
              </w:rPr>
              <w:t>s</w:t>
            </w:r>
            <w:r w:rsidRPr="00AD05A2">
              <w:rPr>
                <w:rFonts w:ascii="Calibri" w:eastAsia="Calibri" w:hAnsi="Calibri" w:cs="Calibri"/>
                <w:color w:val="000000"/>
                <w:sz w:val="20"/>
                <w:szCs w:val="20"/>
                <w:lang w:eastAsia="en-GB"/>
              </w:rPr>
              <w:t>ations well in advance and there is a longer-term funding arrangement that reduces the risk.</w:t>
            </w:r>
          </w:p>
          <w:p w14:paraId="5CA56B28" w14:textId="77777777" w:rsidR="00E6740F" w:rsidRPr="00AD05A2" w:rsidRDefault="00E6740F" w:rsidP="00E6740F">
            <w:pPr>
              <w:jc w:val="left"/>
              <w:rPr>
                <w:rFonts w:ascii="Calibri" w:eastAsia="Calibri" w:hAnsi="Calibri" w:cs="Calibri"/>
                <w:lang w:eastAsia="en-GB"/>
              </w:rPr>
            </w:pPr>
            <w:r w:rsidRPr="00AD05A2">
              <w:rPr>
                <w:rFonts w:ascii="Calibri" w:eastAsia="Calibri" w:hAnsi="Calibri" w:cs="Calibri"/>
                <w:color w:val="000000"/>
                <w:sz w:val="20"/>
                <w:szCs w:val="20"/>
                <w:lang w:eastAsia="en-GB"/>
              </w:rPr>
              <w:t> </w:t>
            </w:r>
          </w:p>
          <w:p w14:paraId="510CCA2D" w14:textId="6E4B03E2" w:rsidR="00E6740F" w:rsidRPr="00AD05A2" w:rsidRDefault="00E6740F" w:rsidP="00E6740F">
            <w:pPr>
              <w:jc w:val="left"/>
              <w:rPr>
                <w:rFonts w:ascii="Calibri" w:eastAsia="Calibri" w:hAnsi="Calibri" w:cs="Calibri"/>
                <w:lang w:eastAsia="en-GB"/>
              </w:rPr>
            </w:pPr>
            <w:r w:rsidRPr="00AD05A2">
              <w:rPr>
                <w:rFonts w:ascii="Calibri" w:eastAsia="Calibri" w:hAnsi="Calibri" w:cs="Calibri"/>
                <w:color w:val="000000"/>
                <w:sz w:val="20"/>
                <w:szCs w:val="20"/>
                <w:lang w:eastAsia="en-GB"/>
              </w:rPr>
              <w:t>Open and transparent communication with partner organi</w:t>
            </w:r>
            <w:r w:rsidR="00FE2D7F">
              <w:rPr>
                <w:rFonts w:ascii="Calibri" w:eastAsia="Calibri" w:hAnsi="Calibri" w:cs="Calibri"/>
                <w:color w:val="000000"/>
                <w:sz w:val="20"/>
                <w:szCs w:val="20"/>
                <w:lang w:eastAsia="en-GB"/>
              </w:rPr>
              <w:t>s</w:t>
            </w:r>
            <w:r w:rsidRPr="00AD05A2">
              <w:rPr>
                <w:rFonts w:ascii="Calibri" w:eastAsia="Calibri" w:hAnsi="Calibri" w:cs="Calibri"/>
                <w:color w:val="000000"/>
                <w:sz w:val="20"/>
                <w:szCs w:val="20"/>
                <w:lang w:eastAsia="en-GB"/>
              </w:rPr>
              <w:t>ations.</w:t>
            </w:r>
          </w:p>
        </w:tc>
      </w:tr>
      <w:tr w:rsidR="00AD0B84" w:rsidRPr="00AD05A2" w14:paraId="44A3B36F" w14:textId="77777777" w:rsidTr="00330FA5">
        <w:trPr>
          <w:trHeight w:val="1401"/>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679634" w14:textId="387D978B" w:rsidR="00AD0B84" w:rsidRPr="00565E6E" w:rsidRDefault="00AD0B84" w:rsidP="00E52D65">
            <w:pPr>
              <w:shd w:val="clear" w:color="auto" w:fill="FFFFFF"/>
              <w:jc w:val="left"/>
              <w:rPr>
                <w:rFonts w:eastAsia="Times New Roman" w:cs="Arial"/>
                <w:sz w:val="20"/>
                <w:szCs w:val="20"/>
                <w:lang w:eastAsia="en-GB"/>
              </w:rPr>
            </w:pPr>
            <w:r w:rsidRPr="00565E6E">
              <w:rPr>
                <w:rFonts w:eastAsia="Times New Roman" w:cs="Arial"/>
                <w:color w:val="242424"/>
                <w:sz w:val="20"/>
                <w:szCs w:val="20"/>
                <w:lang w:eastAsia="en-GB"/>
              </w:rPr>
              <w:t>Safeguarding young girls and young</w:t>
            </w:r>
            <w:r>
              <w:rPr>
                <w:rFonts w:eastAsia="Times New Roman" w:cs="Arial"/>
                <w:color w:val="242424"/>
                <w:sz w:val="20"/>
                <w:szCs w:val="20"/>
                <w:lang w:eastAsia="en-GB"/>
              </w:rPr>
              <w:t xml:space="preserve"> </w:t>
            </w:r>
            <w:r w:rsidRPr="00565E6E">
              <w:rPr>
                <w:rFonts w:eastAsia="Times New Roman" w:cs="Arial"/>
                <w:color w:val="242424"/>
                <w:sz w:val="20"/>
                <w:szCs w:val="20"/>
                <w:lang w:eastAsia="en-GB"/>
              </w:rPr>
              <w:t>women not delivered </w:t>
            </w:r>
          </w:p>
          <w:p w14:paraId="72338630" w14:textId="4DCBF3C0" w:rsidR="00AD0B84" w:rsidRPr="00565E6E" w:rsidRDefault="00AD0B84" w:rsidP="00E52D65">
            <w:pPr>
              <w:jc w:val="left"/>
              <w:rPr>
                <w:rFonts w:eastAsia="Calibri" w:cs="Calibri"/>
                <w:color w:val="000000"/>
                <w:sz w:val="20"/>
                <w:szCs w:val="20"/>
                <w:lang w:eastAsia="en-GB"/>
              </w:rPr>
            </w:pP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3DAFC3B1" w14:textId="2452DECC" w:rsidR="00AD0B84" w:rsidRPr="00565E6E" w:rsidRDefault="00AD0B84" w:rsidP="00AD0B84">
            <w:pPr>
              <w:jc w:val="left"/>
              <w:rPr>
                <w:rFonts w:eastAsia="Calibri" w:cs="Calibri"/>
                <w:color w:val="000000"/>
                <w:sz w:val="20"/>
                <w:szCs w:val="20"/>
                <w:lang w:eastAsia="en-GB"/>
              </w:rPr>
            </w:pPr>
            <w:r w:rsidRPr="00565E6E">
              <w:rPr>
                <w:rFonts w:eastAsia="Times New Roman" w:cs="Arial"/>
                <w:color w:val="242424"/>
                <w:sz w:val="20"/>
                <w:szCs w:val="20"/>
                <w:lang w:eastAsia="en-GB"/>
              </w:rPr>
              <w:t>Programmatic</w:t>
            </w:r>
          </w:p>
        </w:tc>
        <w:tc>
          <w:tcPr>
            <w:tcW w:w="0" w:type="auto"/>
            <w:tcBorders>
              <w:top w:val="nil"/>
              <w:left w:val="nil"/>
              <w:bottom w:val="single" w:sz="8" w:space="0" w:color="000000"/>
              <w:right w:val="single" w:sz="8" w:space="0" w:color="000000"/>
            </w:tcBorders>
            <w:shd w:val="clear" w:color="auto" w:fill="00B050"/>
            <w:tcMar>
              <w:top w:w="100" w:type="dxa"/>
              <w:left w:w="100" w:type="dxa"/>
              <w:bottom w:w="100" w:type="dxa"/>
              <w:right w:w="100" w:type="dxa"/>
            </w:tcMar>
          </w:tcPr>
          <w:p w14:paraId="1AF338A4" w14:textId="1A3A0DFB" w:rsidR="00AD0B84" w:rsidRPr="00565E6E" w:rsidRDefault="00AD0B84" w:rsidP="00AD0B84">
            <w:pPr>
              <w:jc w:val="left"/>
              <w:rPr>
                <w:rFonts w:eastAsia="Calibri" w:cs="Calibri"/>
                <w:color w:val="000000"/>
                <w:sz w:val="20"/>
                <w:szCs w:val="20"/>
                <w:lang w:eastAsia="en-GB"/>
              </w:rPr>
            </w:pPr>
            <w:r>
              <w:rPr>
                <w:rFonts w:eastAsia="Times New Roman" w:cs="Arial"/>
                <w:color w:val="242424"/>
                <w:sz w:val="20"/>
                <w:szCs w:val="20"/>
                <w:lang w:eastAsia="en-GB"/>
              </w:rPr>
              <w:t>GREEN - LOW</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FD0AF29" w14:textId="40370FCE" w:rsidR="00AD0B84" w:rsidRPr="00565E6E" w:rsidRDefault="00AD0B84" w:rsidP="00AD0B84">
            <w:pPr>
              <w:jc w:val="left"/>
              <w:rPr>
                <w:rFonts w:eastAsia="Calibri" w:cs="Calibri"/>
                <w:color w:val="000000"/>
                <w:sz w:val="20"/>
                <w:szCs w:val="20"/>
                <w:lang w:eastAsia="en-GB"/>
              </w:rPr>
            </w:pPr>
            <w:r w:rsidRPr="00565E6E">
              <w:rPr>
                <w:rFonts w:eastAsia="Times New Roman" w:cs="Arial"/>
                <w:color w:val="242424"/>
                <w:sz w:val="20"/>
                <w:szCs w:val="20"/>
                <w:lang w:eastAsia="en-GB"/>
              </w:rPr>
              <w:t>High</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570DEA3B" w14:textId="77C38EF7" w:rsidR="00AD0B84" w:rsidRDefault="00AD0B84" w:rsidP="00AD0B84">
            <w:pPr>
              <w:jc w:val="left"/>
              <w:rPr>
                <w:rFonts w:eastAsia="Times New Roman" w:cs="Arial"/>
                <w:color w:val="242424"/>
                <w:sz w:val="20"/>
                <w:szCs w:val="20"/>
                <w:lang w:eastAsia="en-GB"/>
              </w:rPr>
            </w:pPr>
            <w:r w:rsidRPr="00565E6E">
              <w:rPr>
                <w:rFonts w:eastAsia="Times New Roman" w:cs="Arial"/>
                <w:color w:val="242424"/>
                <w:sz w:val="20"/>
                <w:szCs w:val="20"/>
                <w:lang w:eastAsia="en-GB"/>
              </w:rPr>
              <w:t>All the Tide Turners partner organi</w:t>
            </w:r>
            <w:r w:rsidR="00FE2D7F">
              <w:rPr>
                <w:rFonts w:eastAsia="Times New Roman" w:cs="Arial"/>
                <w:color w:val="242424"/>
                <w:sz w:val="20"/>
                <w:szCs w:val="20"/>
                <w:lang w:eastAsia="en-GB"/>
              </w:rPr>
              <w:t>s</w:t>
            </w:r>
            <w:r w:rsidRPr="00565E6E">
              <w:rPr>
                <w:rFonts w:eastAsia="Times New Roman" w:cs="Arial"/>
                <w:color w:val="242424"/>
                <w:sz w:val="20"/>
                <w:szCs w:val="20"/>
                <w:lang w:eastAsia="en-GB"/>
              </w:rPr>
              <w:t>ations working with young people have their safeguarding policies that are applied to all volunteers, employees and contractors</w:t>
            </w:r>
            <w:r w:rsidR="00BA47E8">
              <w:rPr>
                <w:rFonts w:eastAsia="Times New Roman" w:cs="Arial"/>
                <w:color w:val="242424"/>
                <w:sz w:val="20"/>
                <w:szCs w:val="20"/>
                <w:lang w:eastAsia="en-GB"/>
              </w:rPr>
              <w:t xml:space="preserve">, e.g., </w:t>
            </w:r>
            <w:r w:rsidR="00462B12">
              <w:rPr>
                <w:rFonts w:eastAsia="Times New Roman" w:cs="Arial"/>
                <w:color w:val="242424"/>
                <w:sz w:val="20"/>
                <w:szCs w:val="20"/>
                <w:lang w:eastAsia="en-GB"/>
              </w:rPr>
              <w:t>WAGGGS safeguarding policy</w:t>
            </w:r>
            <w:r w:rsidR="00BA47E8">
              <w:rPr>
                <w:rFonts w:eastAsia="Times New Roman" w:cs="Arial"/>
                <w:color w:val="242424"/>
                <w:sz w:val="20"/>
                <w:szCs w:val="20"/>
                <w:lang w:eastAsia="en-GB"/>
              </w:rPr>
              <w:t>,</w:t>
            </w:r>
            <w:r w:rsidR="00462B12">
              <w:rPr>
                <w:rFonts w:eastAsia="Times New Roman" w:cs="Arial"/>
                <w:color w:val="242424"/>
                <w:sz w:val="20"/>
                <w:szCs w:val="20"/>
                <w:lang w:eastAsia="en-GB"/>
              </w:rPr>
              <w:t xml:space="preserve"> to create safe and supportive spaces for young women to participate in their work</w:t>
            </w:r>
            <w:r w:rsidR="00BA47E8">
              <w:rPr>
                <w:rFonts w:eastAsia="Times New Roman" w:cs="Arial"/>
                <w:color w:val="242424"/>
                <w:sz w:val="20"/>
                <w:szCs w:val="20"/>
                <w:lang w:eastAsia="en-GB"/>
              </w:rPr>
              <w:t>, and to reduce risk</w:t>
            </w:r>
            <w:r w:rsidR="00FE61F2">
              <w:rPr>
                <w:rFonts w:eastAsia="Times New Roman" w:cs="Arial"/>
                <w:color w:val="242424"/>
                <w:sz w:val="20"/>
                <w:szCs w:val="20"/>
                <w:lang w:eastAsia="en-GB"/>
              </w:rPr>
              <w:t xml:space="preserve"> of harm</w:t>
            </w:r>
            <w:r w:rsidR="00BA47E8">
              <w:rPr>
                <w:rFonts w:eastAsia="Times New Roman" w:cs="Arial"/>
                <w:color w:val="242424"/>
                <w:sz w:val="20"/>
                <w:szCs w:val="20"/>
                <w:lang w:eastAsia="en-GB"/>
              </w:rPr>
              <w:t>.</w:t>
            </w:r>
          </w:p>
          <w:p w14:paraId="3303F11F" w14:textId="5FDA5C25" w:rsidR="00AD0B84" w:rsidRDefault="00AD0B84" w:rsidP="00AD0B84">
            <w:pPr>
              <w:jc w:val="left"/>
              <w:rPr>
                <w:rFonts w:eastAsia="Times New Roman" w:cs="Arial"/>
                <w:color w:val="242424"/>
                <w:sz w:val="20"/>
                <w:szCs w:val="20"/>
                <w:lang w:eastAsia="en-GB"/>
              </w:rPr>
            </w:pPr>
            <w:r w:rsidRPr="00565E6E">
              <w:rPr>
                <w:rFonts w:eastAsia="Times New Roman" w:cs="Arial"/>
                <w:color w:val="242424"/>
                <w:sz w:val="20"/>
                <w:szCs w:val="20"/>
                <w:lang w:eastAsia="en-GB"/>
              </w:rPr>
              <w:t xml:space="preserve"> </w:t>
            </w:r>
          </w:p>
          <w:p w14:paraId="03DCB1F5" w14:textId="3906BFDE" w:rsidR="00AD0B84" w:rsidRPr="00565E6E" w:rsidRDefault="00BA47E8" w:rsidP="00AD0B84">
            <w:pPr>
              <w:jc w:val="left"/>
              <w:rPr>
                <w:rFonts w:eastAsia="Calibri" w:cs="Calibri"/>
                <w:color w:val="000000"/>
                <w:sz w:val="20"/>
                <w:szCs w:val="20"/>
                <w:lang w:eastAsia="en-GB"/>
              </w:rPr>
            </w:pPr>
            <w:r>
              <w:rPr>
                <w:rFonts w:eastAsia="Times New Roman" w:cs="Arial"/>
                <w:color w:val="242424"/>
                <w:sz w:val="20"/>
                <w:szCs w:val="20"/>
                <w:lang w:eastAsia="en-GB"/>
              </w:rPr>
              <w:t xml:space="preserve">In addition, </w:t>
            </w:r>
            <w:r w:rsidR="00AD0B84" w:rsidRPr="00565E6E">
              <w:rPr>
                <w:rFonts w:eastAsia="Times New Roman" w:cs="Arial"/>
                <w:color w:val="242424"/>
                <w:sz w:val="20"/>
                <w:szCs w:val="20"/>
                <w:lang w:eastAsia="en-GB"/>
              </w:rPr>
              <w:t>the Tide Turners activities will be mainly done in a group setting where leaders have been trained in child protection policies and procedures</w:t>
            </w:r>
            <w:r w:rsidR="00AD0B84" w:rsidRPr="00565E6E">
              <w:rPr>
                <w:rFonts w:eastAsia="Times New Roman" w:cs="Arial"/>
                <w:sz w:val="20"/>
                <w:szCs w:val="20"/>
                <w:lang w:val="en-US" w:eastAsia="en-GB"/>
              </w:rPr>
              <w:t>.</w:t>
            </w:r>
          </w:p>
        </w:tc>
      </w:tr>
      <w:tr w:rsidR="00AD0B84" w:rsidRPr="00AD05A2" w14:paraId="779D7B7B" w14:textId="77777777" w:rsidTr="00330FA5">
        <w:trPr>
          <w:trHeight w:val="1401"/>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61C7C06" w14:textId="5872ED95" w:rsidR="00AD0B84" w:rsidRPr="00AD05A2" w:rsidRDefault="00AD0B84" w:rsidP="00E52D65">
            <w:pPr>
              <w:jc w:val="left"/>
              <w:rPr>
                <w:rFonts w:ascii="Calibri" w:eastAsia="Calibri" w:hAnsi="Calibri" w:cs="Calibri"/>
                <w:lang w:eastAsia="en-GB"/>
              </w:rPr>
            </w:pPr>
            <w:r w:rsidRPr="00AD05A2">
              <w:rPr>
                <w:rFonts w:ascii="Calibri" w:eastAsia="Calibri" w:hAnsi="Calibri" w:cs="Calibri"/>
                <w:color w:val="000000"/>
                <w:sz w:val="20"/>
                <w:szCs w:val="20"/>
                <w:lang w:eastAsia="en-GB"/>
              </w:rPr>
              <w:t>Partner organi</w:t>
            </w:r>
            <w:r w:rsidR="00E52D65">
              <w:rPr>
                <w:rFonts w:ascii="Calibri" w:eastAsia="Calibri" w:hAnsi="Calibri" w:cs="Calibri"/>
                <w:color w:val="000000"/>
                <w:sz w:val="20"/>
                <w:szCs w:val="20"/>
                <w:lang w:eastAsia="en-GB"/>
              </w:rPr>
              <w:t>s</w:t>
            </w:r>
            <w:r w:rsidRPr="00AD05A2">
              <w:rPr>
                <w:rFonts w:ascii="Calibri" w:eastAsia="Calibri" w:hAnsi="Calibri" w:cs="Calibri"/>
                <w:color w:val="000000"/>
                <w:sz w:val="20"/>
                <w:szCs w:val="20"/>
                <w:lang w:eastAsia="en-GB"/>
              </w:rPr>
              <w:t xml:space="preserve">ation </w:t>
            </w:r>
            <w:r w:rsidR="00F02B3E">
              <w:rPr>
                <w:rFonts w:ascii="Calibri" w:eastAsia="Calibri" w:hAnsi="Calibri" w:cs="Calibri"/>
                <w:color w:val="000000"/>
                <w:sz w:val="20"/>
                <w:szCs w:val="20"/>
                <w:lang w:eastAsia="en-GB"/>
              </w:rPr>
              <w:t>fail to reach youths due to limited capacity or capability</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2DCEAB5A" w14:textId="77777777" w:rsidR="00AD0B84" w:rsidRPr="00AD05A2" w:rsidRDefault="00AD0B84" w:rsidP="00AD0B84">
            <w:pPr>
              <w:jc w:val="left"/>
              <w:rPr>
                <w:rFonts w:ascii="Calibri" w:eastAsia="Calibri" w:hAnsi="Calibri" w:cs="Calibri"/>
                <w:lang w:eastAsia="en-GB"/>
              </w:rPr>
            </w:pPr>
            <w:r w:rsidRPr="00AD05A2">
              <w:rPr>
                <w:rFonts w:ascii="Calibri" w:eastAsia="Calibri" w:hAnsi="Calibri" w:cs="Calibri"/>
                <w:color w:val="000000"/>
                <w:sz w:val="20"/>
                <w:szCs w:val="20"/>
                <w:lang w:eastAsia="en-GB"/>
              </w:rPr>
              <w:t>Programmatic</w:t>
            </w:r>
          </w:p>
        </w:tc>
        <w:tc>
          <w:tcPr>
            <w:tcW w:w="0" w:type="auto"/>
            <w:tcBorders>
              <w:top w:val="nil"/>
              <w:left w:val="nil"/>
              <w:bottom w:val="single" w:sz="8" w:space="0" w:color="000000"/>
              <w:right w:val="single" w:sz="8" w:space="0" w:color="000000"/>
            </w:tcBorders>
            <w:shd w:val="clear" w:color="auto" w:fill="00B050"/>
            <w:tcMar>
              <w:top w:w="100" w:type="dxa"/>
              <w:left w:w="100" w:type="dxa"/>
              <w:bottom w:w="100" w:type="dxa"/>
              <w:right w:w="100" w:type="dxa"/>
            </w:tcMar>
            <w:hideMark/>
          </w:tcPr>
          <w:p w14:paraId="6C9065DF" w14:textId="759A16A0" w:rsidR="00AD0B84" w:rsidRPr="00AD05A2" w:rsidRDefault="00AD0B84" w:rsidP="00AD0B84">
            <w:pPr>
              <w:jc w:val="left"/>
              <w:rPr>
                <w:rFonts w:ascii="Calibri" w:eastAsia="Calibri" w:hAnsi="Calibri" w:cs="Calibri"/>
                <w:lang w:eastAsia="en-GB"/>
              </w:rPr>
            </w:pPr>
            <w:r>
              <w:rPr>
                <w:rFonts w:ascii="Calibri" w:eastAsia="Calibri" w:hAnsi="Calibri" w:cs="Calibri"/>
                <w:color w:val="000000"/>
                <w:sz w:val="20"/>
                <w:szCs w:val="20"/>
                <w:lang w:eastAsia="en-GB"/>
              </w:rPr>
              <w:t>GREEN – LOW</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7AA11578" w14:textId="77777777" w:rsidR="00AD0B84" w:rsidRPr="00AD05A2" w:rsidRDefault="00AD0B84" w:rsidP="00AD0B84">
            <w:pPr>
              <w:jc w:val="left"/>
              <w:rPr>
                <w:rFonts w:ascii="Calibri" w:eastAsia="Calibri" w:hAnsi="Calibri" w:cs="Calibri"/>
                <w:lang w:eastAsia="en-GB"/>
              </w:rPr>
            </w:pPr>
            <w:r w:rsidRPr="00AD05A2">
              <w:rPr>
                <w:rFonts w:ascii="Calibri" w:eastAsia="Calibri" w:hAnsi="Calibri" w:cs="Calibri"/>
                <w:color w:val="000000"/>
                <w:sz w:val="20"/>
                <w:szCs w:val="20"/>
                <w:lang w:eastAsia="en-GB"/>
              </w:rPr>
              <w:t>High</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10C1875F" w14:textId="77777777" w:rsidR="00AD0B84" w:rsidRPr="00AD05A2" w:rsidRDefault="00AD0B84" w:rsidP="00AD0B84">
            <w:pPr>
              <w:jc w:val="left"/>
              <w:rPr>
                <w:rFonts w:ascii="Calibri" w:eastAsia="Calibri" w:hAnsi="Calibri" w:cs="Calibri"/>
                <w:lang w:eastAsia="en-GB"/>
              </w:rPr>
            </w:pPr>
            <w:r w:rsidRPr="00AD05A2">
              <w:rPr>
                <w:rFonts w:ascii="Calibri" w:eastAsia="Calibri" w:hAnsi="Calibri" w:cs="Calibri"/>
                <w:color w:val="000000"/>
                <w:sz w:val="20"/>
                <w:szCs w:val="20"/>
                <w:lang w:eastAsia="en-GB"/>
              </w:rPr>
              <w:t>Funding allocated to partners upon deliverables.</w:t>
            </w:r>
          </w:p>
          <w:p w14:paraId="6B72F4D7" w14:textId="77777777" w:rsidR="00AD0B84" w:rsidRPr="00AD05A2" w:rsidRDefault="00AD0B84" w:rsidP="00AD0B84">
            <w:pPr>
              <w:jc w:val="left"/>
              <w:rPr>
                <w:rFonts w:ascii="Calibri" w:eastAsia="Calibri" w:hAnsi="Calibri" w:cs="Calibri"/>
                <w:lang w:eastAsia="en-GB"/>
              </w:rPr>
            </w:pPr>
            <w:r w:rsidRPr="00AD05A2">
              <w:rPr>
                <w:rFonts w:ascii="Calibri" w:eastAsia="Calibri" w:hAnsi="Calibri" w:cs="Calibri"/>
                <w:color w:val="000000"/>
                <w:sz w:val="20"/>
                <w:szCs w:val="20"/>
                <w:lang w:eastAsia="en-GB"/>
              </w:rPr>
              <w:t> </w:t>
            </w:r>
          </w:p>
          <w:p w14:paraId="3427D830" w14:textId="77777777" w:rsidR="00AD0B84" w:rsidRPr="00AD05A2" w:rsidRDefault="00AD0B84" w:rsidP="00AD0B84">
            <w:pPr>
              <w:jc w:val="left"/>
              <w:rPr>
                <w:rFonts w:ascii="Calibri" w:eastAsia="Calibri" w:hAnsi="Calibri" w:cs="Calibri"/>
                <w:lang w:eastAsia="en-GB"/>
              </w:rPr>
            </w:pPr>
            <w:r w:rsidRPr="00AD05A2">
              <w:rPr>
                <w:rFonts w:ascii="Calibri" w:eastAsia="Calibri" w:hAnsi="Calibri" w:cs="Calibri"/>
                <w:color w:val="000000"/>
                <w:sz w:val="20"/>
                <w:szCs w:val="20"/>
                <w:lang w:eastAsia="en-GB"/>
              </w:rPr>
              <w:t>Partners deliver monthly reports, which will evolve to a quarterly model with stronger KPI and M&amp;E reporting processes put in place.</w:t>
            </w:r>
          </w:p>
        </w:tc>
      </w:tr>
      <w:tr w:rsidR="00AD0B84" w:rsidRPr="00AD05A2" w14:paraId="2CE738CD" w14:textId="77777777" w:rsidTr="00330FA5">
        <w:trPr>
          <w:trHeight w:val="1046"/>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F9719EA" w14:textId="77777777" w:rsidR="00AD0B84" w:rsidRPr="00AD05A2" w:rsidRDefault="00AD0B84" w:rsidP="00E52D65">
            <w:pPr>
              <w:jc w:val="left"/>
              <w:rPr>
                <w:rFonts w:ascii="Calibri" w:eastAsia="Calibri" w:hAnsi="Calibri" w:cs="Calibri"/>
                <w:lang w:eastAsia="en-GB"/>
              </w:rPr>
            </w:pPr>
            <w:r w:rsidRPr="00AD05A2">
              <w:rPr>
                <w:rFonts w:ascii="Calibri" w:eastAsia="Calibri" w:hAnsi="Calibri" w:cs="Calibri"/>
                <w:color w:val="000000"/>
                <w:sz w:val="20"/>
                <w:szCs w:val="20"/>
                <w:lang w:eastAsia="en-GB"/>
              </w:rPr>
              <w:lastRenderedPageBreak/>
              <w:t>Reduced interest of global community towards plastics demotivates action.</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12CA0625" w14:textId="77777777" w:rsidR="00AD0B84" w:rsidRPr="00AD05A2" w:rsidRDefault="00AD0B84" w:rsidP="00AD0B84">
            <w:pPr>
              <w:jc w:val="left"/>
              <w:rPr>
                <w:rFonts w:ascii="Calibri" w:eastAsia="Calibri" w:hAnsi="Calibri" w:cs="Calibri"/>
                <w:lang w:eastAsia="en-GB"/>
              </w:rPr>
            </w:pPr>
            <w:r w:rsidRPr="00AD05A2">
              <w:rPr>
                <w:rFonts w:ascii="Calibri" w:eastAsia="Calibri" w:hAnsi="Calibri" w:cs="Calibri"/>
                <w:color w:val="000000"/>
                <w:sz w:val="20"/>
                <w:szCs w:val="20"/>
                <w:lang w:eastAsia="en-GB"/>
              </w:rPr>
              <w:t>Political</w:t>
            </w:r>
          </w:p>
        </w:tc>
        <w:tc>
          <w:tcPr>
            <w:tcW w:w="0" w:type="auto"/>
            <w:tcBorders>
              <w:top w:val="nil"/>
              <w:left w:val="nil"/>
              <w:bottom w:val="single" w:sz="8" w:space="0" w:color="000000"/>
              <w:right w:val="single" w:sz="8" w:space="0" w:color="000000"/>
            </w:tcBorders>
            <w:shd w:val="clear" w:color="auto" w:fill="00B050"/>
            <w:tcMar>
              <w:top w:w="100" w:type="dxa"/>
              <w:left w:w="100" w:type="dxa"/>
              <w:bottom w:w="100" w:type="dxa"/>
              <w:right w:w="100" w:type="dxa"/>
            </w:tcMar>
            <w:hideMark/>
          </w:tcPr>
          <w:p w14:paraId="6B5A6EB7" w14:textId="4F9FDE61" w:rsidR="00AD0B84" w:rsidRPr="00AD05A2" w:rsidRDefault="00AD0B84" w:rsidP="00AD0B84">
            <w:pPr>
              <w:jc w:val="left"/>
              <w:rPr>
                <w:rFonts w:ascii="Calibri" w:eastAsia="Calibri" w:hAnsi="Calibri" w:cs="Calibri"/>
                <w:lang w:eastAsia="en-GB"/>
              </w:rPr>
            </w:pPr>
            <w:r>
              <w:rPr>
                <w:rFonts w:ascii="Calibri" w:eastAsia="Calibri" w:hAnsi="Calibri" w:cs="Calibri"/>
                <w:color w:val="000000"/>
                <w:sz w:val="20"/>
                <w:szCs w:val="20"/>
                <w:lang w:eastAsia="en-GB"/>
              </w:rPr>
              <w:t>GREEN – LOW</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075641F1" w14:textId="77777777" w:rsidR="00AD0B84" w:rsidRPr="00AD05A2" w:rsidRDefault="00AD0B84" w:rsidP="00AD0B84">
            <w:pPr>
              <w:jc w:val="left"/>
              <w:rPr>
                <w:rFonts w:ascii="Calibri" w:eastAsia="Calibri" w:hAnsi="Calibri" w:cs="Calibri"/>
                <w:lang w:eastAsia="en-GB"/>
              </w:rPr>
            </w:pPr>
            <w:r w:rsidRPr="00AD05A2">
              <w:rPr>
                <w:rFonts w:ascii="Calibri" w:eastAsia="Calibri" w:hAnsi="Calibri" w:cs="Calibri"/>
                <w:color w:val="000000"/>
                <w:sz w:val="20"/>
                <w:szCs w:val="20"/>
                <w:lang w:eastAsia="en-GB"/>
              </w:rPr>
              <w:t>High</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132C7DEA" w14:textId="77777777" w:rsidR="00AD0B84" w:rsidRPr="00AD05A2" w:rsidRDefault="00AD0B84" w:rsidP="00AD0B84">
            <w:pPr>
              <w:jc w:val="left"/>
              <w:rPr>
                <w:rFonts w:ascii="Calibri" w:eastAsia="Calibri" w:hAnsi="Calibri" w:cs="Calibri"/>
                <w:lang w:eastAsia="en-GB"/>
              </w:rPr>
            </w:pPr>
            <w:r w:rsidRPr="00AD05A2">
              <w:rPr>
                <w:rFonts w:ascii="Calibri" w:eastAsia="Calibri" w:hAnsi="Calibri" w:cs="Calibri"/>
                <w:color w:val="000000"/>
                <w:sz w:val="20"/>
                <w:szCs w:val="20"/>
                <w:lang w:eastAsia="en-GB"/>
              </w:rPr>
              <w:t>Plastics is a high priority for UNEP and UNEP raises the topic in global conversations within the INC and member states.</w:t>
            </w:r>
          </w:p>
        </w:tc>
      </w:tr>
      <w:tr w:rsidR="00AD0B84" w:rsidRPr="00AD05A2" w14:paraId="6CB68AF4" w14:textId="77777777" w:rsidTr="00330FA5">
        <w:trPr>
          <w:trHeight w:val="1595"/>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D7ACC31" w14:textId="77777777" w:rsidR="00AD0B84" w:rsidRPr="00AD05A2" w:rsidRDefault="00AD0B84" w:rsidP="00E52D65">
            <w:pPr>
              <w:jc w:val="left"/>
              <w:rPr>
                <w:rFonts w:ascii="Calibri" w:eastAsia="Calibri" w:hAnsi="Calibri" w:cs="Calibri"/>
                <w:lang w:eastAsia="en-GB"/>
              </w:rPr>
            </w:pPr>
            <w:r w:rsidRPr="00AD05A2">
              <w:rPr>
                <w:rFonts w:ascii="Calibri" w:eastAsia="Calibri" w:hAnsi="Calibri" w:cs="Calibri"/>
                <w:color w:val="000000"/>
                <w:sz w:val="20"/>
                <w:szCs w:val="20"/>
                <w:lang w:eastAsia="en-GB"/>
              </w:rPr>
              <w:t>Reduced youth agency on plastics demotivates action.</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2AF844BA" w14:textId="77777777" w:rsidR="00AD0B84" w:rsidRPr="00AD05A2" w:rsidRDefault="00AD0B84" w:rsidP="00AD0B84">
            <w:pPr>
              <w:jc w:val="left"/>
              <w:rPr>
                <w:rFonts w:ascii="Calibri" w:eastAsia="Calibri" w:hAnsi="Calibri" w:cs="Calibri"/>
                <w:lang w:eastAsia="en-GB"/>
              </w:rPr>
            </w:pPr>
            <w:r w:rsidRPr="00AD05A2">
              <w:rPr>
                <w:rFonts w:ascii="Calibri" w:eastAsia="Calibri" w:hAnsi="Calibri" w:cs="Calibri"/>
                <w:color w:val="000000"/>
                <w:sz w:val="20"/>
                <w:szCs w:val="20"/>
                <w:lang w:eastAsia="en-GB"/>
              </w:rPr>
              <w:t>Political</w:t>
            </w:r>
          </w:p>
        </w:tc>
        <w:tc>
          <w:tcPr>
            <w:tcW w:w="0" w:type="auto"/>
            <w:tcBorders>
              <w:top w:val="nil"/>
              <w:left w:val="nil"/>
              <w:bottom w:val="single" w:sz="8" w:space="0" w:color="000000"/>
              <w:right w:val="single" w:sz="8" w:space="0" w:color="000000"/>
            </w:tcBorders>
            <w:shd w:val="clear" w:color="auto" w:fill="00B050"/>
            <w:tcMar>
              <w:top w:w="100" w:type="dxa"/>
              <w:left w:w="100" w:type="dxa"/>
              <w:bottom w:w="100" w:type="dxa"/>
              <w:right w:w="100" w:type="dxa"/>
            </w:tcMar>
            <w:hideMark/>
          </w:tcPr>
          <w:p w14:paraId="11714DA5" w14:textId="034CB0D4" w:rsidR="00AD0B84" w:rsidRPr="00AD05A2" w:rsidRDefault="00AD0B84" w:rsidP="00AD0B84">
            <w:pPr>
              <w:jc w:val="left"/>
              <w:rPr>
                <w:rFonts w:ascii="Calibri" w:eastAsia="Calibri" w:hAnsi="Calibri" w:cs="Calibri"/>
                <w:lang w:eastAsia="en-GB"/>
              </w:rPr>
            </w:pPr>
            <w:r>
              <w:rPr>
                <w:rFonts w:ascii="Calibri" w:eastAsia="Calibri" w:hAnsi="Calibri" w:cs="Calibri"/>
                <w:color w:val="000000"/>
                <w:sz w:val="20"/>
                <w:szCs w:val="20"/>
                <w:lang w:eastAsia="en-GB"/>
              </w:rPr>
              <w:t>GREEN – LOW</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42BC5DA7" w14:textId="77777777" w:rsidR="00AD0B84" w:rsidRPr="00AD05A2" w:rsidRDefault="00AD0B84" w:rsidP="00AD0B84">
            <w:pPr>
              <w:jc w:val="left"/>
              <w:rPr>
                <w:rFonts w:ascii="Calibri" w:eastAsia="Calibri" w:hAnsi="Calibri" w:cs="Calibri"/>
                <w:lang w:eastAsia="en-GB"/>
              </w:rPr>
            </w:pPr>
            <w:r w:rsidRPr="00AD05A2">
              <w:rPr>
                <w:rFonts w:ascii="Calibri" w:eastAsia="Calibri" w:hAnsi="Calibri" w:cs="Calibri"/>
                <w:color w:val="000000"/>
                <w:sz w:val="20"/>
                <w:szCs w:val="20"/>
                <w:lang w:eastAsia="en-GB"/>
              </w:rPr>
              <w:t>High</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4F6197AC" w14:textId="77777777" w:rsidR="00AD0B84" w:rsidRPr="00AD05A2" w:rsidRDefault="00AD0B84" w:rsidP="00AD0B84">
            <w:pPr>
              <w:jc w:val="left"/>
              <w:rPr>
                <w:rFonts w:ascii="Calibri" w:eastAsia="Calibri" w:hAnsi="Calibri" w:cs="Calibri"/>
                <w:lang w:eastAsia="en-GB"/>
              </w:rPr>
            </w:pPr>
            <w:r w:rsidRPr="00AD05A2">
              <w:rPr>
                <w:rFonts w:ascii="Calibri" w:eastAsia="Calibri" w:hAnsi="Calibri" w:cs="Calibri"/>
                <w:color w:val="000000"/>
                <w:sz w:val="20"/>
                <w:szCs w:val="20"/>
                <w:lang w:eastAsia="en-GB"/>
              </w:rPr>
              <w:t>UNEP publishes a Youth Advocacy Mainstreaming manual with best practices on how to support youth movements operating in the environmental sphere. </w:t>
            </w:r>
          </w:p>
          <w:p w14:paraId="6E0490AD" w14:textId="77777777" w:rsidR="00AD0B84" w:rsidRPr="00AD05A2" w:rsidRDefault="00AD0B84" w:rsidP="00AD0B84">
            <w:pPr>
              <w:jc w:val="left"/>
              <w:rPr>
                <w:rFonts w:ascii="Calibri" w:eastAsia="Calibri" w:hAnsi="Calibri" w:cs="Calibri"/>
                <w:sz w:val="20"/>
                <w:szCs w:val="20"/>
                <w:lang w:eastAsia="en-GB"/>
              </w:rPr>
            </w:pPr>
            <w:r w:rsidRPr="00AD05A2">
              <w:rPr>
                <w:rFonts w:ascii="Calibri" w:eastAsia="Calibri" w:hAnsi="Calibri" w:cs="Calibri"/>
                <w:lang w:eastAsia="en-GB"/>
              </w:rPr>
              <w:t> </w:t>
            </w:r>
          </w:p>
          <w:p w14:paraId="402F2BF7" w14:textId="77777777" w:rsidR="00AD0B84" w:rsidRPr="00AD05A2" w:rsidRDefault="00AD0B84" w:rsidP="00AD0B84">
            <w:pPr>
              <w:jc w:val="left"/>
              <w:rPr>
                <w:rFonts w:ascii="Calibri" w:eastAsia="Calibri" w:hAnsi="Calibri" w:cs="Calibri"/>
                <w:lang w:eastAsia="en-GB"/>
              </w:rPr>
            </w:pPr>
            <w:r w:rsidRPr="00AD05A2">
              <w:rPr>
                <w:rFonts w:ascii="Calibri" w:eastAsia="Calibri" w:hAnsi="Calibri" w:cs="Calibri"/>
                <w:color w:val="000000"/>
                <w:sz w:val="20"/>
                <w:szCs w:val="20"/>
                <w:lang w:eastAsia="en-GB"/>
              </w:rPr>
              <w:t>UNEP is also committed to giving youth a meaningful voice and has a wider strategy on this agenda.</w:t>
            </w:r>
          </w:p>
        </w:tc>
      </w:tr>
    </w:tbl>
    <w:p w14:paraId="4F9D2DFB" w14:textId="09188B12" w:rsidR="00AD05A2" w:rsidRDefault="00AD05A2" w:rsidP="0022205A">
      <w:pPr>
        <w:rPr>
          <w:lang w:eastAsia="en-GB"/>
        </w:rPr>
      </w:pPr>
    </w:p>
    <w:p w14:paraId="0D9BF713" w14:textId="77777777" w:rsidR="00AD05A2" w:rsidRDefault="00AD05A2">
      <w:pPr>
        <w:spacing w:after="160" w:line="259" w:lineRule="auto"/>
        <w:jc w:val="left"/>
        <w:rPr>
          <w:lang w:eastAsia="en-GB"/>
        </w:rPr>
      </w:pPr>
      <w:r>
        <w:rPr>
          <w:lang w:eastAsia="en-GB"/>
        </w:rPr>
        <w:br w:type="page"/>
      </w:r>
    </w:p>
    <w:p w14:paraId="37E4DF42" w14:textId="615E2BD4" w:rsidR="00276277" w:rsidRDefault="00FF072D" w:rsidP="00214816">
      <w:pPr>
        <w:pStyle w:val="Heading1"/>
        <w:numPr>
          <w:ilvl w:val="0"/>
          <w:numId w:val="39"/>
        </w:numPr>
      </w:pPr>
      <w:bookmarkStart w:id="24" w:name="_Toc121224103"/>
      <w:r w:rsidRPr="00217F59">
        <w:lastRenderedPageBreak/>
        <w:t>APPRAISAL CASE</w:t>
      </w:r>
      <w:bookmarkEnd w:id="24"/>
    </w:p>
    <w:p w14:paraId="1C1BE1A7" w14:textId="31823513" w:rsidR="004846AA" w:rsidRPr="00F47E59" w:rsidRDefault="004846AA" w:rsidP="00214816">
      <w:pPr>
        <w:pStyle w:val="Heading2"/>
        <w:numPr>
          <w:ilvl w:val="1"/>
          <w:numId w:val="39"/>
        </w:numPr>
      </w:pPr>
      <w:bookmarkStart w:id="25" w:name="_Toc121224104"/>
      <w:r w:rsidRPr="00F47E59">
        <w:t>Appraisal summary</w:t>
      </w:r>
      <w:bookmarkEnd w:id="25"/>
    </w:p>
    <w:p w14:paraId="0F1A7DA4" w14:textId="27757929" w:rsidR="001B32BC" w:rsidRPr="00217F59" w:rsidRDefault="001B32BC" w:rsidP="00613ABF">
      <w:pPr>
        <w:pStyle w:val="BodyText2"/>
        <w:spacing w:after="240" w:line="240" w:lineRule="auto"/>
        <w:jc w:val="both"/>
        <w:rPr>
          <w:rFonts w:cstheme="minorHAnsi"/>
          <w:b w:val="0"/>
        </w:rPr>
      </w:pPr>
      <w:r w:rsidRPr="00217F59">
        <w:rPr>
          <w:rFonts w:cstheme="minorHAnsi"/>
          <w:b w:val="0"/>
        </w:rPr>
        <w:t xml:space="preserve">The objectives for this proposal are to address the failures described in the strategic case to improve policy, behaviours, innovation and inclusivity in waste management and the circular economy. This will ultimately lead to </w:t>
      </w:r>
      <w:r w:rsidR="007B1876">
        <w:rPr>
          <w:rFonts w:cstheme="minorHAnsi"/>
          <w:b w:val="0"/>
        </w:rPr>
        <w:t>improved environmental outcomes</w:t>
      </w:r>
      <w:r w:rsidRPr="00217F59">
        <w:rPr>
          <w:rFonts w:cstheme="minorHAnsi"/>
          <w:b w:val="0"/>
        </w:rPr>
        <w:t xml:space="preserve"> and associated livelihoods</w:t>
      </w:r>
      <w:r w:rsidR="002605A0">
        <w:rPr>
          <w:rFonts w:cstheme="minorHAnsi"/>
          <w:b w:val="0"/>
        </w:rPr>
        <w:t>.</w:t>
      </w:r>
      <w:r w:rsidR="002468DA">
        <w:rPr>
          <w:rFonts w:cstheme="minorHAnsi"/>
          <w:b w:val="0"/>
        </w:rPr>
        <w:t xml:space="preserve"> Due to the limited available evidence, a qualitative approach has been taken to appraising the costs and benefits of this programme. This includes a qualitative assessment of all long list options against the BPF investment criteria. For the short list, a </w:t>
      </w:r>
      <w:r w:rsidR="002468DA" w:rsidRPr="002468DA">
        <w:rPr>
          <w:rFonts w:cstheme="minorHAnsi"/>
          <w:b w:val="0"/>
        </w:rPr>
        <w:t>description of the benefits which are expected</w:t>
      </w:r>
      <w:r w:rsidR="002468DA">
        <w:rPr>
          <w:rFonts w:cstheme="minorHAnsi"/>
          <w:b w:val="0"/>
        </w:rPr>
        <w:t xml:space="preserve"> has been provided</w:t>
      </w:r>
      <w:r w:rsidR="002468DA" w:rsidRPr="002468DA">
        <w:rPr>
          <w:rFonts w:cstheme="minorHAnsi"/>
          <w:b w:val="0"/>
        </w:rPr>
        <w:t>, alongside an illustrative estimation of the impact of participants going on to deliver meaningful change</w:t>
      </w:r>
      <w:r w:rsidR="002468DA">
        <w:rPr>
          <w:rFonts w:cstheme="minorHAnsi"/>
          <w:b w:val="0"/>
        </w:rPr>
        <w:t>.</w:t>
      </w:r>
    </w:p>
    <w:p w14:paraId="02A98E4F" w14:textId="48B19D52" w:rsidR="00B15938" w:rsidRPr="00D32451" w:rsidRDefault="0096703E" w:rsidP="00613ABF">
      <w:pPr>
        <w:pStyle w:val="BodyText2"/>
        <w:spacing w:after="240" w:line="240" w:lineRule="auto"/>
        <w:jc w:val="both"/>
        <w:rPr>
          <w:rFonts w:cstheme="minorHAnsi"/>
        </w:rPr>
        <w:sectPr w:rsidR="00B15938" w:rsidRPr="00D32451" w:rsidSect="00C34F9E">
          <w:type w:val="continuous"/>
          <w:pgSz w:w="11906" w:h="16838"/>
          <w:pgMar w:top="1440" w:right="1440" w:bottom="1440" w:left="1440" w:header="708" w:footer="708" w:gutter="0"/>
          <w:pgNumType w:start="1"/>
          <w:cols w:space="708"/>
          <w:docGrid w:linePitch="360"/>
        </w:sectPr>
      </w:pPr>
      <w:r w:rsidRPr="00D32451">
        <w:rPr>
          <w:rFonts w:cstheme="minorHAnsi"/>
        </w:rPr>
        <w:t>Options</w:t>
      </w:r>
      <w:r w:rsidR="001B32BC" w:rsidRPr="00D32451">
        <w:rPr>
          <w:rFonts w:cstheme="minorHAnsi"/>
        </w:rPr>
        <w:t>:</w:t>
      </w:r>
    </w:p>
    <w:p w14:paraId="386AE7EE" w14:textId="421B7AD3" w:rsidR="005201FB" w:rsidRDefault="00880F33" w:rsidP="00613ABF">
      <w:pPr>
        <w:pStyle w:val="BodyText2"/>
        <w:spacing w:after="0" w:line="240" w:lineRule="auto"/>
        <w:rPr>
          <w:rFonts w:cstheme="minorHAnsi"/>
          <w:bCs w:val="0"/>
          <w:color w:val="385623" w:themeColor="accent6" w:themeShade="80"/>
        </w:rPr>
      </w:pPr>
      <w:r>
        <w:rPr>
          <w:rFonts w:cstheme="minorHAnsi"/>
          <w:bCs w:val="0"/>
          <w:color w:val="385623" w:themeColor="accent6" w:themeShade="80"/>
        </w:rPr>
        <w:t xml:space="preserve">                        </w:t>
      </w:r>
      <w:r w:rsidR="005201FB">
        <w:rPr>
          <w:rFonts w:cstheme="minorHAnsi"/>
          <w:bCs w:val="0"/>
          <w:color w:val="385623" w:themeColor="accent6" w:themeShade="80"/>
        </w:rPr>
        <w:t>Tide Turner</w:t>
      </w:r>
      <w:r w:rsidR="00B0420A">
        <w:rPr>
          <w:rFonts w:cstheme="minorHAnsi"/>
          <w:bCs w:val="0"/>
          <w:color w:val="385623" w:themeColor="accent6" w:themeShade="80"/>
        </w:rPr>
        <w:t xml:space="preserve"> sub-o</w:t>
      </w:r>
      <w:r w:rsidR="005201FB">
        <w:rPr>
          <w:rFonts w:cstheme="minorHAnsi"/>
          <w:bCs w:val="0"/>
          <w:color w:val="385623" w:themeColor="accent6" w:themeShade="80"/>
        </w:rPr>
        <w:t>ptions</w:t>
      </w:r>
    </w:p>
    <w:p w14:paraId="186FBAEB" w14:textId="77777777" w:rsidR="00A6102E" w:rsidRDefault="00A6102E" w:rsidP="00613ABF">
      <w:pPr>
        <w:pStyle w:val="BodyText2"/>
        <w:spacing w:after="0" w:line="240" w:lineRule="auto"/>
        <w:ind w:firstLine="720"/>
        <w:rPr>
          <w:rFonts w:cstheme="minorHAnsi"/>
          <w:b w:val="0"/>
          <w:i/>
          <w:iCs/>
          <w:color w:val="385623" w:themeColor="accent6" w:themeShade="80"/>
        </w:rPr>
      </w:pPr>
      <w:r>
        <w:rPr>
          <w:rFonts w:cstheme="minorHAnsi"/>
          <w:b w:val="0"/>
          <w:i/>
          <w:iCs/>
          <w:color w:val="385623" w:themeColor="accent6" w:themeShade="80"/>
        </w:rPr>
        <w:t>Option 0: Do nothing</w:t>
      </w:r>
    </w:p>
    <w:p w14:paraId="3680D4D4" w14:textId="60077065" w:rsidR="00B15938" w:rsidRPr="00217F59" w:rsidRDefault="00B15938" w:rsidP="00613ABF">
      <w:pPr>
        <w:pStyle w:val="BodyText2"/>
        <w:spacing w:after="0" w:line="240" w:lineRule="auto"/>
        <w:ind w:firstLine="720"/>
        <w:rPr>
          <w:rFonts w:cstheme="minorHAnsi"/>
          <w:b w:val="0"/>
          <w:i/>
          <w:iCs/>
          <w:color w:val="385623" w:themeColor="accent6" w:themeShade="80"/>
        </w:rPr>
      </w:pPr>
      <w:r w:rsidRPr="00217F59">
        <w:rPr>
          <w:rFonts w:cstheme="minorHAnsi"/>
          <w:b w:val="0"/>
          <w:i/>
          <w:iCs/>
          <w:color w:val="385623" w:themeColor="accent6" w:themeShade="80"/>
        </w:rPr>
        <w:t>Option 1: Invest £900k in Tide Turners</w:t>
      </w:r>
    </w:p>
    <w:p w14:paraId="54705ED8" w14:textId="45C69BA7" w:rsidR="00B15938" w:rsidRPr="00217F59" w:rsidRDefault="00B15938" w:rsidP="00613ABF">
      <w:pPr>
        <w:pStyle w:val="BodyText2"/>
        <w:spacing w:after="0" w:line="240" w:lineRule="auto"/>
        <w:ind w:firstLine="720"/>
        <w:rPr>
          <w:rFonts w:cstheme="minorHAnsi"/>
          <w:b w:val="0"/>
          <w:i/>
          <w:iCs/>
          <w:color w:val="385623" w:themeColor="accent6" w:themeShade="80"/>
        </w:rPr>
      </w:pPr>
      <w:r w:rsidRPr="00217F59">
        <w:rPr>
          <w:rFonts w:cstheme="minorHAnsi"/>
          <w:b w:val="0"/>
          <w:i/>
          <w:iCs/>
          <w:color w:val="385623" w:themeColor="accent6" w:themeShade="80"/>
        </w:rPr>
        <w:t>Option 2: Invest £1.6m in Tide Turners</w:t>
      </w:r>
    </w:p>
    <w:p w14:paraId="1F2F174F" w14:textId="7BD269F9" w:rsidR="00B15938" w:rsidRPr="00217F59" w:rsidRDefault="00B15938" w:rsidP="00613ABF">
      <w:pPr>
        <w:pStyle w:val="BodyText2"/>
        <w:spacing w:after="0" w:line="240" w:lineRule="auto"/>
        <w:ind w:firstLine="720"/>
        <w:rPr>
          <w:rFonts w:cstheme="minorHAnsi"/>
          <w:b w:val="0"/>
          <w:i/>
          <w:iCs/>
          <w:color w:val="385623" w:themeColor="accent6" w:themeShade="80"/>
        </w:rPr>
      </w:pPr>
      <w:r w:rsidRPr="00217F59">
        <w:rPr>
          <w:rFonts w:cstheme="minorHAnsi"/>
          <w:b w:val="0"/>
          <w:i/>
          <w:iCs/>
          <w:color w:val="385623" w:themeColor="accent6" w:themeShade="80"/>
        </w:rPr>
        <w:t>Option 3: Invest £2.4m in Tide Turners</w:t>
      </w:r>
    </w:p>
    <w:p w14:paraId="6C9DF5E2" w14:textId="20CABBE9" w:rsidR="00B15938" w:rsidRPr="00217F59" w:rsidRDefault="00B15938" w:rsidP="00613ABF">
      <w:pPr>
        <w:pStyle w:val="BodyText2"/>
        <w:spacing w:after="0" w:line="240" w:lineRule="auto"/>
        <w:ind w:firstLine="720"/>
        <w:rPr>
          <w:rFonts w:cstheme="minorHAnsi"/>
          <w:b w:val="0"/>
          <w:i/>
          <w:iCs/>
          <w:color w:val="385623" w:themeColor="accent6" w:themeShade="80"/>
        </w:rPr>
      </w:pPr>
      <w:r w:rsidRPr="00217F59">
        <w:rPr>
          <w:rFonts w:cstheme="minorHAnsi"/>
          <w:b w:val="0"/>
          <w:i/>
          <w:iCs/>
          <w:color w:val="385623" w:themeColor="accent6" w:themeShade="80"/>
        </w:rPr>
        <w:t>Option 4: Invest £3m in Tide Turners</w:t>
      </w:r>
    </w:p>
    <w:p w14:paraId="6CE932CA" w14:textId="65E77194" w:rsidR="00B15938" w:rsidRPr="00217F59" w:rsidRDefault="00880F33" w:rsidP="00613ABF">
      <w:pPr>
        <w:pStyle w:val="BodyText2"/>
        <w:spacing w:after="0" w:line="240" w:lineRule="auto"/>
        <w:rPr>
          <w:rFonts w:cstheme="minorHAnsi"/>
          <w:bCs w:val="0"/>
          <w:color w:val="385623" w:themeColor="accent6" w:themeShade="80"/>
        </w:rPr>
      </w:pPr>
      <w:r>
        <w:rPr>
          <w:rFonts w:cstheme="minorHAnsi"/>
          <w:b w:val="0"/>
          <w:i/>
          <w:iCs/>
          <w:color w:val="385623" w:themeColor="accent6" w:themeShade="80"/>
        </w:rPr>
        <w:t xml:space="preserve">         </w:t>
      </w:r>
      <w:r w:rsidR="00B0420A">
        <w:rPr>
          <w:rFonts w:cstheme="minorHAnsi"/>
          <w:b w:val="0"/>
          <w:i/>
          <w:iCs/>
          <w:color w:val="385623" w:themeColor="accent6" w:themeShade="80"/>
        </w:rPr>
        <w:t xml:space="preserve">     </w:t>
      </w:r>
      <w:r w:rsidR="005201FB">
        <w:rPr>
          <w:rFonts w:cstheme="minorHAnsi"/>
          <w:bCs w:val="0"/>
          <w:color w:val="385623" w:themeColor="accent6" w:themeShade="80"/>
        </w:rPr>
        <w:t xml:space="preserve">INC </w:t>
      </w:r>
      <w:r w:rsidR="00B0420A">
        <w:rPr>
          <w:rFonts w:cstheme="minorHAnsi"/>
          <w:bCs w:val="0"/>
          <w:color w:val="385623" w:themeColor="accent6" w:themeShade="80"/>
        </w:rPr>
        <w:t>sub-o</w:t>
      </w:r>
      <w:r w:rsidR="005201FB">
        <w:rPr>
          <w:rFonts w:cstheme="minorHAnsi"/>
          <w:bCs w:val="0"/>
          <w:color w:val="385623" w:themeColor="accent6" w:themeShade="80"/>
        </w:rPr>
        <w:t>ptions</w:t>
      </w:r>
    </w:p>
    <w:p w14:paraId="38D003D0" w14:textId="6D90F3E3" w:rsidR="00B15938" w:rsidRPr="00217F59" w:rsidRDefault="00B15938" w:rsidP="00613ABF">
      <w:pPr>
        <w:pStyle w:val="BodyText2"/>
        <w:spacing w:after="0" w:line="240" w:lineRule="auto"/>
        <w:rPr>
          <w:rFonts w:cstheme="minorHAnsi"/>
          <w:b w:val="0"/>
          <w:i/>
          <w:iCs/>
          <w:color w:val="385623" w:themeColor="accent6" w:themeShade="80"/>
        </w:rPr>
      </w:pPr>
      <w:r w:rsidRPr="00217F59">
        <w:rPr>
          <w:rFonts w:cstheme="minorHAnsi"/>
          <w:b w:val="0"/>
          <w:i/>
          <w:iCs/>
          <w:color w:val="385623" w:themeColor="accent6" w:themeShade="80"/>
        </w:rPr>
        <w:t>Option A: Don’t invest in INC support</w:t>
      </w:r>
    </w:p>
    <w:p w14:paraId="71CDD3D1" w14:textId="5379C43C" w:rsidR="00B15938" w:rsidRPr="00217F59" w:rsidRDefault="00B15938" w:rsidP="00613ABF">
      <w:pPr>
        <w:pStyle w:val="BodyText2"/>
        <w:spacing w:after="0" w:line="240" w:lineRule="auto"/>
        <w:rPr>
          <w:rFonts w:cstheme="minorHAnsi"/>
          <w:b w:val="0"/>
          <w:i/>
          <w:iCs/>
          <w:color w:val="385623" w:themeColor="accent6" w:themeShade="80"/>
        </w:rPr>
      </w:pPr>
      <w:r w:rsidRPr="00217F59">
        <w:rPr>
          <w:rFonts w:cstheme="minorHAnsi"/>
          <w:b w:val="0"/>
          <w:i/>
          <w:iCs/>
          <w:color w:val="385623" w:themeColor="accent6" w:themeShade="80"/>
        </w:rPr>
        <w:t>Option B: Invest in INC support</w:t>
      </w:r>
    </w:p>
    <w:p w14:paraId="3D4485AE" w14:textId="08C938F5" w:rsidR="00B15938" w:rsidRDefault="00B15938" w:rsidP="00613ABF">
      <w:pPr>
        <w:pStyle w:val="BodyText2"/>
        <w:spacing w:after="240" w:line="240" w:lineRule="auto"/>
        <w:jc w:val="center"/>
        <w:rPr>
          <w:rFonts w:cstheme="minorHAnsi"/>
          <w:b w:val="0"/>
          <w:i/>
          <w:iCs/>
          <w:color w:val="538135" w:themeColor="accent6" w:themeShade="BF"/>
        </w:rPr>
      </w:pPr>
    </w:p>
    <w:p w14:paraId="2A9AD331" w14:textId="77777777" w:rsidR="00B15938" w:rsidRDefault="00B15938" w:rsidP="00613ABF">
      <w:pPr>
        <w:pStyle w:val="BodyText2"/>
        <w:spacing w:after="240" w:line="240" w:lineRule="auto"/>
        <w:jc w:val="center"/>
        <w:rPr>
          <w:rFonts w:cstheme="minorHAnsi"/>
          <w:b w:val="0"/>
          <w:i/>
          <w:iCs/>
          <w:color w:val="538135" w:themeColor="accent6" w:themeShade="BF"/>
        </w:rPr>
      </w:pPr>
    </w:p>
    <w:p w14:paraId="4E0B948C" w14:textId="77777777" w:rsidR="00B15938" w:rsidRDefault="00B15938" w:rsidP="00613ABF">
      <w:pPr>
        <w:pStyle w:val="BodyText2"/>
        <w:spacing w:after="240" w:line="240" w:lineRule="auto"/>
        <w:jc w:val="both"/>
        <w:rPr>
          <w:rFonts w:cstheme="minorHAnsi"/>
          <w:b w:val="0"/>
          <w:i/>
          <w:iCs/>
          <w:color w:val="538135" w:themeColor="accent6" w:themeShade="BF"/>
        </w:rPr>
        <w:sectPr w:rsidR="00B15938" w:rsidSect="00217F59">
          <w:type w:val="continuous"/>
          <w:pgSz w:w="11906" w:h="16838"/>
          <w:pgMar w:top="1440" w:right="1440" w:bottom="1440" w:left="1440" w:header="708" w:footer="708" w:gutter="0"/>
          <w:cols w:num="2" w:space="708"/>
          <w:docGrid w:linePitch="360"/>
        </w:sectPr>
      </w:pPr>
    </w:p>
    <w:p w14:paraId="2EA30A77" w14:textId="76340E0D" w:rsidR="001B32BC" w:rsidRPr="00217F59" w:rsidRDefault="001B32BC" w:rsidP="00613ABF">
      <w:pPr>
        <w:spacing w:after="240"/>
        <w:rPr>
          <w:rFonts w:cstheme="minorHAnsi"/>
          <w:lang w:eastAsia="en-GB"/>
        </w:rPr>
      </w:pPr>
      <w:r w:rsidRPr="00217F59">
        <w:rPr>
          <w:rFonts w:cstheme="minorHAnsi"/>
          <w:lang w:eastAsia="en-GB"/>
        </w:rPr>
        <w:t xml:space="preserve">The preferred option is </w:t>
      </w:r>
      <w:r w:rsidRPr="00D32451">
        <w:rPr>
          <w:rFonts w:cstheme="minorHAnsi"/>
          <w:b/>
          <w:lang w:eastAsia="en-GB"/>
        </w:rPr>
        <w:t xml:space="preserve">Option </w:t>
      </w:r>
      <w:r w:rsidR="00337D79" w:rsidRPr="00D32451">
        <w:rPr>
          <w:rFonts w:cstheme="minorHAnsi"/>
          <w:b/>
          <w:lang w:eastAsia="en-GB"/>
        </w:rPr>
        <w:t>2B</w:t>
      </w:r>
      <w:r w:rsidRPr="00217F59">
        <w:rPr>
          <w:rFonts w:cstheme="minorHAnsi"/>
          <w:lang w:eastAsia="en-GB"/>
        </w:rPr>
        <w:t xml:space="preserve"> – the proposed split of the investment by year and programme is summarised in </w:t>
      </w:r>
      <w:r w:rsidR="00E44D50" w:rsidRPr="00E44D50">
        <w:rPr>
          <w:rFonts w:cstheme="minorHAnsi"/>
          <w:b/>
          <w:bCs/>
          <w:lang w:eastAsia="en-GB"/>
        </w:rPr>
        <w:t>Table 2</w:t>
      </w:r>
      <w:r w:rsidR="00E44D50" w:rsidRPr="00E44D50">
        <w:rPr>
          <w:rFonts w:cstheme="minorHAnsi"/>
          <w:b/>
          <w:lang w:eastAsia="en-GB"/>
        </w:rPr>
        <w:t>.</w:t>
      </w:r>
    </w:p>
    <w:p w14:paraId="726F156B" w14:textId="64A1AB82" w:rsidR="001B32BC" w:rsidRPr="00DE4372" w:rsidRDefault="00E44D50" w:rsidP="00613ABF">
      <w:pPr>
        <w:pStyle w:val="Caption"/>
        <w:spacing w:after="240" w:line="240" w:lineRule="auto"/>
        <w:rPr>
          <w:rFonts w:asciiTheme="minorHAnsi" w:hAnsiTheme="minorHAnsi" w:cstheme="minorHAnsi"/>
          <w:b/>
          <w:szCs w:val="22"/>
          <w:u w:val="single"/>
          <w:lang w:eastAsia="en-GB"/>
        </w:rPr>
      </w:pPr>
      <w:r w:rsidRPr="00DE4372">
        <w:rPr>
          <w:rFonts w:asciiTheme="minorHAnsi" w:hAnsiTheme="minorHAnsi" w:cstheme="minorHAnsi"/>
          <w:b/>
          <w:szCs w:val="22"/>
          <w:u w:val="single"/>
          <w:lang w:eastAsia="en-GB"/>
        </w:rPr>
        <w:t xml:space="preserve">Table </w:t>
      </w:r>
      <w:r w:rsidRPr="00DE4372">
        <w:rPr>
          <w:rFonts w:asciiTheme="minorHAnsi" w:hAnsiTheme="minorHAnsi" w:cstheme="minorHAnsi"/>
          <w:b/>
          <w:bCs w:val="0"/>
          <w:szCs w:val="22"/>
          <w:u w:val="single"/>
          <w:lang w:eastAsia="en-GB"/>
        </w:rPr>
        <w:t>2</w:t>
      </w:r>
      <w:r w:rsidR="001B32BC" w:rsidRPr="00DE4372">
        <w:rPr>
          <w:rFonts w:asciiTheme="minorHAnsi" w:hAnsiTheme="minorHAnsi" w:cstheme="minorHAnsi"/>
          <w:b/>
          <w:szCs w:val="22"/>
          <w:u w:val="single"/>
          <w:lang w:eastAsia="en-GB"/>
        </w:rPr>
        <w:t xml:space="preserve"> – proposed split of the Defra investment by year and programme (preferred option)</w:t>
      </w:r>
    </w:p>
    <w:tbl>
      <w:tblPr>
        <w:tblStyle w:val="TableGrid"/>
        <w:tblW w:w="5000" w:type="pct"/>
        <w:tblLook w:val="04A0" w:firstRow="1" w:lastRow="0" w:firstColumn="1" w:lastColumn="0" w:noHBand="0" w:noVBand="1"/>
      </w:tblPr>
      <w:tblGrid>
        <w:gridCol w:w="1793"/>
        <w:gridCol w:w="1740"/>
        <w:gridCol w:w="1742"/>
        <w:gridCol w:w="1742"/>
        <w:gridCol w:w="1989"/>
      </w:tblGrid>
      <w:tr w:rsidR="001B32BC" w:rsidRPr="007D41F7" w14:paraId="0FA6DC43" w14:textId="77777777" w:rsidTr="00565E6E">
        <w:trPr>
          <w:trHeight w:val="305"/>
        </w:trPr>
        <w:tc>
          <w:tcPr>
            <w:tcW w:w="996" w:type="pct"/>
          </w:tcPr>
          <w:p w14:paraId="2A95AC9F" w14:textId="77777777" w:rsidR="001B32BC" w:rsidRPr="007D41F7" w:rsidRDefault="001B32BC" w:rsidP="00613ABF">
            <w:pPr>
              <w:jc w:val="left"/>
              <w:rPr>
                <w:rFonts w:cstheme="minorHAnsi"/>
              </w:rPr>
            </w:pPr>
          </w:p>
        </w:tc>
        <w:tc>
          <w:tcPr>
            <w:tcW w:w="966" w:type="pct"/>
          </w:tcPr>
          <w:p w14:paraId="4B0C2840" w14:textId="77777777" w:rsidR="001B32BC" w:rsidRPr="005A2D4B" w:rsidRDefault="001B32BC" w:rsidP="00613ABF">
            <w:pPr>
              <w:jc w:val="left"/>
              <w:rPr>
                <w:rFonts w:cstheme="minorHAnsi"/>
                <w:b/>
                <w:bCs/>
              </w:rPr>
            </w:pPr>
            <w:r w:rsidRPr="005A2D4B">
              <w:rPr>
                <w:rFonts w:cstheme="minorHAnsi"/>
                <w:b/>
                <w:bCs/>
              </w:rPr>
              <w:t>22/23</w:t>
            </w:r>
          </w:p>
        </w:tc>
        <w:tc>
          <w:tcPr>
            <w:tcW w:w="967" w:type="pct"/>
          </w:tcPr>
          <w:p w14:paraId="2C710CF2" w14:textId="77777777" w:rsidR="001B32BC" w:rsidRPr="005A2D4B" w:rsidRDefault="001B32BC" w:rsidP="00613ABF">
            <w:pPr>
              <w:jc w:val="left"/>
              <w:rPr>
                <w:rFonts w:cstheme="minorHAnsi"/>
                <w:b/>
                <w:bCs/>
              </w:rPr>
            </w:pPr>
            <w:r w:rsidRPr="005A2D4B">
              <w:rPr>
                <w:rFonts w:cstheme="minorHAnsi"/>
                <w:b/>
                <w:bCs/>
              </w:rPr>
              <w:t>23/24</w:t>
            </w:r>
          </w:p>
        </w:tc>
        <w:tc>
          <w:tcPr>
            <w:tcW w:w="967" w:type="pct"/>
          </w:tcPr>
          <w:p w14:paraId="080A76C2" w14:textId="77777777" w:rsidR="001B32BC" w:rsidRPr="005A2D4B" w:rsidRDefault="001B32BC" w:rsidP="00613ABF">
            <w:pPr>
              <w:jc w:val="left"/>
              <w:rPr>
                <w:rFonts w:cstheme="minorHAnsi"/>
                <w:b/>
                <w:bCs/>
              </w:rPr>
            </w:pPr>
            <w:r w:rsidRPr="005A2D4B">
              <w:rPr>
                <w:rFonts w:cstheme="minorHAnsi"/>
                <w:b/>
                <w:bCs/>
              </w:rPr>
              <w:t>24/25</w:t>
            </w:r>
          </w:p>
        </w:tc>
        <w:tc>
          <w:tcPr>
            <w:tcW w:w="1104" w:type="pct"/>
          </w:tcPr>
          <w:p w14:paraId="42F016C8" w14:textId="77777777" w:rsidR="001B32BC" w:rsidRPr="005A2D4B" w:rsidRDefault="001B32BC" w:rsidP="00613ABF">
            <w:pPr>
              <w:jc w:val="left"/>
              <w:rPr>
                <w:rFonts w:cstheme="minorHAnsi"/>
                <w:b/>
                <w:bCs/>
              </w:rPr>
            </w:pPr>
            <w:r w:rsidRPr="005A2D4B">
              <w:rPr>
                <w:rFonts w:cstheme="minorHAnsi"/>
                <w:b/>
                <w:bCs/>
              </w:rPr>
              <w:t>Total</w:t>
            </w:r>
          </w:p>
        </w:tc>
      </w:tr>
      <w:tr w:rsidR="001B32BC" w:rsidRPr="007D41F7" w14:paraId="3F5FD5F4" w14:textId="77777777" w:rsidTr="00565E6E">
        <w:trPr>
          <w:trHeight w:val="305"/>
        </w:trPr>
        <w:tc>
          <w:tcPr>
            <w:tcW w:w="996" w:type="pct"/>
          </w:tcPr>
          <w:p w14:paraId="0F5CB582" w14:textId="77777777" w:rsidR="001B32BC" w:rsidRPr="005A2D4B" w:rsidRDefault="001B32BC" w:rsidP="00613ABF">
            <w:pPr>
              <w:jc w:val="left"/>
              <w:rPr>
                <w:rFonts w:cstheme="minorHAnsi"/>
                <w:b/>
                <w:bCs/>
              </w:rPr>
            </w:pPr>
            <w:r w:rsidRPr="005A2D4B">
              <w:rPr>
                <w:rFonts w:cstheme="minorHAnsi"/>
                <w:b/>
                <w:bCs/>
              </w:rPr>
              <w:t>Tide Turners</w:t>
            </w:r>
          </w:p>
        </w:tc>
        <w:tc>
          <w:tcPr>
            <w:tcW w:w="966" w:type="pct"/>
          </w:tcPr>
          <w:p w14:paraId="72ABF46C" w14:textId="03B41DED" w:rsidR="001B32BC" w:rsidRPr="007D41F7" w:rsidRDefault="005814EE" w:rsidP="00613ABF">
            <w:pPr>
              <w:jc w:val="left"/>
              <w:rPr>
                <w:rFonts w:cstheme="minorHAnsi"/>
              </w:rPr>
            </w:pPr>
            <w:r w:rsidRPr="007D41F7">
              <w:rPr>
                <w:rFonts w:cstheme="minorHAnsi"/>
              </w:rPr>
              <w:t>£300k</w:t>
            </w:r>
          </w:p>
        </w:tc>
        <w:tc>
          <w:tcPr>
            <w:tcW w:w="967" w:type="pct"/>
          </w:tcPr>
          <w:p w14:paraId="49CCB5EA" w14:textId="3941487A" w:rsidR="001B32BC" w:rsidRPr="007D41F7" w:rsidRDefault="005814EE" w:rsidP="00613ABF">
            <w:pPr>
              <w:jc w:val="left"/>
              <w:rPr>
                <w:rFonts w:cstheme="minorHAnsi"/>
              </w:rPr>
            </w:pPr>
            <w:r w:rsidRPr="007D41F7">
              <w:rPr>
                <w:rFonts w:cstheme="minorHAnsi"/>
              </w:rPr>
              <w:t>£800k</w:t>
            </w:r>
          </w:p>
        </w:tc>
        <w:tc>
          <w:tcPr>
            <w:tcW w:w="967" w:type="pct"/>
          </w:tcPr>
          <w:p w14:paraId="4D6BB463" w14:textId="42B8E28E" w:rsidR="001B32BC" w:rsidRPr="007D41F7" w:rsidRDefault="005814EE" w:rsidP="00613ABF">
            <w:pPr>
              <w:jc w:val="left"/>
              <w:rPr>
                <w:rFonts w:cstheme="minorHAnsi"/>
              </w:rPr>
            </w:pPr>
            <w:r w:rsidRPr="007D41F7">
              <w:rPr>
                <w:rFonts w:cstheme="minorHAnsi"/>
              </w:rPr>
              <w:t>£500k</w:t>
            </w:r>
          </w:p>
        </w:tc>
        <w:tc>
          <w:tcPr>
            <w:tcW w:w="1104" w:type="pct"/>
          </w:tcPr>
          <w:p w14:paraId="2C7FD6CA" w14:textId="09FBF8C9" w:rsidR="001B32BC" w:rsidRPr="007D41F7" w:rsidRDefault="001B32BC" w:rsidP="00613ABF">
            <w:pPr>
              <w:jc w:val="left"/>
              <w:rPr>
                <w:rFonts w:cstheme="minorHAnsi"/>
              </w:rPr>
            </w:pPr>
            <w:r w:rsidRPr="007D41F7">
              <w:rPr>
                <w:rFonts w:cstheme="minorHAnsi"/>
              </w:rPr>
              <w:t>£1.</w:t>
            </w:r>
            <w:r w:rsidR="005814EE" w:rsidRPr="007D41F7">
              <w:rPr>
                <w:rFonts w:cstheme="minorHAnsi"/>
              </w:rPr>
              <w:t>6</w:t>
            </w:r>
            <w:r w:rsidRPr="007D41F7">
              <w:rPr>
                <w:rFonts w:cstheme="minorHAnsi"/>
              </w:rPr>
              <w:t>m</w:t>
            </w:r>
          </w:p>
        </w:tc>
      </w:tr>
      <w:tr w:rsidR="001B32BC" w:rsidRPr="007D41F7" w14:paraId="6EA1648A" w14:textId="77777777" w:rsidTr="00565E6E">
        <w:trPr>
          <w:trHeight w:val="305"/>
        </w:trPr>
        <w:tc>
          <w:tcPr>
            <w:tcW w:w="996" w:type="pct"/>
          </w:tcPr>
          <w:p w14:paraId="5A9FD1EC" w14:textId="798D835E" w:rsidR="001B32BC" w:rsidRPr="005A2D4B" w:rsidRDefault="00825467" w:rsidP="00613ABF">
            <w:pPr>
              <w:jc w:val="left"/>
              <w:rPr>
                <w:rFonts w:cstheme="minorHAnsi"/>
                <w:b/>
                <w:bCs/>
              </w:rPr>
            </w:pPr>
            <w:r w:rsidRPr="005A2D4B">
              <w:rPr>
                <w:rFonts w:cstheme="minorHAnsi"/>
                <w:b/>
                <w:bCs/>
              </w:rPr>
              <w:t>INC support</w:t>
            </w:r>
          </w:p>
        </w:tc>
        <w:tc>
          <w:tcPr>
            <w:tcW w:w="966" w:type="pct"/>
          </w:tcPr>
          <w:p w14:paraId="4045343C" w14:textId="64423A27" w:rsidR="001B32BC" w:rsidRPr="007D41F7" w:rsidRDefault="00EE7D50" w:rsidP="00613ABF">
            <w:pPr>
              <w:jc w:val="left"/>
              <w:rPr>
                <w:rFonts w:cstheme="minorHAnsi"/>
              </w:rPr>
            </w:pPr>
            <w:r>
              <w:rPr>
                <w:rFonts w:cstheme="minorHAnsi"/>
              </w:rPr>
              <w:t>£400k</w:t>
            </w:r>
          </w:p>
        </w:tc>
        <w:tc>
          <w:tcPr>
            <w:tcW w:w="967" w:type="pct"/>
          </w:tcPr>
          <w:p w14:paraId="39F1B20C" w14:textId="3A5848D6" w:rsidR="001B32BC" w:rsidRPr="007D41F7" w:rsidRDefault="00EE7D50" w:rsidP="00613ABF">
            <w:pPr>
              <w:jc w:val="left"/>
              <w:rPr>
                <w:rFonts w:cstheme="minorHAnsi"/>
              </w:rPr>
            </w:pPr>
            <w:r>
              <w:rPr>
                <w:rFonts w:cstheme="minorHAnsi"/>
              </w:rPr>
              <w:t>£800k</w:t>
            </w:r>
          </w:p>
        </w:tc>
        <w:tc>
          <w:tcPr>
            <w:tcW w:w="967" w:type="pct"/>
          </w:tcPr>
          <w:p w14:paraId="08483E72" w14:textId="6586D239" w:rsidR="001B32BC" w:rsidRPr="007D41F7" w:rsidRDefault="00EE7D50" w:rsidP="00613ABF">
            <w:pPr>
              <w:jc w:val="left"/>
              <w:rPr>
                <w:rFonts w:cstheme="minorHAnsi"/>
              </w:rPr>
            </w:pPr>
            <w:r>
              <w:rPr>
                <w:rFonts w:cstheme="minorHAnsi"/>
              </w:rPr>
              <w:t>£800k</w:t>
            </w:r>
          </w:p>
        </w:tc>
        <w:tc>
          <w:tcPr>
            <w:tcW w:w="1104" w:type="pct"/>
          </w:tcPr>
          <w:p w14:paraId="77AE23D4" w14:textId="052D1987" w:rsidR="001B32BC" w:rsidRPr="007D41F7" w:rsidRDefault="001B32BC" w:rsidP="00613ABF">
            <w:pPr>
              <w:jc w:val="left"/>
            </w:pPr>
            <w:r w:rsidRPr="007D41F7">
              <w:t>£2m</w:t>
            </w:r>
          </w:p>
        </w:tc>
      </w:tr>
      <w:tr w:rsidR="00AB091A" w:rsidRPr="007D41F7" w14:paraId="72A6355B" w14:textId="77777777" w:rsidTr="00565E6E">
        <w:trPr>
          <w:trHeight w:val="305"/>
        </w:trPr>
        <w:tc>
          <w:tcPr>
            <w:tcW w:w="996" w:type="pct"/>
          </w:tcPr>
          <w:p w14:paraId="409AEAF5" w14:textId="77777777" w:rsidR="001B32BC" w:rsidRPr="005A2D4B" w:rsidRDefault="001B32BC" w:rsidP="00613ABF">
            <w:pPr>
              <w:jc w:val="left"/>
              <w:rPr>
                <w:rFonts w:cstheme="minorHAnsi"/>
                <w:b/>
                <w:bCs/>
              </w:rPr>
            </w:pPr>
            <w:r w:rsidRPr="005A2D4B">
              <w:rPr>
                <w:rFonts w:cstheme="minorHAnsi"/>
                <w:b/>
                <w:bCs/>
              </w:rPr>
              <w:t>Total</w:t>
            </w:r>
          </w:p>
        </w:tc>
        <w:tc>
          <w:tcPr>
            <w:tcW w:w="966" w:type="pct"/>
          </w:tcPr>
          <w:p w14:paraId="12349757" w14:textId="1571C064" w:rsidR="001B32BC" w:rsidRPr="007D41F7" w:rsidRDefault="00EE7D50" w:rsidP="00613ABF">
            <w:pPr>
              <w:jc w:val="left"/>
              <w:rPr>
                <w:rFonts w:cstheme="minorHAnsi"/>
              </w:rPr>
            </w:pPr>
            <w:r>
              <w:rPr>
                <w:rFonts w:cstheme="minorHAnsi"/>
              </w:rPr>
              <w:t>£700k</w:t>
            </w:r>
          </w:p>
        </w:tc>
        <w:tc>
          <w:tcPr>
            <w:tcW w:w="967" w:type="pct"/>
          </w:tcPr>
          <w:p w14:paraId="069EB263" w14:textId="3642A101" w:rsidR="001B32BC" w:rsidRPr="007D41F7" w:rsidRDefault="00EE7D50" w:rsidP="00613ABF">
            <w:pPr>
              <w:jc w:val="left"/>
              <w:rPr>
                <w:rFonts w:cstheme="minorHAnsi"/>
              </w:rPr>
            </w:pPr>
            <w:r>
              <w:rPr>
                <w:rFonts w:cstheme="minorHAnsi"/>
              </w:rPr>
              <w:t>£1.6m</w:t>
            </w:r>
          </w:p>
        </w:tc>
        <w:tc>
          <w:tcPr>
            <w:tcW w:w="967" w:type="pct"/>
          </w:tcPr>
          <w:p w14:paraId="112E21E9" w14:textId="2D041643" w:rsidR="001B32BC" w:rsidRPr="007D41F7" w:rsidRDefault="00EE7D50" w:rsidP="00613ABF">
            <w:pPr>
              <w:jc w:val="left"/>
              <w:rPr>
                <w:rFonts w:cstheme="minorHAnsi"/>
              </w:rPr>
            </w:pPr>
            <w:r>
              <w:rPr>
                <w:rFonts w:cstheme="minorHAnsi"/>
              </w:rPr>
              <w:t>£1.</w:t>
            </w:r>
            <w:r w:rsidR="00D30141">
              <w:rPr>
                <w:rFonts w:cstheme="minorHAnsi"/>
              </w:rPr>
              <w:t>3</w:t>
            </w:r>
            <w:r>
              <w:rPr>
                <w:rFonts w:cstheme="minorHAnsi"/>
              </w:rPr>
              <w:t>m</w:t>
            </w:r>
          </w:p>
        </w:tc>
        <w:tc>
          <w:tcPr>
            <w:tcW w:w="1104" w:type="pct"/>
          </w:tcPr>
          <w:p w14:paraId="3907932F" w14:textId="1DAF3A36" w:rsidR="001B32BC" w:rsidRPr="007D41F7" w:rsidRDefault="001B32BC" w:rsidP="00613ABF">
            <w:pPr>
              <w:jc w:val="left"/>
              <w:rPr>
                <w:rFonts w:cstheme="minorHAnsi"/>
              </w:rPr>
            </w:pPr>
            <w:r w:rsidRPr="007D41F7">
              <w:rPr>
                <w:rFonts w:cstheme="minorHAnsi"/>
              </w:rPr>
              <w:t>£</w:t>
            </w:r>
            <w:r w:rsidR="003B31DE" w:rsidRPr="007D41F7">
              <w:rPr>
                <w:rFonts w:cstheme="minorHAnsi"/>
              </w:rPr>
              <w:t>3.6</w:t>
            </w:r>
            <w:r w:rsidRPr="007D41F7">
              <w:rPr>
                <w:rFonts w:cstheme="minorHAnsi"/>
              </w:rPr>
              <w:t>m</w:t>
            </w:r>
          </w:p>
        </w:tc>
      </w:tr>
    </w:tbl>
    <w:p w14:paraId="27E21A16" w14:textId="47FC3984" w:rsidR="001B32BC" w:rsidRPr="008A6564" w:rsidRDefault="001B32BC" w:rsidP="00393805">
      <w:pPr>
        <w:pStyle w:val="Heading2"/>
        <w:numPr>
          <w:ilvl w:val="1"/>
          <w:numId w:val="39"/>
        </w:numPr>
        <w:spacing w:before="240"/>
      </w:pPr>
      <w:bookmarkStart w:id="26" w:name="_Toc121224105"/>
      <w:bookmarkStart w:id="27" w:name="_Hlk109216344"/>
      <w:r w:rsidRPr="008A6564">
        <w:t>Assessment of Tide Turners to date</w:t>
      </w:r>
      <w:bookmarkEnd w:id="26"/>
    </w:p>
    <w:bookmarkEnd w:id="27"/>
    <w:p w14:paraId="2A61DD74" w14:textId="169EAD62" w:rsidR="00AC57A3" w:rsidRPr="00217F59" w:rsidRDefault="00AC57A3" w:rsidP="00613ABF">
      <w:pPr>
        <w:pStyle w:val="paragraph"/>
        <w:spacing w:before="0" w:beforeAutospacing="0" w:after="240" w:afterAutospacing="0"/>
        <w:jc w:val="both"/>
        <w:textAlignment w:val="baseline"/>
        <w:rPr>
          <w:rFonts w:asciiTheme="minorHAnsi" w:hAnsiTheme="minorHAnsi" w:cstheme="minorHAnsi"/>
          <w:sz w:val="22"/>
          <w:szCs w:val="22"/>
        </w:rPr>
      </w:pPr>
      <w:r w:rsidRPr="00217F59">
        <w:rPr>
          <w:rStyle w:val="normaltextrun"/>
          <w:rFonts w:asciiTheme="minorHAnsi" w:eastAsiaTheme="majorEastAsia" w:hAnsiTheme="minorHAnsi" w:cstheme="minorHAnsi"/>
          <w:sz w:val="22"/>
          <w:szCs w:val="22"/>
        </w:rPr>
        <w:t xml:space="preserve">The UK has funded the Tide Turners Plastic Challenge project since </w:t>
      </w:r>
      <w:r w:rsidR="003D66E3" w:rsidRPr="00217F59">
        <w:rPr>
          <w:rStyle w:val="normaltextrun"/>
          <w:rFonts w:asciiTheme="minorHAnsi" w:eastAsiaTheme="majorEastAsia" w:hAnsiTheme="minorHAnsi" w:cstheme="minorHAnsi"/>
          <w:sz w:val="22"/>
          <w:szCs w:val="22"/>
        </w:rPr>
        <w:t>201</w:t>
      </w:r>
      <w:r w:rsidR="003D66E3">
        <w:rPr>
          <w:rStyle w:val="normaltextrun"/>
          <w:rFonts w:asciiTheme="minorHAnsi" w:eastAsiaTheme="majorEastAsia" w:hAnsiTheme="minorHAnsi" w:cstheme="minorHAnsi"/>
          <w:sz w:val="22"/>
          <w:szCs w:val="22"/>
        </w:rPr>
        <w:t xml:space="preserve">8 </w:t>
      </w:r>
      <w:r w:rsidRPr="00217F59">
        <w:rPr>
          <w:rStyle w:val="normaltextrun"/>
          <w:rFonts w:asciiTheme="minorHAnsi" w:eastAsiaTheme="majorEastAsia" w:hAnsiTheme="minorHAnsi" w:cstheme="minorHAnsi"/>
          <w:sz w:val="22"/>
          <w:szCs w:val="22"/>
        </w:rPr>
        <w:t>(£1</w:t>
      </w:r>
      <w:r w:rsidR="00276B0C" w:rsidRPr="00217F59">
        <w:rPr>
          <w:rStyle w:val="normaltextrun"/>
          <w:rFonts w:asciiTheme="minorHAnsi" w:eastAsiaTheme="majorEastAsia" w:hAnsiTheme="minorHAnsi" w:cstheme="minorHAnsi"/>
          <w:sz w:val="22"/>
          <w:szCs w:val="22"/>
        </w:rPr>
        <w:t>.3</w:t>
      </w:r>
      <w:r w:rsidRPr="00217F59">
        <w:rPr>
          <w:rStyle w:val="normaltextrun"/>
          <w:rFonts w:asciiTheme="minorHAnsi" w:eastAsiaTheme="majorEastAsia" w:hAnsiTheme="minorHAnsi" w:cstheme="minorHAnsi"/>
          <w:sz w:val="22"/>
          <w:szCs w:val="22"/>
        </w:rPr>
        <w:t>m in total</w:t>
      </w:r>
      <w:r w:rsidR="00276B0C" w:rsidRPr="00217F59">
        <w:rPr>
          <w:rStyle w:val="normaltextrun"/>
          <w:rFonts w:asciiTheme="minorHAnsi" w:eastAsiaTheme="majorEastAsia" w:hAnsiTheme="minorHAnsi" w:cstheme="minorHAnsi"/>
          <w:sz w:val="22"/>
          <w:szCs w:val="22"/>
        </w:rPr>
        <w:t xml:space="preserve"> with £250k coming from the Blue Planet Fund</w:t>
      </w:r>
      <w:r w:rsidRPr="00217F59">
        <w:rPr>
          <w:rStyle w:val="normaltextrun"/>
          <w:rFonts w:asciiTheme="minorHAnsi" w:eastAsiaTheme="majorEastAsia" w:hAnsiTheme="minorHAnsi" w:cstheme="minorHAnsi"/>
          <w:sz w:val="22"/>
          <w:szCs w:val="22"/>
        </w:rPr>
        <w:t>).</w:t>
      </w:r>
      <w:r w:rsidRPr="00217F59">
        <w:rPr>
          <w:rStyle w:val="eop"/>
          <w:rFonts w:asciiTheme="minorHAnsi" w:hAnsiTheme="minorHAnsi" w:cstheme="minorHAnsi"/>
          <w:sz w:val="22"/>
          <w:szCs w:val="22"/>
        </w:rPr>
        <w:t> </w:t>
      </w:r>
      <w:r w:rsidRPr="00217F59">
        <w:rPr>
          <w:rStyle w:val="normaltextrun"/>
          <w:rFonts w:asciiTheme="minorHAnsi" w:eastAsiaTheme="majorEastAsia" w:hAnsiTheme="minorHAnsi" w:cstheme="minorHAnsi"/>
          <w:sz w:val="22"/>
          <w:szCs w:val="22"/>
        </w:rPr>
        <w:t xml:space="preserve">The current </w:t>
      </w:r>
      <w:r w:rsidR="00BC1AE0">
        <w:rPr>
          <w:rStyle w:val="normaltextrun"/>
          <w:rFonts w:asciiTheme="minorHAnsi" w:eastAsiaTheme="majorEastAsia" w:hAnsiTheme="minorHAnsi" w:cstheme="minorHAnsi"/>
          <w:sz w:val="22"/>
          <w:szCs w:val="22"/>
        </w:rPr>
        <w:t>contribution</w:t>
      </w:r>
      <w:r w:rsidR="00BC1AE0" w:rsidRPr="00217F59">
        <w:rPr>
          <w:rStyle w:val="normaltextrun"/>
          <w:rFonts w:asciiTheme="minorHAnsi" w:eastAsiaTheme="majorEastAsia" w:hAnsiTheme="minorHAnsi" w:cstheme="minorHAnsi"/>
          <w:sz w:val="22"/>
          <w:szCs w:val="22"/>
        </w:rPr>
        <w:t xml:space="preserve"> </w:t>
      </w:r>
      <w:r w:rsidRPr="00217F59">
        <w:rPr>
          <w:rStyle w:val="normaltextrun"/>
          <w:rFonts w:asciiTheme="minorHAnsi" w:eastAsiaTheme="majorEastAsia" w:hAnsiTheme="minorHAnsi" w:cstheme="minorHAnsi"/>
          <w:sz w:val="22"/>
          <w:szCs w:val="22"/>
        </w:rPr>
        <w:t>agreement with UNEP (£750,000) expired on 31</w:t>
      </w:r>
      <w:r w:rsidRPr="00217F59">
        <w:rPr>
          <w:rStyle w:val="normaltextrun"/>
          <w:rFonts w:asciiTheme="minorHAnsi" w:eastAsiaTheme="majorEastAsia" w:hAnsiTheme="minorHAnsi" w:cstheme="minorHAnsi"/>
          <w:sz w:val="17"/>
          <w:szCs w:val="17"/>
          <w:vertAlign w:val="superscript"/>
        </w:rPr>
        <w:t>st</w:t>
      </w:r>
      <w:r w:rsidRPr="00217F59">
        <w:rPr>
          <w:rStyle w:val="normaltextrun"/>
          <w:rFonts w:asciiTheme="minorHAnsi" w:eastAsiaTheme="majorEastAsia" w:hAnsiTheme="minorHAnsi" w:cstheme="minorHAnsi"/>
          <w:sz w:val="22"/>
          <w:szCs w:val="22"/>
        </w:rPr>
        <w:t xml:space="preserve"> March 2022.</w:t>
      </w:r>
      <w:r w:rsidRPr="00217F59">
        <w:rPr>
          <w:rStyle w:val="eop"/>
          <w:rFonts w:asciiTheme="minorHAnsi" w:hAnsiTheme="minorHAnsi" w:cstheme="minorHAnsi"/>
          <w:sz w:val="22"/>
          <w:szCs w:val="22"/>
        </w:rPr>
        <w:t> </w:t>
      </w:r>
    </w:p>
    <w:p w14:paraId="757223E4" w14:textId="63619F7D" w:rsidR="007D41F7" w:rsidRDefault="00F47030" w:rsidP="00613ABF">
      <w:pPr>
        <w:spacing w:before="240" w:after="240"/>
        <w:rPr>
          <w:rFonts w:eastAsia="Times New Roman" w:cstheme="minorHAnsi"/>
          <w:lang w:eastAsia="en-GB"/>
        </w:rPr>
      </w:pPr>
      <w:r>
        <w:rPr>
          <w:rFonts w:cstheme="minorHAnsi"/>
        </w:rPr>
        <w:t>A</w:t>
      </w:r>
      <w:r w:rsidR="002605A0" w:rsidRPr="00A40E69">
        <w:rPr>
          <w:rFonts w:cstheme="minorHAnsi"/>
        </w:rPr>
        <w:t xml:space="preserve">ssessment of year 1 </w:t>
      </w:r>
      <w:r>
        <w:rPr>
          <w:rFonts w:cstheme="minorHAnsi"/>
        </w:rPr>
        <w:t xml:space="preserve">performance </w:t>
      </w:r>
      <w:r w:rsidR="002605A0" w:rsidRPr="00A40E69">
        <w:rPr>
          <w:rFonts w:cstheme="minorHAnsi"/>
        </w:rPr>
        <w:t>is based on interim results provided by UNEP and BPF team judgement.</w:t>
      </w:r>
      <w:r w:rsidR="002605A0" w:rsidRPr="00A40E69">
        <w:rPr>
          <w:rFonts w:eastAsia="Times New Roman" w:cstheme="minorHAnsi"/>
          <w:lang w:eastAsia="en-GB"/>
        </w:rPr>
        <w:t xml:space="preserve"> </w:t>
      </w:r>
      <w:r w:rsidR="001B32BC" w:rsidRPr="00217F59">
        <w:rPr>
          <w:rFonts w:cstheme="minorHAnsi"/>
        </w:rPr>
        <w:t xml:space="preserve">Defra will receive a </w:t>
      </w:r>
      <w:r>
        <w:rPr>
          <w:rFonts w:cstheme="minorHAnsi"/>
        </w:rPr>
        <w:t>formal p</w:t>
      </w:r>
      <w:r w:rsidR="001B32BC" w:rsidRPr="00217F59">
        <w:rPr>
          <w:rFonts w:cstheme="minorHAnsi"/>
        </w:rPr>
        <w:t>rogramme monitoring and evaluation report for year 1 at the end of 2022</w:t>
      </w:r>
      <w:r>
        <w:rPr>
          <w:rFonts w:cstheme="minorHAnsi"/>
        </w:rPr>
        <w:t>,</w:t>
      </w:r>
      <w:r w:rsidR="009F287F" w:rsidRPr="00217F59">
        <w:rPr>
          <w:rFonts w:cstheme="minorHAnsi"/>
        </w:rPr>
        <w:t xml:space="preserve"> </w:t>
      </w:r>
      <w:r>
        <w:rPr>
          <w:rFonts w:cstheme="minorHAnsi"/>
        </w:rPr>
        <w:t xml:space="preserve">specifically </w:t>
      </w:r>
      <w:r w:rsidR="009F287F" w:rsidRPr="00217F59">
        <w:rPr>
          <w:rFonts w:cstheme="minorHAnsi"/>
        </w:rPr>
        <w:t xml:space="preserve">on the impact of the UK’s </w:t>
      </w:r>
      <w:r w:rsidR="002605A0">
        <w:rPr>
          <w:rFonts w:cstheme="minorHAnsi"/>
        </w:rPr>
        <w:t xml:space="preserve">BPF </w:t>
      </w:r>
      <w:r w:rsidR="009F287F" w:rsidRPr="00217F59">
        <w:rPr>
          <w:rFonts w:cstheme="minorHAnsi"/>
        </w:rPr>
        <w:t>investment</w:t>
      </w:r>
      <w:r w:rsidR="001B32BC" w:rsidRPr="00217F59">
        <w:rPr>
          <w:rFonts w:cstheme="minorHAnsi"/>
        </w:rPr>
        <w:t xml:space="preserve">. This will include an evidence-based narrative of progress to date, specific stories of change, and </w:t>
      </w:r>
      <w:r>
        <w:rPr>
          <w:rFonts w:cstheme="minorHAnsi"/>
        </w:rPr>
        <w:t>progress</w:t>
      </w:r>
      <w:r w:rsidRPr="00217F59">
        <w:rPr>
          <w:rFonts w:cstheme="minorHAnsi"/>
        </w:rPr>
        <w:t xml:space="preserve"> </w:t>
      </w:r>
      <w:r w:rsidR="001B32BC" w:rsidRPr="00217F59">
        <w:rPr>
          <w:rFonts w:cstheme="minorHAnsi"/>
        </w:rPr>
        <w:t xml:space="preserve">against the Key Performance Indicators. We expect the impact of the investment to only be partially realised even at the 1-year review stage given many environmental and livelihood benefits take </w:t>
      </w:r>
      <w:r>
        <w:rPr>
          <w:rFonts w:cstheme="minorHAnsi"/>
        </w:rPr>
        <w:t xml:space="preserve">multiple years </w:t>
      </w:r>
      <w:r w:rsidR="001B32BC" w:rsidRPr="00217F59">
        <w:rPr>
          <w:rFonts w:cstheme="minorHAnsi"/>
        </w:rPr>
        <w:t xml:space="preserve">to develop. </w:t>
      </w:r>
    </w:p>
    <w:p w14:paraId="708AFBD3" w14:textId="54B460CF" w:rsidR="005A2D4B" w:rsidRDefault="002605A0" w:rsidP="00613ABF">
      <w:pPr>
        <w:spacing w:before="240" w:after="240"/>
        <w:rPr>
          <w:rFonts w:cstheme="minorHAnsi"/>
          <w:b/>
          <w:bCs/>
        </w:rPr>
      </w:pPr>
      <w:r>
        <w:rPr>
          <w:rFonts w:cstheme="minorHAnsi"/>
        </w:rPr>
        <w:t>Our interim</w:t>
      </w:r>
      <w:r w:rsidR="002F62ED">
        <w:rPr>
          <w:rFonts w:cstheme="minorHAnsi"/>
        </w:rPr>
        <w:t xml:space="preserve"> assessment of Tide Turners to date can be found </w:t>
      </w:r>
      <w:r w:rsidR="00CC6BF3">
        <w:rPr>
          <w:rFonts w:cstheme="minorHAnsi"/>
        </w:rPr>
        <w:t xml:space="preserve">in </w:t>
      </w:r>
      <w:r w:rsidR="00CC6BF3" w:rsidRPr="00567E81">
        <w:rPr>
          <w:rFonts w:cstheme="minorHAnsi"/>
          <w:b/>
          <w:bCs/>
        </w:rPr>
        <w:t>Section A2.1</w:t>
      </w:r>
      <w:r w:rsidR="0093608F">
        <w:rPr>
          <w:rFonts w:cstheme="minorHAnsi"/>
          <w:b/>
          <w:bCs/>
          <w:i/>
          <w:iCs/>
        </w:rPr>
        <w:t xml:space="preserve"> </w:t>
      </w:r>
      <w:r w:rsidR="0093608F" w:rsidRPr="0093608F">
        <w:rPr>
          <w:rFonts w:cstheme="minorHAnsi"/>
          <w:b/>
          <w:bCs/>
        </w:rPr>
        <w:t>in</w:t>
      </w:r>
      <w:r w:rsidR="00CC6BF3" w:rsidRPr="0093608F">
        <w:rPr>
          <w:rFonts w:cstheme="minorHAnsi"/>
          <w:b/>
          <w:bCs/>
        </w:rPr>
        <w:t xml:space="preserve"> Appendix 2</w:t>
      </w:r>
      <w:r w:rsidR="002F62ED">
        <w:rPr>
          <w:rFonts w:cstheme="minorHAnsi"/>
        </w:rPr>
        <w:t>. A summary is provided below</w:t>
      </w:r>
      <w:r w:rsidR="00E44D50">
        <w:rPr>
          <w:rFonts w:cstheme="minorHAnsi"/>
        </w:rPr>
        <w:t xml:space="preserve"> in </w:t>
      </w:r>
      <w:r w:rsidR="00E44D50" w:rsidRPr="00E44D50">
        <w:rPr>
          <w:rFonts w:cstheme="minorHAnsi"/>
          <w:b/>
          <w:bCs/>
        </w:rPr>
        <w:t>Table 3</w:t>
      </w:r>
    </w:p>
    <w:p w14:paraId="4D4689E3" w14:textId="77777777" w:rsidR="00112705" w:rsidRDefault="00112705" w:rsidP="00613ABF">
      <w:pPr>
        <w:spacing w:before="240" w:after="240"/>
        <w:rPr>
          <w:rFonts w:cstheme="minorHAnsi"/>
          <w:b/>
          <w:bCs/>
        </w:rPr>
      </w:pPr>
    </w:p>
    <w:p w14:paraId="652F894D" w14:textId="77777777" w:rsidR="00112705" w:rsidRDefault="00112705" w:rsidP="00613ABF">
      <w:pPr>
        <w:spacing w:before="240" w:after="240"/>
        <w:rPr>
          <w:rFonts w:cstheme="minorHAnsi"/>
          <w:b/>
          <w:bCs/>
        </w:rPr>
      </w:pPr>
    </w:p>
    <w:p w14:paraId="5633E293" w14:textId="77777777" w:rsidR="00112705" w:rsidRPr="00BD39C8" w:rsidRDefault="00112705" w:rsidP="00613ABF">
      <w:pPr>
        <w:spacing w:before="240" w:after="240"/>
        <w:rPr>
          <w:rFonts w:cstheme="minorHAnsi"/>
        </w:rPr>
      </w:pPr>
    </w:p>
    <w:p w14:paraId="7E3DDA55" w14:textId="1A6D456E" w:rsidR="002F62ED" w:rsidRPr="00DE4372" w:rsidRDefault="00E44D50" w:rsidP="00613ABF">
      <w:pPr>
        <w:pStyle w:val="Caption"/>
        <w:spacing w:after="240" w:line="240" w:lineRule="auto"/>
        <w:rPr>
          <w:rFonts w:eastAsia="Times New Roman"/>
          <w:b/>
          <w:u w:val="single"/>
          <w:lang w:eastAsia="en-GB"/>
        </w:rPr>
      </w:pPr>
      <w:r w:rsidRPr="00DE4372">
        <w:rPr>
          <w:rFonts w:eastAsia="Times New Roman"/>
          <w:b/>
          <w:u w:val="single"/>
          <w:lang w:eastAsia="en-GB"/>
        </w:rPr>
        <w:lastRenderedPageBreak/>
        <w:t xml:space="preserve">Table </w:t>
      </w:r>
      <w:r w:rsidRPr="00DE4372">
        <w:rPr>
          <w:rFonts w:eastAsia="Times New Roman"/>
          <w:b/>
          <w:bCs w:val="0"/>
          <w:u w:val="single"/>
          <w:lang w:eastAsia="en-GB"/>
        </w:rPr>
        <w:t>3</w:t>
      </w:r>
      <w:r w:rsidRPr="00DE4372">
        <w:rPr>
          <w:rFonts w:eastAsia="Times New Roman"/>
          <w:b/>
          <w:u w:val="single"/>
          <w:lang w:eastAsia="en-GB"/>
        </w:rPr>
        <w:t>:</w:t>
      </w:r>
      <w:r w:rsidR="002F62ED" w:rsidRPr="00DE4372">
        <w:rPr>
          <w:rFonts w:eastAsia="Times New Roman"/>
          <w:b/>
          <w:u w:val="single"/>
          <w:lang w:eastAsia="en-GB"/>
        </w:rPr>
        <w:t xml:space="preserve"> Outcomes as a result of the UK investment</w:t>
      </w:r>
    </w:p>
    <w:tbl>
      <w:tblPr>
        <w:tblStyle w:val="TableGrid"/>
        <w:tblW w:w="8979" w:type="dxa"/>
        <w:tblLayout w:type="fixed"/>
        <w:tblLook w:val="04A0" w:firstRow="1" w:lastRow="0" w:firstColumn="1" w:lastColumn="0" w:noHBand="0" w:noVBand="1"/>
      </w:tblPr>
      <w:tblGrid>
        <w:gridCol w:w="5235"/>
        <w:gridCol w:w="3744"/>
      </w:tblGrid>
      <w:tr w:rsidR="002F62ED" w:rsidRPr="002F62ED" w14:paraId="79E11A14" w14:textId="77777777" w:rsidTr="007D41F7">
        <w:trPr>
          <w:trHeight w:val="218"/>
        </w:trPr>
        <w:tc>
          <w:tcPr>
            <w:tcW w:w="5235" w:type="dxa"/>
          </w:tcPr>
          <w:p w14:paraId="25EDE3B2" w14:textId="77777777" w:rsidR="002F62ED" w:rsidRPr="000354B5" w:rsidRDefault="002F62ED" w:rsidP="00613ABF">
            <w:pPr>
              <w:rPr>
                <w:rFonts w:eastAsia="Times New Roman" w:cstheme="minorHAnsi"/>
                <w:lang w:eastAsia="en-GB"/>
              </w:rPr>
            </w:pPr>
            <w:r w:rsidRPr="002F62ED">
              <w:rPr>
                <w:rFonts w:eastAsia="Times New Roman" w:cstheme="minorHAnsi"/>
                <w:lang w:eastAsia="en-GB"/>
              </w:rPr>
              <w:t>Indicator</w:t>
            </w:r>
          </w:p>
        </w:tc>
        <w:tc>
          <w:tcPr>
            <w:tcW w:w="3744" w:type="dxa"/>
          </w:tcPr>
          <w:p w14:paraId="3244DE09" w14:textId="77777777" w:rsidR="002F62ED" w:rsidRPr="000354B5" w:rsidRDefault="002F62ED" w:rsidP="00613ABF">
            <w:pPr>
              <w:rPr>
                <w:rFonts w:eastAsia="Times New Roman" w:cstheme="minorHAnsi"/>
                <w:lang w:eastAsia="en-GB"/>
              </w:rPr>
            </w:pPr>
            <w:r w:rsidRPr="002F62ED">
              <w:rPr>
                <w:rFonts w:eastAsia="Times New Roman" w:cstheme="minorHAnsi"/>
                <w:lang w:eastAsia="en-GB"/>
              </w:rPr>
              <w:t>Result</w:t>
            </w:r>
          </w:p>
        </w:tc>
      </w:tr>
      <w:tr w:rsidR="002F62ED" w:rsidRPr="002F62ED" w14:paraId="3F43C4C9" w14:textId="77777777" w:rsidTr="007D41F7">
        <w:trPr>
          <w:trHeight w:val="60"/>
        </w:trPr>
        <w:tc>
          <w:tcPr>
            <w:tcW w:w="5235" w:type="dxa"/>
          </w:tcPr>
          <w:p w14:paraId="1A023CFF" w14:textId="6D535BB4" w:rsidR="002F62ED" w:rsidRPr="000354B5" w:rsidRDefault="002F62ED" w:rsidP="00613ABF">
            <w:pPr>
              <w:jc w:val="left"/>
              <w:rPr>
                <w:rFonts w:eastAsia="Times New Roman" w:cstheme="minorHAnsi"/>
                <w:lang w:eastAsia="en-GB"/>
              </w:rPr>
            </w:pPr>
            <w:r w:rsidRPr="002F62ED">
              <w:rPr>
                <w:rFonts w:eastAsia="Times New Roman" w:cstheme="minorHAnsi"/>
                <w:b/>
                <w:bCs/>
                <w:lang w:eastAsia="en-GB"/>
              </w:rPr>
              <w:t>Total number of participants engaged (Levels 1-4)</w:t>
            </w:r>
            <w:r w:rsidRPr="002F62ED">
              <w:rPr>
                <w:rStyle w:val="FootnoteReference"/>
                <w:rFonts w:cstheme="minorHAnsi"/>
              </w:rPr>
              <w:t xml:space="preserve"> </w:t>
            </w:r>
            <w:r w:rsidRPr="002F62ED">
              <w:rPr>
                <w:rStyle w:val="FootnoteReference"/>
                <w:rFonts w:cstheme="minorHAnsi"/>
              </w:rPr>
              <w:footnoteReference w:id="23"/>
            </w:r>
          </w:p>
        </w:tc>
        <w:tc>
          <w:tcPr>
            <w:tcW w:w="3744" w:type="dxa"/>
          </w:tcPr>
          <w:p w14:paraId="62EAB12A" w14:textId="65516D67" w:rsidR="002F62ED" w:rsidRPr="000354B5" w:rsidRDefault="002F62ED" w:rsidP="00613ABF">
            <w:pPr>
              <w:jc w:val="left"/>
              <w:rPr>
                <w:rFonts w:eastAsia="Times New Roman" w:cstheme="minorHAnsi"/>
                <w:lang w:eastAsia="en-GB"/>
              </w:rPr>
            </w:pPr>
            <w:r w:rsidRPr="002F62ED">
              <w:rPr>
                <w:rFonts w:eastAsia="Times New Roman" w:cstheme="minorHAnsi"/>
                <w:lang w:eastAsia="en-GB"/>
              </w:rPr>
              <w:t xml:space="preserve">500,000 </w:t>
            </w:r>
            <w:r w:rsidRPr="002605A0">
              <w:rPr>
                <w:rFonts w:eastAsia="Times New Roman" w:cstheme="minorHAnsi"/>
                <w:lang w:eastAsia="en-GB"/>
              </w:rPr>
              <w:br/>
            </w:r>
            <w:r w:rsidRPr="002F62ED">
              <w:rPr>
                <w:rFonts w:eastAsia="Times New Roman" w:cstheme="minorHAnsi"/>
                <w:lang w:eastAsia="en-GB"/>
              </w:rPr>
              <w:t>(468,000 since Feb 2019)</w:t>
            </w:r>
          </w:p>
        </w:tc>
      </w:tr>
      <w:tr w:rsidR="002F62ED" w:rsidRPr="002F62ED" w14:paraId="3ED97BDC" w14:textId="77777777" w:rsidTr="007D41F7">
        <w:trPr>
          <w:trHeight w:val="60"/>
        </w:trPr>
        <w:tc>
          <w:tcPr>
            <w:tcW w:w="5235" w:type="dxa"/>
          </w:tcPr>
          <w:p w14:paraId="25E12106" w14:textId="77777777" w:rsidR="002F62ED" w:rsidRPr="000354B5" w:rsidRDefault="002F62ED" w:rsidP="00613ABF">
            <w:pPr>
              <w:jc w:val="left"/>
              <w:rPr>
                <w:rFonts w:eastAsia="Times New Roman" w:cstheme="minorHAnsi"/>
                <w:b/>
                <w:lang w:eastAsia="en-GB"/>
              </w:rPr>
            </w:pPr>
            <w:r w:rsidRPr="002F62ED">
              <w:rPr>
                <w:rFonts w:eastAsia="Times New Roman" w:cstheme="minorHAnsi"/>
                <w:b/>
                <w:bCs/>
                <w:lang w:eastAsia="en-GB"/>
              </w:rPr>
              <w:t>Number of countries reached</w:t>
            </w:r>
          </w:p>
        </w:tc>
        <w:tc>
          <w:tcPr>
            <w:tcW w:w="3744" w:type="dxa"/>
          </w:tcPr>
          <w:p w14:paraId="48BC9A07" w14:textId="2B9D2C26" w:rsidR="002F62ED" w:rsidRPr="000354B5" w:rsidRDefault="002F62ED" w:rsidP="00613ABF">
            <w:pPr>
              <w:jc w:val="left"/>
              <w:rPr>
                <w:rFonts w:eastAsia="Times New Roman" w:cstheme="minorHAnsi"/>
                <w:lang w:eastAsia="en-GB"/>
              </w:rPr>
            </w:pPr>
            <w:r w:rsidRPr="002F62ED">
              <w:rPr>
                <w:rFonts w:eastAsia="Times New Roman" w:cstheme="minorHAnsi"/>
                <w:lang w:eastAsia="en-GB"/>
              </w:rPr>
              <w:t xml:space="preserve">35 </w:t>
            </w:r>
            <w:r w:rsidRPr="002605A0">
              <w:rPr>
                <w:rFonts w:eastAsia="Times New Roman" w:cstheme="minorHAnsi"/>
                <w:lang w:eastAsia="en-GB"/>
              </w:rPr>
              <w:br/>
            </w:r>
            <w:r w:rsidRPr="002F62ED">
              <w:rPr>
                <w:rFonts w:eastAsia="Times New Roman" w:cstheme="minorHAnsi"/>
                <w:lang w:eastAsia="en-GB"/>
              </w:rPr>
              <w:t>(since Feb 2019)</w:t>
            </w:r>
          </w:p>
        </w:tc>
      </w:tr>
      <w:tr w:rsidR="002F62ED" w:rsidRPr="002F62ED" w14:paraId="2EB81A55" w14:textId="77777777" w:rsidTr="007D41F7">
        <w:trPr>
          <w:trHeight w:val="60"/>
        </w:trPr>
        <w:tc>
          <w:tcPr>
            <w:tcW w:w="5235" w:type="dxa"/>
          </w:tcPr>
          <w:p w14:paraId="7AC09153" w14:textId="47B36DF1" w:rsidR="002F62ED" w:rsidRPr="000354B5" w:rsidRDefault="002F62ED" w:rsidP="00613ABF">
            <w:pPr>
              <w:jc w:val="left"/>
              <w:rPr>
                <w:rFonts w:eastAsia="Times New Roman" w:cstheme="minorHAnsi"/>
                <w:b/>
                <w:lang w:eastAsia="en-GB"/>
              </w:rPr>
            </w:pPr>
            <w:r w:rsidRPr="002F62ED">
              <w:rPr>
                <w:rFonts w:eastAsia="Times New Roman" w:cstheme="minorHAnsi"/>
                <w:b/>
                <w:bCs/>
                <w:lang w:eastAsia="en-GB"/>
              </w:rPr>
              <w:t>Number of youth summits organised</w:t>
            </w:r>
            <w:r w:rsidRPr="002605A0">
              <w:rPr>
                <w:rFonts w:eastAsia="Times New Roman" w:cstheme="minorHAnsi"/>
                <w:b/>
                <w:lang w:eastAsia="en-GB"/>
              </w:rPr>
              <w:br/>
            </w:r>
          </w:p>
        </w:tc>
        <w:tc>
          <w:tcPr>
            <w:tcW w:w="3744" w:type="dxa"/>
          </w:tcPr>
          <w:p w14:paraId="489405AD" w14:textId="77777777" w:rsidR="002F62ED" w:rsidRPr="000354B5" w:rsidRDefault="002F62ED" w:rsidP="00613ABF">
            <w:pPr>
              <w:rPr>
                <w:rFonts w:eastAsia="Times New Roman" w:cstheme="minorHAnsi"/>
                <w:lang w:eastAsia="en-GB"/>
              </w:rPr>
            </w:pPr>
            <w:r w:rsidRPr="002F62ED">
              <w:rPr>
                <w:rFonts w:eastAsia="Times New Roman" w:cstheme="minorHAnsi"/>
                <w:lang w:eastAsia="en-GB"/>
              </w:rPr>
              <w:t>5</w:t>
            </w:r>
          </w:p>
        </w:tc>
      </w:tr>
      <w:tr w:rsidR="002F62ED" w:rsidRPr="002F62ED" w14:paraId="2D137583" w14:textId="77777777" w:rsidTr="007D41F7">
        <w:trPr>
          <w:trHeight w:val="130"/>
        </w:trPr>
        <w:tc>
          <w:tcPr>
            <w:tcW w:w="5235" w:type="dxa"/>
          </w:tcPr>
          <w:p w14:paraId="259A1380" w14:textId="6F0EEFC8" w:rsidR="002F62ED" w:rsidRPr="00835D8D" w:rsidRDefault="002F62ED" w:rsidP="00613ABF">
            <w:pPr>
              <w:jc w:val="left"/>
              <w:rPr>
                <w:rFonts w:eastAsia="Times New Roman" w:cstheme="minorHAnsi"/>
                <w:b/>
                <w:lang w:eastAsia="en-GB"/>
              </w:rPr>
            </w:pPr>
            <w:r w:rsidRPr="002F62ED">
              <w:rPr>
                <w:rFonts w:eastAsia="Times New Roman" w:cstheme="minorHAnsi"/>
                <w:b/>
                <w:bCs/>
                <w:lang w:eastAsia="en-GB"/>
              </w:rPr>
              <w:t>Leveraged finance as a result of the UK’s £1.3m investment</w:t>
            </w:r>
          </w:p>
        </w:tc>
        <w:tc>
          <w:tcPr>
            <w:tcW w:w="3744" w:type="dxa"/>
          </w:tcPr>
          <w:p w14:paraId="22EAEF1E" w14:textId="5C95BBFA" w:rsidR="002F62ED" w:rsidRPr="00835D8D" w:rsidRDefault="002F62ED" w:rsidP="00613ABF">
            <w:pPr>
              <w:rPr>
                <w:rFonts w:eastAsia="Times New Roman" w:cstheme="minorHAnsi"/>
                <w:lang w:eastAsia="en-GB"/>
              </w:rPr>
            </w:pPr>
            <w:r w:rsidRPr="002F62ED">
              <w:rPr>
                <w:rFonts w:eastAsia="Times New Roman" w:cstheme="minorHAnsi"/>
                <w:lang w:eastAsia="en-GB"/>
              </w:rPr>
              <w:t>£0.98m</w:t>
            </w:r>
            <w:r w:rsidRPr="002605A0">
              <w:rPr>
                <w:rFonts w:eastAsia="Times New Roman" w:cstheme="minorHAnsi"/>
                <w:lang w:eastAsia="en-GB"/>
              </w:rPr>
              <w:t xml:space="preserve"> </w:t>
            </w:r>
            <w:r w:rsidRPr="002605A0">
              <w:rPr>
                <w:rFonts w:eastAsia="Times New Roman" w:cstheme="minorHAnsi"/>
                <w:lang w:eastAsia="en-GB"/>
              </w:rPr>
              <w:br/>
              <w:t>(leveraged finance ratio: ~0.75)</w:t>
            </w:r>
          </w:p>
        </w:tc>
      </w:tr>
    </w:tbl>
    <w:p w14:paraId="3A9DFD33" w14:textId="0BC092CB" w:rsidR="004846AA" w:rsidRPr="008A6564" w:rsidRDefault="004846AA" w:rsidP="00DE4372">
      <w:pPr>
        <w:pStyle w:val="Heading2"/>
        <w:numPr>
          <w:ilvl w:val="1"/>
          <w:numId w:val="39"/>
        </w:numPr>
      </w:pPr>
      <w:bookmarkStart w:id="28" w:name="_Toc121224106"/>
      <w:r w:rsidRPr="008A6564">
        <w:t>Appraisal design and shortlisted options</w:t>
      </w:r>
      <w:bookmarkEnd w:id="28"/>
    </w:p>
    <w:p w14:paraId="1FED6AE4" w14:textId="4F1C5564" w:rsidR="004846AA" w:rsidRPr="00BD39C8" w:rsidRDefault="006504BF" w:rsidP="00613ABF">
      <w:pPr>
        <w:spacing w:after="240"/>
        <w:rPr>
          <w:rFonts w:cstheme="minorHAnsi"/>
        </w:rPr>
      </w:pPr>
      <w:r>
        <w:rPr>
          <w:rFonts w:cstheme="minorHAnsi"/>
        </w:rPr>
        <w:t xml:space="preserve">All options were scored against the BPF Investment Criteria – see </w:t>
      </w:r>
      <w:r w:rsidR="00C049AC">
        <w:rPr>
          <w:rFonts w:cstheme="minorHAnsi"/>
        </w:rPr>
        <w:t xml:space="preserve">section </w:t>
      </w:r>
      <w:r w:rsidR="00D30141">
        <w:rPr>
          <w:rFonts w:cstheme="minorHAnsi"/>
        </w:rPr>
        <w:t>A2.2</w:t>
      </w:r>
      <w:r w:rsidR="00C049AC">
        <w:rPr>
          <w:rFonts w:cstheme="minorHAnsi"/>
        </w:rPr>
        <w:t xml:space="preserve"> in </w:t>
      </w:r>
      <w:r w:rsidR="00D30141">
        <w:rPr>
          <w:rFonts w:cstheme="minorHAnsi"/>
        </w:rPr>
        <w:t>Appendix</w:t>
      </w:r>
      <w:r>
        <w:rPr>
          <w:rFonts w:cstheme="minorHAnsi"/>
        </w:rPr>
        <w:t xml:space="preserve"> </w:t>
      </w:r>
      <w:r w:rsidR="00D30141">
        <w:rPr>
          <w:rFonts w:cstheme="minorHAnsi"/>
        </w:rPr>
        <w:t>2</w:t>
      </w:r>
      <w:r>
        <w:rPr>
          <w:rFonts w:cstheme="minorHAnsi"/>
        </w:rPr>
        <w:t xml:space="preserve"> for further details.</w:t>
      </w:r>
    </w:p>
    <w:p w14:paraId="6249B924" w14:textId="3BA32A0C" w:rsidR="004846AA" w:rsidRPr="00217F59" w:rsidRDefault="00EE541B" w:rsidP="00595499">
      <w:pPr>
        <w:pStyle w:val="Heading3"/>
      </w:pPr>
      <w:r w:rsidRPr="00217F59">
        <w:t>Baseline (Option 0):</w:t>
      </w:r>
    </w:p>
    <w:p w14:paraId="2C205C39" w14:textId="5A9B8A99" w:rsidR="003104FE" w:rsidRPr="00217F59" w:rsidRDefault="00F47030" w:rsidP="00613ABF">
      <w:pPr>
        <w:pStyle w:val="NormalWeb"/>
        <w:spacing w:before="0" w:beforeAutospacing="0" w:after="240" w:afterAutospacing="0"/>
        <w:jc w:val="both"/>
        <w:rPr>
          <w:rFonts w:asciiTheme="minorHAnsi" w:hAnsiTheme="minorHAnsi" w:cstheme="minorHAnsi"/>
          <w:sz w:val="22"/>
          <w:szCs w:val="22"/>
        </w:rPr>
      </w:pPr>
      <w:r>
        <w:rPr>
          <w:rFonts w:asciiTheme="minorHAnsi" w:hAnsiTheme="minorHAnsi" w:cstheme="minorHAnsi"/>
          <w:sz w:val="22"/>
          <w:szCs w:val="22"/>
        </w:rPr>
        <w:t xml:space="preserve">No </w:t>
      </w:r>
      <w:r w:rsidR="003104FE" w:rsidRPr="00217F59">
        <w:rPr>
          <w:rFonts w:asciiTheme="minorHAnsi" w:hAnsiTheme="minorHAnsi" w:cstheme="minorHAnsi"/>
          <w:sz w:val="22"/>
          <w:szCs w:val="22"/>
        </w:rPr>
        <w:t>invest</w:t>
      </w:r>
      <w:r>
        <w:rPr>
          <w:rFonts w:asciiTheme="minorHAnsi" w:hAnsiTheme="minorHAnsi" w:cstheme="minorHAnsi"/>
          <w:sz w:val="22"/>
          <w:szCs w:val="22"/>
        </w:rPr>
        <w:t>ment</w:t>
      </w:r>
      <w:r w:rsidR="003104FE" w:rsidRPr="00217F59">
        <w:rPr>
          <w:rFonts w:asciiTheme="minorHAnsi" w:hAnsiTheme="minorHAnsi" w:cstheme="minorHAnsi"/>
          <w:sz w:val="22"/>
          <w:szCs w:val="22"/>
        </w:rPr>
        <w:t xml:space="preserve"> in </w:t>
      </w:r>
      <w:r w:rsidR="00795D83">
        <w:rPr>
          <w:rFonts w:asciiTheme="minorHAnsi" w:hAnsiTheme="minorHAnsi" w:cstheme="minorHAnsi"/>
          <w:sz w:val="22"/>
          <w:szCs w:val="22"/>
        </w:rPr>
        <w:t>Tide Turners</w:t>
      </w:r>
      <w:r w:rsidR="003104FE" w:rsidRPr="00217F59">
        <w:rPr>
          <w:rFonts w:asciiTheme="minorHAnsi" w:hAnsiTheme="minorHAnsi" w:cstheme="minorHAnsi"/>
          <w:sz w:val="22"/>
          <w:szCs w:val="22"/>
        </w:rPr>
        <w:t xml:space="preserve"> or </w:t>
      </w:r>
      <w:r>
        <w:rPr>
          <w:rFonts w:asciiTheme="minorHAnsi" w:hAnsiTheme="minorHAnsi" w:cstheme="minorHAnsi"/>
          <w:sz w:val="22"/>
          <w:szCs w:val="22"/>
        </w:rPr>
        <w:t xml:space="preserve">to </w:t>
      </w:r>
      <w:r w:rsidR="00276B0C" w:rsidRPr="00217F59">
        <w:rPr>
          <w:rFonts w:asciiTheme="minorHAnsi" w:hAnsiTheme="minorHAnsi" w:cstheme="minorHAnsi"/>
          <w:sz w:val="22"/>
          <w:szCs w:val="22"/>
        </w:rPr>
        <w:t>INC</w:t>
      </w:r>
      <w:r w:rsidR="003104FE" w:rsidRPr="00217F59">
        <w:rPr>
          <w:rFonts w:asciiTheme="minorHAnsi" w:hAnsiTheme="minorHAnsi" w:cstheme="minorHAnsi"/>
          <w:sz w:val="22"/>
          <w:szCs w:val="22"/>
        </w:rPr>
        <w:t xml:space="preserve">. </w:t>
      </w:r>
      <w:r w:rsidR="00CA5E7F">
        <w:rPr>
          <w:rFonts w:asciiTheme="minorHAnsi" w:hAnsiTheme="minorHAnsi" w:cstheme="minorHAnsi"/>
          <w:sz w:val="22"/>
          <w:szCs w:val="22"/>
        </w:rPr>
        <w:t>Option 0</w:t>
      </w:r>
      <w:r w:rsidR="003104FE" w:rsidRPr="00217F59">
        <w:rPr>
          <w:rFonts w:asciiTheme="minorHAnsi" w:hAnsiTheme="minorHAnsi" w:cstheme="minorHAnsi"/>
          <w:sz w:val="22"/>
          <w:szCs w:val="22"/>
        </w:rPr>
        <w:t xml:space="preserve"> would result in no costs to Defra directly and there would be no resource costs of time associated with managing the programme. </w:t>
      </w:r>
      <w:r w:rsidR="00795D83">
        <w:rPr>
          <w:rFonts w:asciiTheme="minorHAnsi" w:hAnsiTheme="minorHAnsi" w:cstheme="minorHAnsi"/>
          <w:sz w:val="22"/>
          <w:szCs w:val="22"/>
        </w:rPr>
        <w:t>Tide Turners</w:t>
      </w:r>
      <w:r w:rsidR="003104FE" w:rsidRPr="00217F59">
        <w:rPr>
          <w:rFonts w:asciiTheme="minorHAnsi" w:hAnsiTheme="minorHAnsi" w:cstheme="minorHAnsi"/>
          <w:sz w:val="22"/>
          <w:szCs w:val="22"/>
        </w:rPr>
        <w:t xml:space="preserve"> and UNE</w:t>
      </w:r>
      <w:r w:rsidR="00844CBF">
        <w:rPr>
          <w:rFonts w:asciiTheme="minorHAnsi" w:hAnsiTheme="minorHAnsi" w:cstheme="minorHAnsi"/>
          <w:sz w:val="22"/>
          <w:szCs w:val="22"/>
        </w:rPr>
        <w:t>P</w:t>
      </w:r>
      <w:r w:rsidR="003104FE" w:rsidRPr="00217F59">
        <w:rPr>
          <w:rFonts w:asciiTheme="minorHAnsi" w:hAnsiTheme="minorHAnsi" w:cstheme="minorHAnsi"/>
          <w:sz w:val="22"/>
          <w:szCs w:val="22"/>
        </w:rPr>
        <w:t xml:space="preserve"> would be required to find alternative sources of funding, which is likely to force these organisations to lower their level of </w:t>
      </w:r>
      <w:r w:rsidR="004C2673" w:rsidRPr="00217F59">
        <w:rPr>
          <w:rFonts w:asciiTheme="minorHAnsi" w:hAnsiTheme="minorHAnsi" w:cstheme="minorHAnsi"/>
          <w:sz w:val="22"/>
          <w:szCs w:val="22"/>
        </w:rPr>
        <w:t>ambition or</w:t>
      </w:r>
      <w:r w:rsidR="003104FE" w:rsidRPr="00217F59">
        <w:rPr>
          <w:rFonts w:asciiTheme="minorHAnsi" w:hAnsiTheme="minorHAnsi" w:cstheme="minorHAnsi"/>
          <w:sz w:val="22"/>
          <w:szCs w:val="22"/>
        </w:rPr>
        <w:t xml:space="preserve"> may </w:t>
      </w:r>
      <w:r w:rsidR="00CA5E7F">
        <w:rPr>
          <w:rFonts w:asciiTheme="minorHAnsi" w:hAnsiTheme="minorHAnsi" w:cstheme="minorHAnsi"/>
          <w:sz w:val="22"/>
          <w:szCs w:val="22"/>
        </w:rPr>
        <w:t>result in them ceasing</w:t>
      </w:r>
      <w:r w:rsidR="00CA5E7F" w:rsidRPr="00217F59">
        <w:rPr>
          <w:rFonts w:asciiTheme="minorHAnsi" w:hAnsiTheme="minorHAnsi" w:cstheme="minorHAnsi"/>
          <w:sz w:val="22"/>
          <w:szCs w:val="22"/>
        </w:rPr>
        <w:t xml:space="preserve"> </w:t>
      </w:r>
      <w:r w:rsidR="003104FE" w:rsidRPr="00217F59">
        <w:rPr>
          <w:rFonts w:asciiTheme="minorHAnsi" w:hAnsiTheme="minorHAnsi" w:cstheme="minorHAnsi"/>
          <w:sz w:val="22"/>
          <w:szCs w:val="22"/>
        </w:rPr>
        <w:t xml:space="preserve">to exist in their current form. </w:t>
      </w:r>
    </w:p>
    <w:p w14:paraId="4E06878D" w14:textId="319A49B7" w:rsidR="006155F6" w:rsidRPr="00217F59" w:rsidRDefault="003104FE" w:rsidP="00613ABF">
      <w:pPr>
        <w:spacing w:before="240" w:after="240"/>
        <w:rPr>
          <w:rStyle w:val="normaltextrun"/>
          <w:rFonts w:cstheme="minorHAnsi"/>
          <w:color w:val="000000"/>
          <w:shd w:val="clear" w:color="auto" w:fill="FFFFFF"/>
        </w:rPr>
      </w:pPr>
      <w:r w:rsidRPr="00217F59">
        <w:t xml:space="preserve">In the </w:t>
      </w:r>
      <w:r w:rsidR="002605A0">
        <w:t>baseline</w:t>
      </w:r>
      <w:r w:rsidRPr="00217F59">
        <w:t xml:space="preserve"> scenario, there are likely to be other organisations taking steps to improve waste management and reduce marine pollution. For example, </w:t>
      </w:r>
      <w:r w:rsidR="0075475C">
        <w:rPr>
          <w:rStyle w:val="normaltextrun"/>
          <w:rFonts w:cstheme="minorHAnsi"/>
          <w:color w:val="000000"/>
          <w:shd w:val="clear" w:color="auto" w:fill="FFFFFF"/>
        </w:rPr>
        <w:t>through</w:t>
      </w:r>
      <w:r w:rsidR="00C049AC" w:rsidRPr="00217F59" w:rsidDel="00C049AC">
        <w:t xml:space="preserve"> </w:t>
      </w:r>
      <w:r w:rsidRPr="00217F59">
        <w:t xml:space="preserve">GPAP and the </w:t>
      </w:r>
      <w:r w:rsidR="0075475C">
        <w:t>BPF</w:t>
      </w:r>
      <w:r w:rsidRPr="00217F59">
        <w:t xml:space="preserve"> Competitive Fund</w:t>
      </w:r>
      <w:r w:rsidR="006155F6" w:rsidRPr="00217F59">
        <w:t xml:space="preserve">. However, UNEP’s Tide Turners programme and INC negotiations </w:t>
      </w:r>
      <w:r w:rsidR="006860B6">
        <w:t>over the next two years</w:t>
      </w:r>
      <w:r w:rsidR="006155F6" w:rsidRPr="00217F59">
        <w:t xml:space="preserve"> </w:t>
      </w:r>
      <w:r w:rsidR="006155F6">
        <w:t>offer</w:t>
      </w:r>
      <w:r w:rsidR="006155F6" w:rsidRPr="00217F59">
        <w:t xml:space="preserve"> unique</w:t>
      </w:r>
      <w:r w:rsidR="006155F6">
        <w:t xml:space="preserve"> opportunities for impacts</w:t>
      </w:r>
      <w:r w:rsidR="006155F6" w:rsidRPr="00217F59">
        <w:t xml:space="preserve">. </w:t>
      </w:r>
      <w:r w:rsidR="006155F6" w:rsidRPr="006155F6">
        <w:rPr>
          <w:rStyle w:val="normaltextrun"/>
          <w:rFonts w:cstheme="minorHAnsi"/>
          <w:color w:val="000000"/>
          <w:shd w:val="clear" w:color="auto" w:fill="FFFFFF"/>
        </w:rPr>
        <w:t xml:space="preserve"> Tide Turners is currently the only project within the Blue Planet Fund that focuses on youth empowerment and equipping future leaders to advocate for plastic pollution issues. This bottom-up approach complements </w:t>
      </w:r>
      <w:r w:rsidR="00F47030">
        <w:rPr>
          <w:rStyle w:val="normaltextrun"/>
          <w:rFonts w:cstheme="minorHAnsi"/>
          <w:color w:val="000000"/>
          <w:shd w:val="clear" w:color="auto" w:fill="FFFFFF"/>
        </w:rPr>
        <w:t xml:space="preserve">the more systems enabling BPF </w:t>
      </w:r>
      <w:r w:rsidR="006155F6" w:rsidRPr="006155F6">
        <w:rPr>
          <w:rStyle w:val="normaltextrun"/>
          <w:rFonts w:cstheme="minorHAnsi"/>
          <w:color w:val="000000"/>
          <w:shd w:val="clear" w:color="auto" w:fill="FFFFFF"/>
        </w:rPr>
        <w:t xml:space="preserve">pollution work </w:t>
      </w:r>
      <w:r w:rsidR="00F47030">
        <w:rPr>
          <w:rStyle w:val="normaltextrun"/>
          <w:rFonts w:cstheme="minorHAnsi"/>
          <w:color w:val="000000"/>
          <w:shd w:val="clear" w:color="auto" w:fill="FFFFFF"/>
        </w:rPr>
        <w:t>through GPAP</w:t>
      </w:r>
      <w:r w:rsidR="0075475C">
        <w:rPr>
          <w:rStyle w:val="normaltextrun"/>
          <w:rFonts w:cstheme="minorHAnsi"/>
          <w:color w:val="000000"/>
          <w:shd w:val="clear" w:color="auto" w:fill="FFFFFF"/>
        </w:rPr>
        <w:t>, which is working to better integrate the informal waste sector into its operations and collaborations to tackle plastic pollution</w:t>
      </w:r>
      <w:r w:rsidR="006155F6" w:rsidRPr="006155F6">
        <w:rPr>
          <w:rStyle w:val="normaltextrun"/>
          <w:rFonts w:cstheme="minorHAnsi"/>
          <w:color w:val="000000"/>
          <w:shd w:val="clear" w:color="auto" w:fill="FFFFFF"/>
        </w:rPr>
        <w:t xml:space="preserve">. </w:t>
      </w:r>
      <w:r w:rsidR="00C049AC">
        <w:rPr>
          <w:rStyle w:val="normaltextrun"/>
          <w:rFonts w:cstheme="minorHAnsi"/>
          <w:color w:val="000000"/>
          <w:shd w:val="clear" w:color="auto" w:fill="FFFFFF"/>
        </w:rPr>
        <w:t>In addition, w</w:t>
      </w:r>
      <w:r w:rsidR="006155F6" w:rsidRPr="006155F6">
        <w:rPr>
          <w:rStyle w:val="normaltextrun"/>
          <w:rFonts w:cstheme="minorHAnsi"/>
          <w:color w:val="000000"/>
          <w:shd w:val="clear" w:color="auto" w:fill="FFFFFF"/>
        </w:rPr>
        <w:t xml:space="preserve">orking with UNEP </w:t>
      </w:r>
      <w:r w:rsidR="00C049AC">
        <w:rPr>
          <w:rStyle w:val="normaltextrun"/>
          <w:rFonts w:cstheme="minorHAnsi"/>
          <w:color w:val="000000"/>
          <w:shd w:val="clear" w:color="auto" w:fill="FFFFFF"/>
        </w:rPr>
        <w:t xml:space="preserve">on Tide Turners and </w:t>
      </w:r>
      <w:r w:rsidR="00EE6D7F">
        <w:rPr>
          <w:rStyle w:val="normaltextrun"/>
          <w:rFonts w:cstheme="minorHAnsi"/>
          <w:color w:val="000000"/>
          <w:shd w:val="clear" w:color="auto" w:fill="FFFFFF"/>
        </w:rPr>
        <w:t xml:space="preserve">the INC negotiations </w:t>
      </w:r>
      <w:r w:rsidR="006155F6" w:rsidRPr="006155F6">
        <w:rPr>
          <w:rStyle w:val="normaltextrun"/>
          <w:rFonts w:cstheme="minorHAnsi"/>
          <w:color w:val="000000"/>
          <w:shd w:val="clear" w:color="auto" w:fill="FFFFFF"/>
        </w:rPr>
        <w:t>ensures global reach and coordination</w:t>
      </w:r>
      <w:r w:rsidR="00EE6D7F">
        <w:rPr>
          <w:rStyle w:val="normaltextrun"/>
          <w:rFonts w:cstheme="minorHAnsi"/>
          <w:color w:val="000000"/>
          <w:shd w:val="clear" w:color="auto" w:fill="FFFFFF"/>
        </w:rPr>
        <w:t xml:space="preserve"> with respect to both political leaders and members of society in their youth.</w:t>
      </w:r>
    </w:p>
    <w:p w14:paraId="15364A6A" w14:textId="26FB1563" w:rsidR="006155F6" w:rsidRPr="002E7AAA" w:rsidRDefault="003104FE" w:rsidP="00613ABF">
      <w:pPr>
        <w:spacing w:before="240" w:after="240"/>
      </w:pPr>
      <w:r w:rsidRPr="00217F59">
        <w:t>By not approving this investment</w:t>
      </w:r>
      <w:r w:rsidR="006155F6" w:rsidRPr="006155F6">
        <w:t>, the UK</w:t>
      </w:r>
      <w:r w:rsidRPr="00217F59">
        <w:t xml:space="preserve"> would forgo a valuable opportunity to continue demonstrating </w:t>
      </w:r>
      <w:r w:rsidR="00EC762E">
        <w:t>a</w:t>
      </w:r>
      <w:r w:rsidRPr="00217F59">
        <w:t xml:space="preserve">leading role in catalysing action against plastic pollution, in line with domestic </w:t>
      </w:r>
      <w:r w:rsidR="006155F6" w:rsidRPr="006155F6">
        <w:t xml:space="preserve">and international </w:t>
      </w:r>
      <w:r w:rsidRPr="00217F59">
        <w:t>commitments</w:t>
      </w:r>
      <w:r w:rsidR="006860B6" w:rsidRPr="002E7AAA">
        <w:t>.</w:t>
      </w:r>
      <w:r w:rsidR="006860B6">
        <w:t xml:space="preserve"> Not approving the investment would also limit opportunities for Tide Turners and INC to build and scale programming at the rate they are seeking to do, as this is a key moment for capitalising on the INC negotiations and global momentum.</w:t>
      </w:r>
    </w:p>
    <w:p w14:paraId="66BED4EC" w14:textId="2C9CC27E" w:rsidR="006D521B" w:rsidRPr="00DE4372" w:rsidRDefault="0056660D" w:rsidP="00613ABF">
      <w:pPr>
        <w:spacing w:after="240"/>
        <w:jc w:val="left"/>
        <w:rPr>
          <w:rStyle w:val="normaltextrun"/>
          <w:rFonts w:cstheme="minorHAnsi"/>
          <w:color w:val="000000"/>
          <w:sz w:val="20"/>
          <w:szCs w:val="20"/>
          <w:u w:val="single"/>
          <w:shd w:val="clear" w:color="auto" w:fill="FFFFFF"/>
        </w:rPr>
      </w:pPr>
      <w:r w:rsidRPr="00DE4372">
        <w:rPr>
          <w:b/>
          <w:color w:val="000000" w:themeColor="text1"/>
          <w:u w:val="single"/>
        </w:rPr>
        <w:t>Tide Turners Investment options</w:t>
      </w:r>
    </w:p>
    <w:p w14:paraId="284BF78B" w14:textId="120BF0DC" w:rsidR="004846AA" w:rsidRPr="00217F59" w:rsidRDefault="004846AA" w:rsidP="00595499">
      <w:pPr>
        <w:pStyle w:val="Heading3"/>
      </w:pPr>
      <w:r w:rsidRPr="00217F59">
        <w:t xml:space="preserve">Option </w:t>
      </w:r>
      <w:r w:rsidR="001611F1" w:rsidRPr="00217F59">
        <w:t>1</w:t>
      </w:r>
      <w:r w:rsidRPr="00217F59">
        <w:t>:</w:t>
      </w:r>
      <w:r w:rsidR="007D3218">
        <w:t xml:space="preserve"> </w:t>
      </w:r>
      <w:r w:rsidR="0005750F" w:rsidRPr="00217F59">
        <w:t>Invest in tide Turners</w:t>
      </w:r>
      <w:r w:rsidR="006D521B" w:rsidRPr="00217F59">
        <w:t xml:space="preserve"> (£</w:t>
      </w:r>
      <w:r w:rsidR="002A05A8">
        <w:t>900</w:t>
      </w:r>
      <w:r w:rsidR="006D521B" w:rsidRPr="00217F59">
        <w:t>K)</w:t>
      </w:r>
    </w:p>
    <w:p w14:paraId="09A55795" w14:textId="27626C23" w:rsidR="0005750F" w:rsidRDefault="006D521B" w:rsidP="00613ABF">
      <w:pPr>
        <w:spacing w:after="240"/>
        <w:rPr>
          <w:rFonts w:cstheme="minorHAnsi"/>
        </w:rPr>
      </w:pPr>
      <w:r w:rsidRPr="00217F59">
        <w:rPr>
          <w:rFonts w:cstheme="minorHAnsi"/>
          <w:highlight w:val="white"/>
        </w:rPr>
        <w:t>Continue the delivery in a limited number of countries</w:t>
      </w:r>
      <w:r w:rsidR="006155F6">
        <w:rPr>
          <w:rFonts w:cstheme="minorHAnsi"/>
          <w:highlight w:val="white"/>
        </w:rPr>
        <w:t xml:space="preserve"> (10)</w:t>
      </w:r>
      <w:r w:rsidRPr="00217F59">
        <w:rPr>
          <w:rFonts w:cstheme="minorHAnsi"/>
          <w:highlight w:val="white"/>
        </w:rPr>
        <w:t>, with limited options for partners to deliver</w:t>
      </w:r>
      <w:r w:rsidRPr="00217F59">
        <w:rPr>
          <w:rFonts w:cstheme="minorHAnsi"/>
        </w:rPr>
        <w:t xml:space="preserve">. This option retains the programme as a platform to leverage other funding, allows partners to carry out yearly outreach and </w:t>
      </w:r>
      <w:r w:rsidR="002605A0">
        <w:rPr>
          <w:rFonts w:cstheme="minorHAnsi"/>
        </w:rPr>
        <w:t>offers</w:t>
      </w:r>
      <w:r w:rsidR="006155F6">
        <w:rPr>
          <w:rFonts w:cstheme="minorHAnsi"/>
        </w:rPr>
        <w:t xml:space="preserve"> </w:t>
      </w:r>
      <w:r w:rsidRPr="00217F59">
        <w:rPr>
          <w:rFonts w:cstheme="minorHAnsi"/>
        </w:rPr>
        <w:t>mini</w:t>
      </w:r>
      <w:r w:rsidR="006155F6">
        <w:rPr>
          <w:rFonts w:cstheme="minorHAnsi"/>
        </w:rPr>
        <w:t>mal</w:t>
      </w:r>
      <w:r w:rsidRPr="00217F59">
        <w:rPr>
          <w:rFonts w:cstheme="minorHAnsi"/>
        </w:rPr>
        <w:t xml:space="preserve"> amount of advocacy training.</w:t>
      </w:r>
    </w:p>
    <w:p w14:paraId="05DB39BC" w14:textId="09D6A9C9" w:rsidR="004B6D9F" w:rsidRDefault="004B6D9F" w:rsidP="00613ABF">
      <w:pPr>
        <w:spacing w:after="240"/>
        <w:rPr>
          <w:rFonts w:cstheme="minorHAnsi"/>
        </w:rPr>
      </w:pPr>
    </w:p>
    <w:p w14:paraId="6CC5D388" w14:textId="36CCA1C9" w:rsidR="006D521B" w:rsidRPr="00217F59" w:rsidRDefault="0018196D" w:rsidP="0018196D">
      <w:pPr>
        <w:pStyle w:val="Heading3"/>
        <w:ind w:left="0" w:firstLine="0"/>
      </w:pPr>
      <w:r>
        <w:lastRenderedPageBreak/>
        <w:t>O</w:t>
      </w:r>
      <w:r w:rsidR="00EE541B" w:rsidRPr="00217F59">
        <w:t>ption 2:</w:t>
      </w:r>
      <w:r w:rsidR="006D521B" w:rsidRPr="00217F59">
        <w:t xml:space="preserve"> Invest in tide Turners (£</w:t>
      </w:r>
      <w:r w:rsidR="002A05A8">
        <w:t>1.6m</w:t>
      </w:r>
      <w:r w:rsidR="006D521B" w:rsidRPr="00217F59">
        <w:t>)</w:t>
      </w:r>
    </w:p>
    <w:p w14:paraId="1B3C7A60" w14:textId="1A1F7396" w:rsidR="00A212D4" w:rsidRPr="00217F59" w:rsidRDefault="00C11AC3" w:rsidP="00613ABF">
      <w:pPr>
        <w:spacing w:after="240"/>
        <w:rPr>
          <w:rFonts w:cstheme="minorHAnsi"/>
        </w:rPr>
      </w:pPr>
      <w:r w:rsidRPr="00BD39C8">
        <w:rPr>
          <w:rFonts w:cstheme="minorHAnsi"/>
        </w:rPr>
        <w:t>Sustain the progress with all the partners in all the current target countries</w:t>
      </w:r>
      <w:r w:rsidRPr="00217F59">
        <w:rPr>
          <w:rFonts w:cstheme="minorHAnsi"/>
        </w:rPr>
        <w:t>. This option would allow UNEP resources</w:t>
      </w:r>
      <w:r w:rsidRPr="006155F6">
        <w:rPr>
          <w:rFonts w:cstheme="minorHAnsi"/>
        </w:rPr>
        <w:t xml:space="preserve"> </w:t>
      </w:r>
      <w:r w:rsidR="006155F6" w:rsidRPr="006155F6">
        <w:rPr>
          <w:rFonts w:cstheme="minorHAnsi"/>
        </w:rPr>
        <w:t>to be committed to</w:t>
      </w:r>
      <w:r w:rsidRPr="00217F59">
        <w:rPr>
          <w:rFonts w:cstheme="minorHAnsi"/>
        </w:rPr>
        <w:t xml:space="preserve"> country support</w:t>
      </w:r>
      <w:r w:rsidR="002605A0">
        <w:rPr>
          <w:rFonts w:cstheme="minorHAnsi"/>
        </w:rPr>
        <w:t>,</w:t>
      </w:r>
      <w:r w:rsidRPr="006155F6">
        <w:rPr>
          <w:rFonts w:cstheme="minorHAnsi"/>
        </w:rPr>
        <w:t xml:space="preserve"> </w:t>
      </w:r>
      <w:r w:rsidRPr="00217F59">
        <w:rPr>
          <w:rFonts w:cstheme="minorHAnsi"/>
        </w:rPr>
        <w:t xml:space="preserve">advocacy investment </w:t>
      </w:r>
      <w:r w:rsidR="002605A0" w:rsidRPr="006155F6">
        <w:rPr>
          <w:rFonts w:cstheme="minorHAnsi"/>
        </w:rPr>
        <w:t>and</w:t>
      </w:r>
      <w:r w:rsidR="002605A0" w:rsidRPr="00217F59">
        <w:rPr>
          <w:rFonts w:cstheme="minorHAnsi"/>
        </w:rPr>
        <w:t xml:space="preserve"> communications</w:t>
      </w:r>
      <w:r w:rsidRPr="00217F59">
        <w:rPr>
          <w:rFonts w:cstheme="minorHAnsi"/>
        </w:rPr>
        <w:t xml:space="preserve"> to showcase success stories </w:t>
      </w:r>
      <w:r w:rsidR="002605A0">
        <w:rPr>
          <w:rFonts w:cstheme="minorHAnsi"/>
        </w:rPr>
        <w:t>through</w:t>
      </w:r>
      <w:r w:rsidR="002605A0" w:rsidRPr="00217F59">
        <w:rPr>
          <w:rFonts w:cstheme="minorHAnsi"/>
        </w:rPr>
        <w:t xml:space="preserve"> </w:t>
      </w:r>
      <w:r w:rsidRPr="00217F59">
        <w:rPr>
          <w:rFonts w:cstheme="minorHAnsi"/>
        </w:rPr>
        <w:t>social media.</w:t>
      </w:r>
      <w:r w:rsidR="006155F6" w:rsidRPr="006155F6">
        <w:rPr>
          <w:rFonts w:cstheme="minorHAnsi"/>
        </w:rPr>
        <w:t xml:space="preserve"> This option is also expected to result in development and delivery of an </w:t>
      </w:r>
      <w:r w:rsidR="00A212D4" w:rsidRPr="00217F59">
        <w:rPr>
          <w:rFonts w:cstheme="minorHAnsi"/>
        </w:rPr>
        <w:t>app</w:t>
      </w:r>
      <w:r w:rsidR="00820B21">
        <w:rPr>
          <w:rFonts w:cstheme="minorHAnsi"/>
        </w:rPr>
        <w:t>.</w:t>
      </w:r>
    </w:p>
    <w:p w14:paraId="02D44116" w14:textId="66B82456" w:rsidR="006D521B" w:rsidRPr="00217F59" w:rsidRDefault="00EE541B" w:rsidP="00595499">
      <w:pPr>
        <w:pStyle w:val="Heading3"/>
      </w:pPr>
      <w:r w:rsidRPr="00217F59">
        <w:t xml:space="preserve">Option </w:t>
      </w:r>
      <w:r w:rsidR="001611F1" w:rsidRPr="00217F59">
        <w:t>3</w:t>
      </w:r>
      <w:r w:rsidRPr="00217F59">
        <w:t>:</w:t>
      </w:r>
      <w:r w:rsidR="006D521B" w:rsidRPr="00217F59">
        <w:t xml:space="preserve"> Invest in tide Turners (£</w:t>
      </w:r>
      <w:r w:rsidR="002A05A8">
        <w:t>2.4m</w:t>
      </w:r>
      <w:r w:rsidR="006D521B" w:rsidRPr="00217F59">
        <w:t>)</w:t>
      </w:r>
    </w:p>
    <w:p w14:paraId="76653FF0" w14:textId="5D17CE7B" w:rsidR="00EE541B" w:rsidRPr="00BD39C8" w:rsidRDefault="00C11AC3" w:rsidP="00613ABF">
      <w:pPr>
        <w:spacing w:after="240"/>
        <w:rPr>
          <w:rFonts w:cstheme="minorHAnsi"/>
        </w:rPr>
      </w:pPr>
      <w:r>
        <w:rPr>
          <w:rFonts w:cstheme="minorHAnsi"/>
        </w:rPr>
        <w:t xml:space="preserve">This option would </w:t>
      </w:r>
      <w:r w:rsidR="008C371C">
        <w:rPr>
          <w:rFonts w:cstheme="minorHAnsi"/>
        </w:rPr>
        <w:t>be similar to Option 2 (albeit with increased scale).</w:t>
      </w:r>
      <w:r>
        <w:rPr>
          <w:rFonts w:cstheme="minorHAnsi"/>
        </w:rPr>
        <w:t xml:space="preserve"> UNEP </w:t>
      </w:r>
      <w:r w:rsidR="008C371C">
        <w:rPr>
          <w:rFonts w:cstheme="minorHAnsi"/>
        </w:rPr>
        <w:t>believe that the increased</w:t>
      </w:r>
      <w:r>
        <w:rPr>
          <w:rFonts w:cstheme="minorHAnsi"/>
        </w:rPr>
        <w:t xml:space="preserve"> investment </w:t>
      </w:r>
      <w:r w:rsidR="008C371C">
        <w:rPr>
          <w:rFonts w:cstheme="minorHAnsi"/>
        </w:rPr>
        <w:t>could advance</w:t>
      </w:r>
      <w:r>
        <w:rPr>
          <w:rFonts w:cstheme="minorHAnsi"/>
        </w:rPr>
        <w:t xml:space="preserve"> events and</w:t>
      </w:r>
      <w:r w:rsidR="008C371C">
        <w:rPr>
          <w:rFonts w:cstheme="minorHAnsi"/>
        </w:rPr>
        <w:t xml:space="preserve"> help</w:t>
      </w:r>
      <w:r>
        <w:rPr>
          <w:rFonts w:cstheme="minorHAnsi"/>
        </w:rPr>
        <w:t xml:space="preserve"> to integrate the programme </w:t>
      </w:r>
      <w:r w:rsidRPr="00217F59">
        <w:rPr>
          <w:rFonts w:cstheme="minorHAnsi"/>
        </w:rPr>
        <w:t>into global campaigns</w:t>
      </w:r>
      <w:r w:rsidR="00A212D4" w:rsidRPr="00217F59">
        <w:rPr>
          <w:rFonts w:cstheme="minorHAnsi"/>
        </w:rPr>
        <w:t xml:space="preserve">. </w:t>
      </w:r>
    </w:p>
    <w:p w14:paraId="437C2E85" w14:textId="3FEF8721" w:rsidR="006D521B" w:rsidRPr="00217F59" w:rsidRDefault="00EE541B" w:rsidP="00595499">
      <w:pPr>
        <w:pStyle w:val="Heading3"/>
      </w:pPr>
      <w:r w:rsidRPr="00217F59">
        <w:t xml:space="preserve">Option </w:t>
      </w:r>
      <w:r w:rsidR="001611F1" w:rsidRPr="00217F59">
        <w:t>4</w:t>
      </w:r>
      <w:r w:rsidRPr="00217F59">
        <w:t>:</w:t>
      </w:r>
      <w:r w:rsidR="006D521B" w:rsidRPr="00217F59">
        <w:t xml:space="preserve"> Invest in tide Turners (£</w:t>
      </w:r>
      <w:r w:rsidR="002A05A8">
        <w:t>3</w:t>
      </w:r>
      <w:r w:rsidR="006D521B" w:rsidRPr="00217F59">
        <w:t>m)</w:t>
      </w:r>
    </w:p>
    <w:p w14:paraId="7D15D70A" w14:textId="2A600B72" w:rsidR="00A212D4" w:rsidRPr="00217F59" w:rsidRDefault="008C371C" w:rsidP="00613ABF">
      <w:pPr>
        <w:spacing w:after="240"/>
        <w:rPr>
          <w:rFonts w:cstheme="minorHAnsi"/>
          <w:color w:val="FF0000"/>
        </w:rPr>
      </w:pPr>
      <w:r>
        <w:rPr>
          <w:rFonts w:cstheme="minorHAnsi"/>
        </w:rPr>
        <w:t>Option 4 would be similar to Option 3 (but delivered at a greater scale). In addition, Option 4 would deliver updates to</w:t>
      </w:r>
      <w:r w:rsidR="00C11AC3" w:rsidRPr="00217F59">
        <w:rPr>
          <w:rFonts w:cstheme="minorHAnsi"/>
        </w:rPr>
        <w:t xml:space="preserve"> the content of the curricula</w:t>
      </w:r>
      <w:r w:rsidR="005C22F7">
        <w:rPr>
          <w:rFonts w:cstheme="minorHAnsi"/>
        </w:rPr>
        <w:t xml:space="preserve"> and </w:t>
      </w:r>
      <w:r>
        <w:rPr>
          <w:rFonts w:cstheme="minorHAnsi"/>
        </w:rPr>
        <w:t>enhance</w:t>
      </w:r>
      <w:r w:rsidR="002605A0">
        <w:rPr>
          <w:rFonts w:cstheme="minorHAnsi"/>
        </w:rPr>
        <w:t>d</w:t>
      </w:r>
      <w:r>
        <w:rPr>
          <w:rFonts w:cstheme="minorHAnsi"/>
        </w:rPr>
        <w:t xml:space="preserve"> </w:t>
      </w:r>
      <w:r w:rsidR="00C11AC3" w:rsidRPr="00217F59">
        <w:rPr>
          <w:rFonts w:cstheme="minorHAnsi"/>
        </w:rPr>
        <w:t>event delivery</w:t>
      </w:r>
      <w:r w:rsidR="005C22F7">
        <w:rPr>
          <w:rFonts w:cstheme="minorHAnsi"/>
        </w:rPr>
        <w:t>.</w:t>
      </w:r>
    </w:p>
    <w:p w14:paraId="1693A7CC" w14:textId="299234CC" w:rsidR="002A05A8" w:rsidRPr="00DE4372" w:rsidRDefault="00B50CDE" w:rsidP="00613ABF">
      <w:pPr>
        <w:spacing w:after="240"/>
        <w:rPr>
          <w:b/>
          <w:color w:val="000000" w:themeColor="text1"/>
          <w:u w:val="single"/>
        </w:rPr>
      </w:pPr>
      <w:r w:rsidRPr="00DE4372">
        <w:rPr>
          <w:b/>
          <w:color w:val="000000" w:themeColor="text1"/>
          <w:u w:val="single"/>
        </w:rPr>
        <w:t xml:space="preserve">Intergovernmental Negotiating Committee (INC) </w:t>
      </w:r>
      <w:r w:rsidR="008C371C" w:rsidRPr="00DE4372">
        <w:rPr>
          <w:b/>
          <w:color w:val="000000" w:themeColor="text1"/>
          <w:u w:val="single"/>
        </w:rPr>
        <w:t>investment options</w:t>
      </w:r>
    </w:p>
    <w:p w14:paraId="421E1C85" w14:textId="47ED083A" w:rsidR="002A05A8" w:rsidRPr="005D051B" w:rsidRDefault="002A05A8" w:rsidP="00595499">
      <w:pPr>
        <w:pStyle w:val="Heading3"/>
        <w:rPr>
          <w:b/>
        </w:rPr>
      </w:pPr>
      <w:r>
        <w:t>option a: don’t invest in INc support</w:t>
      </w:r>
      <w:r w:rsidR="007D3218">
        <w:t xml:space="preserve"> </w:t>
      </w:r>
      <w:r w:rsidR="007D3218">
        <w:rPr>
          <w:b/>
          <w:bCs/>
        </w:rPr>
        <w:t>(discounted)</w:t>
      </w:r>
    </w:p>
    <w:p w14:paraId="3B54456E" w14:textId="064F0D22" w:rsidR="008B2C35" w:rsidRPr="00A03CDD" w:rsidRDefault="008741D4" w:rsidP="00613ABF">
      <w:pPr>
        <w:spacing w:after="240"/>
        <w:rPr>
          <w:bCs/>
        </w:rPr>
      </w:pPr>
      <w:r>
        <w:t>An insufficient funding pot r</w:t>
      </w:r>
      <w:r w:rsidR="00FC5199">
        <w:t>isk</w:t>
      </w:r>
      <w:r w:rsidR="00451D1C">
        <w:t>s</w:t>
      </w:r>
      <w:r w:rsidR="00FC5199">
        <w:t xml:space="preserve"> </w:t>
      </w:r>
      <w:r w:rsidR="00196BF6">
        <w:t>a number of</w:t>
      </w:r>
      <w:r w:rsidR="00FC5199">
        <w:t xml:space="preserve"> countries </w:t>
      </w:r>
      <w:r w:rsidR="00756A3A">
        <w:t>being excluded from</w:t>
      </w:r>
      <w:r w:rsidR="00806308">
        <w:t xml:space="preserve"> INC</w:t>
      </w:r>
      <w:r w:rsidR="00FC5199">
        <w:t xml:space="preserve"> negotiations</w:t>
      </w:r>
      <w:r w:rsidR="00451D1C">
        <w:t xml:space="preserve"> and losing their input or </w:t>
      </w:r>
      <w:r w:rsidR="00545394">
        <w:t xml:space="preserve">support of the </w:t>
      </w:r>
      <w:r w:rsidR="008E1DCA">
        <w:t>final text</w:t>
      </w:r>
      <w:r w:rsidR="00451D1C">
        <w:t>.</w:t>
      </w:r>
      <w:r w:rsidR="008E1DCA">
        <w:t xml:space="preserve"> </w:t>
      </w:r>
      <w:r w:rsidR="00451D1C">
        <w:t xml:space="preserve">This limits their ability to </w:t>
      </w:r>
      <w:r w:rsidR="00EE5AD7">
        <w:t>ratify</w:t>
      </w:r>
      <w:r w:rsidR="00FC5199">
        <w:t xml:space="preserve"> the treaty. By not </w:t>
      </w:r>
      <w:r w:rsidR="00095041">
        <w:t>ratifying</w:t>
      </w:r>
      <w:r w:rsidR="000E0B7B">
        <w:t xml:space="preserve"> the treaty the countries will </w:t>
      </w:r>
      <w:r w:rsidR="007D3218">
        <w:t>not be legally bound to make critical</w:t>
      </w:r>
      <w:r w:rsidR="000E0B7B">
        <w:t xml:space="preserve"> </w:t>
      </w:r>
      <w:r w:rsidR="007D3218">
        <w:t xml:space="preserve">changes in the management of plastic within their country </w:t>
      </w:r>
      <w:r w:rsidR="00EE5AD7">
        <w:t>and the</w:t>
      </w:r>
      <w:r w:rsidR="0060195B">
        <w:t xml:space="preserve"> </w:t>
      </w:r>
      <w:r w:rsidR="009E7D84">
        <w:t>global</w:t>
      </w:r>
      <w:r w:rsidR="007D3218">
        <w:t xml:space="preserve"> </w:t>
      </w:r>
      <w:r w:rsidR="000E0B7B">
        <w:t>environmental improvements</w:t>
      </w:r>
      <w:r w:rsidR="007D3218">
        <w:t xml:space="preserve"> necessary to stabilise the marine environment</w:t>
      </w:r>
      <w:r w:rsidR="0060195B">
        <w:t xml:space="preserve"> may not be achieved</w:t>
      </w:r>
      <w:r w:rsidR="007D3218">
        <w:t>. This option has been discounted as it s</w:t>
      </w:r>
      <w:r w:rsidR="00DD2EAF">
        <w:t>cored poorly against the BPF investment criteria</w:t>
      </w:r>
      <w:r w:rsidR="00DD2EAF" w:rsidRPr="004B6D9F">
        <w:rPr>
          <w:bCs/>
        </w:rPr>
        <w:t xml:space="preserve"> (see </w:t>
      </w:r>
      <w:r w:rsidR="00DE4372" w:rsidRPr="004B6D9F">
        <w:rPr>
          <w:bCs/>
        </w:rPr>
        <w:t>Section 7.2</w:t>
      </w:r>
      <w:r w:rsidR="00DD2EAF" w:rsidRPr="004B6D9F">
        <w:rPr>
          <w:bCs/>
        </w:rPr>
        <w:t>)</w:t>
      </w:r>
      <w:r w:rsidR="008B2C35">
        <w:t>.</w:t>
      </w:r>
      <w:r w:rsidR="00A03CDD" w:rsidRPr="00A03CDD">
        <w:t xml:space="preserve"> </w:t>
      </w:r>
      <w:r w:rsidR="00A03CDD">
        <w:t>Whilst the UK would not be the only contributor to the fund, not contributing would not be in support of our global objective to be a leader on this issue</w:t>
      </w:r>
      <w:r w:rsidR="00E06D7F">
        <w:t>.  In addition, as the UK’s contribution will be ODA</w:t>
      </w:r>
      <w:r w:rsidR="00264F17">
        <w:t>,</w:t>
      </w:r>
      <w:r w:rsidR="00E06D7F">
        <w:t xml:space="preserve"> we will help to ensure targeting of funding on the issues of most importance to developing countries in support of the objectives outlined in this business case. </w:t>
      </w:r>
    </w:p>
    <w:p w14:paraId="18272AEE" w14:textId="4460EB2D" w:rsidR="002A05A8" w:rsidRPr="00217F59" w:rsidRDefault="002A05A8" w:rsidP="00595499">
      <w:pPr>
        <w:pStyle w:val="Heading3"/>
        <w:rPr>
          <w:b/>
          <w:bCs/>
        </w:rPr>
      </w:pPr>
      <w:r>
        <w:t>option b: invest in INc support</w:t>
      </w:r>
    </w:p>
    <w:p w14:paraId="4AA26161" w14:textId="1767C02B" w:rsidR="00EE541B" w:rsidRDefault="00B50CDE" w:rsidP="4BC814E4">
      <w:pPr>
        <w:spacing w:after="240"/>
      </w:pPr>
      <w:r>
        <w:t xml:space="preserve">By providing funding to the INC process there is a greater chance that the final agreement will reflect the needs of developing countries and more effectively guide national level actions. </w:t>
      </w:r>
      <w:r w:rsidR="00FC5199" w:rsidRPr="4BC814E4">
        <w:t xml:space="preserve">Investment in INC support </w:t>
      </w:r>
      <w:r w:rsidR="000E0B7B" w:rsidRPr="4BC814E4">
        <w:t>could</w:t>
      </w:r>
      <w:r w:rsidR="00FC5199" w:rsidRPr="4BC814E4">
        <w:t xml:space="preserve"> be comprised of up to three components. </w:t>
      </w:r>
      <w:r w:rsidR="002605A0" w:rsidRPr="4BC814E4">
        <w:t>W</w:t>
      </w:r>
      <w:r w:rsidR="00FC5199" w:rsidRPr="4BC814E4">
        <w:t xml:space="preserve">hich </w:t>
      </w:r>
      <w:r w:rsidR="000E0B7B" w:rsidRPr="4BC814E4">
        <w:t>components</w:t>
      </w:r>
      <w:r w:rsidR="00FC5199" w:rsidRPr="4BC814E4">
        <w:t xml:space="preserve"> will be invest</w:t>
      </w:r>
      <w:r w:rsidR="000E0B7B" w:rsidRPr="4BC814E4">
        <w:t xml:space="preserve">ed in and how much </w:t>
      </w:r>
      <w:r w:rsidR="001B0F6C" w:rsidRPr="4BC814E4">
        <w:t xml:space="preserve">will be decided based on </w:t>
      </w:r>
      <w:r w:rsidR="00A31A3F" w:rsidRPr="4BC814E4">
        <w:t xml:space="preserve">priorities identified by UNEP </w:t>
      </w:r>
      <w:r w:rsidR="00A83B18" w:rsidRPr="4BC814E4">
        <w:t xml:space="preserve">partly based on </w:t>
      </w:r>
      <w:r w:rsidR="002D0079" w:rsidRPr="4BC814E4">
        <w:t>the funding</w:t>
      </w:r>
      <w:r w:rsidR="00D229DB" w:rsidRPr="4BC814E4">
        <w:t xml:space="preserve"> </w:t>
      </w:r>
      <w:r w:rsidR="002D0079" w:rsidRPr="4BC814E4">
        <w:t>provided by</w:t>
      </w:r>
      <w:r w:rsidR="00D229DB" w:rsidRPr="4BC814E4">
        <w:t xml:space="preserve"> other donors</w:t>
      </w:r>
      <w:r w:rsidR="002E22C0" w:rsidRPr="4BC814E4">
        <w:t xml:space="preserve">, </w:t>
      </w:r>
      <w:r w:rsidR="00895D58" w:rsidRPr="4BC814E4">
        <w:t xml:space="preserve">and a certain degree of flexibility will be required </w:t>
      </w:r>
      <w:r w:rsidR="00EA1868" w:rsidRPr="4BC814E4">
        <w:t xml:space="preserve">to ensure </w:t>
      </w:r>
      <w:r w:rsidR="00065265" w:rsidRPr="4BC814E4">
        <w:t xml:space="preserve">that our funding </w:t>
      </w:r>
      <w:r w:rsidR="00B215E1" w:rsidRPr="4BC814E4">
        <w:t>continues to be used in the most effective way as the INC meetings progress</w:t>
      </w:r>
      <w:r w:rsidR="000E0B7B" w:rsidRPr="4BC814E4">
        <w:t>.</w:t>
      </w:r>
      <w:r w:rsidR="00D229DB" w:rsidRPr="4BC814E4">
        <w:t xml:space="preserve"> </w:t>
      </w:r>
      <w:r w:rsidR="002C2D17" w:rsidRPr="4BC814E4">
        <w:t xml:space="preserve">This funding will also be provided to UNEP as a contribution, </w:t>
      </w:r>
      <w:r w:rsidR="00A76EFC" w:rsidRPr="4BC814E4">
        <w:t xml:space="preserve">which limits </w:t>
      </w:r>
      <w:r w:rsidR="00F1454E" w:rsidRPr="4BC814E4">
        <w:t>the control we have on how the money will be spent</w:t>
      </w:r>
      <w:r w:rsidR="005E548F" w:rsidRPr="4BC814E4">
        <w:t xml:space="preserve">, although ODA eligibility rules will apply. </w:t>
      </w:r>
      <w:r w:rsidR="00D229DB" w:rsidRPr="4BC814E4">
        <w:t xml:space="preserve"> </w:t>
      </w:r>
      <w:r w:rsidR="0066763E" w:rsidRPr="4BC814E4">
        <w:t>The full estimated cost of each activity provided by UNEP is included in Appendix 6</w:t>
      </w:r>
      <w:r w:rsidR="00841286" w:rsidRPr="4BC814E4">
        <w:t>, but is likely to cover activities such as:</w:t>
      </w:r>
    </w:p>
    <w:p w14:paraId="576B8B03" w14:textId="135D0E90" w:rsidR="000E0B7B" w:rsidRDefault="000E0B7B" w:rsidP="005C25BE">
      <w:pPr>
        <w:pStyle w:val="ListParagraph"/>
        <w:numPr>
          <w:ilvl w:val="0"/>
          <w:numId w:val="9"/>
        </w:numPr>
        <w:spacing w:after="240" w:line="240" w:lineRule="auto"/>
        <w:rPr>
          <w:rFonts w:eastAsiaTheme="minorHAnsi" w:cstheme="minorHAnsi"/>
        </w:rPr>
      </w:pPr>
      <w:r>
        <w:rPr>
          <w:rFonts w:eastAsiaTheme="minorHAnsi" w:cstheme="minorHAnsi"/>
        </w:rPr>
        <w:t>Attendance and participation costs (funding for travel and accommodation)</w:t>
      </w:r>
    </w:p>
    <w:p w14:paraId="5760B162" w14:textId="4D94F7C5" w:rsidR="000E0B7B" w:rsidRDefault="000E0B7B" w:rsidP="005C25BE">
      <w:pPr>
        <w:pStyle w:val="ListParagraph"/>
        <w:numPr>
          <w:ilvl w:val="0"/>
          <w:numId w:val="9"/>
        </w:numPr>
        <w:spacing w:after="240" w:line="240" w:lineRule="auto"/>
        <w:rPr>
          <w:rFonts w:eastAsiaTheme="minorHAnsi" w:cstheme="minorHAnsi"/>
        </w:rPr>
      </w:pPr>
      <w:r>
        <w:rPr>
          <w:rFonts w:eastAsiaTheme="minorHAnsi" w:cstheme="minorHAnsi"/>
        </w:rPr>
        <w:t xml:space="preserve">Capacity building costs (training </w:t>
      </w:r>
      <w:r w:rsidR="00F80972">
        <w:rPr>
          <w:rFonts w:eastAsiaTheme="minorHAnsi" w:cstheme="minorHAnsi"/>
        </w:rPr>
        <w:t xml:space="preserve">for </w:t>
      </w:r>
      <w:r w:rsidR="00A80555">
        <w:rPr>
          <w:rFonts w:eastAsiaTheme="minorHAnsi" w:cstheme="minorHAnsi"/>
        </w:rPr>
        <w:t>ODA-eligible participants</w:t>
      </w:r>
      <w:r>
        <w:rPr>
          <w:rFonts w:eastAsiaTheme="minorHAnsi" w:cstheme="minorHAnsi"/>
        </w:rPr>
        <w:t xml:space="preserve"> in </w:t>
      </w:r>
      <w:r w:rsidR="00A80555">
        <w:rPr>
          <w:rFonts w:eastAsiaTheme="minorHAnsi" w:cstheme="minorHAnsi"/>
        </w:rPr>
        <w:t>leadership positions</w:t>
      </w:r>
      <w:r>
        <w:rPr>
          <w:rFonts w:eastAsiaTheme="minorHAnsi" w:cstheme="minorHAnsi"/>
        </w:rPr>
        <w:t>).</w:t>
      </w:r>
    </w:p>
    <w:p w14:paraId="732ABF96" w14:textId="475C3F4D" w:rsidR="00A80555" w:rsidRDefault="00A80555" w:rsidP="005C25BE">
      <w:pPr>
        <w:pStyle w:val="ListParagraph"/>
        <w:numPr>
          <w:ilvl w:val="0"/>
          <w:numId w:val="9"/>
        </w:numPr>
        <w:spacing w:after="240" w:line="240" w:lineRule="auto"/>
        <w:rPr>
          <w:rFonts w:eastAsiaTheme="minorHAnsi" w:cstheme="minorHAnsi"/>
        </w:rPr>
      </w:pPr>
      <w:r>
        <w:rPr>
          <w:rFonts w:eastAsiaTheme="minorHAnsi" w:cstheme="minorHAnsi"/>
        </w:rPr>
        <w:t xml:space="preserve">Regional meeting costs </w:t>
      </w:r>
      <w:r w:rsidR="00F9565B">
        <w:rPr>
          <w:rFonts w:eastAsiaTheme="minorHAnsi" w:cstheme="minorHAnsi"/>
        </w:rPr>
        <w:t>in regions where the participating countries are majority ODA-eligible.</w:t>
      </w:r>
    </w:p>
    <w:p w14:paraId="21D3EC31" w14:textId="3208CF0A" w:rsidR="000E0B7B" w:rsidRPr="00BD39C8" w:rsidRDefault="000E0B7B" w:rsidP="00613ABF">
      <w:pPr>
        <w:spacing w:after="240"/>
      </w:pPr>
      <w:r w:rsidRPr="74B30682">
        <w:t xml:space="preserve">The countries that will benefit from the INC support are yet to be determined. </w:t>
      </w:r>
      <w:r w:rsidR="00EE6D7F" w:rsidRPr="74B30682">
        <w:t xml:space="preserve">UNEP will work closely with </w:t>
      </w:r>
      <w:r w:rsidR="00196BF6">
        <w:t>Defra</w:t>
      </w:r>
      <w:r w:rsidRPr="74B30682">
        <w:t xml:space="preserve"> </w:t>
      </w:r>
      <w:r w:rsidR="00A03CDD">
        <w:t>and other countries (</w:t>
      </w:r>
      <w:r w:rsidR="00E06D7F">
        <w:t xml:space="preserve">both </w:t>
      </w:r>
      <w:r w:rsidR="00A03CDD">
        <w:t xml:space="preserve">donors and those that may seek funding) </w:t>
      </w:r>
      <w:r w:rsidR="00EE6D7F" w:rsidRPr="74B30682">
        <w:t>to</w:t>
      </w:r>
      <w:r w:rsidRPr="74B30682">
        <w:t xml:space="preserve"> </w:t>
      </w:r>
      <w:r w:rsidR="00A03CDD">
        <w:t xml:space="preserve">understand </w:t>
      </w:r>
      <w:r w:rsidRPr="74B30682">
        <w:t>which countries face barriers from attending such negotiations</w:t>
      </w:r>
      <w:r w:rsidR="00EE6D7F" w:rsidRPr="74B30682">
        <w:t xml:space="preserve">. Separately, </w:t>
      </w:r>
      <w:r w:rsidR="00196BF6">
        <w:t>Defra</w:t>
      </w:r>
      <w:r w:rsidR="00EE6D7F" w:rsidRPr="74B30682">
        <w:t xml:space="preserve"> </w:t>
      </w:r>
      <w:r w:rsidR="00845A93" w:rsidRPr="74B30682">
        <w:t>will</w:t>
      </w:r>
      <w:r w:rsidR="00EE6D7F" w:rsidRPr="74B30682">
        <w:t xml:space="preserve"> </w:t>
      </w:r>
      <w:r w:rsidR="00451D1C" w:rsidRPr="74B30682">
        <w:t xml:space="preserve">confirm </w:t>
      </w:r>
      <w:r w:rsidRPr="74B30682">
        <w:t>ODA</w:t>
      </w:r>
      <w:r w:rsidR="00451D1C" w:rsidRPr="74B30682">
        <w:t xml:space="preserve"> eligibility </w:t>
      </w:r>
      <w:r w:rsidR="00EE6D7F" w:rsidRPr="74B30682">
        <w:t>as part of the prioritisation process</w:t>
      </w:r>
      <w:r w:rsidRPr="74B30682">
        <w:t xml:space="preserve">. </w:t>
      </w:r>
      <w:r w:rsidR="00E8039F">
        <w:t>The</w:t>
      </w:r>
      <w:r w:rsidR="00845A93" w:rsidRPr="74B30682">
        <w:t xml:space="preserve"> effectiveness of the fun</w:t>
      </w:r>
      <w:r w:rsidR="00A028BD" w:rsidRPr="74B30682">
        <w:t>ding will be closely monitored and evaluated to a) keep updated on progress and intervene if necessary and b) note lessons learnt from supporting negotiations for future possible interventions.</w:t>
      </w:r>
    </w:p>
    <w:p w14:paraId="0CDE06A0" w14:textId="0D1FFAD2" w:rsidR="0015735C" w:rsidRDefault="00845A93" w:rsidP="00845A93">
      <w:pPr>
        <w:pStyle w:val="CommentText"/>
      </w:pPr>
      <w:r>
        <w:t>The amount of funding for INC support (£</w:t>
      </w:r>
      <w:r w:rsidR="00D25307">
        <w:t>2m</w:t>
      </w:r>
      <w:r>
        <w:t>) was chosen for both logistical reasons (more support at the negotiations will improve outcomes) and reputational reasons (it is important that the UK is seen to be sufficiently supporting developing countries</w:t>
      </w:r>
      <w:r w:rsidR="00D12EAA">
        <w:t>)</w:t>
      </w:r>
      <w:r>
        <w:t>.</w:t>
      </w:r>
      <w:r w:rsidR="485910A1">
        <w:t xml:space="preserve"> </w:t>
      </w:r>
      <w:r w:rsidR="00827351">
        <w:t>The f</w:t>
      </w:r>
      <w:r w:rsidR="0015735C">
        <w:t xml:space="preserve">ollowing table indicates formal pledges as </w:t>
      </w:r>
      <w:r w:rsidR="0015735C">
        <w:lastRenderedPageBreak/>
        <w:t xml:space="preserve">received by the UN Environment Programme in support of the mandate, as of 10 November 2022. </w:t>
      </w:r>
      <w:r w:rsidR="00891D2A">
        <w:t>Note that these are not all ODA</w:t>
      </w:r>
      <w:r w:rsidR="00B85629">
        <w:t xml:space="preserve"> and will cover other costs such as </w:t>
      </w:r>
      <w:r w:rsidR="00137827">
        <w:t>staff and venues</w:t>
      </w:r>
      <w:r w:rsidR="00891D2A">
        <w:t xml:space="preserve">. </w:t>
      </w:r>
    </w:p>
    <w:p w14:paraId="79D4EB98" w14:textId="77777777" w:rsidR="00891D2A" w:rsidRDefault="00891D2A" w:rsidP="00845A93">
      <w:pPr>
        <w:pStyle w:val="CommentText"/>
      </w:pPr>
    </w:p>
    <w:tbl>
      <w:tblPr>
        <w:tblStyle w:val="TableGrid"/>
        <w:tblW w:w="0" w:type="auto"/>
        <w:tblLook w:val="04A0" w:firstRow="1" w:lastRow="0" w:firstColumn="1" w:lastColumn="0" w:noHBand="0" w:noVBand="1"/>
      </w:tblPr>
      <w:tblGrid>
        <w:gridCol w:w="3002"/>
        <w:gridCol w:w="3002"/>
        <w:gridCol w:w="3002"/>
      </w:tblGrid>
      <w:tr w:rsidR="00891D2A" w14:paraId="7D8F2C49" w14:textId="77777777" w:rsidTr="00891D2A">
        <w:tc>
          <w:tcPr>
            <w:tcW w:w="3002" w:type="dxa"/>
          </w:tcPr>
          <w:p w14:paraId="6ECFB7A1" w14:textId="2AE1B83A" w:rsidR="00891D2A" w:rsidRPr="00891D2A" w:rsidRDefault="00891D2A" w:rsidP="00845A93">
            <w:pPr>
              <w:pStyle w:val="CommentText"/>
              <w:rPr>
                <w:b/>
                <w:bCs/>
              </w:rPr>
            </w:pPr>
            <w:r w:rsidRPr="00891D2A">
              <w:rPr>
                <w:b/>
                <w:bCs/>
              </w:rPr>
              <w:t>Member States</w:t>
            </w:r>
          </w:p>
        </w:tc>
        <w:tc>
          <w:tcPr>
            <w:tcW w:w="3002" w:type="dxa"/>
          </w:tcPr>
          <w:p w14:paraId="31C48417" w14:textId="3F8962DC" w:rsidR="00891D2A" w:rsidRPr="00891D2A" w:rsidRDefault="00891D2A" w:rsidP="00845A93">
            <w:pPr>
              <w:pStyle w:val="CommentText"/>
              <w:rPr>
                <w:b/>
                <w:bCs/>
              </w:rPr>
            </w:pPr>
            <w:r w:rsidRPr="00891D2A">
              <w:rPr>
                <w:b/>
                <w:bCs/>
              </w:rPr>
              <w:t>Unpaid Pledge (USD)</w:t>
            </w:r>
          </w:p>
        </w:tc>
        <w:tc>
          <w:tcPr>
            <w:tcW w:w="3002" w:type="dxa"/>
          </w:tcPr>
          <w:p w14:paraId="5B0C2FB5" w14:textId="23B91514" w:rsidR="00891D2A" w:rsidRPr="00891D2A" w:rsidRDefault="00891D2A" w:rsidP="00845A93">
            <w:pPr>
              <w:pStyle w:val="CommentText"/>
              <w:rPr>
                <w:b/>
                <w:bCs/>
              </w:rPr>
            </w:pPr>
            <w:r w:rsidRPr="00891D2A">
              <w:rPr>
                <w:b/>
                <w:bCs/>
              </w:rPr>
              <w:t>Received (USD)</w:t>
            </w:r>
          </w:p>
        </w:tc>
      </w:tr>
      <w:tr w:rsidR="00891D2A" w14:paraId="313BE5A4" w14:textId="77777777" w:rsidTr="00891D2A">
        <w:tc>
          <w:tcPr>
            <w:tcW w:w="3002" w:type="dxa"/>
          </w:tcPr>
          <w:p w14:paraId="78A2DE2F" w14:textId="57350249" w:rsidR="00891D2A" w:rsidRDefault="00891D2A" w:rsidP="00845A93">
            <w:pPr>
              <w:pStyle w:val="CommentText"/>
            </w:pPr>
            <w:r>
              <w:t>Finland</w:t>
            </w:r>
          </w:p>
        </w:tc>
        <w:tc>
          <w:tcPr>
            <w:tcW w:w="3002" w:type="dxa"/>
          </w:tcPr>
          <w:p w14:paraId="1B32A00C" w14:textId="5BE68105" w:rsidR="00891D2A" w:rsidRDefault="00891D2A" w:rsidP="00845A93">
            <w:pPr>
              <w:pStyle w:val="CommentText"/>
            </w:pPr>
          </w:p>
        </w:tc>
        <w:tc>
          <w:tcPr>
            <w:tcW w:w="3002" w:type="dxa"/>
          </w:tcPr>
          <w:p w14:paraId="0032A04A" w14:textId="53AA2E98" w:rsidR="00891D2A" w:rsidRDefault="00B85629" w:rsidP="00845A93">
            <w:pPr>
              <w:pStyle w:val="CommentText"/>
            </w:pPr>
            <w:r>
              <w:t>48,193</w:t>
            </w:r>
          </w:p>
        </w:tc>
      </w:tr>
      <w:tr w:rsidR="00891D2A" w14:paraId="1A441292" w14:textId="77777777" w:rsidTr="00891D2A">
        <w:tc>
          <w:tcPr>
            <w:tcW w:w="3002" w:type="dxa"/>
          </w:tcPr>
          <w:p w14:paraId="61E5853E" w14:textId="0B275C9A" w:rsidR="00891D2A" w:rsidRDefault="00891D2A" w:rsidP="00845A93">
            <w:pPr>
              <w:pStyle w:val="CommentText"/>
            </w:pPr>
            <w:r>
              <w:t>France</w:t>
            </w:r>
          </w:p>
        </w:tc>
        <w:tc>
          <w:tcPr>
            <w:tcW w:w="3002" w:type="dxa"/>
          </w:tcPr>
          <w:p w14:paraId="3D357A62" w14:textId="672A9393" w:rsidR="00891D2A" w:rsidRDefault="00891D2A" w:rsidP="00845A93">
            <w:pPr>
              <w:pStyle w:val="CommentText"/>
            </w:pPr>
          </w:p>
        </w:tc>
        <w:tc>
          <w:tcPr>
            <w:tcW w:w="3002" w:type="dxa"/>
          </w:tcPr>
          <w:p w14:paraId="47A4D9CB" w14:textId="0E299EC3" w:rsidR="00891D2A" w:rsidRDefault="00B85629" w:rsidP="00845A93">
            <w:pPr>
              <w:pStyle w:val="CommentText"/>
            </w:pPr>
            <w:r>
              <w:t xml:space="preserve"> 102,394</w:t>
            </w:r>
          </w:p>
        </w:tc>
      </w:tr>
      <w:tr w:rsidR="00891D2A" w14:paraId="612658AD" w14:textId="77777777" w:rsidTr="00891D2A">
        <w:tc>
          <w:tcPr>
            <w:tcW w:w="3002" w:type="dxa"/>
          </w:tcPr>
          <w:p w14:paraId="40892C01" w14:textId="2AF3FA21" w:rsidR="00891D2A" w:rsidRDefault="00891D2A" w:rsidP="00845A93">
            <w:pPr>
              <w:pStyle w:val="CommentText"/>
            </w:pPr>
            <w:r>
              <w:t>Germany</w:t>
            </w:r>
          </w:p>
        </w:tc>
        <w:tc>
          <w:tcPr>
            <w:tcW w:w="3002" w:type="dxa"/>
          </w:tcPr>
          <w:p w14:paraId="6969E858" w14:textId="5FBD2828" w:rsidR="00891D2A" w:rsidRDefault="00891D2A" w:rsidP="00845A93">
            <w:pPr>
              <w:pStyle w:val="CommentText"/>
            </w:pPr>
            <w:r>
              <w:t>1,502,457</w:t>
            </w:r>
          </w:p>
        </w:tc>
        <w:tc>
          <w:tcPr>
            <w:tcW w:w="3002" w:type="dxa"/>
          </w:tcPr>
          <w:p w14:paraId="1F036AD6" w14:textId="031BC0C6" w:rsidR="00891D2A" w:rsidRDefault="00891D2A" w:rsidP="00845A93">
            <w:pPr>
              <w:pStyle w:val="CommentText"/>
            </w:pPr>
            <w:r>
              <w:t>99,308</w:t>
            </w:r>
          </w:p>
        </w:tc>
      </w:tr>
      <w:tr w:rsidR="00891D2A" w14:paraId="22A00078" w14:textId="77777777" w:rsidTr="00891D2A">
        <w:tc>
          <w:tcPr>
            <w:tcW w:w="3002" w:type="dxa"/>
          </w:tcPr>
          <w:p w14:paraId="1724C2E3" w14:textId="40F12F9C" w:rsidR="00891D2A" w:rsidRDefault="00891D2A" w:rsidP="00845A93">
            <w:pPr>
              <w:pStyle w:val="CommentText"/>
            </w:pPr>
            <w:r>
              <w:t>Ireland</w:t>
            </w:r>
          </w:p>
        </w:tc>
        <w:tc>
          <w:tcPr>
            <w:tcW w:w="3002" w:type="dxa"/>
          </w:tcPr>
          <w:p w14:paraId="7855305D" w14:textId="1B68F585" w:rsidR="00891D2A" w:rsidRDefault="00891D2A" w:rsidP="00845A93">
            <w:pPr>
              <w:pStyle w:val="CommentText"/>
            </w:pPr>
            <w:r>
              <w:t>484,496</w:t>
            </w:r>
          </w:p>
        </w:tc>
        <w:tc>
          <w:tcPr>
            <w:tcW w:w="3002" w:type="dxa"/>
          </w:tcPr>
          <w:p w14:paraId="772D5EEF" w14:textId="77777777" w:rsidR="00891D2A" w:rsidRDefault="00891D2A" w:rsidP="00845A93">
            <w:pPr>
              <w:pStyle w:val="CommentText"/>
            </w:pPr>
          </w:p>
        </w:tc>
      </w:tr>
      <w:tr w:rsidR="00891D2A" w14:paraId="14271D1D" w14:textId="77777777" w:rsidTr="00891D2A">
        <w:tc>
          <w:tcPr>
            <w:tcW w:w="3002" w:type="dxa"/>
          </w:tcPr>
          <w:p w14:paraId="6F3EC8FE" w14:textId="584DD18F" w:rsidR="00891D2A" w:rsidRDefault="00891D2A" w:rsidP="00845A93">
            <w:pPr>
              <w:pStyle w:val="CommentText"/>
            </w:pPr>
            <w:r>
              <w:t>Japan</w:t>
            </w:r>
          </w:p>
        </w:tc>
        <w:tc>
          <w:tcPr>
            <w:tcW w:w="3002" w:type="dxa"/>
          </w:tcPr>
          <w:p w14:paraId="56B1AA77" w14:textId="7616EAFA" w:rsidR="00891D2A" w:rsidRDefault="00891D2A" w:rsidP="00845A93">
            <w:pPr>
              <w:pStyle w:val="CommentText"/>
            </w:pPr>
            <w:r>
              <w:t>** 90,000</w:t>
            </w:r>
          </w:p>
        </w:tc>
        <w:tc>
          <w:tcPr>
            <w:tcW w:w="3002" w:type="dxa"/>
          </w:tcPr>
          <w:p w14:paraId="78E56A2C" w14:textId="77777777" w:rsidR="00891D2A" w:rsidRDefault="00891D2A" w:rsidP="00845A93">
            <w:pPr>
              <w:pStyle w:val="CommentText"/>
            </w:pPr>
          </w:p>
        </w:tc>
      </w:tr>
      <w:tr w:rsidR="00891D2A" w14:paraId="36E36FAF" w14:textId="77777777" w:rsidTr="00891D2A">
        <w:tc>
          <w:tcPr>
            <w:tcW w:w="3002" w:type="dxa"/>
          </w:tcPr>
          <w:p w14:paraId="3B949037" w14:textId="07F13E2E" w:rsidR="00891D2A" w:rsidRDefault="00891D2A" w:rsidP="00845A93">
            <w:pPr>
              <w:pStyle w:val="CommentText"/>
            </w:pPr>
            <w:r>
              <w:t>Netherlands</w:t>
            </w:r>
          </w:p>
        </w:tc>
        <w:tc>
          <w:tcPr>
            <w:tcW w:w="3002" w:type="dxa"/>
          </w:tcPr>
          <w:p w14:paraId="4D6D6E0A" w14:textId="4DE7D73E" w:rsidR="00891D2A" w:rsidRDefault="00891D2A" w:rsidP="00845A93">
            <w:pPr>
              <w:pStyle w:val="CommentText"/>
            </w:pPr>
            <w:r>
              <w:t>410,000</w:t>
            </w:r>
          </w:p>
        </w:tc>
        <w:tc>
          <w:tcPr>
            <w:tcW w:w="3002" w:type="dxa"/>
          </w:tcPr>
          <w:p w14:paraId="7A234A39" w14:textId="77777777" w:rsidR="00891D2A" w:rsidRDefault="00891D2A" w:rsidP="00845A93">
            <w:pPr>
              <w:pStyle w:val="CommentText"/>
            </w:pPr>
          </w:p>
        </w:tc>
      </w:tr>
      <w:tr w:rsidR="00891D2A" w14:paraId="4FB11893" w14:textId="77777777" w:rsidTr="00891D2A">
        <w:tc>
          <w:tcPr>
            <w:tcW w:w="3002" w:type="dxa"/>
          </w:tcPr>
          <w:p w14:paraId="4E405388" w14:textId="3261CF85" w:rsidR="00891D2A" w:rsidRDefault="00891D2A" w:rsidP="00845A93">
            <w:pPr>
              <w:pStyle w:val="CommentText"/>
            </w:pPr>
            <w:r>
              <w:t>Norway</w:t>
            </w:r>
          </w:p>
        </w:tc>
        <w:tc>
          <w:tcPr>
            <w:tcW w:w="3002" w:type="dxa"/>
          </w:tcPr>
          <w:p w14:paraId="14D162C6" w14:textId="19D71D20" w:rsidR="00891D2A" w:rsidRDefault="00891D2A" w:rsidP="00845A93">
            <w:pPr>
              <w:pStyle w:val="CommentText"/>
            </w:pPr>
          </w:p>
        </w:tc>
        <w:tc>
          <w:tcPr>
            <w:tcW w:w="3002" w:type="dxa"/>
          </w:tcPr>
          <w:p w14:paraId="3FC6FBA7" w14:textId="30ACD1DC" w:rsidR="00891D2A" w:rsidRDefault="00137827" w:rsidP="00845A93">
            <w:pPr>
              <w:pStyle w:val="CommentText"/>
            </w:pPr>
            <w:r>
              <w:t>2,174,168</w:t>
            </w:r>
          </w:p>
        </w:tc>
      </w:tr>
      <w:tr w:rsidR="00891D2A" w14:paraId="50ADAB7D" w14:textId="77777777" w:rsidTr="00891D2A">
        <w:tc>
          <w:tcPr>
            <w:tcW w:w="3002" w:type="dxa"/>
          </w:tcPr>
          <w:p w14:paraId="192CB1F9" w14:textId="794594C9" w:rsidR="00891D2A" w:rsidRDefault="00891D2A" w:rsidP="00845A93">
            <w:pPr>
              <w:pStyle w:val="CommentText"/>
            </w:pPr>
            <w:r>
              <w:t>Spain</w:t>
            </w:r>
          </w:p>
        </w:tc>
        <w:tc>
          <w:tcPr>
            <w:tcW w:w="3002" w:type="dxa"/>
          </w:tcPr>
          <w:p w14:paraId="62B46799" w14:textId="753CC7A0" w:rsidR="00891D2A" w:rsidRDefault="00891D2A" w:rsidP="00845A93">
            <w:pPr>
              <w:pStyle w:val="CommentText"/>
            </w:pPr>
            <w:r>
              <w:t>70,281</w:t>
            </w:r>
          </w:p>
        </w:tc>
        <w:tc>
          <w:tcPr>
            <w:tcW w:w="3002" w:type="dxa"/>
          </w:tcPr>
          <w:p w14:paraId="3DF73B60" w14:textId="77777777" w:rsidR="00891D2A" w:rsidRDefault="00891D2A" w:rsidP="00845A93">
            <w:pPr>
              <w:pStyle w:val="CommentText"/>
            </w:pPr>
          </w:p>
        </w:tc>
      </w:tr>
      <w:tr w:rsidR="00891D2A" w14:paraId="1DCB16FA" w14:textId="77777777" w:rsidTr="00891D2A">
        <w:tc>
          <w:tcPr>
            <w:tcW w:w="3002" w:type="dxa"/>
          </w:tcPr>
          <w:p w14:paraId="1BD4E36E" w14:textId="540D2DAC" w:rsidR="00891D2A" w:rsidRDefault="00891D2A" w:rsidP="00845A93">
            <w:pPr>
              <w:pStyle w:val="CommentText"/>
            </w:pPr>
            <w:r>
              <w:t>Sweden -</w:t>
            </w:r>
          </w:p>
        </w:tc>
        <w:tc>
          <w:tcPr>
            <w:tcW w:w="3002" w:type="dxa"/>
          </w:tcPr>
          <w:p w14:paraId="5125B6C5" w14:textId="01324359" w:rsidR="00891D2A" w:rsidRDefault="00891D2A" w:rsidP="00845A93">
            <w:pPr>
              <w:pStyle w:val="CommentText"/>
            </w:pPr>
          </w:p>
        </w:tc>
        <w:tc>
          <w:tcPr>
            <w:tcW w:w="3002" w:type="dxa"/>
          </w:tcPr>
          <w:p w14:paraId="2EE18C2B" w14:textId="543C4508" w:rsidR="00891D2A" w:rsidRDefault="00214F57" w:rsidP="00845A93">
            <w:pPr>
              <w:pStyle w:val="CommentText"/>
            </w:pPr>
            <w:r>
              <w:t>339,583</w:t>
            </w:r>
          </w:p>
        </w:tc>
      </w:tr>
      <w:tr w:rsidR="00891D2A" w14:paraId="2CA3112D" w14:textId="77777777" w:rsidTr="00891D2A">
        <w:tc>
          <w:tcPr>
            <w:tcW w:w="3002" w:type="dxa"/>
          </w:tcPr>
          <w:p w14:paraId="75313C66" w14:textId="1ADF56E2" w:rsidR="00891D2A" w:rsidRDefault="00891D2A" w:rsidP="00845A93">
            <w:pPr>
              <w:pStyle w:val="CommentText"/>
            </w:pPr>
            <w:r>
              <w:t>Switzerland</w:t>
            </w:r>
          </w:p>
        </w:tc>
        <w:tc>
          <w:tcPr>
            <w:tcW w:w="3002" w:type="dxa"/>
          </w:tcPr>
          <w:p w14:paraId="7CE7024C" w14:textId="59C0A6E6" w:rsidR="00891D2A" w:rsidRDefault="00891D2A" w:rsidP="00845A93">
            <w:pPr>
              <w:pStyle w:val="CommentText"/>
            </w:pPr>
            <w:r>
              <w:t>350,000</w:t>
            </w:r>
          </w:p>
        </w:tc>
        <w:tc>
          <w:tcPr>
            <w:tcW w:w="3002" w:type="dxa"/>
          </w:tcPr>
          <w:p w14:paraId="45501785" w14:textId="364D3C26" w:rsidR="00891D2A" w:rsidRDefault="00891D2A" w:rsidP="00845A93">
            <w:pPr>
              <w:pStyle w:val="CommentText"/>
            </w:pPr>
            <w:r>
              <w:t>323,729</w:t>
            </w:r>
          </w:p>
        </w:tc>
      </w:tr>
      <w:tr w:rsidR="00891D2A" w14:paraId="3EDCE034" w14:textId="77777777" w:rsidTr="00891D2A">
        <w:tc>
          <w:tcPr>
            <w:tcW w:w="3002" w:type="dxa"/>
          </w:tcPr>
          <w:p w14:paraId="5F3F8762" w14:textId="0DF0B698" w:rsidR="00891D2A" w:rsidRDefault="00891D2A" w:rsidP="00845A93">
            <w:pPr>
              <w:pStyle w:val="CommentText"/>
            </w:pPr>
            <w:r>
              <w:t>USA</w:t>
            </w:r>
          </w:p>
        </w:tc>
        <w:tc>
          <w:tcPr>
            <w:tcW w:w="3002" w:type="dxa"/>
          </w:tcPr>
          <w:p w14:paraId="233991F8" w14:textId="335CDEF1" w:rsidR="00891D2A" w:rsidRDefault="00891D2A" w:rsidP="00845A93">
            <w:pPr>
              <w:pStyle w:val="CommentText"/>
            </w:pPr>
          </w:p>
        </w:tc>
        <w:tc>
          <w:tcPr>
            <w:tcW w:w="3002" w:type="dxa"/>
          </w:tcPr>
          <w:p w14:paraId="72A1A8FD" w14:textId="0CE1856B" w:rsidR="00891D2A" w:rsidRDefault="00214F57" w:rsidP="00845A93">
            <w:pPr>
              <w:pStyle w:val="CommentText"/>
            </w:pPr>
            <w:r>
              <w:t>1,500,000</w:t>
            </w:r>
          </w:p>
        </w:tc>
      </w:tr>
      <w:tr w:rsidR="00891D2A" w14:paraId="5BA630CF" w14:textId="77777777" w:rsidTr="00891D2A">
        <w:tc>
          <w:tcPr>
            <w:tcW w:w="3002" w:type="dxa"/>
          </w:tcPr>
          <w:p w14:paraId="64FE0CEE" w14:textId="3BD8B2A3" w:rsidR="00891D2A" w:rsidRDefault="00891D2A" w:rsidP="00845A93">
            <w:pPr>
              <w:pStyle w:val="CommentText"/>
            </w:pPr>
            <w:r>
              <w:t>Total</w:t>
            </w:r>
          </w:p>
        </w:tc>
        <w:tc>
          <w:tcPr>
            <w:tcW w:w="3002" w:type="dxa"/>
          </w:tcPr>
          <w:p w14:paraId="0142F489" w14:textId="61D4EF03" w:rsidR="00891D2A" w:rsidRDefault="006033DE" w:rsidP="00845A93">
            <w:pPr>
              <w:pStyle w:val="CommentText"/>
            </w:pPr>
            <w:r>
              <w:t>2,907,234</w:t>
            </w:r>
          </w:p>
        </w:tc>
        <w:tc>
          <w:tcPr>
            <w:tcW w:w="3002" w:type="dxa"/>
          </w:tcPr>
          <w:p w14:paraId="00ABD8BB" w14:textId="3DFD95EE" w:rsidR="00891D2A" w:rsidRDefault="00891D2A" w:rsidP="00845A93">
            <w:pPr>
              <w:pStyle w:val="CommentText"/>
            </w:pPr>
            <w:r>
              <w:t>4,587,374</w:t>
            </w:r>
          </w:p>
        </w:tc>
      </w:tr>
    </w:tbl>
    <w:p w14:paraId="4EC50AF5" w14:textId="30DAB888" w:rsidR="00845A93" w:rsidRDefault="00845A93" w:rsidP="00845A93">
      <w:pPr>
        <w:pStyle w:val="CommentText"/>
      </w:pPr>
    </w:p>
    <w:p w14:paraId="44A5F320" w14:textId="68CCA99F" w:rsidR="00997E35" w:rsidRPr="008A6564" w:rsidRDefault="004216CF" w:rsidP="00214816">
      <w:pPr>
        <w:pStyle w:val="Heading2"/>
        <w:numPr>
          <w:ilvl w:val="1"/>
          <w:numId w:val="39"/>
        </w:numPr>
      </w:pPr>
      <w:bookmarkStart w:id="29" w:name="_Toc121224107"/>
      <w:r w:rsidRPr="008A6564">
        <w:t>Appraisal of shortlisted options</w:t>
      </w:r>
      <w:bookmarkEnd w:id="29"/>
    </w:p>
    <w:p w14:paraId="108AFBF9" w14:textId="667F358A" w:rsidR="00DD2EAF" w:rsidRDefault="00DD2EAF" w:rsidP="00613ABF">
      <w:pPr>
        <w:pStyle w:val="BodyText2"/>
        <w:spacing w:after="240" w:line="240" w:lineRule="auto"/>
        <w:jc w:val="both"/>
        <w:rPr>
          <w:rFonts w:cstheme="minorHAnsi"/>
          <w:b w:val="0"/>
        </w:rPr>
      </w:pPr>
      <w:r w:rsidDel="00054F2F">
        <w:rPr>
          <w:rFonts w:cstheme="minorHAnsi"/>
          <w:b w:val="0"/>
        </w:rPr>
        <w:t>All</w:t>
      </w:r>
      <w:r>
        <w:rPr>
          <w:rFonts w:cstheme="minorHAnsi"/>
          <w:b w:val="0"/>
        </w:rPr>
        <w:t xml:space="preserve"> the Tide Turners funding options have been progressed to the shortlist for further appraisal</w:t>
      </w:r>
      <w:r w:rsidR="002E7AAA">
        <w:rPr>
          <w:rFonts w:cstheme="minorHAnsi"/>
          <w:b w:val="0"/>
        </w:rPr>
        <w:t xml:space="preserve"> as they all demonstrated potential to</w:t>
      </w:r>
      <w:r w:rsidR="00A028BD">
        <w:rPr>
          <w:rFonts w:cstheme="minorHAnsi"/>
          <w:b w:val="0"/>
        </w:rPr>
        <w:t xml:space="preserve"> deliver against the BPF Investment Criteria </w:t>
      </w:r>
      <w:r w:rsidR="00A028BD" w:rsidRPr="004B6D9F">
        <w:rPr>
          <w:rFonts w:cstheme="minorHAnsi"/>
          <w:b w:val="0"/>
          <w:bCs w:val="0"/>
        </w:rPr>
        <w:t xml:space="preserve">(see </w:t>
      </w:r>
      <w:r w:rsidR="00140B8D" w:rsidRPr="004B6D9F">
        <w:rPr>
          <w:rFonts w:cstheme="minorHAnsi"/>
          <w:b w:val="0"/>
          <w:bCs w:val="0"/>
        </w:rPr>
        <w:t xml:space="preserve">Section </w:t>
      </w:r>
      <w:r w:rsidR="0005737E" w:rsidRPr="004B6D9F">
        <w:rPr>
          <w:rFonts w:cstheme="minorHAnsi"/>
          <w:b w:val="0"/>
          <w:bCs w:val="0"/>
        </w:rPr>
        <w:t>7.2, p.</w:t>
      </w:r>
      <w:r w:rsidR="00FC3264" w:rsidRPr="004B6D9F">
        <w:rPr>
          <w:rFonts w:cstheme="minorHAnsi"/>
          <w:b w:val="0"/>
          <w:bCs w:val="0"/>
        </w:rPr>
        <w:t>38-39</w:t>
      </w:r>
      <w:r w:rsidR="00A028BD" w:rsidRPr="004B6D9F">
        <w:rPr>
          <w:rFonts w:cstheme="minorHAnsi"/>
          <w:b w:val="0"/>
          <w:bCs w:val="0"/>
        </w:rPr>
        <w:t>)</w:t>
      </w:r>
      <w:r w:rsidRPr="004B6D9F">
        <w:rPr>
          <w:rFonts w:cstheme="minorHAnsi"/>
          <w:b w:val="0"/>
          <w:bCs w:val="0"/>
        </w:rPr>
        <w:t xml:space="preserve">. </w:t>
      </w:r>
      <w:r w:rsidR="002605A0">
        <w:rPr>
          <w:rFonts w:cstheme="minorHAnsi"/>
          <w:b w:val="0"/>
        </w:rPr>
        <w:t>For the INC sub-options, o</w:t>
      </w:r>
      <w:r>
        <w:rPr>
          <w:rFonts w:cstheme="minorHAnsi"/>
          <w:b w:val="0"/>
        </w:rPr>
        <w:t>nly the option for supporting INC negotiations has been shortlisted (the option to not support INC negotiations was discounted</w:t>
      </w:r>
      <w:r w:rsidR="00A028BD">
        <w:rPr>
          <w:rFonts w:cstheme="minorHAnsi"/>
          <w:b w:val="0"/>
        </w:rPr>
        <w:t xml:space="preserve"> on the basis that it scored poorly against the BPF investment criteria and would not meet the BPF’s aims</w:t>
      </w:r>
      <w:r>
        <w:rPr>
          <w:rFonts w:cstheme="minorHAnsi"/>
          <w:b w:val="0"/>
        </w:rPr>
        <w:t xml:space="preserve">). </w:t>
      </w:r>
    </w:p>
    <w:p w14:paraId="4BB569C9" w14:textId="1F07CDF3" w:rsidR="00DE0A55" w:rsidRPr="00217F59" w:rsidRDefault="00DE0A55" w:rsidP="00613ABF">
      <w:pPr>
        <w:pStyle w:val="BodyText2"/>
        <w:spacing w:after="240" w:line="240" w:lineRule="auto"/>
        <w:jc w:val="both"/>
        <w:rPr>
          <w:rFonts w:cstheme="minorHAnsi"/>
          <w:b w:val="0"/>
        </w:rPr>
      </w:pPr>
      <w:r w:rsidRPr="00217F59">
        <w:rPr>
          <w:rFonts w:cstheme="minorHAnsi"/>
          <w:b w:val="0"/>
        </w:rPr>
        <w:t xml:space="preserve">The nature of this project, with a focus on enabling effective action from others, means that there are uncertainties in the final, quantified benefits which will be achieved. For this appraisal, we set out the description of the benefits which are expected, alongside an illustrative estimation of </w:t>
      </w:r>
      <w:r w:rsidR="006504BF">
        <w:rPr>
          <w:rFonts w:cstheme="minorHAnsi"/>
          <w:b w:val="0"/>
          <w:bCs w:val="0"/>
        </w:rPr>
        <w:t>the impact of participants going on to deliver meaningful change. This assessment is</w:t>
      </w:r>
      <w:r>
        <w:rPr>
          <w:rFonts w:cstheme="minorHAnsi"/>
          <w:b w:val="0"/>
        </w:rPr>
        <w:t xml:space="preserve"> </w:t>
      </w:r>
      <w:r w:rsidRPr="00217F59">
        <w:rPr>
          <w:rFonts w:cstheme="minorHAnsi"/>
          <w:b w:val="0"/>
        </w:rPr>
        <w:t xml:space="preserve">based on data </w:t>
      </w:r>
      <w:r w:rsidR="006504BF">
        <w:rPr>
          <w:rFonts w:cstheme="minorHAnsi"/>
          <w:b w:val="0"/>
          <w:bCs w:val="0"/>
        </w:rPr>
        <w:t>shared</w:t>
      </w:r>
      <w:r>
        <w:rPr>
          <w:rFonts w:cstheme="minorHAnsi"/>
          <w:b w:val="0"/>
        </w:rPr>
        <w:t xml:space="preserve"> by </w:t>
      </w:r>
      <w:r w:rsidR="006504BF">
        <w:rPr>
          <w:rFonts w:cstheme="minorHAnsi"/>
          <w:b w:val="0"/>
          <w:bCs w:val="0"/>
        </w:rPr>
        <w:t>UNEP</w:t>
      </w:r>
      <w:r>
        <w:rPr>
          <w:rFonts w:cstheme="minorHAnsi"/>
          <w:b w:val="0"/>
        </w:rPr>
        <w:t>.</w:t>
      </w:r>
      <w:r w:rsidRPr="00217F59">
        <w:rPr>
          <w:rFonts w:cstheme="minorHAnsi"/>
          <w:b w:val="0"/>
        </w:rPr>
        <w:t xml:space="preserve"> </w:t>
      </w:r>
    </w:p>
    <w:p w14:paraId="0C8CB0FF" w14:textId="6474482A" w:rsidR="00706C4A" w:rsidRPr="00217F59" w:rsidRDefault="00706C4A" w:rsidP="00613ABF">
      <w:pPr>
        <w:spacing w:after="240"/>
        <w:rPr>
          <w:rFonts w:cstheme="minorHAnsi"/>
          <w:b/>
          <w:u w:val="single"/>
        </w:rPr>
      </w:pPr>
      <w:r w:rsidRPr="00217F59">
        <w:rPr>
          <w:rFonts w:cstheme="minorHAnsi"/>
          <w:b/>
          <w:u w:val="single"/>
        </w:rPr>
        <w:t>Costs</w:t>
      </w:r>
      <w:r w:rsidR="00DB1BD6">
        <w:rPr>
          <w:rFonts w:cstheme="minorHAnsi"/>
          <w:b/>
          <w:u w:val="single"/>
        </w:rPr>
        <w:t xml:space="preserve"> and Benefits</w:t>
      </w:r>
    </w:p>
    <w:p w14:paraId="57F312AF" w14:textId="37E967A2" w:rsidR="00EE6D7F" w:rsidRPr="00265346" w:rsidRDefault="00EE6D7F" w:rsidP="00613ABF">
      <w:pPr>
        <w:spacing w:after="240"/>
        <w:rPr>
          <w:rFonts w:cstheme="minorHAnsi"/>
          <w:b/>
        </w:rPr>
      </w:pPr>
      <w:r>
        <w:rPr>
          <w:rFonts w:cstheme="minorHAnsi"/>
          <w:bCs/>
        </w:rPr>
        <w:t xml:space="preserve">The costs of supporting Tide Turners and the INC negotiations will include costs to Defra </w:t>
      </w:r>
      <w:r w:rsidR="007D3218">
        <w:rPr>
          <w:rFonts w:cstheme="minorHAnsi"/>
          <w:bCs/>
        </w:rPr>
        <w:t xml:space="preserve">of the investment only. </w:t>
      </w:r>
      <w:r w:rsidR="007D3218" w:rsidRPr="004B6D9F">
        <w:rPr>
          <w:rFonts w:cstheme="minorHAnsi"/>
          <w:bCs/>
        </w:rPr>
        <w:t>A split of the profiled costs under each option</w:t>
      </w:r>
      <w:r w:rsidR="007D3218">
        <w:rPr>
          <w:rFonts w:cstheme="minorHAnsi"/>
          <w:bCs/>
        </w:rPr>
        <w:t xml:space="preserve"> </w:t>
      </w:r>
      <w:r w:rsidR="005B4108">
        <w:rPr>
          <w:rFonts w:cstheme="minorHAnsi"/>
          <w:bCs/>
        </w:rPr>
        <w:t>can be found in</w:t>
      </w:r>
      <w:r w:rsidR="005B4108" w:rsidRPr="004B6D9F">
        <w:rPr>
          <w:rFonts w:cstheme="minorHAnsi"/>
          <w:bCs/>
        </w:rPr>
        <w:t xml:space="preserve"> </w:t>
      </w:r>
      <w:r w:rsidR="00951051" w:rsidRPr="004B6D9F">
        <w:rPr>
          <w:rFonts w:cstheme="minorHAnsi"/>
          <w:bCs/>
        </w:rPr>
        <w:t>Table A4</w:t>
      </w:r>
      <w:r w:rsidR="00265346" w:rsidRPr="004B6D9F">
        <w:rPr>
          <w:rFonts w:cstheme="minorHAnsi"/>
          <w:bCs/>
        </w:rPr>
        <w:t xml:space="preserve"> in</w:t>
      </w:r>
      <w:r w:rsidR="002875F6" w:rsidRPr="004B6D9F">
        <w:rPr>
          <w:rFonts w:cstheme="minorHAnsi"/>
          <w:bCs/>
        </w:rPr>
        <w:t xml:space="preserve"> </w:t>
      </w:r>
      <w:r w:rsidR="00A12CC0" w:rsidRPr="004B6D9F">
        <w:rPr>
          <w:rFonts w:cstheme="minorHAnsi"/>
          <w:bCs/>
        </w:rPr>
        <w:t>S</w:t>
      </w:r>
      <w:r w:rsidR="002875F6" w:rsidRPr="004B6D9F">
        <w:rPr>
          <w:rFonts w:cstheme="minorHAnsi"/>
          <w:bCs/>
        </w:rPr>
        <w:t xml:space="preserve">ection 7.2 </w:t>
      </w:r>
      <w:r w:rsidR="00A12CC0" w:rsidRPr="004B6D9F">
        <w:rPr>
          <w:rFonts w:cstheme="minorHAnsi"/>
          <w:bCs/>
        </w:rPr>
        <w:t>(</w:t>
      </w:r>
      <w:r w:rsidR="002819E9" w:rsidRPr="004B6D9F">
        <w:rPr>
          <w:rFonts w:cstheme="minorHAnsi"/>
          <w:bCs/>
        </w:rPr>
        <w:t>p.</w:t>
      </w:r>
      <w:r w:rsidR="001626D7" w:rsidRPr="004B6D9F">
        <w:rPr>
          <w:rFonts w:cstheme="minorHAnsi"/>
          <w:bCs/>
        </w:rPr>
        <w:t xml:space="preserve"> 40).</w:t>
      </w:r>
    </w:p>
    <w:p w14:paraId="3FD57A8D" w14:textId="77777777" w:rsidR="001626D7" w:rsidRPr="004B6D9F" w:rsidRDefault="005B4108" w:rsidP="00613ABF">
      <w:pPr>
        <w:pStyle w:val="NormalWeb"/>
        <w:shd w:val="clear" w:color="auto" w:fill="FFFFFF"/>
        <w:spacing w:after="240" w:afterAutospacing="0"/>
        <w:rPr>
          <w:rFonts w:asciiTheme="minorHAnsi" w:hAnsiTheme="minorHAnsi" w:cstheme="minorHAnsi"/>
          <w:bCs/>
          <w:sz w:val="22"/>
          <w:szCs w:val="22"/>
        </w:rPr>
      </w:pPr>
      <w:r w:rsidRPr="004B6D9F">
        <w:rPr>
          <w:rFonts w:asciiTheme="minorHAnsi" w:hAnsiTheme="minorHAnsi" w:cstheme="minorHAnsi"/>
          <w:bCs/>
          <w:sz w:val="22"/>
          <w:szCs w:val="22"/>
        </w:rPr>
        <w:t xml:space="preserve">Table </w:t>
      </w:r>
      <w:r w:rsidR="00D30141" w:rsidRPr="004B6D9F">
        <w:rPr>
          <w:rFonts w:asciiTheme="minorHAnsi" w:hAnsiTheme="minorHAnsi" w:cstheme="minorHAnsi"/>
          <w:bCs/>
          <w:sz w:val="22"/>
          <w:szCs w:val="22"/>
        </w:rPr>
        <w:t>A5</w:t>
      </w:r>
      <w:r w:rsidR="002819E9" w:rsidRPr="004B6D9F">
        <w:rPr>
          <w:rFonts w:asciiTheme="minorHAnsi" w:hAnsiTheme="minorHAnsi" w:cstheme="minorHAnsi"/>
          <w:bCs/>
          <w:sz w:val="22"/>
          <w:szCs w:val="22"/>
        </w:rPr>
        <w:t xml:space="preserve"> in </w:t>
      </w:r>
      <w:r w:rsidR="002875F6" w:rsidRPr="004B6D9F">
        <w:rPr>
          <w:rFonts w:asciiTheme="minorHAnsi" w:hAnsiTheme="minorHAnsi" w:cstheme="minorHAnsi"/>
          <w:bCs/>
          <w:sz w:val="22"/>
          <w:szCs w:val="22"/>
        </w:rPr>
        <w:t xml:space="preserve">Section 7.2 </w:t>
      </w:r>
      <w:r w:rsidR="0044399E" w:rsidRPr="004B6D9F">
        <w:rPr>
          <w:rFonts w:asciiTheme="minorHAnsi" w:hAnsiTheme="minorHAnsi" w:cstheme="minorHAnsi"/>
          <w:bCs/>
          <w:sz w:val="22"/>
          <w:szCs w:val="22"/>
        </w:rPr>
        <w:t>(</w:t>
      </w:r>
      <w:r w:rsidR="00951051" w:rsidRPr="004B6D9F">
        <w:rPr>
          <w:rFonts w:asciiTheme="minorHAnsi" w:hAnsiTheme="minorHAnsi" w:cstheme="minorHAnsi"/>
          <w:bCs/>
          <w:sz w:val="22"/>
          <w:szCs w:val="22"/>
        </w:rPr>
        <w:t>p.</w:t>
      </w:r>
      <w:r w:rsidR="001626D7" w:rsidRPr="004B6D9F">
        <w:rPr>
          <w:rFonts w:asciiTheme="minorHAnsi" w:hAnsiTheme="minorHAnsi" w:cstheme="minorHAnsi"/>
          <w:bCs/>
          <w:sz w:val="22"/>
          <w:szCs w:val="22"/>
        </w:rPr>
        <w:t xml:space="preserve"> 41)</w:t>
      </w:r>
      <w:r w:rsidR="00951051" w:rsidRPr="004B6D9F">
        <w:rPr>
          <w:rFonts w:asciiTheme="minorHAnsi" w:hAnsiTheme="minorHAnsi" w:cstheme="minorHAnsi"/>
          <w:bCs/>
          <w:sz w:val="22"/>
          <w:szCs w:val="22"/>
        </w:rPr>
        <w:t xml:space="preserve"> </w:t>
      </w:r>
      <w:r w:rsidR="00DB1BD6" w:rsidRPr="004B6D9F">
        <w:rPr>
          <w:rFonts w:asciiTheme="minorHAnsi" w:hAnsiTheme="minorHAnsi" w:cstheme="minorHAnsi"/>
          <w:bCs/>
          <w:sz w:val="22"/>
          <w:szCs w:val="22"/>
        </w:rPr>
        <w:t>describes in detail</w:t>
      </w:r>
      <w:r w:rsidRPr="004B6D9F">
        <w:rPr>
          <w:rFonts w:asciiTheme="minorHAnsi" w:hAnsiTheme="minorHAnsi" w:cstheme="minorHAnsi"/>
          <w:bCs/>
          <w:sz w:val="22"/>
          <w:szCs w:val="22"/>
        </w:rPr>
        <w:t xml:space="preserve"> the specific benefits expected under each option.</w:t>
      </w:r>
    </w:p>
    <w:p w14:paraId="3B8F9378" w14:textId="06B744C2" w:rsidR="005B4108" w:rsidRDefault="005B4108" w:rsidP="00613ABF">
      <w:pPr>
        <w:pStyle w:val="NormalWeb"/>
        <w:shd w:val="clear" w:color="auto" w:fill="FFFFFF"/>
        <w:spacing w:after="240" w:afterAutospacing="0"/>
        <w:rPr>
          <w:rFonts w:asciiTheme="minorHAnsi" w:hAnsiTheme="minorHAnsi" w:cstheme="minorHAnsi"/>
          <w:sz w:val="22"/>
          <w:szCs w:val="22"/>
        </w:rPr>
      </w:pPr>
      <w:r>
        <w:rPr>
          <w:rFonts w:asciiTheme="minorHAnsi" w:hAnsiTheme="minorHAnsi" w:cstheme="minorHAnsi"/>
          <w:sz w:val="22"/>
          <w:szCs w:val="22"/>
        </w:rPr>
        <w:t xml:space="preserve">The benefits that </w:t>
      </w:r>
      <w:r w:rsidR="002605A0">
        <w:rPr>
          <w:rFonts w:asciiTheme="minorHAnsi" w:hAnsiTheme="minorHAnsi" w:cstheme="minorHAnsi"/>
          <w:sz w:val="22"/>
          <w:szCs w:val="22"/>
        </w:rPr>
        <w:t xml:space="preserve">are </w:t>
      </w:r>
      <w:r w:rsidR="00DB1BD6">
        <w:rPr>
          <w:rFonts w:asciiTheme="minorHAnsi" w:hAnsiTheme="minorHAnsi" w:cstheme="minorHAnsi"/>
          <w:sz w:val="22"/>
          <w:szCs w:val="22"/>
        </w:rPr>
        <w:t>projected</w:t>
      </w:r>
      <w:r>
        <w:rPr>
          <w:rFonts w:asciiTheme="minorHAnsi" w:hAnsiTheme="minorHAnsi" w:cstheme="minorHAnsi"/>
          <w:sz w:val="22"/>
          <w:szCs w:val="22"/>
        </w:rPr>
        <w:t xml:space="preserve"> under each option </w:t>
      </w:r>
      <w:r w:rsidR="00DB1BD6">
        <w:rPr>
          <w:rFonts w:asciiTheme="minorHAnsi" w:hAnsiTheme="minorHAnsi" w:cstheme="minorHAnsi"/>
          <w:sz w:val="22"/>
          <w:szCs w:val="22"/>
        </w:rPr>
        <w:t xml:space="preserve">are summarised in </w:t>
      </w:r>
      <w:r w:rsidR="00E44D50" w:rsidRPr="004B6D9F">
        <w:rPr>
          <w:rFonts w:asciiTheme="minorHAnsi" w:hAnsiTheme="minorHAnsi" w:cstheme="minorHAnsi"/>
          <w:sz w:val="22"/>
          <w:szCs w:val="22"/>
        </w:rPr>
        <w:t>Table 4 below</w:t>
      </w:r>
      <w:r w:rsidR="00DB1BD6" w:rsidRPr="004B6D9F">
        <w:rPr>
          <w:rFonts w:asciiTheme="minorHAnsi" w:hAnsiTheme="minorHAnsi" w:cstheme="minorHAnsi"/>
          <w:sz w:val="22"/>
          <w:szCs w:val="22"/>
        </w:rPr>
        <w:t>.</w:t>
      </w:r>
    </w:p>
    <w:p w14:paraId="2210D3B2" w14:textId="465D25C4" w:rsidR="004E6744" w:rsidRPr="00565E6E" w:rsidRDefault="00E44D50" w:rsidP="00613ABF">
      <w:pPr>
        <w:pStyle w:val="Caption"/>
        <w:spacing w:after="240" w:line="240" w:lineRule="auto"/>
        <w:rPr>
          <w:b/>
          <w:u w:val="single"/>
        </w:rPr>
      </w:pPr>
      <w:r w:rsidRPr="00565E6E">
        <w:rPr>
          <w:b/>
          <w:u w:val="single"/>
        </w:rPr>
        <w:t xml:space="preserve">Table </w:t>
      </w:r>
      <w:r w:rsidRPr="00565E6E">
        <w:rPr>
          <w:b/>
          <w:bCs w:val="0"/>
          <w:u w:val="single"/>
        </w:rPr>
        <w:t>4:</w:t>
      </w:r>
      <w:r w:rsidR="005C2CE1" w:rsidRPr="00565E6E">
        <w:rPr>
          <w:b/>
          <w:bCs w:val="0"/>
          <w:u w:val="single"/>
        </w:rPr>
        <w:t xml:space="preserve"> S</w:t>
      </w:r>
      <w:r w:rsidR="004E6744" w:rsidRPr="00565E6E">
        <w:rPr>
          <w:b/>
          <w:bCs w:val="0"/>
          <w:u w:val="single"/>
        </w:rPr>
        <w:t>ummary</w:t>
      </w:r>
      <w:r w:rsidR="004E6744" w:rsidRPr="00565E6E">
        <w:rPr>
          <w:b/>
          <w:u w:val="single"/>
        </w:rPr>
        <w:t xml:space="preserve"> of the proposed impact of different </w:t>
      </w:r>
      <w:r w:rsidR="00841286">
        <w:rPr>
          <w:b/>
          <w:u w:val="single"/>
        </w:rPr>
        <w:t xml:space="preserve">Tide Turners Programme </w:t>
      </w:r>
      <w:r w:rsidR="004E6744" w:rsidRPr="00565E6E">
        <w:rPr>
          <w:b/>
          <w:u w:val="single"/>
        </w:rPr>
        <w:t>funding scenarios – information provided by UNEP.</w:t>
      </w:r>
      <w:r w:rsidR="004E6744" w:rsidRPr="00565E6E">
        <w:rPr>
          <w:rFonts w:asciiTheme="minorHAnsi" w:hAnsiTheme="minorHAnsi" w:cstheme="minorHAnsi"/>
          <w:b/>
          <w:szCs w:val="22"/>
          <w:u w:val="single"/>
        </w:rPr>
        <w:t xml:space="preserve"> The projection of participants</w:t>
      </w:r>
      <w:r w:rsidR="002605A0" w:rsidRPr="00565E6E">
        <w:rPr>
          <w:rFonts w:asciiTheme="minorHAnsi" w:hAnsiTheme="minorHAnsi" w:cstheme="minorHAnsi"/>
          <w:b/>
          <w:szCs w:val="22"/>
          <w:u w:val="single"/>
        </w:rPr>
        <w:t xml:space="preserve"> (reach)</w:t>
      </w:r>
      <w:r w:rsidR="004E6744" w:rsidRPr="00565E6E">
        <w:rPr>
          <w:rFonts w:asciiTheme="minorHAnsi" w:hAnsiTheme="minorHAnsi" w:cstheme="minorHAnsi"/>
          <w:b/>
          <w:szCs w:val="22"/>
          <w:u w:val="single"/>
        </w:rPr>
        <w:t xml:space="preserve"> is uncertain so should be viewed as indicative only.</w:t>
      </w:r>
    </w:p>
    <w:tbl>
      <w:tblPr>
        <w:tblStyle w:val="TableGrid"/>
        <w:tblW w:w="0" w:type="auto"/>
        <w:tblLook w:val="04A0" w:firstRow="1" w:lastRow="0" w:firstColumn="1" w:lastColumn="0" w:noHBand="0" w:noVBand="1"/>
      </w:tblPr>
      <w:tblGrid>
        <w:gridCol w:w="3255"/>
        <w:gridCol w:w="1437"/>
        <w:gridCol w:w="1438"/>
        <w:gridCol w:w="1438"/>
        <w:gridCol w:w="1438"/>
      </w:tblGrid>
      <w:tr w:rsidR="00E47A6C" w:rsidRPr="008870F1" w14:paraId="395F720B" w14:textId="77777777" w:rsidTr="00E47A6C">
        <w:tc>
          <w:tcPr>
            <w:tcW w:w="3255" w:type="dxa"/>
            <w:shd w:val="clear" w:color="auto" w:fill="385623" w:themeFill="accent6" w:themeFillShade="80"/>
            <w:vAlign w:val="center"/>
          </w:tcPr>
          <w:p w14:paraId="7A961DFD" w14:textId="77777777" w:rsidR="004E6744" w:rsidRPr="008870F1" w:rsidRDefault="004E6744" w:rsidP="00613ABF">
            <w:pPr>
              <w:jc w:val="center"/>
              <w:rPr>
                <w:rFonts w:cstheme="minorHAnsi"/>
                <w:b/>
                <w:color w:val="FFFFFF" w:themeColor="background1"/>
              </w:rPr>
            </w:pPr>
            <w:r w:rsidRPr="008870F1">
              <w:rPr>
                <w:rFonts w:cstheme="minorHAnsi"/>
                <w:b/>
                <w:bCs/>
                <w:color w:val="FFFFFF" w:themeColor="background1"/>
              </w:rPr>
              <w:t>3-year funding options</w:t>
            </w:r>
          </w:p>
        </w:tc>
        <w:tc>
          <w:tcPr>
            <w:tcW w:w="1437" w:type="dxa"/>
            <w:shd w:val="clear" w:color="auto" w:fill="385623" w:themeFill="accent6" w:themeFillShade="80"/>
            <w:vAlign w:val="center"/>
          </w:tcPr>
          <w:p w14:paraId="6C097A4E" w14:textId="77777777" w:rsidR="004E6744" w:rsidRPr="008870F1" w:rsidRDefault="004E6744" w:rsidP="00613ABF">
            <w:pPr>
              <w:jc w:val="center"/>
              <w:rPr>
                <w:rFonts w:cstheme="minorHAnsi"/>
                <w:b/>
                <w:color w:val="FFFFFF" w:themeColor="background1"/>
              </w:rPr>
            </w:pPr>
            <w:r w:rsidRPr="008870F1">
              <w:rPr>
                <w:rFonts w:cstheme="minorHAnsi"/>
                <w:b/>
                <w:bCs/>
                <w:color w:val="FFFFFF" w:themeColor="background1"/>
              </w:rPr>
              <w:t>£900k</w:t>
            </w:r>
          </w:p>
        </w:tc>
        <w:tc>
          <w:tcPr>
            <w:tcW w:w="1438" w:type="dxa"/>
            <w:shd w:val="clear" w:color="auto" w:fill="385623" w:themeFill="accent6" w:themeFillShade="80"/>
            <w:vAlign w:val="center"/>
          </w:tcPr>
          <w:p w14:paraId="42A5E4DE" w14:textId="77777777" w:rsidR="004E6744" w:rsidRPr="008870F1" w:rsidRDefault="004E6744" w:rsidP="00613ABF">
            <w:pPr>
              <w:jc w:val="center"/>
              <w:rPr>
                <w:rFonts w:cstheme="minorHAnsi"/>
                <w:b/>
                <w:color w:val="FFFFFF" w:themeColor="background1"/>
              </w:rPr>
            </w:pPr>
            <w:r w:rsidRPr="008870F1">
              <w:rPr>
                <w:rFonts w:cstheme="minorHAnsi"/>
                <w:b/>
                <w:bCs/>
                <w:color w:val="FFFFFF" w:themeColor="background1"/>
              </w:rPr>
              <w:t>£1.6m</w:t>
            </w:r>
          </w:p>
        </w:tc>
        <w:tc>
          <w:tcPr>
            <w:tcW w:w="1438" w:type="dxa"/>
            <w:shd w:val="clear" w:color="auto" w:fill="385623" w:themeFill="accent6" w:themeFillShade="80"/>
            <w:vAlign w:val="center"/>
          </w:tcPr>
          <w:p w14:paraId="7149ED17" w14:textId="77777777" w:rsidR="004E6744" w:rsidRPr="008870F1" w:rsidRDefault="004E6744" w:rsidP="00613ABF">
            <w:pPr>
              <w:jc w:val="center"/>
              <w:rPr>
                <w:rFonts w:cstheme="minorHAnsi"/>
                <w:b/>
                <w:color w:val="FFFFFF" w:themeColor="background1"/>
              </w:rPr>
            </w:pPr>
            <w:r w:rsidRPr="008870F1">
              <w:rPr>
                <w:rFonts w:cstheme="minorHAnsi"/>
                <w:b/>
                <w:bCs/>
                <w:color w:val="FFFFFF" w:themeColor="background1"/>
              </w:rPr>
              <w:t>£2.4m</w:t>
            </w:r>
          </w:p>
        </w:tc>
        <w:tc>
          <w:tcPr>
            <w:tcW w:w="1438" w:type="dxa"/>
            <w:shd w:val="clear" w:color="auto" w:fill="385623" w:themeFill="accent6" w:themeFillShade="80"/>
            <w:vAlign w:val="center"/>
          </w:tcPr>
          <w:p w14:paraId="3C198065" w14:textId="77777777" w:rsidR="004E6744" w:rsidRPr="008870F1" w:rsidRDefault="004E6744" w:rsidP="00613ABF">
            <w:pPr>
              <w:jc w:val="center"/>
              <w:rPr>
                <w:rFonts w:cstheme="minorHAnsi"/>
                <w:b/>
                <w:color w:val="FFFFFF" w:themeColor="background1"/>
              </w:rPr>
            </w:pPr>
            <w:r w:rsidRPr="008870F1">
              <w:rPr>
                <w:rFonts w:cstheme="minorHAnsi"/>
                <w:b/>
                <w:bCs/>
                <w:color w:val="FFFFFF" w:themeColor="background1"/>
              </w:rPr>
              <w:t>£3m</w:t>
            </w:r>
          </w:p>
        </w:tc>
      </w:tr>
      <w:tr w:rsidR="004E6744" w:rsidRPr="008870F1" w14:paraId="1EA39BE8" w14:textId="77777777" w:rsidTr="005D051B">
        <w:tc>
          <w:tcPr>
            <w:tcW w:w="3255" w:type="dxa"/>
          </w:tcPr>
          <w:p w14:paraId="1DA6D130" w14:textId="77777777" w:rsidR="004E6744" w:rsidRPr="008870F1" w:rsidRDefault="004E6744" w:rsidP="00613ABF">
            <w:pPr>
              <w:shd w:val="clear" w:color="auto" w:fill="FFFFFF"/>
              <w:jc w:val="left"/>
              <w:rPr>
                <w:rFonts w:cstheme="minorHAnsi"/>
                <w:highlight w:val="white"/>
              </w:rPr>
            </w:pPr>
            <w:r w:rsidRPr="005D051B">
              <w:rPr>
                <w:rFonts w:cstheme="minorHAnsi"/>
                <w:b/>
              </w:rPr>
              <w:t>Additional partners</w:t>
            </w:r>
            <w:r w:rsidRPr="008870F1">
              <w:rPr>
                <w:rStyle w:val="FootnoteReference"/>
                <w:rFonts w:cstheme="minorHAnsi"/>
              </w:rPr>
              <w:footnoteReference w:id="24"/>
            </w:r>
            <w:r w:rsidRPr="008870F1">
              <w:rPr>
                <w:rFonts w:cstheme="minorHAnsi"/>
              </w:rPr>
              <w:t xml:space="preserve"> </w:t>
            </w:r>
          </w:p>
        </w:tc>
        <w:tc>
          <w:tcPr>
            <w:tcW w:w="1437" w:type="dxa"/>
          </w:tcPr>
          <w:p w14:paraId="23B3D2F7" w14:textId="77777777" w:rsidR="004E6744" w:rsidRPr="008870F1" w:rsidRDefault="004E6744" w:rsidP="00613ABF">
            <w:pPr>
              <w:shd w:val="clear" w:color="auto" w:fill="FFFFFF"/>
              <w:jc w:val="left"/>
              <w:rPr>
                <w:rFonts w:cstheme="minorHAnsi"/>
              </w:rPr>
            </w:pPr>
          </w:p>
        </w:tc>
        <w:tc>
          <w:tcPr>
            <w:tcW w:w="1438" w:type="dxa"/>
          </w:tcPr>
          <w:p w14:paraId="44B10DDE" w14:textId="4F25CAA9" w:rsidR="004E6744" w:rsidRPr="008870F1" w:rsidRDefault="004E6744" w:rsidP="00613ABF">
            <w:pPr>
              <w:jc w:val="left"/>
              <w:rPr>
                <w:rFonts w:cstheme="minorHAnsi"/>
              </w:rPr>
            </w:pPr>
            <w:r w:rsidRPr="008870F1">
              <w:rPr>
                <w:rFonts w:cstheme="minorHAnsi"/>
                <w:highlight w:val="white"/>
              </w:rPr>
              <w:t xml:space="preserve">+ </w:t>
            </w:r>
            <w:r w:rsidR="00E47A6C">
              <w:rPr>
                <w:rFonts w:cstheme="minorHAnsi"/>
              </w:rPr>
              <w:t>1</w:t>
            </w:r>
          </w:p>
        </w:tc>
        <w:tc>
          <w:tcPr>
            <w:tcW w:w="1438" w:type="dxa"/>
          </w:tcPr>
          <w:p w14:paraId="576DEA12" w14:textId="65F0C5A1" w:rsidR="004E6744" w:rsidRPr="008870F1" w:rsidRDefault="004E6744" w:rsidP="00613ABF">
            <w:pPr>
              <w:jc w:val="left"/>
              <w:rPr>
                <w:rFonts w:cstheme="minorHAnsi"/>
              </w:rPr>
            </w:pPr>
            <w:r w:rsidRPr="008870F1">
              <w:rPr>
                <w:rFonts w:cstheme="minorHAnsi"/>
                <w:highlight w:val="white"/>
              </w:rPr>
              <w:t xml:space="preserve">+ </w:t>
            </w:r>
            <w:r w:rsidR="00E47A6C">
              <w:rPr>
                <w:rFonts w:cstheme="minorHAnsi"/>
              </w:rPr>
              <w:t>1</w:t>
            </w:r>
          </w:p>
        </w:tc>
        <w:tc>
          <w:tcPr>
            <w:tcW w:w="1438" w:type="dxa"/>
          </w:tcPr>
          <w:p w14:paraId="2EB98803" w14:textId="5869B14E" w:rsidR="004E6744" w:rsidRPr="008870F1" w:rsidRDefault="004E6744" w:rsidP="00613ABF">
            <w:pPr>
              <w:shd w:val="clear" w:color="auto" w:fill="FFFFFF"/>
              <w:jc w:val="left"/>
              <w:rPr>
                <w:rFonts w:cstheme="minorHAnsi"/>
                <w:highlight w:val="white"/>
              </w:rPr>
            </w:pPr>
            <w:r w:rsidRPr="008870F1">
              <w:rPr>
                <w:rFonts w:cstheme="minorHAnsi"/>
                <w:highlight w:val="white"/>
              </w:rPr>
              <w:t xml:space="preserve">+ </w:t>
            </w:r>
            <w:r w:rsidR="00E47A6C">
              <w:rPr>
                <w:rFonts w:cstheme="minorHAnsi"/>
                <w:highlight w:val="white"/>
              </w:rPr>
              <w:t>2</w:t>
            </w:r>
          </w:p>
        </w:tc>
      </w:tr>
      <w:tr w:rsidR="004E6744" w:rsidRPr="008870F1" w14:paraId="3F645FE6" w14:textId="77777777" w:rsidTr="005D051B">
        <w:trPr>
          <w:trHeight w:val="60"/>
        </w:trPr>
        <w:tc>
          <w:tcPr>
            <w:tcW w:w="3255" w:type="dxa"/>
          </w:tcPr>
          <w:p w14:paraId="05A0CB55" w14:textId="77777777" w:rsidR="004E6744" w:rsidRPr="005D051B" w:rsidRDefault="004E6744" w:rsidP="00613ABF">
            <w:pPr>
              <w:jc w:val="left"/>
              <w:rPr>
                <w:rFonts w:cstheme="minorHAnsi"/>
                <w:b/>
              </w:rPr>
            </w:pPr>
            <w:r w:rsidRPr="005D051B">
              <w:rPr>
                <w:rFonts w:cstheme="minorHAnsi"/>
                <w:b/>
              </w:rPr>
              <w:lastRenderedPageBreak/>
              <w:t>Countries</w:t>
            </w:r>
          </w:p>
        </w:tc>
        <w:tc>
          <w:tcPr>
            <w:tcW w:w="1437" w:type="dxa"/>
          </w:tcPr>
          <w:p w14:paraId="04A52A43" w14:textId="41A4DCD8" w:rsidR="004E6744" w:rsidRPr="008870F1" w:rsidRDefault="004E6744" w:rsidP="00613ABF">
            <w:pPr>
              <w:shd w:val="clear" w:color="auto" w:fill="FFFFFF"/>
              <w:jc w:val="left"/>
              <w:rPr>
                <w:rFonts w:cstheme="minorHAnsi"/>
                <w:b/>
                <w:i/>
                <w:highlight w:val="white"/>
              </w:rPr>
            </w:pPr>
            <w:r w:rsidRPr="008870F1">
              <w:rPr>
                <w:rFonts w:cstheme="minorHAnsi"/>
                <w:highlight w:val="white"/>
              </w:rPr>
              <w:t xml:space="preserve">10 </w:t>
            </w:r>
          </w:p>
        </w:tc>
        <w:tc>
          <w:tcPr>
            <w:tcW w:w="1438" w:type="dxa"/>
          </w:tcPr>
          <w:p w14:paraId="4F531086" w14:textId="77777777" w:rsidR="004E6744" w:rsidRPr="008870F1" w:rsidRDefault="004E6744" w:rsidP="00613ABF">
            <w:pPr>
              <w:jc w:val="left"/>
              <w:rPr>
                <w:rFonts w:cstheme="minorHAnsi"/>
              </w:rPr>
            </w:pPr>
            <w:r w:rsidRPr="008870F1">
              <w:rPr>
                <w:rFonts w:cstheme="minorHAnsi"/>
              </w:rPr>
              <w:t>30</w:t>
            </w:r>
          </w:p>
        </w:tc>
        <w:tc>
          <w:tcPr>
            <w:tcW w:w="1438" w:type="dxa"/>
          </w:tcPr>
          <w:p w14:paraId="40ADC9C2" w14:textId="77777777" w:rsidR="004E6744" w:rsidRPr="008870F1" w:rsidRDefault="004E6744" w:rsidP="00613ABF">
            <w:pPr>
              <w:jc w:val="left"/>
              <w:rPr>
                <w:rFonts w:cstheme="minorHAnsi"/>
              </w:rPr>
            </w:pPr>
            <w:r w:rsidRPr="008870F1">
              <w:rPr>
                <w:rFonts w:cstheme="minorHAnsi"/>
              </w:rPr>
              <w:t>32</w:t>
            </w:r>
          </w:p>
        </w:tc>
        <w:tc>
          <w:tcPr>
            <w:tcW w:w="1438" w:type="dxa"/>
          </w:tcPr>
          <w:p w14:paraId="6621F296" w14:textId="77777777" w:rsidR="004E6744" w:rsidRPr="008870F1" w:rsidRDefault="004E6744" w:rsidP="00613ABF">
            <w:pPr>
              <w:jc w:val="left"/>
              <w:rPr>
                <w:rFonts w:cstheme="minorHAnsi"/>
              </w:rPr>
            </w:pPr>
            <w:r w:rsidRPr="008870F1">
              <w:rPr>
                <w:rFonts w:cstheme="minorHAnsi"/>
              </w:rPr>
              <w:t>35</w:t>
            </w:r>
          </w:p>
        </w:tc>
      </w:tr>
      <w:tr w:rsidR="004E6744" w:rsidRPr="008870F1" w14:paraId="43328DA1" w14:textId="77777777" w:rsidTr="00893444">
        <w:tc>
          <w:tcPr>
            <w:tcW w:w="9006" w:type="dxa"/>
            <w:gridSpan w:val="5"/>
            <w:shd w:val="clear" w:color="auto" w:fill="C5E0B3" w:themeFill="accent6" w:themeFillTint="66"/>
          </w:tcPr>
          <w:p w14:paraId="08BFDA9E" w14:textId="7DE5BD14" w:rsidR="004E6744" w:rsidRPr="008870F1" w:rsidRDefault="004E6744" w:rsidP="00613ABF">
            <w:pPr>
              <w:jc w:val="center"/>
              <w:rPr>
                <w:rFonts w:eastAsia="Roboto" w:cstheme="minorHAnsi"/>
                <w:b/>
                <w:bCs/>
              </w:rPr>
            </w:pPr>
            <w:r w:rsidRPr="008870F1">
              <w:rPr>
                <w:rFonts w:eastAsia="Roboto" w:cstheme="minorHAnsi"/>
                <w:b/>
                <w:bCs/>
              </w:rPr>
              <w:t xml:space="preserve">REACH </w:t>
            </w:r>
            <w:r w:rsidR="00F65A28">
              <w:rPr>
                <w:rFonts w:eastAsia="Roboto" w:cstheme="minorHAnsi"/>
                <w:b/>
                <w:bCs/>
              </w:rPr>
              <w:t>(</w:t>
            </w:r>
            <w:r w:rsidR="00CA3136">
              <w:rPr>
                <w:rFonts w:eastAsia="Roboto" w:cstheme="minorHAnsi"/>
                <w:b/>
                <w:bCs/>
              </w:rPr>
              <w:t xml:space="preserve">people </w:t>
            </w:r>
            <w:r w:rsidRPr="008870F1">
              <w:rPr>
                <w:rFonts w:eastAsia="Roboto" w:cstheme="minorHAnsi"/>
                <w:b/>
                <w:bCs/>
              </w:rPr>
              <w:t>per year</w:t>
            </w:r>
            <w:r w:rsidR="00F65A28">
              <w:rPr>
                <w:rFonts w:eastAsia="Roboto" w:cstheme="minorHAnsi"/>
                <w:b/>
                <w:bCs/>
              </w:rPr>
              <w:t>)</w:t>
            </w:r>
          </w:p>
        </w:tc>
      </w:tr>
      <w:tr w:rsidR="004E6744" w:rsidRPr="008870F1" w14:paraId="633F4D99" w14:textId="77777777" w:rsidTr="005D051B">
        <w:tc>
          <w:tcPr>
            <w:tcW w:w="3255" w:type="dxa"/>
          </w:tcPr>
          <w:p w14:paraId="0570361B" w14:textId="35E89271" w:rsidR="004E6744" w:rsidRPr="008870F1" w:rsidRDefault="004E6744" w:rsidP="00613ABF">
            <w:pPr>
              <w:jc w:val="left"/>
              <w:rPr>
                <w:rFonts w:eastAsia="Roboto" w:cstheme="minorHAnsi"/>
                <w:b/>
                <w:bCs/>
              </w:rPr>
            </w:pPr>
            <w:r w:rsidRPr="008870F1">
              <w:rPr>
                <w:rFonts w:cstheme="minorHAnsi"/>
                <w:b/>
                <w:bCs/>
              </w:rPr>
              <w:t xml:space="preserve">LEVEL 4: </w:t>
            </w:r>
            <w:r w:rsidRPr="005D051B">
              <w:rPr>
                <w:rFonts w:cstheme="minorHAnsi"/>
              </w:rPr>
              <w:t>Advocacy Champion level (Engaged in live advocacy trainings)</w:t>
            </w:r>
            <w:r w:rsidRPr="008870F1">
              <w:rPr>
                <w:rFonts w:eastAsia="Roboto" w:cstheme="minorHAnsi"/>
              </w:rPr>
              <w:t xml:space="preserve"> </w:t>
            </w:r>
          </w:p>
        </w:tc>
        <w:tc>
          <w:tcPr>
            <w:tcW w:w="1437" w:type="dxa"/>
          </w:tcPr>
          <w:p w14:paraId="3CD84A67" w14:textId="77777777" w:rsidR="004E6744" w:rsidRPr="008870F1" w:rsidRDefault="004E6744" w:rsidP="00613ABF">
            <w:pPr>
              <w:jc w:val="left"/>
              <w:rPr>
                <w:rFonts w:cstheme="minorHAnsi"/>
                <w:highlight w:val="white"/>
              </w:rPr>
            </w:pPr>
          </w:p>
        </w:tc>
        <w:tc>
          <w:tcPr>
            <w:tcW w:w="1438" w:type="dxa"/>
          </w:tcPr>
          <w:p w14:paraId="51BB73BE" w14:textId="2982CB64" w:rsidR="004E6744" w:rsidRPr="008870F1" w:rsidRDefault="004E6744" w:rsidP="00613ABF">
            <w:pPr>
              <w:shd w:val="clear" w:color="auto" w:fill="FFFFFF"/>
              <w:jc w:val="left"/>
              <w:rPr>
                <w:rFonts w:eastAsia="Roboto" w:cstheme="minorHAnsi"/>
                <w:highlight w:val="white"/>
              </w:rPr>
            </w:pPr>
            <w:r w:rsidRPr="008870F1">
              <w:rPr>
                <w:rFonts w:eastAsia="Roboto" w:cstheme="minorHAnsi"/>
                <w:highlight w:val="white"/>
              </w:rPr>
              <w:t xml:space="preserve">20 </w:t>
            </w:r>
          </w:p>
        </w:tc>
        <w:tc>
          <w:tcPr>
            <w:tcW w:w="1438" w:type="dxa"/>
          </w:tcPr>
          <w:p w14:paraId="79CCD54E" w14:textId="19C173E7" w:rsidR="004E6744" w:rsidRPr="008870F1" w:rsidRDefault="004E6744" w:rsidP="00613ABF">
            <w:pPr>
              <w:shd w:val="clear" w:color="auto" w:fill="FFFFFF"/>
              <w:jc w:val="left"/>
              <w:rPr>
                <w:rFonts w:eastAsia="Roboto" w:cstheme="minorHAnsi"/>
                <w:highlight w:val="white"/>
              </w:rPr>
            </w:pPr>
            <w:r w:rsidRPr="008870F1">
              <w:rPr>
                <w:rFonts w:eastAsia="Roboto" w:cstheme="minorHAnsi"/>
                <w:highlight w:val="white"/>
              </w:rPr>
              <w:t xml:space="preserve">30 </w:t>
            </w:r>
          </w:p>
        </w:tc>
        <w:tc>
          <w:tcPr>
            <w:tcW w:w="1438" w:type="dxa"/>
          </w:tcPr>
          <w:p w14:paraId="4220112A" w14:textId="2D881DB7" w:rsidR="004E6744" w:rsidRPr="008870F1" w:rsidRDefault="004E6744" w:rsidP="00613ABF">
            <w:pPr>
              <w:shd w:val="clear" w:color="auto" w:fill="FFFFFF"/>
              <w:jc w:val="left"/>
              <w:rPr>
                <w:rFonts w:eastAsia="Roboto" w:cstheme="minorHAnsi"/>
                <w:highlight w:val="white"/>
              </w:rPr>
            </w:pPr>
            <w:r w:rsidRPr="008870F1">
              <w:rPr>
                <w:rFonts w:eastAsia="Roboto" w:cstheme="minorHAnsi"/>
                <w:highlight w:val="white"/>
              </w:rPr>
              <w:t xml:space="preserve">50 </w:t>
            </w:r>
          </w:p>
        </w:tc>
      </w:tr>
      <w:tr w:rsidR="004E6744" w:rsidRPr="008870F1" w14:paraId="22108226" w14:textId="77777777" w:rsidTr="005D051B">
        <w:tc>
          <w:tcPr>
            <w:tcW w:w="3255" w:type="dxa"/>
          </w:tcPr>
          <w:p w14:paraId="0E90E284" w14:textId="77777777" w:rsidR="004E6744" w:rsidRPr="008870F1" w:rsidRDefault="004E6744" w:rsidP="00613ABF">
            <w:pPr>
              <w:jc w:val="left"/>
              <w:rPr>
                <w:rFonts w:eastAsia="Roboto" w:cstheme="minorHAnsi"/>
                <w:b/>
                <w:bCs/>
              </w:rPr>
            </w:pPr>
            <w:r w:rsidRPr="008870F1">
              <w:rPr>
                <w:rFonts w:eastAsia="Roboto" w:cstheme="minorHAnsi"/>
                <w:b/>
                <w:bCs/>
              </w:rPr>
              <w:t xml:space="preserve">LEVEL 4: </w:t>
            </w:r>
            <w:r w:rsidRPr="005D051B">
              <w:rPr>
                <w:rFonts w:cstheme="minorHAnsi"/>
              </w:rPr>
              <w:t>Broad change making policy training for Advocacy Champions</w:t>
            </w:r>
            <w:r w:rsidRPr="008870F1">
              <w:rPr>
                <w:rFonts w:cstheme="minorHAnsi"/>
                <w:b/>
                <w:bCs/>
              </w:rPr>
              <w:t> </w:t>
            </w:r>
          </w:p>
        </w:tc>
        <w:tc>
          <w:tcPr>
            <w:tcW w:w="1437" w:type="dxa"/>
          </w:tcPr>
          <w:p w14:paraId="674EA610" w14:textId="77777777" w:rsidR="004E6744" w:rsidRPr="008870F1" w:rsidRDefault="004E6744" w:rsidP="00613ABF">
            <w:pPr>
              <w:jc w:val="left"/>
              <w:rPr>
                <w:rFonts w:cstheme="minorHAnsi"/>
                <w:highlight w:val="white"/>
              </w:rPr>
            </w:pPr>
          </w:p>
        </w:tc>
        <w:tc>
          <w:tcPr>
            <w:tcW w:w="1438" w:type="dxa"/>
          </w:tcPr>
          <w:p w14:paraId="4F4591EC" w14:textId="5D180FAA" w:rsidR="004E6744" w:rsidRPr="008870F1" w:rsidRDefault="00E47A6C" w:rsidP="00613ABF">
            <w:pPr>
              <w:shd w:val="clear" w:color="auto" w:fill="FFFFFF"/>
              <w:jc w:val="left"/>
              <w:rPr>
                <w:rFonts w:eastAsia="Roboto" w:cstheme="minorHAnsi"/>
                <w:highlight w:val="white"/>
              </w:rPr>
            </w:pPr>
            <w:r>
              <w:rPr>
                <w:rFonts w:eastAsia="Roboto" w:cstheme="minorHAnsi"/>
                <w:highlight w:val="white"/>
              </w:rPr>
              <w:t>200</w:t>
            </w:r>
            <w:r w:rsidR="004E6744" w:rsidRPr="008870F1">
              <w:rPr>
                <w:rFonts w:eastAsia="Roboto" w:cstheme="minorHAnsi"/>
                <w:highlight w:val="white"/>
              </w:rPr>
              <w:t xml:space="preserve"> </w:t>
            </w:r>
          </w:p>
        </w:tc>
        <w:tc>
          <w:tcPr>
            <w:tcW w:w="1438" w:type="dxa"/>
          </w:tcPr>
          <w:p w14:paraId="6D4BA3C3" w14:textId="277C5629" w:rsidR="004E6744" w:rsidRPr="008870F1" w:rsidRDefault="00E47A6C" w:rsidP="00613ABF">
            <w:pPr>
              <w:shd w:val="clear" w:color="auto" w:fill="FFFFFF"/>
              <w:jc w:val="left"/>
              <w:rPr>
                <w:rFonts w:eastAsia="Roboto" w:cstheme="minorHAnsi"/>
                <w:highlight w:val="white"/>
              </w:rPr>
            </w:pPr>
            <w:r>
              <w:rPr>
                <w:rFonts w:eastAsia="Roboto" w:cstheme="minorHAnsi"/>
                <w:highlight w:val="white"/>
              </w:rPr>
              <w:t>400</w:t>
            </w:r>
            <w:r w:rsidR="004E6744" w:rsidRPr="008870F1">
              <w:rPr>
                <w:rFonts w:eastAsia="Roboto" w:cstheme="minorHAnsi"/>
                <w:highlight w:val="white"/>
              </w:rPr>
              <w:t xml:space="preserve"> </w:t>
            </w:r>
          </w:p>
        </w:tc>
        <w:tc>
          <w:tcPr>
            <w:tcW w:w="1438" w:type="dxa"/>
          </w:tcPr>
          <w:p w14:paraId="7E4B1924" w14:textId="5F25DE20" w:rsidR="004E6744" w:rsidRPr="008870F1" w:rsidRDefault="00E47A6C" w:rsidP="00613ABF">
            <w:pPr>
              <w:shd w:val="clear" w:color="auto" w:fill="FFFFFF"/>
              <w:jc w:val="left"/>
              <w:rPr>
                <w:rFonts w:eastAsia="Roboto" w:cstheme="minorHAnsi"/>
                <w:highlight w:val="white"/>
              </w:rPr>
            </w:pPr>
            <w:r>
              <w:rPr>
                <w:rFonts w:eastAsia="Roboto" w:cstheme="minorHAnsi"/>
                <w:highlight w:val="white"/>
              </w:rPr>
              <w:t>200</w:t>
            </w:r>
          </w:p>
        </w:tc>
      </w:tr>
      <w:tr w:rsidR="00E47A6C" w:rsidRPr="008870F1" w14:paraId="3DB8E8EC" w14:textId="77777777" w:rsidTr="00E47A6C">
        <w:trPr>
          <w:trHeight w:val="135"/>
        </w:trPr>
        <w:tc>
          <w:tcPr>
            <w:tcW w:w="3255" w:type="dxa"/>
          </w:tcPr>
          <w:p w14:paraId="6E5DC03F" w14:textId="6326BA40" w:rsidR="004E6744" w:rsidRPr="008870F1" w:rsidRDefault="004E6744" w:rsidP="00613ABF">
            <w:pPr>
              <w:jc w:val="left"/>
              <w:rPr>
                <w:rFonts w:eastAsia="Roboto" w:cstheme="minorHAnsi"/>
                <w:b/>
                <w:bCs/>
              </w:rPr>
            </w:pPr>
            <w:r w:rsidRPr="008870F1">
              <w:rPr>
                <w:rFonts w:cstheme="minorHAnsi"/>
                <w:b/>
                <w:bCs/>
              </w:rPr>
              <w:t>LEVEL 3: </w:t>
            </w:r>
            <w:r w:rsidRPr="005D051B">
              <w:rPr>
                <w:rFonts w:cstheme="minorHAnsi"/>
              </w:rPr>
              <w:t>Champion level</w:t>
            </w:r>
            <w:r w:rsidRPr="008870F1">
              <w:rPr>
                <w:rFonts w:cstheme="minorHAnsi"/>
                <w:b/>
                <w:bCs/>
              </w:rPr>
              <w:t> </w:t>
            </w:r>
          </w:p>
        </w:tc>
        <w:tc>
          <w:tcPr>
            <w:tcW w:w="1437" w:type="dxa"/>
          </w:tcPr>
          <w:p w14:paraId="1DA525ED" w14:textId="5E4D1BDF" w:rsidR="004E6744" w:rsidRPr="008870F1" w:rsidRDefault="004E6744" w:rsidP="00613ABF">
            <w:pPr>
              <w:jc w:val="left"/>
              <w:rPr>
                <w:rFonts w:cstheme="minorHAnsi"/>
                <w:highlight w:val="white"/>
              </w:rPr>
            </w:pPr>
            <w:r w:rsidRPr="000354B5">
              <w:rPr>
                <w:rFonts w:cstheme="minorHAnsi"/>
                <w:highlight w:val="white"/>
              </w:rPr>
              <w:t xml:space="preserve">200 </w:t>
            </w:r>
          </w:p>
        </w:tc>
        <w:tc>
          <w:tcPr>
            <w:tcW w:w="1438" w:type="dxa"/>
          </w:tcPr>
          <w:p w14:paraId="63ACC472" w14:textId="5EFD26C4" w:rsidR="004E6744" w:rsidRPr="008870F1" w:rsidRDefault="004E6744" w:rsidP="00613ABF">
            <w:pPr>
              <w:shd w:val="clear" w:color="auto" w:fill="FFFFFF"/>
              <w:jc w:val="left"/>
              <w:rPr>
                <w:rFonts w:eastAsia="Roboto" w:cstheme="minorHAnsi"/>
                <w:highlight w:val="white"/>
              </w:rPr>
            </w:pPr>
            <w:r w:rsidRPr="000354B5">
              <w:rPr>
                <w:rFonts w:eastAsia="Roboto" w:cstheme="minorHAnsi"/>
                <w:highlight w:val="white"/>
              </w:rPr>
              <w:t>700</w:t>
            </w:r>
            <w:r w:rsidRPr="008870F1">
              <w:rPr>
                <w:rFonts w:eastAsia="Roboto" w:cstheme="minorHAnsi"/>
                <w:highlight w:val="white"/>
              </w:rPr>
              <w:t xml:space="preserve"> </w:t>
            </w:r>
          </w:p>
        </w:tc>
        <w:tc>
          <w:tcPr>
            <w:tcW w:w="1438" w:type="dxa"/>
          </w:tcPr>
          <w:p w14:paraId="73D84E9E" w14:textId="4AB20827" w:rsidR="004E6744" w:rsidRPr="008870F1" w:rsidRDefault="004E6744" w:rsidP="00613ABF">
            <w:pPr>
              <w:shd w:val="clear" w:color="auto" w:fill="FFFFFF"/>
              <w:jc w:val="left"/>
              <w:rPr>
                <w:rFonts w:eastAsia="Roboto" w:cstheme="minorHAnsi"/>
                <w:highlight w:val="white"/>
              </w:rPr>
            </w:pPr>
            <w:r w:rsidRPr="000354B5">
              <w:rPr>
                <w:rFonts w:eastAsia="Roboto" w:cstheme="minorHAnsi"/>
                <w:highlight w:val="white"/>
              </w:rPr>
              <w:t>2,350</w:t>
            </w:r>
          </w:p>
        </w:tc>
        <w:tc>
          <w:tcPr>
            <w:tcW w:w="1438" w:type="dxa"/>
          </w:tcPr>
          <w:p w14:paraId="4C4CE9FA" w14:textId="5F0BCF90" w:rsidR="004E6744" w:rsidRPr="008870F1" w:rsidRDefault="004E6744" w:rsidP="00613ABF">
            <w:pPr>
              <w:shd w:val="clear" w:color="auto" w:fill="FFFFFF"/>
              <w:jc w:val="left"/>
              <w:rPr>
                <w:rFonts w:eastAsia="Roboto" w:cstheme="minorHAnsi"/>
                <w:highlight w:val="white"/>
              </w:rPr>
            </w:pPr>
            <w:r w:rsidRPr="000354B5">
              <w:rPr>
                <w:rFonts w:eastAsia="Roboto" w:cstheme="minorHAnsi"/>
                <w:highlight w:val="white"/>
              </w:rPr>
              <w:t>3,400</w:t>
            </w:r>
            <w:r w:rsidRPr="008870F1">
              <w:rPr>
                <w:rFonts w:eastAsia="Roboto" w:cstheme="minorHAnsi"/>
                <w:highlight w:val="white"/>
              </w:rPr>
              <w:t xml:space="preserve"> </w:t>
            </w:r>
          </w:p>
        </w:tc>
      </w:tr>
      <w:tr w:rsidR="004E6744" w:rsidRPr="008870F1" w14:paraId="4053CD82" w14:textId="77777777" w:rsidTr="005D051B">
        <w:tc>
          <w:tcPr>
            <w:tcW w:w="3255" w:type="dxa"/>
            <w:shd w:val="clear" w:color="auto" w:fill="auto"/>
          </w:tcPr>
          <w:p w14:paraId="79CC7C0C" w14:textId="468EF93A" w:rsidR="004E6744" w:rsidRPr="004E6744" w:rsidRDefault="00E47A6C" w:rsidP="00613ABF">
            <w:pPr>
              <w:jc w:val="left"/>
              <w:rPr>
                <w:rFonts w:eastAsia="Roboto" w:cstheme="minorHAnsi"/>
                <w:b/>
                <w:bCs/>
              </w:rPr>
            </w:pPr>
            <w:r>
              <w:rPr>
                <w:rFonts w:cstheme="minorHAnsi"/>
                <w:b/>
              </w:rPr>
              <w:t>LEVEL 2:</w:t>
            </w:r>
            <w:r>
              <w:rPr>
                <w:rFonts w:cstheme="minorHAnsi"/>
                <w:b/>
                <w:bCs/>
              </w:rPr>
              <w:t xml:space="preserve"> </w:t>
            </w:r>
            <w:r w:rsidR="004E6744" w:rsidRPr="005D051B">
              <w:rPr>
                <w:rFonts w:cstheme="minorHAnsi"/>
              </w:rPr>
              <w:t xml:space="preserve">Leader </w:t>
            </w:r>
            <w:r w:rsidRPr="005D051B">
              <w:rPr>
                <w:rFonts w:cstheme="minorHAnsi"/>
              </w:rPr>
              <w:t>level</w:t>
            </w:r>
          </w:p>
        </w:tc>
        <w:tc>
          <w:tcPr>
            <w:tcW w:w="5751" w:type="dxa"/>
            <w:gridSpan w:val="4"/>
            <w:vMerge w:val="restart"/>
            <w:vAlign w:val="center"/>
          </w:tcPr>
          <w:p w14:paraId="34BFE227" w14:textId="77777777" w:rsidR="004E6744" w:rsidRPr="008870F1" w:rsidRDefault="004E6744" w:rsidP="00613ABF">
            <w:pPr>
              <w:shd w:val="clear" w:color="auto" w:fill="FFFFFF"/>
              <w:jc w:val="center"/>
              <w:rPr>
                <w:rFonts w:eastAsia="Roboto" w:cstheme="minorHAnsi"/>
                <w:highlight w:val="white"/>
              </w:rPr>
            </w:pPr>
            <w:r w:rsidRPr="008870F1">
              <w:rPr>
                <w:rFonts w:cstheme="minorHAnsi"/>
                <w:highlight w:val="white"/>
              </w:rPr>
              <w:t>The remaining participants (the majority) will complete level 1 and 2 qualifications.</w:t>
            </w:r>
          </w:p>
        </w:tc>
      </w:tr>
      <w:tr w:rsidR="004E6744" w:rsidRPr="008870F1" w14:paraId="0ECE0BB3" w14:textId="77777777" w:rsidTr="005D051B">
        <w:tc>
          <w:tcPr>
            <w:tcW w:w="3255" w:type="dxa"/>
            <w:shd w:val="clear" w:color="auto" w:fill="auto"/>
          </w:tcPr>
          <w:p w14:paraId="69FFB7CF" w14:textId="0EA0EC19" w:rsidR="004E6744" w:rsidRPr="00E47A6C" w:rsidRDefault="0060671D" w:rsidP="00613ABF">
            <w:pPr>
              <w:jc w:val="left"/>
              <w:rPr>
                <w:rFonts w:eastAsia="Roboto" w:cstheme="minorHAnsi"/>
                <w:b/>
              </w:rPr>
            </w:pPr>
            <w:r w:rsidRPr="005D051B">
              <w:rPr>
                <w:rFonts w:cstheme="minorHAnsi"/>
                <w:b/>
              </w:rPr>
              <w:t xml:space="preserve">LEVEL 1: </w:t>
            </w:r>
            <w:r w:rsidRPr="00E47A6C">
              <w:rPr>
                <w:rFonts w:cstheme="minorHAnsi"/>
              </w:rPr>
              <w:t>Entry level</w:t>
            </w:r>
          </w:p>
        </w:tc>
        <w:tc>
          <w:tcPr>
            <w:tcW w:w="5751" w:type="dxa"/>
            <w:gridSpan w:val="4"/>
            <w:vMerge/>
          </w:tcPr>
          <w:p w14:paraId="123B7A43" w14:textId="77777777" w:rsidR="004E6744" w:rsidRPr="008870F1" w:rsidRDefault="004E6744" w:rsidP="00613ABF">
            <w:pPr>
              <w:shd w:val="clear" w:color="auto" w:fill="FFFFFF"/>
              <w:jc w:val="left"/>
              <w:rPr>
                <w:rFonts w:eastAsia="Roboto" w:cstheme="minorHAnsi"/>
                <w:highlight w:val="white"/>
              </w:rPr>
            </w:pPr>
          </w:p>
        </w:tc>
      </w:tr>
      <w:tr w:rsidR="00E47A6C" w:rsidRPr="008870F1" w14:paraId="2DAEAFFD" w14:textId="77777777" w:rsidTr="00E47A6C">
        <w:trPr>
          <w:trHeight w:val="245"/>
        </w:trPr>
        <w:tc>
          <w:tcPr>
            <w:tcW w:w="3255" w:type="dxa"/>
          </w:tcPr>
          <w:p w14:paraId="11A37DB7" w14:textId="712B91A1" w:rsidR="004E6744" w:rsidRPr="004E6744" w:rsidRDefault="004E6744" w:rsidP="00613ABF">
            <w:pPr>
              <w:jc w:val="left"/>
              <w:rPr>
                <w:rFonts w:eastAsia="Roboto" w:cstheme="minorHAnsi"/>
                <w:b/>
                <w:bCs/>
              </w:rPr>
            </w:pPr>
            <w:r w:rsidRPr="004E6744">
              <w:rPr>
                <w:rFonts w:eastAsia="Roboto" w:cstheme="minorHAnsi"/>
                <w:b/>
                <w:bCs/>
              </w:rPr>
              <w:t xml:space="preserve">TOTAL ADDITIONAL PARTICIPANTS: </w:t>
            </w:r>
          </w:p>
        </w:tc>
        <w:tc>
          <w:tcPr>
            <w:tcW w:w="1437" w:type="dxa"/>
          </w:tcPr>
          <w:p w14:paraId="481A84FC" w14:textId="77777777" w:rsidR="004E6744" w:rsidRPr="008870F1" w:rsidRDefault="004E6744" w:rsidP="00613ABF">
            <w:pPr>
              <w:jc w:val="left"/>
              <w:rPr>
                <w:rFonts w:cstheme="minorHAnsi"/>
                <w:b/>
                <w:highlight w:val="white"/>
              </w:rPr>
            </w:pPr>
            <w:r w:rsidRPr="008870F1">
              <w:rPr>
                <w:rFonts w:cstheme="minorHAnsi"/>
                <w:b/>
              </w:rPr>
              <w:t xml:space="preserve">20,000 </w:t>
            </w:r>
          </w:p>
        </w:tc>
        <w:tc>
          <w:tcPr>
            <w:tcW w:w="1438" w:type="dxa"/>
          </w:tcPr>
          <w:p w14:paraId="2CFE0A09" w14:textId="4979DD64" w:rsidR="004E6744" w:rsidRPr="008870F1" w:rsidRDefault="004E6744" w:rsidP="00613ABF">
            <w:pPr>
              <w:shd w:val="clear" w:color="auto" w:fill="FFFFFF"/>
              <w:jc w:val="left"/>
              <w:rPr>
                <w:rFonts w:eastAsia="Roboto" w:cstheme="minorHAnsi"/>
                <w:b/>
                <w:highlight w:val="white"/>
              </w:rPr>
            </w:pPr>
            <w:r w:rsidRPr="008870F1">
              <w:rPr>
                <w:rFonts w:eastAsia="Roboto" w:cstheme="minorHAnsi"/>
                <w:b/>
                <w:highlight w:val="white"/>
              </w:rPr>
              <w:t xml:space="preserve">55,000 </w:t>
            </w:r>
          </w:p>
        </w:tc>
        <w:tc>
          <w:tcPr>
            <w:tcW w:w="1438" w:type="dxa"/>
          </w:tcPr>
          <w:p w14:paraId="5CEC1B29" w14:textId="19191B60" w:rsidR="004E6744" w:rsidRPr="008870F1" w:rsidRDefault="004E6744" w:rsidP="00613ABF">
            <w:pPr>
              <w:shd w:val="clear" w:color="auto" w:fill="FFFFFF"/>
              <w:jc w:val="left"/>
              <w:rPr>
                <w:rFonts w:eastAsia="Roboto" w:cstheme="minorHAnsi"/>
                <w:b/>
                <w:highlight w:val="white"/>
              </w:rPr>
            </w:pPr>
            <w:r w:rsidRPr="008870F1">
              <w:rPr>
                <w:rFonts w:eastAsia="Roboto" w:cstheme="minorHAnsi"/>
                <w:b/>
                <w:highlight w:val="white"/>
              </w:rPr>
              <w:t>115,000</w:t>
            </w:r>
          </w:p>
        </w:tc>
        <w:tc>
          <w:tcPr>
            <w:tcW w:w="1438" w:type="dxa"/>
          </w:tcPr>
          <w:p w14:paraId="68DAD1C7" w14:textId="77777777" w:rsidR="004E6744" w:rsidRPr="008870F1" w:rsidRDefault="004E6744" w:rsidP="00613ABF">
            <w:pPr>
              <w:shd w:val="clear" w:color="auto" w:fill="FFFFFF"/>
              <w:jc w:val="left"/>
              <w:rPr>
                <w:rFonts w:eastAsia="Roboto" w:cstheme="minorHAnsi"/>
                <w:b/>
                <w:highlight w:val="white"/>
              </w:rPr>
            </w:pPr>
            <w:r w:rsidRPr="008870F1">
              <w:rPr>
                <w:rFonts w:eastAsia="Roboto" w:cstheme="minorHAnsi"/>
                <w:b/>
                <w:highlight w:val="white"/>
              </w:rPr>
              <w:t>125,000</w:t>
            </w:r>
            <w:r w:rsidRPr="008870F1">
              <w:rPr>
                <w:rStyle w:val="FootnoteReference"/>
                <w:rFonts w:eastAsia="Roboto" w:cstheme="minorHAnsi"/>
                <w:b/>
                <w:highlight w:val="white"/>
              </w:rPr>
              <w:footnoteReference w:id="25"/>
            </w:r>
            <w:r w:rsidRPr="008870F1">
              <w:rPr>
                <w:rFonts w:eastAsia="Roboto" w:cstheme="minorHAnsi"/>
                <w:b/>
                <w:highlight w:val="white"/>
              </w:rPr>
              <w:t xml:space="preserve"> </w:t>
            </w:r>
          </w:p>
        </w:tc>
      </w:tr>
      <w:tr w:rsidR="004E6744" w:rsidRPr="008870F1" w14:paraId="673B0B38" w14:textId="77777777" w:rsidTr="00893444">
        <w:tc>
          <w:tcPr>
            <w:tcW w:w="9006" w:type="dxa"/>
            <w:gridSpan w:val="5"/>
            <w:shd w:val="clear" w:color="auto" w:fill="E2EFD9" w:themeFill="accent6" w:themeFillTint="33"/>
            <w:vAlign w:val="center"/>
          </w:tcPr>
          <w:p w14:paraId="21A23795" w14:textId="77777777" w:rsidR="004E6744" w:rsidRPr="008870F1" w:rsidRDefault="004E6744" w:rsidP="00613ABF">
            <w:pPr>
              <w:jc w:val="center"/>
              <w:rPr>
                <w:rFonts w:eastAsia="Roboto" w:cstheme="minorHAnsi"/>
                <w:b/>
                <w:bCs/>
                <w:highlight w:val="white"/>
              </w:rPr>
            </w:pPr>
            <w:r w:rsidRPr="008870F1">
              <w:rPr>
                <w:rFonts w:eastAsia="Roboto" w:cstheme="minorHAnsi"/>
                <w:b/>
                <w:bCs/>
              </w:rPr>
              <w:t>LEVERAGED FINANCE</w:t>
            </w:r>
          </w:p>
        </w:tc>
      </w:tr>
      <w:tr w:rsidR="004E6744" w:rsidRPr="008870F1" w14:paraId="49D3F509" w14:textId="77777777" w:rsidTr="005D051B">
        <w:tc>
          <w:tcPr>
            <w:tcW w:w="3255" w:type="dxa"/>
          </w:tcPr>
          <w:p w14:paraId="5F2A571B" w14:textId="120D1EFB" w:rsidR="004E6744" w:rsidRPr="008870F1" w:rsidRDefault="004E6744" w:rsidP="00613ABF">
            <w:pPr>
              <w:jc w:val="left"/>
              <w:rPr>
                <w:rFonts w:cstheme="minorHAnsi"/>
                <w:b/>
                <w:bCs/>
              </w:rPr>
            </w:pPr>
            <w:r w:rsidRPr="008870F1">
              <w:rPr>
                <w:rFonts w:cstheme="minorHAnsi"/>
                <w:b/>
                <w:bCs/>
              </w:rPr>
              <w:t xml:space="preserve">Estimated leveraged finance </w:t>
            </w:r>
            <w:r w:rsidRPr="008870F1">
              <w:rPr>
                <w:rFonts w:cstheme="minorHAnsi"/>
              </w:rPr>
              <w:t>(based on</w:t>
            </w:r>
            <w:r w:rsidR="00E47A6C">
              <w:rPr>
                <w:rFonts w:cstheme="minorHAnsi"/>
              </w:rPr>
              <w:t xml:space="preserve"> an</w:t>
            </w:r>
            <w:r w:rsidRPr="008870F1">
              <w:rPr>
                <w:rFonts w:cstheme="minorHAnsi"/>
              </w:rPr>
              <w:t xml:space="preserve"> estimated leveraged finance ratio achieved from the UK investment to date (0.75))</w:t>
            </w:r>
          </w:p>
        </w:tc>
        <w:tc>
          <w:tcPr>
            <w:tcW w:w="1437" w:type="dxa"/>
          </w:tcPr>
          <w:p w14:paraId="765C98FF" w14:textId="77777777" w:rsidR="004E6744" w:rsidRPr="008870F1" w:rsidRDefault="004E6744" w:rsidP="00613ABF">
            <w:pPr>
              <w:jc w:val="left"/>
              <w:rPr>
                <w:rFonts w:cstheme="minorHAnsi"/>
              </w:rPr>
            </w:pPr>
            <w:r w:rsidRPr="008870F1">
              <w:rPr>
                <w:rFonts w:cstheme="minorHAnsi"/>
              </w:rPr>
              <w:t>£0.7m</w:t>
            </w:r>
          </w:p>
        </w:tc>
        <w:tc>
          <w:tcPr>
            <w:tcW w:w="1438" w:type="dxa"/>
          </w:tcPr>
          <w:p w14:paraId="596667F2" w14:textId="77777777" w:rsidR="004E6744" w:rsidRPr="008870F1" w:rsidRDefault="004E6744" w:rsidP="00613ABF">
            <w:pPr>
              <w:jc w:val="left"/>
              <w:rPr>
                <w:rFonts w:cstheme="minorHAnsi"/>
              </w:rPr>
            </w:pPr>
            <w:r w:rsidRPr="008870F1">
              <w:rPr>
                <w:rFonts w:cstheme="minorHAnsi"/>
              </w:rPr>
              <w:t>£1.2m</w:t>
            </w:r>
          </w:p>
        </w:tc>
        <w:tc>
          <w:tcPr>
            <w:tcW w:w="1438" w:type="dxa"/>
          </w:tcPr>
          <w:p w14:paraId="48AE8BC0" w14:textId="77777777" w:rsidR="004E6744" w:rsidRPr="008870F1" w:rsidRDefault="004E6744" w:rsidP="00613ABF">
            <w:pPr>
              <w:shd w:val="clear" w:color="auto" w:fill="FFFFFF"/>
              <w:jc w:val="left"/>
              <w:rPr>
                <w:rFonts w:cstheme="minorHAnsi"/>
                <w:highlight w:val="white"/>
              </w:rPr>
            </w:pPr>
            <w:r w:rsidRPr="008870F1">
              <w:rPr>
                <w:rFonts w:cstheme="minorHAnsi"/>
                <w:highlight w:val="white"/>
              </w:rPr>
              <w:t>£1.8m</w:t>
            </w:r>
          </w:p>
        </w:tc>
        <w:tc>
          <w:tcPr>
            <w:tcW w:w="1438" w:type="dxa"/>
          </w:tcPr>
          <w:p w14:paraId="6B34209C" w14:textId="77777777" w:rsidR="004E6744" w:rsidRPr="008870F1" w:rsidRDefault="004E6744" w:rsidP="00613ABF">
            <w:pPr>
              <w:shd w:val="clear" w:color="auto" w:fill="FFFFFF"/>
              <w:jc w:val="left"/>
              <w:rPr>
                <w:rFonts w:eastAsia="Roboto" w:cstheme="minorHAnsi"/>
                <w:highlight w:val="white"/>
              </w:rPr>
            </w:pPr>
            <w:r w:rsidRPr="008870F1">
              <w:rPr>
                <w:rFonts w:eastAsia="Roboto" w:cstheme="minorHAnsi"/>
                <w:highlight w:val="white"/>
              </w:rPr>
              <w:t>£2.25m</w:t>
            </w:r>
          </w:p>
        </w:tc>
      </w:tr>
    </w:tbl>
    <w:p w14:paraId="59870615" w14:textId="77777777" w:rsidR="004B6D9F" w:rsidRDefault="004B6D9F" w:rsidP="004B6D9F"/>
    <w:p w14:paraId="347E7EB3" w14:textId="1662709D" w:rsidR="002111EA" w:rsidRPr="00EF393F" w:rsidRDefault="002111EA" w:rsidP="00214816">
      <w:pPr>
        <w:pStyle w:val="Heading2"/>
        <w:numPr>
          <w:ilvl w:val="1"/>
          <w:numId w:val="39"/>
        </w:numPr>
      </w:pPr>
      <w:r w:rsidRPr="008A6564">
        <w:t xml:space="preserve"> </w:t>
      </w:r>
      <w:bookmarkStart w:id="30" w:name="_Toc121224108"/>
      <w:r w:rsidR="00965263" w:rsidRPr="00EF393F">
        <w:t>C</w:t>
      </w:r>
      <w:r w:rsidR="00431B4C">
        <w:t>OSTS</w:t>
      </w:r>
      <w:r w:rsidR="00965263" w:rsidRPr="00EF393F">
        <w:t xml:space="preserve"> - </w:t>
      </w:r>
      <w:r w:rsidRPr="00EF393F">
        <w:t>The preferred option</w:t>
      </w:r>
      <w:bookmarkEnd w:id="30"/>
    </w:p>
    <w:p w14:paraId="766E17F8" w14:textId="5A46E445" w:rsidR="0036795C" w:rsidRDefault="002111EA" w:rsidP="00613ABF">
      <w:pPr>
        <w:spacing w:after="240"/>
      </w:pPr>
      <w:r>
        <w:rPr>
          <w:rStyle w:val="normaltextrun"/>
          <w:rFonts w:cstheme="minorHAnsi"/>
          <w:color w:val="000000"/>
          <w:bdr w:val="none" w:sz="0" w:space="0" w:color="auto" w:frame="1"/>
        </w:rPr>
        <w:t>W</w:t>
      </w:r>
      <w:r w:rsidRPr="00DA7948">
        <w:rPr>
          <w:rStyle w:val="normaltextrun"/>
          <w:rFonts w:cstheme="minorHAnsi"/>
          <w:color w:val="000000"/>
          <w:bdr w:val="none" w:sz="0" w:space="0" w:color="auto" w:frame="1"/>
        </w:rPr>
        <w:t>e</w:t>
      </w:r>
      <w:r w:rsidR="00054F2F">
        <w:rPr>
          <w:rStyle w:val="normaltextrun"/>
          <w:rFonts w:cstheme="minorHAnsi"/>
          <w:color w:val="000000"/>
          <w:bdr w:val="none" w:sz="0" w:space="0" w:color="auto" w:frame="1"/>
        </w:rPr>
        <w:t xml:space="preserve"> woul</w:t>
      </w:r>
      <w:r w:rsidRPr="00DA7948">
        <w:rPr>
          <w:rStyle w:val="normaltextrun"/>
          <w:rFonts w:cstheme="minorHAnsi"/>
          <w:color w:val="000000"/>
          <w:bdr w:val="none" w:sz="0" w:space="0" w:color="auto" w:frame="1"/>
        </w:rPr>
        <w:t>d recommend opting for a smaller budget and guaranteeing that the programme has the capacity to spend it effectively.</w:t>
      </w:r>
      <w:r w:rsidR="00A8755F">
        <w:rPr>
          <w:rStyle w:val="normaltextrun"/>
          <w:rFonts w:cstheme="minorHAnsi"/>
          <w:color w:val="000000"/>
          <w:bdr w:val="none" w:sz="0" w:space="0" w:color="auto" w:frame="1"/>
        </w:rPr>
        <w:t xml:space="preserve"> </w:t>
      </w:r>
      <w:r w:rsidR="00D650B3">
        <w:rPr>
          <w:rStyle w:val="normaltextrun"/>
          <w:rFonts w:cstheme="minorHAnsi"/>
          <w:color w:val="000000"/>
          <w:bdr w:val="none" w:sz="0" w:space="0" w:color="auto" w:frame="1"/>
        </w:rPr>
        <w:t xml:space="preserve">We have therefore chosen </w:t>
      </w:r>
      <w:r w:rsidR="00D67F89" w:rsidRPr="00565E6E">
        <w:rPr>
          <w:rStyle w:val="normaltextrun"/>
          <w:rFonts w:cstheme="minorHAnsi"/>
          <w:b/>
          <w:bCs/>
          <w:color w:val="000000"/>
          <w:bdr w:val="none" w:sz="0" w:space="0" w:color="auto" w:frame="1"/>
        </w:rPr>
        <w:t>£</w:t>
      </w:r>
      <w:r w:rsidR="003F764B" w:rsidRPr="00D67F89">
        <w:rPr>
          <w:rStyle w:val="normaltextrun"/>
          <w:rFonts w:cstheme="minorHAnsi"/>
          <w:b/>
          <w:color w:val="000000"/>
          <w:bdr w:val="none" w:sz="0" w:space="0" w:color="auto" w:frame="1"/>
        </w:rPr>
        <w:t>1.</w:t>
      </w:r>
      <w:r w:rsidR="00434D29" w:rsidRPr="00D67F89">
        <w:rPr>
          <w:rStyle w:val="normaltextrun"/>
          <w:rFonts w:cstheme="minorHAnsi"/>
          <w:b/>
          <w:color w:val="000000"/>
          <w:bdr w:val="none" w:sz="0" w:space="0" w:color="auto" w:frame="1"/>
        </w:rPr>
        <w:t xml:space="preserve">6m </w:t>
      </w:r>
      <w:r w:rsidR="00D650B3" w:rsidRPr="00565E6E">
        <w:rPr>
          <w:rStyle w:val="normaltextrun"/>
          <w:rFonts w:cstheme="minorHAnsi"/>
          <w:b/>
          <w:color w:val="000000"/>
          <w:bdr w:val="none" w:sz="0" w:space="0" w:color="auto" w:frame="1"/>
        </w:rPr>
        <w:t>as the preferred option</w:t>
      </w:r>
      <w:r w:rsidR="00D650B3">
        <w:rPr>
          <w:rStyle w:val="normaltextrun"/>
          <w:rFonts w:cstheme="minorHAnsi"/>
          <w:color w:val="000000"/>
          <w:bdr w:val="none" w:sz="0" w:space="0" w:color="auto" w:frame="1"/>
        </w:rPr>
        <w:t>.</w:t>
      </w:r>
      <w:r w:rsidR="00A8755F">
        <w:rPr>
          <w:rStyle w:val="normaltextrun"/>
          <w:rFonts w:cstheme="minorHAnsi"/>
          <w:color w:val="000000"/>
          <w:bdr w:val="none" w:sz="0" w:space="0" w:color="auto" w:frame="1"/>
        </w:rPr>
        <w:t xml:space="preserve"> We are not confident that Tide Turners have the capacity to spend £2.4m and </w:t>
      </w:r>
      <w:r w:rsidR="009B1AAB">
        <w:rPr>
          <w:rStyle w:val="normaltextrun"/>
          <w:rFonts w:cstheme="minorHAnsi"/>
          <w:color w:val="000000"/>
          <w:bdr w:val="none" w:sz="0" w:space="0" w:color="auto" w:frame="1"/>
        </w:rPr>
        <w:t>there</w:t>
      </w:r>
      <w:r w:rsidR="00054F2F">
        <w:rPr>
          <w:rStyle w:val="normaltextrun"/>
          <w:rFonts w:cstheme="minorHAnsi"/>
          <w:color w:val="000000"/>
          <w:bdr w:val="none" w:sz="0" w:space="0" w:color="auto" w:frame="1"/>
        </w:rPr>
        <w:t xml:space="preserve"> i</w:t>
      </w:r>
      <w:r w:rsidR="009B1AAB">
        <w:rPr>
          <w:rStyle w:val="normaltextrun"/>
          <w:rFonts w:cstheme="minorHAnsi"/>
          <w:color w:val="000000"/>
          <w:bdr w:val="none" w:sz="0" w:space="0" w:color="auto" w:frame="1"/>
        </w:rPr>
        <w:t xml:space="preserve">s a risk of them spending money </w:t>
      </w:r>
      <w:r w:rsidR="00BC5AC3">
        <w:rPr>
          <w:rStyle w:val="normaltextrun"/>
          <w:rFonts w:cstheme="minorHAnsi"/>
          <w:color w:val="000000"/>
          <w:bdr w:val="none" w:sz="0" w:space="0" w:color="auto" w:frame="1"/>
        </w:rPr>
        <w:t>ineffectively</w:t>
      </w:r>
      <w:r w:rsidR="009B1AAB">
        <w:rPr>
          <w:rStyle w:val="normaltextrun"/>
          <w:rFonts w:cstheme="minorHAnsi"/>
          <w:color w:val="000000"/>
          <w:bdr w:val="none" w:sz="0" w:space="0" w:color="auto" w:frame="1"/>
        </w:rPr>
        <w:t>.</w:t>
      </w:r>
    </w:p>
    <w:p w14:paraId="0F98751E" w14:textId="441F016A" w:rsidR="00B01F9F" w:rsidRPr="00705BCF" w:rsidRDefault="00B01F9F" w:rsidP="00705BCF">
      <w:pPr>
        <w:pStyle w:val="Heading3"/>
      </w:pPr>
      <w:r>
        <w:t>appraisal of the preferred opton</w:t>
      </w:r>
    </w:p>
    <w:p w14:paraId="3B128233" w14:textId="51592B9A" w:rsidR="00B01F9F" w:rsidRDefault="005C2CE1" w:rsidP="00613ABF">
      <w:pPr>
        <w:pStyle w:val="Caption"/>
        <w:spacing w:after="240" w:line="240" w:lineRule="auto"/>
        <w:rPr>
          <w:rFonts w:asciiTheme="minorHAnsi" w:hAnsiTheme="minorHAnsi" w:cstheme="minorHAnsi"/>
          <w:b/>
          <w:szCs w:val="22"/>
          <w:lang w:eastAsia="en-GB"/>
        </w:rPr>
      </w:pPr>
      <w:r>
        <w:rPr>
          <w:rFonts w:asciiTheme="minorHAnsi" w:hAnsiTheme="minorHAnsi" w:cstheme="minorHAnsi"/>
          <w:b/>
          <w:szCs w:val="22"/>
          <w:lang w:eastAsia="en-GB"/>
        </w:rPr>
        <w:t xml:space="preserve">Table </w:t>
      </w:r>
      <w:r>
        <w:rPr>
          <w:rFonts w:asciiTheme="minorHAnsi" w:hAnsiTheme="minorHAnsi" w:cstheme="minorHAnsi"/>
          <w:b/>
          <w:bCs w:val="0"/>
          <w:szCs w:val="22"/>
          <w:lang w:eastAsia="en-GB"/>
        </w:rPr>
        <w:t>5</w:t>
      </w:r>
      <w:r w:rsidR="00B01F9F" w:rsidRPr="001135DD">
        <w:rPr>
          <w:rFonts w:asciiTheme="minorHAnsi" w:hAnsiTheme="minorHAnsi" w:cstheme="minorHAnsi"/>
          <w:b/>
          <w:szCs w:val="22"/>
          <w:lang w:eastAsia="en-GB"/>
        </w:rPr>
        <w:t xml:space="preserve"> – proposed split of the Defra investment by year and programme (preferred option)</w:t>
      </w:r>
    </w:p>
    <w:tbl>
      <w:tblPr>
        <w:tblStyle w:val="TableGrid"/>
        <w:tblW w:w="0" w:type="auto"/>
        <w:tblLook w:val="04A0" w:firstRow="1" w:lastRow="0" w:firstColumn="1" w:lastColumn="0" w:noHBand="0" w:noVBand="1"/>
      </w:tblPr>
      <w:tblGrid>
        <w:gridCol w:w="1747"/>
        <w:gridCol w:w="1704"/>
        <w:gridCol w:w="1704"/>
        <w:gridCol w:w="1704"/>
        <w:gridCol w:w="1565"/>
      </w:tblGrid>
      <w:tr w:rsidR="00B01F9F" w:rsidRPr="00DA7948" w14:paraId="6D6762A0" w14:textId="77777777" w:rsidTr="00D30141">
        <w:trPr>
          <w:trHeight w:val="50"/>
        </w:trPr>
        <w:tc>
          <w:tcPr>
            <w:tcW w:w="1747" w:type="dxa"/>
          </w:tcPr>
          <w:p w14:paraId="5019B512" w14:textId="77777777" w:rsidR="00B01F9F" w:rsidRPr="00DA7948" w:rsidRDefault="00B01F9F" w:rsidP="00613ABF">
            <w:pPr>
              <w:jc w:val="left"/>
              <w:rPr>
                <w:rFonts w:cstheme="minorHAnsi"/>
                <w:sz w:val="22"/>
                <w:szCs w:val="22"/>
              </w:rPr>
            </w:pPr>
          </w:p>
        </w:tc>
        <w:tc>
          <w:tcPr>
            <w:tcW w:w="1704" w:type="dxa"/>
          </w:tcPr>
          <w:p w14:paraId="05444584" w14:textId="3144127F" w:rsidR="00B01F9F" w:rsidRPr="00DA7948" w:rsidRDefault="00B01F9F" w:rsidP="00613ABF">
            <w:pPr>
              <w:jc w:val="left"/>
              <w:rPr>
                <w:rFonts w:cstheme="minorHAnsi"/>
                <w:sz w:val="22"/>
                <w:szCs w:val="22"/>
              </w:rPr>
            </w:pPr>
            <w:r w:rsidRPr="00DA7948">
              <w:rPr>
                <w:rFonts w:cstheme="minorHAnsi"/>
              </w:rPr>
              <w:t>22/23</w:t>
            </w:r>
          </w:p>
        </w:tc>
        <w:tc>
          <w:tcPr>
            <w:tcW w:w="1704" w:type="dxa"/>
          </w:tcPr>
          <w:p w14:paraId="272B817E" w14:textId="0E95CB3F" w:rsidR="00B01F9F" w:rsidRPr="00DA7948" w:rsidRDefault="00B01F9F" w:rsidP="00613ABF">
            <w:pPr>
              <w:jc w:val="left"/>
              <w:rPr>
                <w:rFonts w:cstheme="minorHAnsi"/>
                <w:sz w:val="22"/>
                <w:szCs w:val="22"/>
              </w:rPr>
            </w:pPr>
            <w:r w:rsidRPr="00DA7948">
              <w:rPr>
                <w:rFonts w:cstheme="minorHAnsi"/>
              </w:rPr>
              <w:t>23/24</w:t>
            </w:r>
          </w:p>
        </w:tc>
        <w:tc>
          <w:tcPr>
            <w:tcW w:w="1704" w:type="dxa"/>
          </w:tcPr>
          <w:p w14:paraId="4B137C84" w14:textId="3B91919A" w:rsidR="00B01F9F" w:rsidRPr="00DA7948" w:rsidRDefault="00B01F9F" w:rsidP="00613ABF">
            <w:pPr>
              <w:jc w:val="left"/>
              <w:rPr>
                <w:rFonts w:cstheme="minorHAnsi"/>
                <w:sz w:val="22"/>
                <w:szCs w:val="22"/>
              </w:rPr>
            </w:pPr>
            <w:r w:rsidRPr="00DA7948">
              <w:rPr>
                <w:rFonts w:cstheme="minorHAnsi"/>
              </w:rPr>
              <w:t>24/25</w:t>
            </w:r>
          </w:p>
        </w:tc>
        <w:tc>
          <w:tcPr>
            <w:tcW w:w="1565" w:type="dxa"/>
          </w:tcPr>
          <w:p w14:paraId="24E12C26" w14:textId="3A6FEF2A" w:rsidR="00B01F9F" w:rsidRPr="00DA7948" w:rsidRDefault="00B01F9F" w:rsidP="00613ABF">
            <w:pPr>
              <w:jc w:val="left"/>
              <w:rPr>
                <w:rFonts w:cstheme="minorHAnsi"/>
                <w:sz w:val="22"/>
                <w:szCs w:val="22"/>
              </w:rPr>
            </w:pPr>
            <w:r w:rsidRPr="00DA7948">
              <w:rPr>
                <w:rFonts w:cstheme="minorHAnsi"/>
              </w:rPr>
              <w:t>Total</w:t>
            </w:r>
          </w:p>
        </w:tc>
      </w:tr>
      <w:tr w:rsidR="00B01F9F" w:rsidRPr="00DA7948" w14:paraId="2D8A88EE" w14:textId="77777777" w:rsidTr="00D30141">
        <w:trPr>
          <w:trHeight w:val="91"/>
        </w:trPr>
        <w:tc>
          <w:tcPr>
            <w:tcW w:w="1747" w:type="dxa"/>
          </w:tcPr>
          <w:p w14:paraId="323F9680" w14:textId="77777777" w:rsidR="00B01F9F" w:rsidRPr="00DA7948" w:rsidRDefault="00B01F9F" w:rsidP="00613ABF">
            <w:pPr>
              <w:jc w:val="left"/>
              <w:rPr>
                <w:rFonts w:cstheme="minorHAnsi"/>
                <w:sz w:val="22"/>
                <w:szCs w:val="22"/>
              </w:rPr>
            </w:pPr>
            <w:r w:rsidRPr="00DA7948">
              <w:rPr>
                <w:rFonts w:cstheme="minorHAnsi"/>
              </w:rPr>
              <w:t>Tide Turners</w:t>
            </w:r>
          </w:p>
        </w:tc>
        <w:tc>
          <w:tcPr>
            <w:tcW w:w="1704" w:type="dxa"/>
          </w:tcPr>
          <w:p w14:paraId="4C7D8870" w14:textId="1D829825" w:rsidR="00B01F9F" w:rsidRPr="00DA7948" w:rsidRDefault="00B01F9F" w:rsidP="00613ABF">
            <w:pPr>
              <w:jc w:val="left"/>
              <w:rPr>
                <w:rFonts w:cstheme="minorHAnsi"/>
                <w:sz w:val="22"/>
                <w:szCs w:val="22"/>
              </w:rPr>
            </w:pPr>
            <w:r w:rsidRPr="007D41F7">
              <w:rPr>
                <w:rFonts w:cstheme="minorHAnsi"/>
              </w:rPr>
              <w:t>£300k</w:t>
            </w:r>
          </w:p>
        </w:tc>
        <w:tc>
          <w:tcPr>
            <w:tcW w:w="1704" w:type="dxa"/>
          </w:tcPr>
          <w:p w14:paraId="06E805A9" w14:textId="283833D5" w:rsidR="00B01F9F" w:rsidRPr="00DA7948" w:rsidRDefault="00B01F9F" w:rsidP="00613ABF">
            <w:pPr>
              <w:jc w:val="left"/>
              <w:rPr>
                <w:rFonts w:cstheme="minorHAnsi"/>
                <w:sz w:val="22"/>
                <w:szCs w:val="22"/>
              </w:rPr>
            </w:pPr>
            <w:r w:rsidRPr="007D41F7">
              <w:rPr>
                <w:rFonts w:cstheme="minorHAnsi"/>
              </w:rPr>
              <w:t>£800k</w:t>
            </w:r>
          </w:p>
        </w:tc>
        <w:tc>
          <w:tcPr>
            <w:tcW w:w="1704" w:type="dxa"/>
          </w:tcPr>
          <w:p w14:paraId="0E2DD720" w14:textId="3B33367C" w:rsidR="00B01F9F" w:rsidRPr="00DA7948" w:rsidRDefault="00B01F9F" w:rsidP="00613ABF">
            <w:pPr>
              <w:jc w:val="left"/>
              <w:rPr>
                <w:rFonts w:cstheme="minorHAnsi"/>
                <w:sz w:val="22"/>
                <w:szCs w:val="22"/>
              </w:rPr>
            </w:pPr>
            <w:r w:rsidRPr="007D41F7">
              <w:rPr>
                <w:rFonts w:cstheme="minorHAnsi"/>
              </w:rPr>
              <w:t>£500k</w:t>
            </w:r>
          </w:p>
        </w:tc>
        <w:tc>
          <w:tcPr>
            <w:tcW w:w="1565" w:type="dxa"/>
          </w:tcPr>
          <w:p w14:paraId="6BD38B0E" w14:textId="359F1F84" w:rsidR="00B01F9F" w:rsidRPr="00DA7948" w:rsidRDefault="00B01F9F" w:rsidP="00613ABF">
            <w:pPr>
              <w:jc w:val="left"/>
              <w:rPr>
                <w:rFonts w:cstheme="minorHAnsi"/>
                <w:sz w:val="22"/>
                <w:szCs w:val="22"/>
              </w:rPr>
            </w:pPr>
            <w:r w:rsidRPr="00DA7948">
              <w:rPr>
                <w:rFonts w:cstheme="minorHAnsi"/>
              </w:rPr>
              <w:t>£1.6m</w:t>
            </w:r>
          </w:p>
        </w:tc>
      </w:tr>
      <w:tr w:rsidR="00B01F9F" w:rsidRPr="00DA7948" w14:paraId="34E9888D" w14:textId="77777777" w:rsidTr="00D30141">
        <w:trPr>
          <w:trHeight w:val="91"/>
        </w:trPr>
        <w:tc>
          <w:tcPr>
            <w:tcW w:w="1747" w:type="dxa"/>
          </w:tcPr>
          <w:p w14:paraId="36B3DB38" w14:textId="77777777" w:rsidR="00B01F9F" w:rsidRPr="00DA7948" w:rsidRDefault="00B01F9F" w:rsidP="00613ABF">
            <w:pPr>
              <w:jc w:val="left"/>
              <w:rPr>
                <w:rFonts w:cstheme="minorHAnsi"/>
                <w:sz w:val="22"/>
                <w:szCs w:val="22"/>
              </w:rPr>
            </w:pPr>
            <w:r w:rsidRPr="00DA7948">
              <w:rPr>
                <w:rFonts w:cstheme="minorHAnsi"/>
              </w:rPr>
              <w:t>INC support</w:t>
            </w:r>
          </w:p>
        </w:tc>
        <w:tc>
          <w:tcPr>
            <w:tcW w:w="1704" w:type="dxa"/>
          </w:tcPr>
          <w:p w14:paraId="2CEDB522" w14:textId="7FFAF13B" w:rsidR="00B01F9F" w:rsidRPr="00DA7948" w:rsidRDefault="00FD0632" w:rsidP="00613ABF">
            <w:pPr>
              <w:jc w:val="left"/>
              <w:rPr>
                <w:rFonts w:cstheme="minorHAnsi"/>
                <w:sz w:val="22"/>
                <w:szCs w:val="22"/>
              </w:rPr>
            </w:pPr>
            <w:r>
              <w:rPr>
                <w:rFonts w:cstheme="minorHAnsi"/>
              </w:rPr>
              <w:t>£400k</w:t>
            </w:r>
          </w:p>
        </w:tc>
        <w:tc>
          <w:tcPr>
            <w:tcW w:w="1704" w:type="dxa"/>
          </w:tcPr>
          <w:p w14:paraId="364A9F43" w14:textId="3B9439C3" w:rsidR="00B01F9F" w:rsidRPr="00DA7948" w:rsidRDefault="00FD0632" w:rsidP="00613ABF">
            <w:pPr>
              <w:jc w:val="left"/>
              <w:rPr>
                <w:rFonts w:cstheme="minorHAnsi"/>
                <w:sz w:val="22"/>
                <w:szCs w:val="22"/>
              </w:rPr>
            </w:pPr>
            <w:r>
              <w:rPr>
                <w:rFonts w:cstheme="minorHAnsi"/>
              </w:rPr>
              <w:t>£800k</w:t>
            </w:r>
          </w:p>
        </w:tc>
        <w:tc>
          <w:tcPr>
            <w:tcW w:w="1704" w:type="dxa"/>
          </w:tcPr>
          <w:p w14:paraId="67CC92DF" w14:textId="7118F7D8" w:rsidR="00B01F9F" w:rsidRPr="00DA7948" w:rsidRDefault="00FD0632" w:rsidP="00613ABF">
            <w:pPr>
              <w:jc w:val="left"/>
              <w:rPr>
                <w:rFonts w:cstheme="minorHAnsi"/>
                <w:sz w:val="22"/>
                <w:szCs w:val="22"/>
              </w:rPr>
            </w:pPr>
            <w:r>
              <w:rPr>
                <w:rFonts w:cstheme="minorHAnsi"/>
              </w:rPr>
              <w:t>£800k</w:t>
            </w:r>
          </w:p>
        </w:tc>
        <w:tc>
          <w:tcPr>
            <w:tcW w:w="1565" w:type="dxa"/>
          </w:tcPr>
          <w:p w14:paraId="51B8AD9F" w14:textId="35D64358" w:rsidR="00B01F9F" w:rsidRPr="00DA7948" w:rsidRDefault="00FD0632" w:rsidP="00613ABF">
            <w:pPr>
              <w:jc w:val="left"/>
              <w:rPr>
                <w:rFonts w:cstheme="minorHAnsi"/>
                <w:sz w:val="22"/>
                <w:szCs w:val="22"/>
              </w:rPr>
            </w:pPr>
            <w:r w:rsidRPr="007D41F7">
              <w:t>£2m</w:t>
            </w:r>
          </w:p>
        </w:tc>
      </w:tr>
      <w:tr w:rsidR="00B01F9F" w:rsidRPr="00DA7948" w14:paraId="6226759C" w14:textId="77777777" w:rsidTr="00D30141">
        <w:trPr>
          <w:trHeight w:val="91"/>
        </w:trPr>
        <w:tc>
          <w:tcPr>
            <w:tcW w:w="1747" w:type="dxa"/>
          </w:tcPr>
          <w:p w14:paraId="7E285040" w14:textId="77777777" w:rsidR="00B01F9F" w:rsidRPr="00DA7948" w:rsidRDefault="00B01F9F" w:rsidP="00613ABF">
            <w:pPr>
              <w:jc w:val="left"/>
              <w:rPr>
                <w:rFonts w:cstheme="minorHAnsi"/>
                <w:sz w:val="22"/>
                <w:szCs w:val="22"/>
              </w:rPr>
            </w:pPr>
            <w:r w:rsidRPr="00DA7948">
              <w:rPr>
                <w:rFonts w:cstheme="minorHAnsi"/>
              </w:rPr>
              <w:t>Total</w:t>
            </w:r>
          </w:p>
        </w:tc>
        <w:tc>
          <w:tcPr>
            <w:tcW w:w="1704" w:type="dxa"/>
          </w:tcPr>
          <w:p w14:paraId="6B9BAEF1" w14:textId="42A5D700" w:rsidR="00B01F9F" w:rsidRPr="00DA7948" w:rsidRDefault="00D30141" w:rsidP="00613ABF">
            <w:pPr>
              <w:jc w:val="left"/>
              <w:rPr>
                <w:rFonts w:cstheme="minorHAnsi"/>
                <w:sz w:val="22"/>
                <w:szCs w:val="22"/>
              </w:rPr>
            </w:pPr>
            <w:r>
              <w:rPr>
                <w:rFonts w:cstheme="minorHAnsi"/>
              </w:rPr>
              <w:t>£700k</w:t>
            </w:r>
          </w:p>
        </w:tc>
        <w:tc>
          <w:tcPr>
            <w:tcW w:w="1704" w:type="dxa"/>
          </w:tcPr>
          <w:p w14:paraId="4E9351F4" w14:textId="048E6751" w:rsidR="00B01F9F" w:rsidRPr="00DA7948" w:rsidRDefault="00D30141" w:rsidP="00613ABF">
            <w:pPr>
              <w:jc w:val="left"/>
              <w:rPr>
                <w:rFonts w:cstheme="minorHAnsi"/>
                <w:sz w:val="22"/>
                <w:szCs w:val="22"/>
              </w:rPr>
            </w:pPr>
            <w:r>
              <w:rPr>
                <w:rFonts w:cstheme="minorHAnsi"/>
              </w:rPr>
              <w:t>£1.6m</w:t>
            </w:r>
          </w:p>
        </w:tc>
        <w:tc>
          <w:tcPr>
            <w:tcW w:w="1704" w:type="dxa"/>
          </w:tcPr>
          <w:p w14:paraId="04BBE7F8" w14:textId="2EE5CD98" w:rsidR="00B01F9F" w:rsidRPr="00DA7948" w:rsidRDefault="00D30141" w:rsidP="00613ABF">
            <w:pPr>
              <w:jc w:val="left"/>
              <w:rPr>
                <w:rFonts w:cstheme="minorHAnsi"/>
                <w:sz w:val="22"/>
                <w:szCs w:val="22"/>
              </w:rPr>
            </w:pPr>
            <w:r>
              <w:rPr>
                <w:rFonts w:cstheme="minorHAnsi"/>
              </w:rPr>
              <w:t>£1.3m</w:t>
            </w:r>
          </w:p>
        </w:tc>
        <w:tc>
          <w:tcPr>
            <w:tcW w:w="1565" w:type="dxa"/>
          </w:tcPr>
          <w:p w14:paraId="2BAE8B65" w14:textId="1738955F" w:rsidR="00B01F9F" w:rsidRPr="00DA7948" w:rsidRDefault="00B01F9F" w:rsidP="00613ABF">
            <w:pPr>
              <w:jc w:val="left"/>
              <w:rPr>
                <w:rFonts w:cstheme="minorHAnsi"/>
                <w:sz w:val="22"/>
                <w:szCs w:val="22"/>
              </w:rPr>
            </w:pPr>
            <w:r w:rsidRPr="00DA7948">
              <w:rPr>
                <w:rFonts w:cstheme="minorHAnsi"/>
              </w:rPr>
              <w:t>£</w:t>
            </w:r>
            <w:r w:rsidR="00C161EA">
              <w:rPr>
                <w:rFonts w:cstheme="minorHAnsi"/>
              </w:rPr>
              <w:t>3.6</w:t>
            </w:r>
            <w:r w:rsidRPr="00DA7948">
              <w:rPr>
                <w:rFonts w:cstheme="minorHAnsi"/>
              </w:rPr>
              <w:t>m</w:t>
            </w:r>
          </w:p>
        </w:tc>
      </w:tr>
    </w:tbl>
    <w:p w14:paraId="6C7C52CD" w14:textId="4FFDA6AF" w:rsidR="00D650B3" w:rsidRPr="008870F1" w:rsidRDefault="00B01F9F" w:rsidP="00613ABF">
      <w:pPr>
        <w:spacing w:before="240" w:after="240"/>
        <w:jc w:val="left"/>
        <w:rPr>
          <w:rFonts w:cstheme="minorHAnsi"/>
          <w:u w:val="single"/>
        </w:rPr>
      </w:pPr>
      <w:r w:rsidRPr="008F42D1">
        <w:rPr>
          <w:rFonts w:cstheme="minorHAnsi"/>
          <w:b/>
          <w:bCs/>
          <w:u w:val="single"/>
        </w:rPr>
        <w:t>Benefits</w:t>
      </w:r>
      <w:r w:rsidR="00DB1BD6">
        <w:rPr>
          <w:rFonts w:cstheme="minorHAnsi"/>
          <w:b/>
          <w:bCs/>
          <w:u w:val="single"/>
        </w:rPr>
        <w:t xml:space="preserve"> specific to investing in Tide Turners</w:t>
      </w:r>
      <w:r w:rsidR="00D650B3">
        <w:rPr>
          <w:rFonts w:cstheme="minorHAnsi"/>
          <w:b/>
          <w:bCs/>
          <w:u w:val="single"/>
        </w:rPr>
        <w:t xml:space="preserve"> </w:t>
      </w:r>
      <w:r w:rsidR="00D650B3" w:rsidRPr="008870F1">
        <w:rPr>
          <w:rFonts w:cstheme="minorHAnsi"/>
          <w:u w:val="single"/>
        </w:rPr>
        <w:t>(preferred option)</w:t>
      </w:r>
    </w:p>
    <w:p w14:paraId="1D3A00FF" w14:textId="031335DB" w:rsidR="002A05A8" w:rsidRPr="00217F59" w:rsidRDefault="002A05A8" w:rsidP="00613ABF">
      <w:pPr>
        <w:spacing w:after="240"/>
        <w:rPr>
          <w:rFonts w:cstheme="minorHAnsi"/>
          <w:sz w:val="20"/>
          <w:szCs w:val="20"/>
        </w:rPr>
      </w:pPr>
      <w:r w:rsidRPr="00DA7948">
        <w:rPr>
          <w:rFonts w:cstheme="minorHAnsi"/>
          <w:b/>
        </w:rPr>
        <w:t>Communications</w:t>
      </w:r>
      <w:r w:rsidRPr="00DA7948">
        <w:rPr>
          <w:rFonts w:cstheme="minorHAnsi"/>
        </w:rPr>
        <w:t>:</w:t>
      </w:r>
      <w:r w:rsidR="00732EA8">
        <w:rPr>
          <w:rFonts w:cstheme="minorHAnsi"/>
        </w:rPr>
        <w:t xml:space="preserve"> </w:t>
      </w:r>
      <w:r w:rsidR="00D650B3">
        <w:rPr>
          <w:rFonts w:cstheme="minorHAnsi"/>
        </w:rPr>
        <w:t>The preferred option</w:t>
      </w:r>
      <w:r w:rsidR="00732EA8" w:rsidRPr="005D5A02">
        <w:rPr>
          <w:rFonts w:cstheme="minorHAnsi"/>
        </w:rPr>
        <w:t xml:space="preserve"> is projected to deliver </w:t>
      </w:r>
      <w:r w:rsidRPr="005D5A02">
        <w:rPr>
          <w:rFonts w:cstheme="minorHAnsi"/>
        </w:rPr>
        <w:t>3 Tide Turner global events (virtual or hybrid) per year</w:t>
      </w:r>
      <w:r w:rsidR="00273E65" w:rsidRPr="005D5A02">
        <w:rPr>
          <w:rFonts w:cstheme="minorHAnsi"/>
        </w:rPr>
        <w:t xml:space="preserve"> and </w:t>
      </w:r>
      <w:r w:rsidRPr="00217F59">
        <w:rPr>
          <w:rFonts w:cstheme="minorHAnsi"/>
        </w:rPr>
        <w:t>5-</w:t>
      </w:r>
      <w:r w:rsidR="009B1AAB" w:rsidRPr="00217F59">
        <w:rPr>
          <w:rFonts w:cstheme="minorHAnsi"/>
        </w:rPr>
        <w:t>1</w:t>
      </w:r>
      <w:r w:rsidRPr="00217F59">
        <w:rPr>
          <w:rFonts w:cstheme="minorHAnsi"/>
        </w:rPr>
        <w:t>0 Tide Turner change-maker stor</w:t>
      </w:r>
      <w:r w:rsidR="00273E65" w:rsidRPr="00217F59">
        <w:rPr>
          <w:rFonts w:cstheme="minorHAnsi"/>
        </w:rPr>
        <w:t xml:space="preserve">ies and videos would be </w:t>
      </w:r>
      <w:r w:rsidRPr="00217F59">
        <w:rPr>
          <w:rFonts w:cstheme="minorHAnsi"/>
        </w:rPr>
        <w:t>profiled online per year as part of UNEP’s Climate Leadership Series and Young Champs changemakers.</w:t>
      </w:r>
    </w:p>
    <w:p w14:paraId="32A873F4" w14:textId="55E774A3" w:rsidR="002A05A8" w:rsidRPr="00F13EF6" w:rsidRDefault="002A05A8" w:rsidP="00613ABF">
      <w:pPr>
        <w:spacing w:before="240" w:after="240"/>
        <w:rPr>
          <w:rFonts w:cstheme="minorHAnsi"/>
          <w:u w:val="single"/>
        </w:rPr>
      </w:pPr>
      <w:r w:rsidRPr="00DA7948">
        <w:rPr>
          <w:rFonts w:cstheme="minorHAnsi"/>
          <w:b/>
        </w:rPr>
        <w:t xml:space="preserve">Increased reach: </w:t>
      </w:r>
      <w:r w:rsidR="00273E65">
        <w:rPr>
          <w:rFonts w:eastAsia="Calibri Light" w:cstheme="minorHAnsi"/>
          <w:lang w:val="en-US"/>
        </w:rPr>
        <w:t>T</w:t>
      </w:r>
      <w:r w:rsidRPr="00DA7948">
        <w:rPr>
          <w:rFonts w:eastAsia="Calibri Light" w:cstheme="minorHAnsi"/>
          <w:lang w:val="en-US"/>
        </w:rPr>
        <w:t xml:space="preserve">ide Turners hope to </w:t>
      </w:r>
      <w:r w:rsidR="00A95882">
        <w:rPr>
          <w:rFonts w:eastAsia="Calibri Light" w:cstheme="minorHAnsi"/>
          <w:lang w:val="en-US"/>
        </w:rPr>
        <w:t>use some of the £1.6m funding to</w:t>
      </w:r>
      <w:r w:rsidRPr="00DA7948">
        <w:rPr>
          <w:rFonts w:eastAsia="Calibri Light" w:cstheme="minorHAnsi"/>
          <w:lang w:val="en-US"/>
        </w:rPr>
        <w:t xml:space="preserve"> work</w:t>
      </w:r>
      <w:r w:rsidRPr="00DA7948">
        <w:rPr>
          <w:rFonts w:cstheme="minorHAnsi"/>
        </w:rPr>
        <w:t xml:space="preserve"> with 5-10 new universities that have previously engaged in the programme</w:t>
      </w:r>
      <w:r w:rsidR="00A95882" w:rsidRPr="00DB1BD6">
        <w:rPr>
          <w:rFonts w:cstheme="minorHAnsi"/>
        </w:rPr>
        <w:t>.</w:t>
      </w:r>
      <w:r w:rsidR="00A95882">
        <w:rPr>
          <w:rFonts w:cstheme="minorHAnsi"/>
        </w:rPr>
        <w:t xml:space="preserve"> This will help catalyse further change by tapping into a community that is eager for change, relatively time-rich</w:t>
      </w:r>
      <w:r w:rsidR="002111EA">
        <w:rPr>
          <w:rFonts w:cstheme="minorHAnsi"/>
        </w:rPr>
        <w:t xml:space="preserve"> and </w:t>
      </w:r>
      <w:r w:rsidR="00A95882">
        <w:rPr>
          <w:rFonts w:cstheme="minorHAnsi"/>
        </w:rPr>
        <w:t xml:space="preserve">highly skilled. Separately, </w:t>
      </w:r>
      <w:r w:rsidR="002111EA">
        <w:rPr>
          <w:rFonts w:cstheme="minorHAnsi"/>
        </w:rPr>
        <w:t>t</w:t>
      </w:r>
      <w:r w:rsidRPr="00DA7948">
        <w:rPr>
          <w:rFonts w:cstheme="minorHAnsi"/>
        </w:rPr>
        <w:t>he Tide Turners app will</w:t>
      </w:r>
      <w:r w:rsidR="002111EA">
        <w:rPr>
          <w:rFonts w:cstheme="minorHAnsi"/>
        </w:rPr>
        <w:t xml:space="preserve"> </w:t>
      </w:r>
      <w:r w:rsidR="00A95882">
        <w:rPr>
          <w:rFonts w:cstheme="minorHAnsi"/>
        </w:rPr>
        <w:t>help</w:t>
      </w:r>
      <w:r w:rsidR="002111EA">
        <w:rPr>
          <w:rFonts w:cstheme="minorHAnsi"/>
        </w:rPr>
        <w:t xml:space="preserve"> </w:t>
      </w:r>
      <w:r w:rsidRPr="00DA7948">
        <w:rPr>
          <w:rFonts w:cstheme="minorHAnsi"/>
        </w:rPr>
        <w:t xml:space="preserve">enable digital delivery of the programme </w:t>
      </w:r>
      <w:r w:rsidR="002111EA">
        <w:rPr>
          <w:rFonts w:cstheme="minorHAnsi"/>
        </w:rPr>
        <w:t>which</w:t>
      </w:r>
      <w:r w:rsidRPr="00DA7948">
        <w:rPr>
          <w:rFonts w:cstheme="minorHAnsi"/>
        </w:rPr>
        <w:t xml:space="preserve"> will </w:t>
      </w:r>
      <w:r w:rsidR="00A95882">
        <w:rPr>
          <w:rFonts w:cstheme="minorHAnsi"/>
        </w:rPr>
        <w:t xml:space="preserve">further </w:t>
      </w:r>
      <w:r w:rsidRPr="00DA7948">
        <w:rPr>
          <w:rFonts w:cstheme="minorHAnsi"/>
        </w:rPr>
        <w:t xml:space="preserve">increase the reach of the programme. </w:t>
      </w:r>
      <w:r w:rsidR="00A95882">
        <w:rPr>
          <w:rFonts w:eastAsia="Calibri Light" w:cstheme="minorHAnsi"/>
          <w:lang w:val="en-US"/>
        </w:rPr>
        <w:t>Through the application of these approaches</w:t>
      </w:r>
      <w:r w:rsidR="008427C3">
        <w:rPr>
          <w:rFonts w:eastAsia="Calibri Light" w:cstheme="minorHAnsi"/>
          <w:lang w:val="en-US"/>
        </w:rPr>
        <w:t xml:space="preserve"> (amongst others)</w:t>
      </w:r>
      <w:r w:rsidR="00A95882">
        <w:rPr>
          <w:rFonts w:eastAsia="Calibri Light" w:cstheme="minorHAnsi"/>
          <w:lang w:val="en-US"/>
        </w:rPr>
        <w:t xml:space="preserve">, Tide Turners </w:t>
      </w:r>
      <w:r w:rsidR="00A95882">
        <w:rPr>
          <w:rFonts w:eastAsia="Calibri Light" w:cstheme="minorHAnsi"/>
          <w:lang w:val="en-US"/>
        </w:rPr>
        <w:lastRenderedPageBreak/>
        <w:t>aims to reach a total of 55,000 individuals per year</w:t>
      </w:r>
      <w:r w:rsidR="002605A0">
        <w:rPr>
          <w:rFonts w:eastAsia="Calibri Light" w:cstheme="minorHAnsi"/>
          <w:lang w:val="en-US"/>
        </w:rPr>
        <w:t xml:space="preserve"> (based on the £1.6m funding being approved)</w:t>
      </w:r>
      <w:r w:rsidR="003755B3">
        <w:rPr>
          <w:rFonts w:eastAsia="Calibri Light" w:cstheme="minorHAnsi"/>
          <w:lang w:val="en-US"/>
        </w:rPr>
        <w:t xml:space="preserve">, including those from marginalised communities. </w:t>
      </w:r>
    </w:p>
    <w:p w14:paraId="377F8EEE" w14:textId="77777777" w:rsidR="002A05A8" w:rsidRPr="00DA7948" w:rsidRDefault="002A05A8" w:rsidP="00613ABF">
      <w:pPr>
        <w:spacing w:before="240" w:after="240"/>
        <w:rPr>
          <w:rFonts w:cstheme="minorHAnsi"/>
        </w:rPr>
      </w:pPr>
      <w:r w:rsidRPr="00DA7948">
        <w:rPr>
          <w:rFonts w:cstheme="minorHAnsi"/>
          <w:b/>
          <w:bCs/>
        </w:rPr>
        <w:t>Improved monitoring and evaluation:</w:t>
      </w:r>
      <w:r w:rsidRPr="00DA7948">
        <w:rPr>
          <w:rFonts w:cstheme="minorHAnsi"/>
          <w:b/>
        </w:rPr>
        <w:t xml:space="preserve"> </w:t>
      </w:r>
      <w:r w:rsidRPr="00DA7948">
        <w:rPr>
          <w:rFonts w:cstheme="minorHAnsi"/>
        </w:rPr>
        <w:t>The Tide Turners app will improve access to data which will support monitoring and evaluating the programme against KPIs</w:t>
      </w:r>
      <w:r w:rsidRPr="00DA7948">
        <w:rPr>
          <w:rStyle w:val="FootnoteReference"/>
          <w:rFonts w:cstheme="minorHAnsi"/>
        </w:rPr>
        <w:footnoteReference w:id="26"/>
      </w:r>
      <w:r w:rsidRPr="00DA7948">
        <w:rPr>
          <w:rFonts w:cstheme="minorHAnsi"/>
        </w:rPr>
        <w:t xml:space="preserve">. </w:t>
      </w:r>
    </w:p>
    <w:p w14:paraId="1F6B4C5C" w14:textId="5151754F" w:rsidR="002A05A8" w:rsidRPr="002111EA" w:rsidRDefault="002A05A8" w:rsidP="00613ABF">
      <w:pPr>
        <w:spacing w:before="240" w:after="240"/>
        <w:rPr>
          <w:rFonts w:cstheme="minorHAnsi"/>
        </w:rPr>
      </w:pPr>
      <w:r w:rsidRPr="00DA7948">
        <w:rPr>
          <w:rFonts w:cstheme="minorHAnsi"/>
          <w:b/>
          <w:bCs/>
        </w:rPr>
        <w:t xml:space="preserve">Improved regulations: </w:t>
      </w:r>
      <w:r w:rsidR="002111EA">
        <w:rPr>
          <w:rFonts w:cstheme="minorHAnsi"/>
        </w:rPr>
        <w:t xml:space="preserve">Using the £1.6m investment, </w:t>
      </w:r>
      <w:r w:rsidRPr="00DA7948">
        <w:rPr>
          <w:rFonts w:cstheme="minorHAnsi"/>
        </w:rPr>
        <w:t xml:space="preserve">Tide Turners hope to engage with 5-10 key governments to </w:t>
      </w:r>
      <w:r w:rsidRPr="002111EA">
        <w:rPr>
          <w:rFonts w:cstheme="minorHAnsi"/>
        </w:rPr>
        <w:t>identify the state of plastic regulations and support them in single-use-plastic bans and in the implementation of the new Plastic Resolution.</w:t>
      </w:r>
    </w:p>
    <w:p w14:paraId="01503D32" w14:textId="3923992A" w:rsidR="00C475CE" w:rsidRPr="00217F59" w:rsidRDefault="00C475CE" w:rsidP="00613ABF">
      <w:pPr>
        <w:spacing w:before="240" w:after="240"/>
        <w:rPr>
          <w:rFonts w:cstheme="minorHAnsi"/>
          <w:bCs/>
        </w:rPr>
      </w:pPr>
      <w:r>
        <w:rPr>
          <w:rFonts w:cstheme="minorHAnsi"/>
          <w:b/>
        </w:rPr>
        <w:t xml:space="preserve">Leveraged finance: </w:t>
      </w:r>
      <w:r>
        <w:rPr>
          <w:rFonts w:cstheme="minorHAnsi"/>
          <w:bCs/>
        </w:rPr>
        <w:t>Based on the estimated leveraged finance ratio achieved to date from the £1.3m investment into Tide Turners (0.75), a £1.6m investment could deliver further leveraged finance of £1.2m. This estimation is indicative only.</w:t>
      </w:r>
    </w:p>
    <w:p w14:paraId="07DE150D" w14:textId="31C23510" w:rsidR="002A4DCE" w:rsidRDefault="00A53FF9" w:rsidP="00565E6E">
      <w:pPr>
        <w:spacing w:before="240" w:after="240"/>
      </w:pPr>
      <w:r>
        <w:rPr>
          <w:rFonts w:cstheme="minorHAnsi"/>
          <w:b/>
          <w:bCs/>
        </w:rPr>
        <w:t>Evidence of participants delivering meaningful change</w:t>
      </w:r>
      <w:r w:rsidRPr="00DB1BD6" w:rsidDel="002777E4">
        <w:rPr>
          <w:rFonts w:cstheme="minorHAnsi"/>
        </w:rPr>
        <w:t>:</w:t>
      </w:r>
      <w:r w:rsidR="002777E4">
        <w:rPr>
          <w:rFonts w:cstheme="minorHAnsi"/>
        </w:rPr>
        <w:t xml:space="preserve"> It is important to recognise that the </w:t>
      </w:r>
      <w:r w:rsidR="00AE6131" w:rsidRPr="00217F59">
        <w:rPr>
          <w:rFonts w:cstheme="minorHAnsi"/>
        </w:rPr>
        <w:t xml:space="preserve">programme </w:t>
      </w:r>
      <w:r w:rsidR="002777E4">
        <w:rPr>
          <w:rFonts w:cstheme="minorHAnsi"/>
        </w:rPr>
        <w:t xml:space="preserve">can be undertaken </w:t>
      </w:r>
      <w:r w:rsidR="002777E4" w:rsidRPr="00DB1BD6">
        <w:rPr>
          <w:rFonts w:cstheme="minorHAnsi"/>
        </w:rPr>
        <w:t>by</w:t>
      </w:r>
      <w:r w:rsidR="00AE6131" w:rsidRPr="00217F59">
        <w:rPr>
          <w:rFonts w:cstheme="minorHAnsi"/>
        </w:rPr>
        <w:t xml:space="preserve"> a cohort of participants </w:t>
      </w:r>
      <w:r w:rsidR="002777E4" w:rsidRPr="00217F59">
        <w:rPr>
          <w:rFonts w:cstheme="minorHAnsi"/>
        </w:rPr>
        <w:t xml:space="preserve">that are dedicated change-makers </w:t>
      </w:r>
      <w:r w:rsidR="002777E4">
        <w:rPr>
          <w:rFonts w:cstheme="minorHAnsi"/>
        </w:rPr>
        <w:t>but can also be undertaken by a cohort</w:t>
      </w:r>
      <w:r w:rsidR="002777E4" w:rsidRPr="00217F59">
        <w:rPr>
          <w:rFonts w:cstheme="minorHAnsi"/>
        </w:rPr>
        <w:t xml:space="preserve"> </w:t>
      </w:r>
      <w:r w:rsidR="00AE6131" w:rsidRPr="00217F59">
        <w:rPr>
          <w:rFonts w:cstheme="minorHAnsi"/>
        </w:rPr>
        <w:t xml:space="preserve">who are </w:t>
      </w:r>
      <w:r w:rsidR="00AE6131" w:rsidRPr="002777E4">
        <w:rPr>
          <w:rFonts w:cstheme="minorHAnsi"/>
        </w:rPr>
        <w:t>motivated to</w:t>
      </w:r>
      <w:r w:rsidR="002777E4" w:rsidRPr="002777E4">
        <w:rPr>
          <w:rFonts w:cstheme="minorHAnsi"/>
        </w:rPr>
        <w:t xml:space="preserve"> just</w:t>
      </w:r>
      <w:r w:rsidR="00AE6131" w:rsidRPr="002777E4">
        <w:rPr>
          <w:rFonts w:cstheme="minorHAnsi"/>
        </w:rPr>
        <w:t xml:space="preserve"> “get the badge”</w:t>
      </w:r>
      <w:r w:rsidR="002777E4" w:rsidRPr="002777E4">
        <w:rPr>
          <w:rFonts w:cstheme="minorHAnsi"/>
        </w:rPr>
        <w:t xml:space="preserve"> (who don’t intend on going on to deliver meaningful change</w:t>
      </w:r>
      <w:r w:rsidR="002777E4" w:rsidRPr="00DB1BD6">
        <w:rPr>
          <w:rFonts w:cstheme="minorHAnsi"/>
        </w:rPr>
        <w:t>)</w:t>
      </w:r>
      <w:r w:rsidR="00AE6131" w:rsidRPr="00DB1BD6">
        <w:rPr>
          <w:rFonts w:cstheme="minorHAnsi"/>
        </w:rPr>
        <w:t>.</w:t>
      </w:r>
      <w:r w:rsidR="00AE6131" w:rsidRPr="002777E4">
        <w:rPr>
          <w:rFonts w:cstheme="minorHAnsi"/>
        </w:rPr>
        <w:t xml:space="preserve"> </w:t>
      </w:r>
      <w:r w:rsidR="002777E4" w:rsidRPr="005D051B">
        <w:rPr>
          <w:rFonts w:cstheme="minorHAnsi"/>
        </w:rPr>
        <w:t>In addition, w</w:t>
      </w:r>
      <w:r w:rsidR="002777E4" w:rsidRPr="002777E4">
        <w:rPr>
          <w:rFonts w:cstheme="minorHAnsi"/>
        </w:rPr>
        <w:t xml:space="preserve">orking with youth to support their agency can take time and can be disrupted by other life-events. </w:t>
      </w:r>
      <w:r w:rsidR="00AE6131" w:rsidRPr="002777E4">
        <w:rPr>
          <w:rFonts w:cstheme="minorHAnsi"/>
        </w:rPr>
        <w:t xml:space="preserve">Therefore, </w:t>
      </w:r>
      <w:r w:rsidR="002777E4">
        <w:rPr>
          <w:rFonts w:cstheme="minorHAnsi"/>
        </w:rPr>
        <w:t xml:space="preserve">it is accepted that </w:t>
      </w:r>
      <w:r w:rsidR="00AE6131" w:rsidRPr="002777E4">
        <w:rPr>
          <w:rFonts w:cstheme="minorHAnsi"/>
        </w:rPr>
        <w:t xml:space="preserve">only a certain % of participants will go on to deliver meaningful change. </w:t>
      </w:r>
      <w:r w:rsidR="003C7B15">
        <w:rPr>
          <w:rFonts w:cstheme="minorHAnsi"/>
        </w:rPr>
        <w:t>W</w:t>
      </w:r>
      <w:r w:rsidR="00A8755F">
        <w:rPr>
          <w:rFonts w:cstheme="minorHAnsi"/>
        </w:rPr>
        <w:t xml:space="preserve">e have </w:t>
      </w:r>
      <w:r w:rsidR="003C7B15">
        <w:rPr>
          <w:rFonts w:cstheme="minorHAnsi"/>
        </w:rPr>
        <w:t>indicatively quantified</w:t>
      </w:r>
      <w:r w:rsidR="00A8755F">
        <w:rPr>
          <w:rFonts w:cstheme="minorHAnsi"/>
        </w:rPr>
        <w:t xml:space="preserve"> the impact of certain case studies where individuals have gone on to deliver meaningful change in their community and calculated the number of individuals that would have to deliver such activities for the £1.6m investment to breakeven</w:t>
      </w:r>
      <w:r w:rsidR="00A8755F" w:rsidRPr="00362244">
        <w:rPr>
          <w:rFonts w:cstheme="minorHAnsi"/>
        </w:rPr>
        <w:t>.</w:t>
      </w:r>
      <w:r w:rsidR="007C256A" w:rsidRPr="00565E6E">
        <w:rPr>
          <w:rFonts w:cstheme="minorHAnsi"/>
          <w:i/>
        </w:rPr>
        <w:t xml:space="preserve"> </w:t>
      </w:r>
      <w:r w:rsidR="007C256A" w:rsidRPr="00565E6E">
        <w:rPr>
          <w:rFonts w:cstheme="minorHAnsi"/>
          <w:iCs/>
        </w:rPr>
        <w:t>In addition to the example of impact on</w:t>
      </w:r>
      <w:r w:rsidR="007C256A" w:rsidRPr="00A20E3E">
        <w:rPr>
          <w:color w:val="FF0000"/>
          <w:sz w:val="20"/>
          <w:szCs w:val="20"/>
        </w:rPr>
        <w:t xml:space="preserve"> </w:t>
      </w:r>
      <w:r w:rsidR="007C256A" w:rsidRPr="00565E6E">
        <w:rPr>
          <w:b/>
          <w:bCs/>
          <w:iCs/>
        </w:rPr>
        <w:t>Sneha Shahi (India)</w:t>
      </w:r>
      <w:r w:rsidR="007C256A" w:rsidRPr="00A20E3E">
        <w:t xml:space="preserve"> above in the programme summary, please find </w:t>
      </w:r>
      <w:r w:rsidR="00362244" w:rsidRPr="00565E6E">
        <w:rPr>
          <w:b/>
          <w:bCs/>
          <w:iCs/>
        </w:rPr>
        <w:t>Case Study Example 2, below.</w:t>
      </w:r>
    </w:p>
    <w:p w14:paraId="528573A1" w14:textId="1F6510F8" w:rsidR="002A4DCE" w:rsidRDefault="00362244" w:rsidP="00613ABF">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before="240" w:after="240" w:line="240" w:lineRule="auto"/>
        <w:ind w:left="0"/>
      </w:pPr>
      <w:r w:rsidRPr="00565E6E">
        <w:rPr>
          <w:b/>
          <w:bCs/>
        </w:rPr>
        <w:t xml:space="preserve">Case Study </w:t>
      </w:r>
      <w:r w:rsidR="00EB30F4" w:rsidRPr="00565E6E">
        <w:rPr>
          <w:b/>
        </w:rPr>
        <w:t>Example 2: Aditya (India):</w:t>
      </w:r>
      <w:r w:rsidR="00EB30F4" w:rsidRPr="00746935">
        <w:t xml:space="preserve"> Aditya is </w:t>
      </w:r>
      <w:r w:rsidR="00EB30F4" w:rsidRPr="005D051B">
        <w:rPr>
          <w:rFonts w:asciiTheme="minorHAnsi" w:hAnsiTheme="minorHAnsi" w:cstheme="minorHAnsi"/>
        </w:rPr>
        <w:t xml:space="preserve">a student who has </w:t>
      </w:r>
      <w:r w:rsidR="00313F8B" w:rsidRPr="005D051B">
        <w:rPr>
          <w:rFonts w:asciiTheme="minorHAnsi" w:hAnsiTheme="minorHAnsi" w:cstheme="minorHAnsi"/>
        </w:rPr>
        <w:t>diverted</w:t>
      </w:r>
      <w:r w:rsidR="00EB30F4" w:rsidRPr="005D051B">
        <w:rPr>
          <w:rFonts w:asciiTheme="minorHAnsi" w:hAnsiTheme="minorHAnsi" w:cstheme="minorHAnsi"/>
        </w:rPr>
        <w:t xml:space="preserve"> the use of 26 million plastic straws in India.</w:t>
      </w:r>
      <w:r w:rsidR="00EB30F4" w:rsidRPr="005D051B">
        <w:rPr>
          <w:rFonts w:asciiTheme="minorHAnsi" w:hAnsiTheme="minorHAnsi" w:cstheme="minorHAnsi"/>
          <w:color w:val="000000"/>
        </w:rPr>
        <w:t xml:space="preserve"> </w:t>
      </w:r>
      <w:r w:rsidR="00313F8B" w:rsidRPr="005D051B">
        <w:rPr>
          <w:rFonts w:asciiTheme="minorHAnsi" w:hAnsiTheme="minorHAnsi" w:cstheme="minorHAnsi"/>
          <w:color w:val="000000"/>
        </w:rPr>
        <w:t>Aditya led a door-to-door campaign which resulted in 150 restaurants and cafes go</w:t>
      </w:r>
      <w:r w:rsidR="003B4388">
        <w:rPr>
          <w:rFonts w:asciiTheme="minorHAnsi" w:hAnsiTheme="minorHAnsi" w:cstheme="minorHAnsi"/>
          <w:color w:val="000000"/>
        </w:rPr>
        <w:t>ing</w:t>
      </w:r>
      <w:r w:rsidR="00313F8B" w:rsidRPr="005D051B">
        <w:rPr>
          <w:rFonts w:asciiTheme="minorHAnsi" w:hAnsiTheme="minorHAnsi" w:cstheme="minorHAnsi"/>
          <w:color w:val="000000"/>
        </w:rPr>
        <w:t xml:space="preserve"> plastic-free.</w:t>
      </w:r>
      <w:r w:rsidR="00EB30F4" w:rsidRPr="005D051B">
        <w:rPr>
          <w:rFonts w:asciiTheme="minorHAnsi" w:hAnsiTheme="minorHAnsi" w:cstheme="minorHAnsi"/>
        </w:rPr>
        <w:t xml:space="preserve"> This amounts to approximately 14.3 tonnes of plastic straws</w:t>
      </w:r>
      <w:r w:rsidR="00EB30F4" w:rsidRPr="005D051B">
        <w:rPr>
          <w:rStyle w:val="FootnoteReference"/>
          <w:rFonts w:asciiTheme="minorHAnsi" w:hAnsiTheme="minorHAnsi" w:cstheme="minorHAnsi"/>
        </w:rPr>
        <w:footnoteReference w:id="27"/>
      </w:r>
      <w:r w:rsidR="00EB30F4" w:rsidRPr="005D051B">
        <w:rPr>
          <w:rFonts w:asciiTheme="minorHAnsi" w:hAnsiTheme="minorHAnsi" w:cstheme="minorHAnsi"/>
        </w:rPr>
        <w:t>. He joined the Tide Turners during lockdown</w:t>
      </w:r>
      <w:r w:rsidR="00EB30F4" w:rsidRPr="00746935">
        <w:t xml:space="preserve"> and has evolved his campaign to work with recyclers on plastic waste and encouraging policy makers to act.</w:t>
      </w:r>
    </w:p>
    <w:p w14:paraId="14B9A984" w14:textId="77777777" w:rsidR="002A4DCE" w:rsidRDefault="002A4DCE" w:rsidP="00613ABF">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before="240" w:after="240" w:line="240" w:lineRule="auto"/>
        <w:ind w:left="0"/>
      </w:pPr>
    </w:p>
    <w:p w14:paraId="41C30719" w14:textId="185D09E7" w:rsidR="00EB30F4" w:rsidRDefault="00EB30F4" w:rsidP="00613ABF">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before="240" w:after="240" w:line="240" w:lineRule="auto"/>
        <w:ind w:left="0"/>
      </w:pPr>
      <w:r>
        <w:t>The estimated GHG emissions savings of removing</w:t>
      </w:r>
      <w:r w:rsidR="005934AB">
        <w:t xml:space="preserve"> and recycling</w:t>
      </w:r>
      <w:r>
        <w:t xml:space="preserve"> </w:t>
      </w:r>
      <w:r w:rsidR="005934AB">
        <w:t>14.3 tonnes of plastic straws from the marine environment</w:t>
      </w:r>
      <w:r>
        <w:t xml:space="preserve"> is £</w:t>
      </w:r>
      <w:r w:rsidR="005934AB">
        <w:t>2,51</w:t>
      </w:r>
      <w:r w:rsidR="003B4388">
        <w:t>4</w:t>
      </w:r>
      <w:r>
        <w:t xml:space="preserve">. </w:t>
      </w:r>
      <w:r w:rsidR="008346EF">
        <w:t>At this rate,</w:t>
      </w:r>
      <w:r>
        <w:t xml:space="preserve"> </w:t>
      </w:r>
      <w:r w:rsidR="005934AB">
        <w:rPr>
          <w:b/>
          <w:bCs/>
        </w:rPr>
        <w:t>636</w:t>
      </w:r>
      <w:r w:rsidRPr="00746935">
        <w:rPr>
          <w:b/>
          <w:bCs/>
        </w:rPr>
        <w:t xml:space="preserve"> participants</w:t>
      </w:r>
      <w:r w:rsidR="00544156">
        <w:rPr>
          <w:b/>
          <w:bCs/>
        </w:rPr>
        <w:t xml:space="preserve"> (</w:t>
      </w:r>
      <w:r w:rsidR="00544156" w:rsidRPr="00544156">
        <w:rPr>
          <w:b/>
          <w:bCs/>
        </w:rPr>
        <w:t xml:space="preserve">0.4% of </w:t>
      </w:r>
      <w:r w:rsidR="00544156">
        <w:rPr>
          <w:b/>
          <w:bCs/>
        </w:rPr>
        <w:t>estimated</w:t>
      </w:r>
      <w:r w:rsidR="00C17A0F">
        <w:rPr>
          <w:b/>
          <w:bCs/>
        </w:rPr>
        <w:t xml:space="preserve"> 165,000</w:t>
      </w:r>
      <w:r w:rsidR="00544156">
        <w:rPr>
          <w:b/>
          <w:bCs/>
        </w:rPr>
        <w:t xml:space="preserve"> </w:t>
      </w:r>
      <w:r w:rsidR="00544156" w:rsidRPr="00544156">
        <w:rPr>
          <w:b/>
          <w:bCs/>
        </w:rPr>
        <w:t>total Tide Turners participants</w:t>
      </w:r>
      <w:r w:rsidR="00544156">
        <w:rPr>
          <w:b/>
          <w:bCs/>
        </w:rPr>
        <w:t>)</w:t>
      </w:r>
      <w:r w:rsidRPr="00746935">
        <w:rPr>
          <w:b/>
          <w:bCs/>
        </w:rPr>
        <w:t xml:space="preserve"> would </w:t>
      </w:r>
      <w:r w:rsidR="002605A0">
        <w:rPr>
          <w:b/>
          <w:bCs/>
        </w:rPr>
        <w:t>need</w:t>
      </w:r>
      <w:r w:rsidRPr="00746935">
        <w:rPr>
          <w:b/>
          <w:bCs/>
        </w:rPr>
        <w:t xml:space="preserve"> to deliver </w:t>
      </w:r>
      <w:r w:rsidR="00544156">
        <w:rPr>
          <w:b/>
          <w:bCs/>
        </w:rPr>
        <w:t>similar waste reduction</w:t>
      </w:r>
      <w:r w:rsidRPr="00746935">
        <w:rPr>
          <w:b/>
          <w:bCs/>
        </w:rPr>
        <w:t xml:space="preserve"> in their community for the Defra investment to breakeven.</w:t>
      </w:r>
    </w:p>
    <w:p w14:paraId="36B6ADA2" w14:textId="77777777" w:rsidR="002A4DCE" w:rsidRDefault="002A4DCE" w:rsidP="00613ABF">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before="240" w:after="240" w:line="240" w:lineRule="auto"/>
        <w:ind w:left="0"/>
      </w:pPr>
    </w:p>
    <w:p w14:paraId="324FFDA9" w14:textId="5B3D883E" w:rsidR="00EB30F4" w:rsidRPr="00565E6E" w:rsidRDefault="00362244" w:rsidP="00613ABF">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before="240" w:after="240" w:line="240" w:lineRule="auto"/>
        <w:ind w:left="0"/>
        <w:rPr>
          <w:i/>
        </w:rPr>
      </w:pPr>
      <w:r w:rsidRPr="00565E6E">
        <w:rPr>
          <w:i/>
          <w:iCs/>
        </w:rPr>
        <w:t xml:space="preserve">NB: </w:t>
      </w:r>
      <w:r w:rsidR="009E7A75" w:rsidRPr="00565E6E">
        <w:rPr>
          <w:i/>
        </w:rPr>
        <w:t>T</w:t>
      </w:r>
      <w:r w:rsidR="00AB6526" w:rsidRPr="00565E6E">
        <w:rPr>
          <w:i/>
        </w:rPr>
        <w:t xml:space="preserve">here are several uncertainties </w:t>
      </w:r>
      <w:r w:rsidR="009E7A75" w:rsidRPr="00565E6E">
        <w:rPr>
          <w:i/>
        </w:rPr>
        <w:t>associated with</w:t>
      </w:r>
      <w:r w:rsidR="00AB6526" w:rsidRPr="00565E6E">
        <w:rPr>
          <w:i/>
        </w:rPr>
        <w:t xml:space="preserve"> these figures. Firstly, all carbon and material revenue figures are </w:t>
      </w:r>
      <w:r w:rsidR="002242CA" w:rsidRPr="00565E6E">
        <w:rPr>
          <w:i/>
        </w:rPr>
        <w:t>UK</w:t>
      </w:r>
      <w:r w:rsidR="00313F8B" w:rsidRPr="00565E6E">
        <w:rPr>
          <w:i/>
        </w:rPr>
        <w:t>-derived figures</w:t>
      </w:r>
      <w:r w:rsidR="002242CA" w:rsidRPr="00565E6E">
        <w:rPr>
          <w:i/>
        </w:rPr>
        <w:t xml:space="preserve">. There is also uncertainty regarding the proportion of total waste </w:t>
      </w:r>
      <w:r w:rsidR="00313F8B" w:rsidRPr="00565E6E">
        <w:rPr>
          <w:i/>
        </w:rPr>
        <w:t>that might have been diverted anyway (in the absence of Tide Turners) and uncertainty regarding</w:t>
      </w:r>
      <w:r w:rsidR="002242CA" w:rsidRPr="00565E6E" w:rsidDel="00313F8B">
        <w:rPr>
          <w:i/>
        </w:rPr>
        <w:t xml:space="preserve"> </w:t>
      </w:r>
      <w:r w:rsidR="00313F8B" w:rsidRPr="00565E6E">
        <w:rPr>
          <w:i/>
        </w:rPr>
        <w:t xml:space="preserve">how much </w:t>
      </w:r>
      <w:r w:rsidR="001262FD" w:rsidRPr="00565E6E">
        <w:rPr>
          <w:i/>
        </w:rPr>
        <w:t xml:space="preserve">of the diverted </w:t>
      </w:r>
      <w:r w:rsidR="00313F8B" w:rsidRPr="00565E6E">
        <w:rPr>
          <w:i/>
        </w:rPr>
        <w:t>plastic</w:t>
      </w:r>
      <w:r w:rsidR="002242CA" w:rsidRPr="00565E6E">
        <w:rPr>
          <w:i/>
        </w:rPr>
        <w:t xml:space="preserve"> will be </w:t>
      </w:r>
      <w:r w:rsidR="00313F8B" w:rsidRPr="00565E6E">
        <w:rPr>
          <w:i/>
        </w:rPr>
        <w:t>recycled</w:t>
      </w:r>
      <w:r w:rsidR="001262FD" w:rsidRPr="00565E6E">
        <w:rPr>
          <w:i/>
        </w:rPr>
        <w:t>/not produced at all</w:t>
      </w:r>
      <w:r w:rsidR="00313F8B" w:rsidRPr="00565E6E">
        <w:rPr>
          <w:i/>
        </w:rPr>
        <w:t xml:space="preserve"> and</w:t>
      </w:r>
      <w:r w:rsidR="001262FD" w:rsidRPr="00565E6E">
        <w:rPr>
          <w:i/>
        </w:rPr>
        <w:t xml:space="preserve"> how much</w:t>
      </w:r>
      <w:r w:rsidR="002242CA" w:rsidRPr="00565E6E">
        <w:rPr>
          <w:i/>
        </w:rPr>
        <w:t xml:space="preserve"> material revenue</w:t>
      </w:r>
      <w:r w:rsidR="00313F8B" w:rsidRPr="00565E6E">
        <w:rPr>
          <w:i/>
        </w:rPr>
        <w:t xml:space="preserve"> </w:t>
      </w:r>
      <w:r w:rsidR="001262FD" w:rsidRPr="00565E6E">
        <w:rPr>
          <w:i/>
        </w:rPr>
        <w:t xml:space="preserve">could be </w:t>
      </w:r>
      <w:r w:rsidR="00313F8B" w:rsidRPr="00565E6E">
        <w:rPr>
          <w:i/>
        </w:rPr>
        <w:t>obtained</w:t>
      </w:r>
      <w:r w:rsidR="002242CA" w:rsidRPr="00565E6E">
        <w:rPr>
          <w:i/>
        </w:rPr>
        <w:t>. There are also several likely impacts of these examples which have not been monetised, these include: social and wellbeing benefits, benefits from improved access to clean water and wider environmental impacts.</w:t>
      </w:r>
    </w:p>
    <w:p w14:paraId="528413D3" w14:textId="7FCF742E" w:rsidR="002777E4" w:rsidRPr="00217F59" w:rsidRDefault="002777E4" w:rsidP="00613ABF">
      <w:pPr>
        <w:spacing w:after="240"/>
        <w:rPr>
          <w:rFonts w:cstheme="minorHAnsi"/>
        </w:rPr>
      </w:pPr>
      <w:r>
        <w:rPr>
          <w:rFonts w:cstheme="minorHAnsi"/>
        </w:rPr>
        <w:t>B</w:t>
      </w:r>
      <w:r w:rsidRPr="008870F1">
        <w:rPr>
          <w:rFonts w:cstheme="minorHAnsi"/>
        </w:rPr>
        <w:t>ased</w:t>
      </w:r>
      <w:r w:rsidRPr="00217F59">
        <w:rPr>
          <w:rFonts w:cstheme="minorHAnsi"/>
        </w:rPr>
        <w:t xml:space="preserve"> on case studies</w:t>
      </w:r>
      <w:r w:rsidR="009E7A75">
        <w:rPr>
          <w:rFonts w:cstheme="minorHAnsi"/>
        </w:rPr>
        <w:t xml:space="preserve">, </w:t>
      </w:r>
      <w:r w:rsidRPr="00217F59">
        <w:rPr>
          <w:rFonts w:cstheme="minorHAnsi"/>
        </w:rPr>
        <w:t>the outcomes achieved in certain countries</w:t>
      </w:r>
      <w:r w:rsidR="009E7A75">
        <w:rPr>
          <w:rFonts w:cstheme="minorHAnsi"/>
        </w:rPr>
        <w:t xml:space="preserve"> and discussions with UNEP</w:t>
      </w:r>
      <w:r w:rsidRPr="00217F59">
        <w:rPr>
          <w:rFonts w:cstheme="minorHAnsi"/>
        </w:rPr>
        <w:t xml:space="preserve">, we are confident that a sufficient proportion </w:t>
      </w:r>
      <w:r>
        <w:rPr>
          <w:rFonts w:cstheme="minorHAnsi"/>
        </w:rPr>
        <w:t xml:space="preserve">of participants do </w:t>
      </w:r>
      <w:r w:rsidRPr="00217F59">
        <w:rPr>
          <w:rFonts w:cstheme="minorHAnsi"/>
        </w:rPr>
        <w:t>go on to deliver significant impacts which results in an overall positive return for the investment in Tide Turners.</w:t>
      </w:r>
    </w:p>
    <w:p w14:paraId="32FB34C2" w14:textId="0E54D4C1" w:rsidR="00AE6131" w:rsidRPr="005D051B" w:rsidRDefault="00AE6131" w:rsidP="00613ABF">
      <w:pPr>
        <w:spacing w:after="240"/>
        <w:jc w:val="left"/>
        <w:rPr>
          <w:rFonts w:cstheme="minorHAnsi"/>
          <w:u w:val="single"/>
        </w:rPr>
      </w:pPr>
      <w:r>
        <w:rPr>
          <w:rFonts w:cstheme="minorHAnsi"/>
          <w:b/>
          <w:bCs/>
          <w:u w:val="single"/>
        </w:rPr>
        <w:lastRenderedPageBreak/>
        <w:t>INC support benefits</w:t>
      </w:r>
      <w:r w:rsidRPr="00DA7948">
        <w:rPr>
          <w:rFonts w:cstheme="minorHAnsi"/>
          <w:b/>
          <w:bCs/>
          <w:u w:val="single"/>
        </w:rPr>
        <w:t xml:space="preserve"> </w:t>
      </w:r>
      <w:r w:rsidR="00716CA9" w:rsidRPr="008870F1">
        <w:rPr>
          <w:rFonts w:cstheme="minorHAnsi"/>
          <w:u w:val="single"/>
        </w:rPr>
        <w:t>(preferred option)</w:t>
      </w:r>
    </w:p>
    <w:p w14:paraId="22438AF0" w14:textId="731FDBAE" w:rsidR="004752F3" w:rsidRDefault="002605A0" w:rsidP="00613ABF">
      <w:pPr>
        <w:spacing w:after="240"/>
      </w:pPr>
      <w:r>
        <w:t>F</w:t>
      </w:r>
      <w:r w:rsidR="008D303E">
        <w:t xml:space="preserve">unding countries to partake </w:t>
      </w:r>
      <w:r w:rsidR="005D4395">
        <w:t xml:space="preserve">in </w:t>
      </w:r>
      <w:r w:rsidR="008D303E">
        <w:t xml:space="preserve">the INC negotiations will a) enable countries to help shape the future policy and b) will support ‘buy-in’ from these countries who may develop a strengthened interest in committing to the </w:t>
      </w:r>
      <w:r w:rsidR="008D4DD7">
        <w:t>treaty</w:t>
      </w:r>
      <w:r w:rsidR="00ED274F">
        <w:rPr>
          <w:rStyle w:val="FootnoteReference"/>
        </w:rPr>
        <w:footnoteReference w:id="28"/>
      </w:r>
      <w:r w:rsidR="008D303E">
        <w:t>.</w:t>
      </w:r>
      <w:r w:rsidR="00904688">
        <w:t xml:space="preserve"> </w:t>
      </w:r>
      <w:r>
        <w:t>The specific</w:t>
      </w:r>
      <w:r w:rsidR="00ED274F">
        <w:t xml:space="preserve"> commitments</w:t>
      </w:r>
      <w:r w:rsidR="00446267">
        <w:t xml:space="preserve"> the treaty may deliver</w:t>
      </w:r>
      <w:r>
        <w:t xml:space="preserve"> could</w:t>
      </w:r>
      <w:r w:rsidR="00ED274F">
        <w:t xml:space="preserve"> </w:t>
      </w:r>
      <w:r w:rsidR="004C2673">
        <w:t>include</w:t>
      </w:r>
      <w:r w:rsidR="00ED274F">
        <w:t xml:space="preserve"> developing national action plans that tackle plastic pollution through a life-cycle approach with associated monitoring and reporting,</w:t>
      </w:r>
      <w:r w:rsidR="003A023A">
        <w:t xml:space="preserve"> support</w:t>
      </w:r>
      <w:r w:rsidR="00904688">
        <w:t>ing</w:t>
      </w:r>
      <w:r w:rsidR="003A023A">
        <w:t xml:space="preserve"> the strengthening of the science-policy interface at all levels (including improving our understanding of the global impact of plastic pollution on the environment) and strengthen</w:t>
      </w:r>
      <w:r w:rsidR="00904688">
        <w:t>ing</w:t>
      </w:r>
      <w:r w:rsidR="003A023A">
        <w:t xml:space="preserve"> global cooperation and governance to take immediate action towards the long-term elimination of plastic pollution.</w:t>
      </w:r>
      <w:r w:rsidR="003102C1">
        <w:t xml:space="preserve"> </w:t>
      </w:r>
      <w:r w:rsidR="003102C1" w:rsidRPr="003102C1">
        <w:t xml:space="preserve"> Bringing under-represented voices to the table</w:t>
      </w:r>
      <w:r w:rsidR="00D12EAA">
        <w:t xml:space="preserve"> </w:t>
      </w:r>
      <w:r w:rsidR="003102C1" w:rsidRPr="003102C1">
        <w:t xml:space="preserve">will be critical in agreeing a global instrument that benefits the world’s most vulnerable, and takes into consideration the different social, </w:t>
      </w:r>
      <w:r w:rsidR="004C2673" w:rsidRPr="003102C1">
        <w:t>economic,</w:t>
      </w:r>
      <w:r w:rsidR="003102C1" w:rsidRPr="003102C1">
        <w:t xml:space="preserve"> and environmental contexts of countries.</w:t>
      </w:r>
    </w:p>
    <w:p w14:paraId="257A4DA0" w14:textId="7875CC5E" w:rsidR="003A023A" w:rsidRDefault="00611BF8" w:rsidP="00613ABF">
      <w:pPr>
        <w:spacing w:after="240"/>
      </w:pPr>
      <w:r>
        <w:t>U</w:t>
      </w:r>
      <w:r w:rsidR="00946181">
        <w:t>p</w:t>
      </w:r>
      <w:r w:rsidR="00A92F3E">
        <w:t xml:space="preserve"> to</w:t>
      </w:r>
      <w:r w:rsidR="003A023A">
        <w:t xml:space="preserve"> </w:t>
      </w:r>
      <w:r w:rsidR="00310AC5" w:rsidRPr="00611BF8">
        <w:t xml:space="preserve">120 </w:t>
      </w:r>
      <w:r>
        <w:t xml:space="preserve">ODA-eligible </w:t>
      </w:r>
      <w:r w:rsidR="003A023A">
        <w:t>countries</w:t>
      </w:r>
      <w:r>
        <w:t xml:space="preserve"> may be </w:t>
      </w:r>
      <w:r w:rsidR="00646117">
        <w:t>entitled</w:t>
      </w:r>
      <w:r>
        <w:t xml:space="preserve"> for support through this funding</w:t>
      </w:r>
      <w:r w:rsidR="00D01AAA">
        <w:t>,</w:t>
      </w:r>
      <w:r>
        <w:t xml:space="preserve"> but countries will be </w:t>
      </w:r>
      <w:r w:rsidR="000E4905">
        <w:t>assessed and selected through an application process.</w:t>
      </w:r>
    </w:p>
    <w:p w14:paraId="31BCF4E9" w14:textId="64B7D81E" w:rsidR="00903D8F" w:rsidRPr="008A6564" w:rsidRDefault="00EF393F" w:rsidP="00214816">
      <w:pPr>
        <w:pStyle w:val="Heading2"/>
        <w:numPr>
          <w:ilvl w:val="1"/>
          <w:numId w:val="39"/>
        </w:numPr>
        <w:rPr>
          <w:sz w:val="28"/>
        </w:rPr>
      </w:pPr>
      <w:r>
        <w:t xml:space="preserve"> </w:t>
      </w:r>
      <w:bookmarkStart w:id="31" w:name="_Toc121224109"/>
      <w:r w:rsidR="00903D8F" w:rsidRPr="008A6564">
        <w:t>Uncertainty</w:t>
      </w:r>
      <w:bookmarkEnd w:id="31"/>
    </w:p>
    <w:p w14:paraId="73385D4B" w14:textId="5A2E1A98" w:rsidR="00D52E26" w:rsidRDefault="00D52E26" w:rsidP="00613ABF">
      <w:pPr>
        <w:spacing w:after="240"/>
        <w:rPr>
          <w:rFonts w:cstheme="minorHAnsi"/>
        </w:rPr>
      </w:pPr>
      <w:bookmarkStart w:id="32" w:name="_Hlk109231570"/>
      <w:r w:rsidRPr="00D52E26">
        <w:rPr>
          <w:lang w:eastAsia="en-GB"/>
        </w:rPr>
        <w:t xml:space="preserve">There are many challenges associated with appraising </w:t>
      </w:r>
      <w:r w:rsidR="006860B6">
        <w:rPr>
          <w:lang w:eastAsia="en-GB"/>
        </w:rPr>
        <w:t>both Tide Turners and INC</w:t>
      </w:r>
      <w:r w:rsidRPr="00D52E26">
        <w:rPr>
          <w:lang w:eastAsia="en-GB"/>
        </w:rPr>
        <w:t xml:space="preserve"> due to substantial uncertainty. </w:t>
      </w:r>
      <w:r w:rsidR="006A7AEA">
        <w:rPr>
          <w:lang w:eastAsia="en-GB"/>
        </w:rPr>
        <w:t>U</w:t>
      </w:r>
      <w:r w:rsidRPr="00D52E26">
        <w:rPr>
          <w:lang w:eastAsia="en-GB"/>
        </w:rPr>
        <w:t xml:space="preserve">ncertainty </w:t>
      </w:r>
      <w:r w:rsidR="006A7AEA">
        <w:rPr>
          <w:lang w:eastAsia="en-GB"/>
        </w:rPr>
        <w:t xml:space="preserve">in this appraisal </w:t>
      </w:r>
      <w:r w:rsidR="00716CA9">
        <w:rPr>
          <w:lang w:eastAsia="en-GB"/>
        </w:rPr>
        <w:t>is summarised</w:t>
      </w:r>
      <w:r w:rsidR="00B73BF1">
        <w:rPr>
          <w:lang w:eastAsia="en-GB"/>
        </w:rPr>
        <w:t xml:space="preserve"> in</w:t>
      </w:r>
      <w:r w:rsidR="006A7AEA">
        <w:rPr>
          <w:lang w:eastAsia="en-GB"/>
        </w:rPr>
        <w:t xml:space="preserve"> full in</w:t>
      </w:r>
      <w:r w:rsidR="00B73BF1">
        <w:rPr>
          <w:lang w:eastAsia="en-GB"/>
        </w:rPr>
        <w:t xml:space="preserve"> </w:t>
      </w:r>
      <w:r w:rsidR="00F361CF" w:rsidRPr="004B6D9F">
        <w:rPr>
          <w:lang w:eastAsia="en-GB"/>
        </w:rPr>
        <w:t>S</w:t>
      </w:r>
      <w:r w:rsidR="00716CA9" w:rsidRPr="004B6D9F">
        <w:rPr>
          <w:lang w:eastAsia="en-GB"/>
        </w:rPr>
        <w:t xml:space="preserve">ection </w:t>
      </w:r>
      <w:bookmarkEnd w:id="32"/>
      <w:r w:rsidR="00AD41F9" w:rsidRPr="004B6D9F">
        <w:rPr>
          <w:lang w:eastAsia="en-GB"/>
        </w:rPr>
        <w:t>7.2 (p. 43).</w:t>
      </w:r>
    </w:p>
    <w:p w14:paraId="3562AA14" w14:textId="34356C98" w:rsidR="004216CF" w:rsidRPr="008A6564" w:rsidRDefault="004216CF" w:rsidP="00214816">
      <w:pPr>
        <w:pStyle w:val="Heading2"/>
        <w:numPr>
          <w:ilvl w:val="1"/>
          <w:numId w:val="39"/>
        </w:numPr>
      </w:pPr>
      <w:bookmarkStart w:id="33" w:name="_Toc121224110"/>
      <w:r w:rsidRPr="008A6564">
        <w:t>Value for money appraisal</w:t>
      </w:r>
      <w:bookmarkEnd w:id="33"/>
    </w:p>
    <w:p w14:paraId="035A95B5" w14:textId="77777777" w:rsidR="007D41F7" w:rsidRDefault="004216CF" w:rsidP="00595499">
      <w:pPr>
        <w:pStyle w:val="Heading3"/>
      </w:pPr>
      <w:r w:rsidRPr="00217F59">
        <w:t>Economy</w:t>
      </w:r>
      <w:r w:rsidR="00DE0A55" w:rsidRPr="00217F59">
        <w:t xml:space="preserve"> (are we buying at the right price?)</w:t>
      </w:r>
    </w:p>
    <w:p w14:paraId="02AA921E" w14:textId="57ECDD0B" w:rsidR="007D41F7" w:rsidRPr="00BB0184" w:rsidRDefault="00795D83" w:rsidP="00613ABF">
      <w:pPr>
        <w:spacing w:after="240"/>
        <w:rPr>
          <w:rFonts w:cstheme="minorHAnsi"/>
        </w:rPr>
      </w:pPr>
      <w:r w:rsidRPr="00A9149F">
        <w:rPr>
          <w:rFonts w:cstheme="minorHAnsi"/>
        </w:rPr>
        <w:t>Tide Turners</w:t>
      </w:r>
      <w:r w:rsidR="00DE0A55" w:rsidRPr="00145E30">
        <w:rPr>
          <w:rFonts w:cstheme="minorHAnsi"/>
        </w:rPr>
        <w:t xml:space="preserve"> have policies and procedures in place to appropriately manage HMG funding and ensure financ</w:t>
      </w:r>
      <w:r w:rsidR="00DE0A55" w:rsidRPr="00CB4EF4">
        <w:rPr>
          <w:rFonts w:cstheme="minorHAnsi"/>
        </w:rPr>
        <w:t xml:space="preserve">ial soundness, as well as a good track record of managing HMG funding. </w:t>
      </w:r>
    </w:p>
    <w:p w14:paraId="75649988" w14:textId="0AD71399" w:rsidR="00132868" w:rsidRDefault="00454BD3" w:rsidP="00613ABF">
      <w:pPr>
        <w:spacing w:after="240"/>
        <w:rPr>
          <w:rFonts w:cstheme="minorHAnsi"/>
        </w:rPr>
      </w:pPr>
      <w:r w:rsidRPr="005D051B">
        <w:rPr>
          <w:rFonts w:cstheme="minorHAnsi"/>
        </w:rPr>
        <w:t xml:space="preserve">The Tide Turners Programme has successfully engaged with both governments and youth networks to integrate environmental education into their offer </w:t>
      </w:r>
      <w:r w:rsidR="002605A0">
        <w:rPr>
          <w:rFonts w:cstheme="minorHAnsi"/>
        </w:rPr>
        <w:t xml:space="preserve">by </w:t>
      </w:r>
      <w:r w:rsidRPr="005D051B">
        <w:rPr>
          <w:rFonts w:cstheme="minorHAnsi"/>
        </w:rPr>
        <w:t xml:space="preserve">making plastic pollution a key theme for their </w:t>
      </w:r>
      <w:r w:rsidR="00BD46FC" w:rsidRPr="005D051B">
        <w:rPr>
          <w:rFonts w:cstheme="minorHAnsi"/>
        </w:rPr>
        <w:t>curricula</w:t>
      </w:r>
      <w:r w:rsidRPr="005D051B">
        <w:rPr>
          <w:rFonts w:cstheme="minorHAnsi"/>
        </w:rPr>
        <w:t xml:space="preserve">. </w:t>
      </w:r>
      <w:r w:rsidR="00BB0184" w:rsidRPr="005D051B">
        <w:rPr>
          <w:rFonts w:cstheme="minorHAnsi"/>
        </w:rPr>
        <w:t>Based on the BPF</w:t>
      </w:r>
      <w:r w:rsidRPr="005D051B">
        <w:rPr>
          <w:rFonts w:cstheme="minorHAnsi"/>
        </w:rPr>
        <w:t xml:space="preserve"> investment </w:t>
      </w:r>
      <w:r w:rsidR="00BB0184" w:rsidRPr="005D051B">
        <w:rPr>
          <w:rFonts w:cstheme="minorHAnsi"/>
        </w:rPr>
        <w:t>to date (£1.3m) and the number of participants (~500,000</w:t>
      </w:r>
      <w:r w:rsidR="00BB0184" w:rsidRPr="005D051B" w:rsidDel="00BD46FC">
        <w:rPr>
          <w:rFonts w:cstheme="minorHAnsi"/>
        </w:rPr>
        <w:t xml:space="preserve">), </w:t>
      </w:r>
      <w:r w:rsidR="00BD46FC" w:rsidRPr="005D051B">
        <w:rPr>
          <w:rFonts w:cstheme="minorHAnsi"/>
        </w:rPr>
        <w:t>the</w:t>
      </w:r>
      <w:r w:rsidRPr="005D051B">
        <w:rPr>
          <w:rFonts w:cstheme="minorHAnsi"/>
        </w:rPr>
        <w:t xml:space="preserve"> total cost per beneficiary of the programme is </w:t>
      </w:r>
      <w:r w:rsidR="00BB0184" w:rsidRPr="005D051B">
        <w:rPr>
          <w:rFonts w:cstheme="minorHAnsi"/>
        </w:rPr>
        <w:t>estimated to be</w:t>
      </w:r>
      <w:r w:rsidRPr="005D051B">
        <w:rPr>
          <w:rFonts w:cstheme="minorHAnsi"/>
        </w:rPr>
        <w:t xml:space="preserve"> approximately £2.80.  This amount is approximately half the cost of similar programmes run by youth agencies</w:t>
      </w:r>
      <w:r w:rsidR="00BB0184" w:rsidRPr="005D051B">
        <w:rPr>
          <w:rFonts w:cstheme="minorHAnsi"/>
        </w:rPr>
        <w:t>.</w:t>
      </w:r>
    </w:p>
    <w:p w14:paraId="3596E2FD" w14:textId="51454A35" w:rsidR="006C713F" w:rsidRPr="00A9149F" w:rsidRDefault="006C713F" w:rsidP="00613ABF">
      <w:pPr>
        <w:spacing w:before="240" w:after="240"/>
        <w:rPr>
          <w:rFonts w:cstheme="minorHAnsi"/>
        </w:rPr>
      </w:pPr>
      <w:r w:rsidRPr="00964184">
        <w:rPr>
          <w:rFonts w:cstheme="minorHAnsi"/>
        </w:rPr>
        <w:t xml:space="preserve">For the INC negotiations, </w:t>
      </w:r>
      <w:r w:rsidR="008162E0" w:rsidRPr="00964184">
        <w:rPr>
          <w:rFonts w:cstheme="minorHAnsi"/>
        </w:rPr>
        <w:t xml:space="preserve">eligible delegates </w:t>
      </w:r>
      <w:r w:rsidR="009B48A4" w:rsidRPr="00964184">
        <w:rPr>
          <w:rFonts w:cstheme="minorHAnsi"/>
        </w:rPr>
        <w:t xml:space="preserve">are provided with a lump sum </w:t>
      </w:r>
      <w:r w:rsidR="007860AF" w:rsidRPr="00964184">
        <w:rPr>
          <w:rFonts w:cstheme="minorHAnsi"/>
        </w:rPr>
        <w:t xml:space="preserve">for travel and subsistence </w:t>
      </w:r>
      <w:r w:rsidR="00B102FB" w:rsidRPr="00964184">
        <w:rPr>
          <w:rFonts w:cstheme="minorHAnsi"/>
        </w:rPr>
        <w:t xml:space="preserve">to minimise the administrative burden on UNEP </w:t>
      </w:r>
      <w:r w:rsidR="00671C6B" w:rsidRPr="00964184">
        <w:rPr>
          <w:rFonts w:cstheme="minorHAnsi"/>
        </w:rPr>
        <w:t xml:space="preserve">staff. </w:t>
      </w:r>
      <w:r w:rsidR="00A11E7F">
        <w:rPr>
          <w:rFonts w:cstheme="minorHAnsi"/>
        </w:rPr>
        <w:t xml:space="preserve">The funding will cover economy-class round trip air ticket, as well as daily subsistence allowances </w:t>
      </w:r>
      <w:r w:rsidR="001B36F7">
        <w:rPr>
          <w:rFonts w:cstheme="minorHAnsi"/>
        </w:rPr>
        <w:t xml:space="preserve">and terminal expenses, in accordance with the United Nations rules and regulations. </w:t>
      </w:r>
      <w:r w:rsidR="00671C6B" w:rsidRPr="00964184">
        <w:rPr>
          <w:rFonts w:cstheme="minorHAnsi"/>
        </w:rPr>
        <w:t xml:space="preserve"> </w:t>
      </w:r>
      <w:r w:rsidR="00DB03CD" w:rsidRPr="00964184">
        <w:rPr>
          <w:rFonts w:cstheme="minorHAnsi"/>
        </w:rPr>
        <w:t xml:space="preserve"> </w:t>
      </w:r>
    </w:p>
    <w:p w14:paraId="136C230D" w14:textId="72A5AC77" w:rsidR="004216CF" w:rsidRPr="00217F59" w:rsidRDefault="004216CF" w:rsidP="00595499">
      <w:pPr>
        <w:pStyle w:val="Heading3"/>
      </w:pPr>
      <w:r w:rsidRPr="00217F59">
        <w:t>Efficiency</w:t>
      </w:r>
      <w:r w:rsidR="00DE0A55" w:rsidRPr="00217F59">
        <w:t xml:space="preserve"> (‘are we spending well?’)</w:t>
      </w:r>
    </w:p>
    <w:p w14:paraId="243269C1" w14:textId="7F8E76B4" w:rsidR="008D303E" w:rsidRPr="005D051B" w:rsidRDefault="008D303E" w:rsidP="0018540F">
      <w:pPr>
        <w:pStyle w:val="NormalWeb"/>
        <w:spacing w:before="0" w:beforeAutospacing="0" w:after="240" w:afterAutospacing="0"/>
        <w:jc w:val="both"/>
        <w:rPr>
          <w:rFonts w:asciiTheme="minorHAnsi" w:hAnsiTheme="minorHAnsi" w:cstheme="minorHAnsi"/>
          <w:sz w:val="22"/>
          <w:szCs w:val="22"/>
        </w:rPr>
      </w:pPr>
      <w:r w:rsidRPr="005D051B">
        <w:rPr>
          <w:rFonts w:asciiTheme="minorHAnsi" w:hAnsiTheme="minorHAnsi" w:cstheme="minorHAnsi"/>
          <w:sz w:val="22"/>
          <w:szCs w:val="22"/>
        </w:rPr>
        <w:t>UNEP is uniquely placed to deliver the Tide Turners programme due to the relations with member states through both its Committee of Permanent Representatives</w:t>
      </w:r>
      <w:r w:rsidR="00C56FEA" w:rsidRPr="005D051B">
        <w:rPr>
          <w:rFonts w:asciiTheme="minorHAnsi" w:hAnsiTheme="minorHAnsi" w:cstheme="minorHAnsi"/>
          <w:sz w:val="22"/>
          <w:szCs w:val="22"/>
        </w:rPr>
        <w:t xml:space="preserve"> (which </w:t>
      </w:r>
      <w:r w:rsidRPr="005D051B">
        <w:rPr>
          <w:rFonts w:asciiTheme="minorHAnsi" w:hAnsiTheme="minorHAnsi" w:cstheme="minorHAnsi"/>
          <w:sz w:val="22"/>
          <w:szCs w:val="22"/>
        </w:rPr>
        <w:t>hos</w:t>
      </w:r>
      <w:r w:rsidR="00C56FEA" w:rsidRPr="005D051B">
        <w:rPr>
          <w:rFonts w:asciiTheme="minorHAnsi" w:hAnsiTheme="minorHAnsi" w:cstheme="minorHAnsi"/>
          <w:sz w:val="22"/>
          <w:szCs w:val="22"/>
        </w:rPr>
        <w:t>ts</w:t>
      </w:r>
      <w:r w:rsidRPr="005D051B">
        <w:rPr>
          <w:rFonts w:asciiTheme="minorHAnsi" w:hAnsiTheme="minorHAnsi" w:cstheme="minorHAnsi"/>
          <w:sz w:val="22"/>
          <w:szCs w:val="22"/>
        </w:rPr>
        <w:t xml:space="preserve"> the Regional Seas Programmes</w:t>
      </w:r>
      <w:r w:rsidR="00C56FEA" w:rsidRPr="005D051B">
        <w:rPr>
          <w:rFonts w:asciiTheme="minorHAnsi" w:hAnsiTheme="minorHAnsi" w:cstheme="minorHAnsi"/>
          <w:sz w:val="22"/>
          <w:szCs w:val="22"/>
        </w:rPr>
        <w:t>)</w:t>
      </w:r>
      <w:r w:rsidRPr="005D051B">
        <w:rPr>
          <w:rFonts w:asciiTheme="minorHAnsi" w:hAnsiTheme="minorHAnsi" w:cstheme="minorHAnsi"/>
          <w:sz w:val="22"/>
          <w:szCs w:val="22"/>
        </w:rPr>
        <w:t xml:space="preserve"> as well as being the anchor for the INC process. Additionally, UNEP involvement makes the programme very attractive to youth and UNEP is able to bring together mass reach youth networks to share learnings and best practices. </w:t>
      </w:r>
    </w:p>
    <w:p w14:paraId="47DA9C7E" w14:textId="79BA7745" w:rsidR="004B6D9F" w:rsidRDefault="0002524A" w:rsidP="00613ABF">
      <w:pPr>
        <w:pStyle w:val="CommentText"/>
        <w:spacing w:before="240" w:after="240"/>
        <w:rPr>
          <w:rFonts w:asciiTheme="minorHAnsi" w:hAnsiTheme="minorHAnsi" w:cstheme="minorHAnsi"/>
        </w:rPr>
      </w:pPr>
      <w:r>
        <w:rPr>
          <w:rFonts w:asciiTheme="minorHAnsi" w:hAnsiTheme="minorHAnsi" w:cstheme="minorHAnsi"/>
        </w:rPr>
        <w:t>I</w:t>
      </w:r>
      <w:r w:rsidR="0094463F">
        <w:rPr>
          <w:rFonts w:asciiTheme="minorHAnsi" w:hAnsiTheme="minorHAnsi" w:cstheme="minorHAnsi"/>
        </w:rPr>
        <w:t xml:space="preserve">nvestment into the INC negotiations will enable certain countries to </w:t>
      </w:r>
      <w:r w:rsidR="00242B92" w:rsidRPr="00C5321A">
        <w:rPr>
          <w:rFonts w:asciiTheme="minorHAnsi" w:hAnsiTheme="minorHAnsi" w:cstheme="minorHAnsi"/>
        </w:rPr>
        <w:t>engage fully with the negotiations</w:t>
      </w:r>
      <w:r w:rsidR="00BB01E0" w:rsidRPr="00C5321A">
        <w:rPr>
          <w:rFonts w:asciiTheme="minorHAnsi" w:hAnsiTheme="minorHAnsi" w:cstheme="minorHAnsi"/>
        </w:rPr>
        <w:t xml:space="preserve">, </w:t>
      </w:r>
      <w:r w:rsidR="00802134" w:rsidRPr="00C5321A">
        <w:rPr>
          <w:rFonts w:asciiTheme="minorHAnsi" w:hAnsiTheme="minorHAnsi" w:cstheme="minorHAnsi"/>
        </w:rPr>
        <w:t xml:space="preserve">improve the quality of </w:t>
      </w:r>
      <w:r w:rsidR="00DA3091" w:rsidRPr="00C5321A">
        <w:rPr>
          <w:rFonts w:asciiTheme="minorHAnsi" w:hAnsiTheme="minorHAnsi" w:cstheme="minorHAnsi"/>
        </w:rPr>
        <w:t>the final</w:t>
      </w:r>
      <w:r w:rsidR="0094463F">
        <w:rPr>
          <w:rFonts w:asciiTheme="minorHAnsi" w:hAnsiTheme="minorHAnsi" w:cstheme="minorHAnsi"/>
        </w:rPr>
        <w:t xml:space="preserve"> treaty</w:t>
      </w:r>
      <w:r w:rsidR="00802134" w:rsidRPr="00C5321A">
        <w:rPr>
          <w:rFonts w:asciiTheme="minorHAnsi" w:hAnsiTheme="minorHAnsi" w:cstheme="minorHAnsi"/>
        </w:rPr>
        <w:t xml:space="preserve">, </w:t>
      </w:r>
      <w:r w:rsidR="001E51BE" w:rsidRPr="00C5321A">
        <w:rPr>
          <w:rFonts w:asciiTheme="minorHAnsi" w:hAnsiTheme="minorHAnsi" w:cstheme="minorHAnsi"/>
        </w:rPr>
        <w:t xml:space="preserve">and </w:t>
      </w:r>
      <w:r w:rsidR="00B31D0E" w:rsidRPr="00C5321A">
        <w:rPr>
          <w:rFonts w:asciiTheme="minorHAnsi" w:hAnsiTheme="minorHAnsi" w:cstheme="minorHAnsi"/>
        </w:rPr>
        <w:t>ensure the</w:t>
      </w:r>
      <w:r w:rsidR="00802134" w:rsidRPr="00C5321A">
        <w:rPr>
          <w:rFonts w:asciiTheme="minorHAnsi" w:hAnsiTheme="minorHAnsi" w:cstheme="minorHAnsi"/>
        </w:rPr>
        <w:t xml:space="preserve"> largest number of countries</w:t>
      </w:r>
      <w:r w:rsidR="00B31D0E" w:rsidRPr="00C5321A">
        <w:rPr>
          <w:rFonts w:asciiTheme="minorHAnsi" w:hAnsiTheme="minorHAnsi" w:cstheme="minorHAnsi"/>
        </w:rPr>
        <w:t xml:space="preserve"> ratify the agreement</w:t>
      </w:r>
      <w:r w:rsidR="008B70C6" w:rsidRPr="00C5321A">
        <w:rPr>
          <w:rFonts w:asciiTheme="minorHAnsi" w:hAnsiTheme="minorHAnsi" w:cstheme="minorHAnsi"/>
        </w:rPr>
        <w:t xml:space="preserve">, </w:t>
      </w:r>
      <w:r w:rsidR="003457F0" w:rsidRPr="00C5321A">
        <w:rPr>
          <w:rFonts w:asciiTheme="minorHAnsi" w:hAnsiTheme="minorHAnsi" w:cstheme="minorHAnsi"/>
        </w:rPr>
        <w:t>result</w:t>
      </w:r>
      <w:r w:rsidR="008B70C6" w:rsidRPr="00C5321A">
        <w:rPr>
          <w:rFonts w:asciiTheme="minorHAnsi" w:hAnsiTheme="minorHAnsi" w:cstheme="minorHAnsi"/>
        </w:rPr>
        <w:t>ing</w:t>
      </w:r>
      <w:r w:rsidR="003457F0" w:rsidRPr="00C5321A">
        <w:rPr>
          <w:rFonts w:asciiTheme="minorHAnsi" w:hAnsiTheme="minorHAnsi" w:cstheme="minorHAnsi"/>
        </w:rPr>
        <w:t xml:space="preserve"> in a more effective </w:t>
      </w:r>
      <w:r w:rsidR="007F7F7C" w:rsidRPr="00C5321A">
        <w:rPr>
          <w:rFonts w:asciiTheme="minorHAnsi" w:hAnsiTheme="minorHAnsi" w:cstheme="minorHAnsi"/>
        </w:rPr>
        <w:t xml:space="preserve">and successful treaty in the long term. </w:t>
      </w:r>
      <w:r w:rsidR="004E218E" w:rsidRPr="00C5321A">
        <w:rPr>
          <w:rFonts w:asciiTheme="minorHAnsi" w:hAnsiTheme="minorHAnsi" w:cstheme="minorHAnsi"/>
        </w:rPr>
        <w:t xml:space="preserve">By investing in </w:t>
      </w:r>
      <w:r w:rsidR="004E218E" w:rsidRPr="00C5321A">
        <w:rPr>
          <w:rFonts w:asciiTheme="minorHAnsi" w:hAnsiTheme="minorHAnsi" w:cstheme="minorHAnsi"/>
        </w:rPr>
        <w:lastRenderedPageBreak/>
        <w:t>capacity building</w:t>
      </w:r>
      <w:r w:rsidR="007D552C" w:rsidRPr="00C5321A">
        <w:rPr>
          <w:rFonts w:asciiTheme="minorHAnsi" w:hAnsiTheme="minorHAnsi" w:cstheme="minorHAnsi"/>
        </w:rPr>
        <w:t xml:space="preserve"> </w:t>
      </w:r>
      <w:r>
        <w:rPr>
          <w:rFonts w:asciiTheme="minorHAnsi" w:hAnsiTheme="minorHAnsi" w:cstheme="minorHAnsi"/>
        </w:rPr>
        <w:t>(</w:t>
      </w:r>
      <w:r w:rsidR="008A6564">
        <w:rPr>
          <w:rFonts w:asciiTheme="minorHAnsi" w:hAnsiTheme="minorHAnsi" w:cstheme="minorHAnsi"/>
        </w:rPr>
        <w:t>e.g.,</w:t>
      </w:r>
      <w:r>
        <w:rPr>
          <w:rFonts w:asciiTheme="minorHAnsi" w:hAnsiTheme="minorHAnsi" w:cstheme="minorHAnsi"/>
        </w:rPr>
        <w:t xml:space="preserve"> </w:t>
      </w:r>
      <w:r w:rsidR="00AA1ADE" w:rsidRPr="00C5321A">
        <w:rPr>
          <w:rFonts w:asciiTheme="minorHAnsi" w:hAnsiTheme="minorHAnsi" w:cstheme="minorHAnsi"/>
        </w:rPr>
        <w:t>training to delegates</w:t>
      </w:r>
      <w:r w:rsidR="000E1227">
        <w:rPr>
          <w:rFonts w:asciiTheme="minorHAnsi" w:hAnsiTheme="minorHAnsi" w:cstheme="minorHAnsi"/>
        </w:rPr>
        <w:t xml:space="preserve"> in leadership positions</w:t>
      </w:r>
      <w:r>
        <w:rPr>
          <w:rFonts w:asciiTheme="minorHAnsi" w:hAnsiTheme="minorHAnsi" w:cstheme="minorHAnsi"/>
        </w:rPr>
        <w:t xml:space="preserve">) funding </w:t>
      </w:r>
      <w:r w:rsidR="0094463F">
        <w:rPr>
          <w:rFonts w:asciiTheme="minorHAnsi" w:hAnsiTheme="minorHAnsi" w:cstheme="minorHAnsi"/>
        </w:rPr>
        <w:t xml:space="preserve">will </w:t>
      </w:r>
      <w:r w:rsidR="000E7638">
        <w:rPr>
          <w:rFonts w:asciiTheme="minorHAnsi" w:hAnsiTheme="minorHAnsi" w:cstheme="minorHAnsi"/>
        </w:rPr>
        <w:t>support delegates</w:t>
      </w:r>
      <w:r w:rsidR="001E5BAB" w:rsidRPr="00C5321A">
        <w:rPr>
          <w:rFonts w:asciiTheme="minorHAnsi" w:hAnsiTheme="minorHAnsi" w:cstheme="minorHAnsi"/>
        </w:rPr>
        <w:t xml:space="preserve"> </w:t>
      </w:r>
      <w:r w:rsidR="008741EA" w:rsidRPr="00C5321A">
        <w:rPr>
          <w:rFonts w:asciiTheme="minorHAnsi" w:hAnsiTheme="minorHAnsi" w:cstheme="minorHAnsi"/>
        </w:rPr>
        <w:t>beyond the INC negotiations</w:t>
      </w:r>
      <w:r w:rsidR="001E5BAB" w:rsidRPr="00C5321A">
        <w:rPr>
          <w:rFonts w:asciiTheme="minorHAnsi" w:hAnsiTheme="minorHAnsi" w:cstheme="minorHAnsi"/>
        </w:rPr>
        <w:t xml:space="preserve"> </w:t>
      </w:r>
      <w:r w:rsidR="000E7638">
        <w:rPr>
          <w:rFonts w:asciiTheme="minorHAnsi" w:hAnsiTheme="minorHAnsi" w:cstheme="minorHAnsi"/>
        </w:rPr>
        <w:t>in</w:t>
      </w:r>
      <w:r w:rsidR="001E5BAB" w:rsidRPr="00C5321A">
        <w:rPr>
          <w:rFonts w:asciiTheme="minorHAnsi" w:hAnsiTheme="minorHAnsi" w:cstheme="minorHAnsi"/>
        </w:rPr>
        <w:t xml:space="preserve"> a variety of </w:t>
      </w:r>
      <w:r w:rsidR="00FB29B7">
        <w:rPr>
          <w:rFonts w:asciiTheme="minorHAnsi" w:hAnsiTheme="minorHAnsi" w:cstheme="minorHAnsi"/>
        </w:rPr>
        <w:t xml:space="preserve">other </w:t>
      </w:r>
      <w:r w:rsidR="001E5BAB" w:rsidRPr="00C5321A">
        <w:rPr>
          <w:rFonts w:asciiTheme="minorHAnsi" w:hAnsiTheme="minorHAnsi" w:cstheme="minorHAnsi"/>
        </w:rPr>
        <w:t xml:space="preserve">multilateral </w:t>
      </w:r>
      <w:r w:rsidR="00FB29B7">
        <w:rPr>
          <w:rFonts w:asciiTheme="minorHAnsi" w:hAnsiTheme="minorHAnsi" w:cstheme="minorHAnsi"/>
        </w:rPr>
        <w:t>fora</w:t>
      </w:r>
      <w:r w:rsidR="002711FD" w:rsidRPr="00C5321A">
        <w:rPr>
          <w:rFonts w:asciiTheme="minorHAnsi" w:hAnsiTheme="minorHAnsi" w:cstheme="minorHAnsi"/>
        </w:rPr>
        <w:t>.</w:t>
      </w:r>
      <w:r w:rsidR="001E5BAB" w:rsidRPr="00C5321A">
        <w:rPr>
          <w:rFonts w:asciiTheme="minorHAnsi" w:hAnsiTheme="minorHAnsi" w:cstheme="minorHAnsi"/>
        </w:rPr>
        <w:t xml:space="preserve"> </w:t>
      </w:r>
    </w:p>
    <w:p w14:paraId="4A964602" w14:textId="1762F4AD" w:rsidR="004216CF" w:rsidRPr="00217F59" w:rsidRDefault="004216CF" w:rsidP="00595499">
      <w:pPr>
        <w:pStyle w:val="Heading3"/>
      </w:pPr>
      <w:r w:rsidRPr="00217F59">
        <w:t>Effectiveness and cost-effectiveness</w:t>
      </w:r>
      <w:r w:rsidR="00DE0A55" w:rsidRPr="00217F59">
        <w:t xml:space="preserve"> (‘are we spending wisely?’)</w:t>
      </w:r>
    </w:p>
    <w:p w14:paraId="45B0D432" w14:textId="3DCDCD71" w:rsidR="00DE0A55" w:rsidRPr="00217F59" w:rsidRDefault="00090951" w:rsidP="00613ABF">
      <w:pPr>
        <w:spacing w:after="240"/>
        <w:rPr>
          <w:rFonts w:cstheme="minorHAnsi"/>
        </w:rPr>
      </w:pPr>
      <w:r w:rsidRPr="00E1106C">
        <w:rPr>
          <w:rFonts w:cstheme="minorHAnsi"/>
        </w:rPr>
        <w:t xml:space="preserve">To monitor </w:t>
      </w:r>
      <w:r w:rsidR="00E1106C" w:rsidRPr="00E1106C">
        <w:rPr>
          <w:rFonts w:cstheme="minorHAnsi"/>
        </w:rPr>
        <w:t>effectiveness</w:t>
      </w:r>
      <w:r w:rsidR="00FB29B7">
        <w:rPr>
          <w:rFonts w:cstheme="minorHAnsi"/>
        </w:rPr>
        <w:t>,</w:t>
      </w:r>
      <w:r w:rsidR="00DE0A55" w:rsidRPr="00E1106C">
        <w:rPr>
          <w:rFonts w:cstheme="minorHAnsi"/>
        </w:rPr>
        <w:t xml:space="preserve"> </w:t>
      </w:r>
      <w:r w:rsidR="00E1106C" w:rsidRPr="00E1106C">
        <w:rPr>
          <w:rFonts w:cstheme="minorHAnsi"/>
        </w:rPr>
        <w:t>delivery</w:t>
      </w:r>
      <w:r w:rsidR="00DE0A55" w:rsidRPr="00E1106C">
        <w:rPr>
          <w:rFonts w:cstheme="minorHAnsi"/>
        </w:rPr>
        <w:t xml:space="preserve"> </w:t>
      </w:r>
      <w:r w:rsidR="00330465" w:rsidRPr="00217F59">
        <w:rPr>
          <w:rFonts w:cstheme="minorHAnsi"/>
        </w:rPr>
        <w:t xml:space="preserve">partners </w:t>
      </w:r>
      <w:r w:rsidR="00FB29B7">
        <w:rPr>
          <w:rFonts w:cstheme="minorHAnsi"/>
        </w:rPr>
        <w:t xml:space="preserve">downstream of </w:t>
      </w:r>
      <w:r w:rsidR="00E1106C" w:rsidRPr="00217F59">
        <w:rPr>
          <w:rFonts w:cstheme="minorHAnsi"/>
        </w:rPr>
        <w:t>Tide Turners</w:t>
      </w:r>
      <w:r w:rsidR="00330465" w:rsidRPr="00217F59">
        <w:rPr>
          <w:rFonts w:cstheme="minorHAnsi"/>
        </w:rPr>
        <w:t xml:space="preserve"> are required to complete an </w:t>
      </w:r>
      <w:r w:rsidR="00E1106C" w:rsidRPr="00217F59">
        <w:rPr>
          <w:rFonts w:cstheme="minorHAnsi"/>
        </w:rPr>
        <w:t xml:space="preserve">annual </w:t>
      </w:r>
      <w:r w:rsidR="00330465" w:rsidRPr="00217F59">
        <w:rPr>
          <w:rFonts w:cstheme="minorHAnsi"/>
        </w:rPr>
        <w:t>evaluation report on the</w:t>
      </w:r>
      <w:r w:rsidR="00E1106C" w:rsidRPr="00217F59">
        <w:rPr>
          <w:rFonts w:cstheme="minorHAnsi"/>
        </w:rPr>
        <w:t>ir</w:t>
      </w:r>
      <w:r w:rsidR="00330465" w:rsidRPr="00217F59">
        <w:rPr>
          <w:rFonts w:cstheme="minorHAnsi"/>
        </w:rPr>
        <w:t xml:space="preserve"> programme with common indicators of success.</w:t>
      </w:r>
      <w:r w:rsidR="00E1106C" w:rsidRPr="00217F59">
        <w:rPr>
          <w:rFonts w:cstheme="minorHAnsi"/>
        </w:rPr>
        <w:t xml:space="preserve"> If a delivery partner is not </w:t>
      </w:r>
      <w:r w:rsidR="00FB29B7">
        <w:rPr>
          <w:rFonts w:cstheme="minorHAnsi"/>
        </w:rPr>
        <w:t xml:space="preserve">providing these reports, or not delivering </w:t>
      </w:r>
      <w:r w:rsidR="00E1106C" w:rsidRPr="00217F59">
        <w:rPr>
          <w:rFonts w:cstheme="minorHAnsi"/>
        </w:rPr>
        <w:t>sufficiently</w:t>
      </w:r>
      <w:r w:rsidR="00FB29B7">
        <w:rPr>
          <w:rFonts w:cstheme="minorHAnsi"/>
        </w:rPr>
        <w:t xml:space="preserve"> in other ways</w:t>
      </w:r>
      <w:r w:rsidR="00E1106C" w:rsidRPr="00217F59">
        <w:rPr>
          <w:rFonts w:cstheme="minorHAnsi"/>
        </w:rPr>
        <w:t>, Tide Turners have the ability to cut ties with them.</w:t>
      </w:r>
    </w:p>
    <w:p w14:paraId="0CD3B306" w14:textId="45F32150" w:rsidR="005B4108" w:rsidRPr="004B6D9F" w:rsidRDefault="00C959AE" w:rsidP="00613ABF">
      <w:pPr>
        <w:spacing w:after="240"/>
        <w:rPr>
          <w:rStyle w:val="eop"/>
          <w:rFonts w:cstheme="minorHAnsi"/>
          <w:bCs/>
          <w:shd w:val="clear" w:color="auto" w:fill="FFFFFF"/>
        </w:rPr>
      </w:pPr>
      <w:r w:rsidRPr="00C5321A">
        <w:rPr>
          <w:rStyle w:val="normaltextrun"/>
          <w:rFonts w:cstheme="minorHAnsi"/>
          <w:shd w:val="clear" w:color="auto" w:fill="FFFFFF"/>
        </w:rPr>
        <w:t xml:space="preserve">Defra and UNEP meet every month to discuss </w:t>
      </w:r>
      <w:r w:rsidR="00E1106C" w:rsidRPr="00C5321A">
        <w:rPr>
          <w:rStyle w:val="normaltextrun"/>
          <w:rFonts w:cstheme="minorHAnsi"/>
          <w:shd w:val="clear" w:color="auto" w:fill="FFFFFF"/>
        </w:rPr>
        <w:t>the effectiveness of Tide Turners. Specifically, the discussion covers</w:t>
      </w:r>
      <w:r w:rsidRPr="00C5321A">
        <w:rPr>
          <w:rStyle w:val="normaltextrun"/>
          <w:rFonts w:cstheme="minorHAnsi"/>
          <w:shd w:val="clear" w:color="auto" w:fill="FFFFFF"/>
        </w:rPr>
        <w:t xml:space="preserve"> how money is being spent, the progress the project is making and any issues or risks. This is accompanied by </w:t>
      </w:r>
      <w:r w:rsidRPr="004B6D9F">
        <w:rPr>
          <w:rStyle w:val="normaltextrun"/>
          <w:rFonts w:cstheme="minorHAnsi"/>
          <w:shd w:val="clear" w:color="auto" w:fill="FFFFFF"/>
        </w:rPr>
        <w:t xml:space="preserve">a </w:t>
      </w:r>
      <w:r w:rsidR="00432660" w:rsidRPr="004B6D9F">
        <w:rPr>
          <w:rStyle w:val="normaltextrun"/>
          <w:rFonts w:cstheme="minorHAnsi"/>
          <w:shd w:val="clear" w:color="auto" w:fill="FFFFFF"/>
        </w:rPr>
        <w:t>bi-monthly</w:t>
      </w:r>
      <w:r w:rsidRPr="004B6D9F">
        <w:rPr>
          <w:rStyle w:val="normaltextrun"/>
          <w:rFonts w:cstheme="minorHAnsi"/>
          <w:shd w:val="clear" w:color="auto" w:fill="FFFFFF"/>
        </w:rPr>
        <w:t xml:space="preserve"> update report</w:t>
      </w:r>
      <w:r w:rsidRPr="00C5321A">
        <w:rPr>
          <w:rStyle w:val="normaltextrun"/>
          <w:rFonts w:cstheme="minorHAnsi"/>
          <w:shd w:val="clear" w:color="auto" w:fill="FFFFFF"/>
        </w:rPr>
        <w:t xml:space="preserve"> compiled by UNEP. UNEP will also conduct an end of grant financial report and a narrative report</w:t>
      </w:r>
      <w:r w:rsidR="00E1106C" w:rsidRPr="00C5321A">
        <w:rPr>
          <w:rStyle w:val="normaltextrun"/>
          <w:rFonts w:cstheme="minorHAnsi"/>
          <w:shd w:val="clear" w:color="auto" w:fill="FFFFFF"/>
        </w:rPr>
        <w:t xml:space="preserve"> (due late 2022)</w:t>
      </w:r>
      <w:r w:rsidRPr="00C5321A">
        <w:rPr>
          <w:rStyle w:val="normaltextrun"/>
          <w:rFonts w:cstheme="minorHAnsi"/>
          <w:shd w:val="clear" w:color="auto" w:fill="FFFFFF"/>
        </w:rPr>
        <w:t>.</w:t>
      </w:r>
      <w:r w:rsidR="00A85A41">
        <w:rPr>
          <w:rStyle w:val="eop"/>
          <w:rFonts w:cstheme="minorHAnsi"/>
          <w:shd w:val="clear" w:color="auto" w:fill="FFFFFF"/>
        </w:rPr>
        <w:t xml:space="preserve"> </w:t>
      </w:r>
      <w:r w:rsidR="00A85A41" w:rsidRPr="00A85A41">
        <w:rPr>
          <w:rStyle w:val="eop"/>
          <w:rFonts w:cstheme="minorHAnsi"/>
          <w:shd w:val="clear" w:color="auto" w:fill="FFFFFF"/>
        </w:rPr>
        <w:t xml:space="preserve">The metrics the Tide Turners </w:t>
      </w:r>
      <w:r w:rsidR="002605A0">
        <w:rPr>
          <w:rStyle w:val="eop"/>
          <w:rFonts w:cstheme="minorHAnsi"/>
          <w:shd w:val="clear" w:color="auto" w:fill="FFFFFF"/>
        </w:rPr>
        <w:t xml:space="preserve">team </w:t>
      </w:r>
      <w:r w:rsidR="00A85A41" w:rsidRPr="00A85A41">
        <w:rPr>
          <w:rStyle w:val="eop"/>
          <w:rFonts w:cstheme="minorHAnsi"/>
          <w:shd w:val="clear" w:color="auto" w:fill="FFFFFF"/>
        </w:rPr>
        <w:t xml:space="preserve">will use to measure success are </w:t>
      </w:r>
      <w:r w:rsidR="003C7B15">
        <w:rPr>
          <w:rStyle w:val="eop"/>
          <w:rFonts w:cstheme="minorHAnsi"/>
          <w:shd w:val="clear" w:color="auto" w:fill="FFFFFF"/>
        </w:rPr>
        <w:t xml:space="preserve">found in </w:t>
      </w:r>
      <w:r w:rsidR="003C7B15" w:rsidRPr="004B6D9F">
        <w:rPr>
          <w:rStyle w:val="eop"/>
          <w:rFonts w:cstheme="minorHAnsi"/>
          <w:bCs/>
          <w:shd w:val="clear" w:color="auto" w:fill="FFFFFF"/>
        </w:rPr>
        <w:t xml:space="preserve">Section 6.2. </w:t>
      </w:r>
    </w:p>
    <w:p w14:paraId="124F340E" w14:textId="49622D1A" w:rsidR="004216CF" w:rsidRPr="00217F59" w:rsidRDefault="004216CF" w:rsidP="00595499">
      <w:pPr>
        <w:pStyle w:val="Heading3"/>
      </w:pPr>
      <w:r w:rsidRPr="00217F59">
        <w:t>Equity</w:t>
      </w:r>
      <w:r w:rsidR="009F428F" w:rsidRPr="00217F59">
        <w:t xml:space="preserve"> (‘are we spending fairly?’):</w:t>
      </w:r>
    </w:p>
    <w:p w14:paraId="690FCF84" w14:textId="5BB414D6" w:rsidR="009F428F" w:rsidRPr="007D41F7" w:rsidRDefault="009F428F" w:rsidP="00613ABF">
      <w:pPr>
        <w:pStyle w:val="CommentText"/>
        <w:spacing w:after="240"/>
        <w:rPr>
          <w:rFonts w:asciiTheme="minorHAnsi" w:hAnsiTheme="minorHAnsi" w:cstheme="minorHAnsi"/>
          <w:color w:val="000000" w:themeColor="text1"/>
        </w:rPr>
      </w:pPr>
      <w:r w:rsidRPr="00217F59">
        <w:rPr>
          <w:rFonts w:asciiTheme="minorHAnsi" w:hAnsiTheme="minorHAnsi" w:cstheme="minorHAnsi"/>
          <w:color w:val="000000" w:themeColor="text1"/>
        </w:rPr>
        <w:t>Tide</w:t>
      </w:r>
      <w:r w:rsidR="00073BCB">
        <w:rPr>
          <w:rFonts w:asciiTheme="minorHAnsi" w:hAnsiTheme="minorHAnsi" w:cstheme="minorHAnsi"/>
          <w:color w:val="000000" w:themeColor="text1"/>
        </w:rPr>
        <w:t xml:space="preserve"> </w:t>
      </w:r>
      <w:r w:rsidRPr="00217F59">
        <w:rPr>
          <w:rFonts w:asciiTheme="minorHAnsi" w:hAnsiTheme="minorHAnsi" w:cstheme="minorHAnsi"/>
          <w:color w:val="000000" w:themeColor="text1"/>
        </w:rPr>
        <w:t>Turner’s work leads to improved waste manageme</w:t>
      </w:r>
      <w:r w:rsidR="00E1106C">
        <w:rPr>
          <w:rFonts w:asciiTheme="minorHAnsi" w:hAnsiTheme="minorHAnsi" w:cstheme="minorHAnsi"/>
          <w:color w:val="000000" w:themeColor="text1"/>
        </w:rPr>
        <w:t>n</w:t>
      </w:r>
      <w:r w:rsidRPr="00217F59">
        <w:rPr>
          <w:rFonts w:asciiTheme="minorHAnsi" w:hAnsiTheme="minorHAnsi" w:cstheme="minorHAnsi"/>
          <w:color w:val="000000" w:themeColor="text1"/>
        </w:rPr>
        <w:t>t for those living without access</w:t>
      </w:r>
      <w:r w:rsidR="004D1A48">
        <w:rPr>
          <w:rFonts w:asciiTheme="minorHAnsi" w:hAnsiTheme="minorHAnsi" w:cstheme="minorHAnsi"/>
          <w:color w:val="000000" w:themeColor="text1"/>
        </w:rPr>
        <w:t xml:space="preserve"> </w:t>
      </w:r>
      <w:r w:rsidR="002605A0">
        <w:rPr>
          <w:rFonts w:asciiTheme="minorHAnsi" w:hAnsiTheme="minorHAnsi" w:cstheme="minorHAnsi"/>
          <w:color w:val="000000" w:themeColor="text1"/>
        </w:rPr>
        <w:t>to safe and effective waste management systems.</w:t>
      </w:r>
      <w:r w:rsidR="004D1A48" w:rsidRPr="00C5321A">
        <w:rPr>
          <w:rFonts w:asciiTheme="minorHAnsi" w:hAnsiTheme="minorHAnsi" w:cstheme="minorHAnsi"/>
          <w:color w:val="000000" w:themeColor="text1"/>
        </w:rPr>
        <w:t xml:space="preserve"> </w:t>
      </w:r>
    </w:p>
    <w:p w14:paraId="6D6DA1DA" w14:textId="438F367D" w:rsidR="00233E38" w:rsidRPr="00C5321A" w:rsidRDefault="00233E38" w:rsidP="00613ABF">
      <w:pPr>
        <w:pStyle w:val="CommentText"/>
        <w:spacing w:after="240"/>
        <w:rPr>
          <w:rFonts w:asciiTheme="minorHAnsi" w:hAnsiTheme="minorHAnsi" w:cstheme="minorHAnsi"/>
        </w:rPr>
      </w:pPr>
      <w:r w:rsidRPr="008870F1">
        <w:rPr>
          <w:rFonts w:asciiTheme="minorHAnsi" w:hAnsiTheme="minorHAnsi" w:cstheme="minorHAnsi"/>
          <w:color w:val="000000" w:themeColor="text1"/>
        </w:rPr>
        <w:t xml:space="preserve">The programme will ensure equity through social safeguarding, digital safeguarding, gender equality and inclusion, and disabilities equality and inclusion. </w:t>
      </w:r>
      <w:r w:rsidR="009F428F" w:rsidRPr="00217F59">
        <w:rPr>
          <w:rFonts w:asciiTheme="minorHAnsi" w:hAnsiTheme="minorHAnsi" w:cstheme="minorHAnsi"/>
          <w:color w:val="000000" w:themeColor="text1"/>
        </w:rPr>
        <w:t>Tide</w:t>
      </w:r>
      <w:r w:rsidR="00073BCB">
        <w:rPr>
          <w:rFonts w:asciiTheme="minorHAnsi" w:hAnsiTheme="minorHAnsi" w:cstheme="minorHAnsi"/>
          <w:color w:val="000000" w:themeColor="text1"/>
        </w:rPr>
        <w:t xml:space="preserve"> </w:t>
      </w:r>
      <w:r w:rsidR="004D1A48">
        <w:rPr>
          <w:rFonts w:asciiTheme="minorHAnsi" w:hAnsiTheme="minorHAnsi" w:cstheme="minorHAnsi"/>
          <w:color w:val="000000" w:themeColor="text1"/>
        </w:rPr>
        <w:t>T</w:t>
      </w:r>
      <w:r w:rsidR="009F428F" w:rsidRPr="00217F59">
        <w:rPr>
          <w:rFonts w:asciiTheme="minorHAnsi" w:hAnsiTheme="minorHAnsi" w:cstheme="minorHAnsi"/>
          <w:color w:val="000000" w:themeColor="text1"/>
        </w:rPr>
        <w:t>urners are working to scale up their operations through embedding a gender-responsive approach across all work, prioritising women, girls and traditionally marginalized groups in the transition to a circular economy.</w:t>
      </w:r>
      <w:r w:rsidR="009F428F">
        <w:rPr>
          <w:rFonts w:asciiTheme="minorHAnsi" w:hAnsiTheme="minorHAnsi" w:cstheme="minorHAnsi"/>
          <w:color w:val="000000" w:themeColor="text1"/>
        </w:rPr>
        <w:t xml:space="preserve"> </w:t>
      </w:r>
      <w:r w:rsidR="00E1106C">
        <w:rPr>
          <w:rFonts w:asciiTheme="minorHAnsi" w:hAnsiTheme="minorHAnsi" w:cstheme="minorHAnsi"/>
          <w:color w:val="000000" w:themeColor="text1"/>
        </w:rPr>
        <w:t>Specifically, the delivery partner that Tide Turners supports the most is the ‘Girl Guides’ which enables girls around the world to be empowered with new skills.</w:t>
      </w:r>
      <w:r w:rsidR="004D1A48">
        <w:rPr>
          <w:rFonts w:asciiTheme="minorHAnsi" w:hAnsiTheme="minorHAnsi" w:cstheme="minorHAnsi"/>
        </w:rPr>
        <w:t xml:space="preserve"> </w:t>
      </w:r>
      <w:r>
        <w:rPr>
          <w:rFonts w:asciiTheme="minorHAnsi" w:hAnsiTheme="minorHAnsi" w:cstheme="minorHAnsi"/>
        </w:rPr>
        <w:t>In addition, Tide Turners facilitate</w:t>
      </w:r>
      <w:r w:rsidRPr="008870F1">
        <w:rPr>
          <w:rFonts w:asciiTheme="minorHAnsi" w:hAnsiTheme="minorHAnsi" w:cstheme="minorHAnsi"/>
        </w:rPr>
        <w:t xml:space="preserve"> multistakeholder networks </w:t>
      </w:r>
      <w:r>
        <w:rPr>
          <w:rFonts w:asciiTheme="minorHAnsi" w:hAnsiTheme="minorHAnsi" w:cstheme="minorHAnsi"/>
        </w:rPr>
        <w:t>which supports</w:t>
      </w:r>
      <w:r w:rsidRPr="008870F1">
        <w:rPr>
          <w:rFonts w:asciiTheme="minorHAnsi" w:hAnsiTheme="minorHAnsi" w:cstheme="minorHAnsi"/>
        </w:rPr>
        <w:t xml:space="preserve"> inclusive decision-making</w:t>
      </w:r>
      <w:r>
        <w:rPr>
          <w:rFonts w:asciiTheme="minorHAnsi" w:hAnsiTheme="minorHAnsi" w:cstheme="minorHAnsi"/>
        </w:rPr>
        <w:t>.</w:t>
      </w:r>
    </w:p>
    <w:p w14:paraId="7B7081F9" w14:textId="77777777" w:rsidR="00E85FF8" w:rsidRDefault="004D1A48" w:rsidP="00613ABF">
      <w:pPr>
        <w:pStyle w:val="CommentText"/>
        <w:spacing w:after="240"/>
        <w:rPr>
          <w:rFonts w:cstheme="minorHAnsi"/>
        </w:rPr>
      </w:pPr>
      <w:r>
        <w:rPr>
          <w:rFonts w:cstheme="minorHAnsi"/>
        </w:rPr>
        <w:t>Throughout the delivery of Tide</w:t>
      </w:r>
      <w:r w:rsidR="00073BCB">
        <w:rPr>
          <w:rFonts w:cstheme="minorHAnsi"/>
        </w:rPr>
        <w:t xml:space="preserve"> </w:t>
      </w:r>
      <w:r>
        <w:rPr>
          <w:rFonts w:cstheme="minorHAnsi"/>
        </w:rPr>
        <w:t xml:space="preserve">Turners programming, all delivery partners will </w:t>
      </w:r>
      <w:r w:rsidRPr="004D1A48">
        <w:rPr>
          <w:rFonts w:cstheme="minorHAnsi"/>
        </w:rPr>
        <w:t>monitor and report the gender division of programme participants.</w:t>
      </w:r>
      <w:r>
        <w:rPr>
          <w:rFonts w:cstheme="minorHAnsi"/>
        </w:rPr>
        <w:t xml:space="preserve"> This will include the </w:t>
      </w:r>
      <w:r w:rsidRPr="0061619B">
        <w:rPr>
          <w:rFonts w:cstheme="minorHAnsi"/>
        </w:rPr>
        <w:t xml:space="preserve">number of gender advisors recruited nationally and globally, and number of projects launched by task forces with an intention for gender equality or inclusivity. </w:t>
      </w:r>
    </w:p>
    <w:p w14:paraId="2E97BBD7" w14:textId="68290B87" w:rsidR="004216CF" w:rsidRPr="00C5321A" w:rsidRDefault="00E85FF8" w:rsidP="00613ABF">
      <w:pPr>
        <w:pStyle w:val="CommentText"/>
        <w:spacing w:after="240"/>
      </w:pPr>
      <w:r>
        <w:rPr>
          <w:rFonts w:cstheme="minorHAnsi"/>
        </w:rPr>
        <w:t xml:space="preserve">All ODA-eligible countries will be able to access support to send delegates drawing on the funding from the UK’s contribution. Countries follow their own processes in the selection of delegates. </w:t>
      </w:r>
      <w:r w:rsidR="00E810F8" w:rsidRPr="00C5321A">
        <w:br w:type="page"/>
      </w:r>
    </w:p>
    <w:p w14:paraId="79EC18C8" w14:textId="704B87DA" w:rsidR="00FF072D" w:rsidRPr="00217F59" w:rsidRDefault="00430A13" w:rsidP="00214816">
      <w:pPr>
        <w:pStyle w:val="Heading1"/>
        <w:numPr>
          <w:ilvl w:val="0"/>
          <w:numId w:val="39"/>
        </w:numPr>
      </w:pPr>
      <w:bookmarkStart w:id="34" w:name="_Toc121224111"/>
      <w:r w:rsidRPr="00217F59">
        <w:lastRenderedPageBreak/>
        <w:t>COMMERCIAL CASE</w:t>
      </w:r>
      <w:bookmarkEnd w:id="34"/>
    </w:p>
    <w:p w14:paraId="1728981D" w14:textId="251AEA8A" w:rsidR="00997E35" w:rsidRPr="00217F59" w:rsidRDefault="004216CF" w:rsidP="00214816">
      <w:pPr>
        <w:pStyle w:val="Heading2"/>
        <w:numPr>
          <w:ilvl w:val="1"/>
          <w:numId w:val="39"/>
        </w:numPr>
      </w:pPr>
      <w:bookmarkStart w:id="35" w:name="_Toc121224112"/>
      <w:r w:rsidRPr="00217F59">
        <w:t>Commercial approach</w:t>
      </w:r>
      <w:bookmarkEnd w:id="35"/>
    </w:p>
    <w:p w14:paraId="0527D0D5" w14:textId="773A8A92" w:rsidR="005C58AE" w:rsidRPr="008C50F4" w:rsidRDefault="00892959" w:rsidP="00613ABF">
      <w:pPr>
        <w:spacing w:after="240"/>
        <w:rPr>
          <w:lang w:eastAsia="en-GB"/>
        </w:rPr>
      </w:pPr>
      <w:r w:rsidRPr="002158AC">
        <w:rPr>
          <w:b/>
          <w:lang w:eastAsia="en-GB"/>
        </w:rPr>
        <w:t xml:space="preserve">For both the Tide Turners and the INC components, this funding will proceed through </w:t>
      </w:r>
      <w:r w:rsidR="008C50F4" w:rsidRPr="002158AC">
        <w:rPr>
          <w:b/>
          <w:bCs/>
          <w:lang w:eastAsia="en-GB"/>
        </w:rPr>
        <w:t xml:space="preserve">financial </w:t>
      </w:r>
      <w:r w:rsidR="00D6107D" w:rsidRPr="002158AC">
        <w:rPr>
          <w:b/>
          <w:bCs/>
          <w:lang w:eastAsia="en-GB"/>
        </w:rPr>
        <w:t>contribution</w:t>
      </w:r>
      <w:r w:rsidRPr="002158AC">
        <w:rPr>
          <w:b/>
          <w:lang w:eastAsia="en-GB"/>
        </w:rPr>
        <w:t xml:space="preserve"> to the UN Environment Programme</w:t>
      </w:r>
      <w:r w:rsidR="008C35C2" w:rsidRPr="002158AC">
        <w:rPr>
          <w:b/>
          <w:lang w:eastAsia="en-GB"/>
        </w:rPr>
        <w:t>.</w:t>
      </w:r>
      <w:r w:rsidR="008C35C2">
        <w:rPr>
          <w:lang w:eastAsia="en-GB"/>
        </w:rPr>
        <w:t xml:space="preserve"> </w:t>
      </w:r>
      <w:r w:rsidR="007550E1">
        <w:rPr>
          <w:lang w:eastAsia="en-GB"/>
        </w:rPr>
        <w:t xml:space="preserve">Defra has been contributing to the UNEP Tide Turners programme </w:t>
      </w:r>
      <w:r w:rsidR="007550E1" w:rsidRPr="004B6D9F">
        <w:rPr>
          <w:lang w:eastAsia="en-GB"/>
        </w:rPr>
        <w:t xml:space="preserve">since </w:t>
      </w:r>
      <w:r w:rsidR="00BB2B34" w:rsidRPr="004B6D9F">
        <w:rPr>
          <w:lang w:eastAsia="en-GB"/>
        </w:rPr>
        <w:t>2018.</w:t>
      </w:r>
      <w:r w:rsidR="00E93A8B">
        <w:rPr>
          <w:lang w:eastAsia="en-GB"/>
        </w:rPr>
        <w:t xml:space="preserve"> </w:t>
      </w:r>
      <w:r w:rsidR="00164440">
        <w:rPr>
          <w:lang w:eastAsia="en-GB"/>
        </w:rPr>
        <w:t xml:space="preserve">The </w:t>
      </w:r>
      <w:r w:rsidR="008C35C2" w:rsidRPr="002158AC">
        <w:rPr>
          <w:lang w:eastAsia="en-GB"/>
        </w:rPr>
        <w:t>Tide Turners</w:t>
      </w:r>
      <w:r w:rsidR="00164440" w:rsidRPr="002158AC">
        <w:rPr>
          <w:lang w:eastAsia="en-GB"/>
        </w:rPr>
        <w:t xml:space="preserve"> programme</w:t>
      </w:r>
      <w:r w:rsidR="008C35C2">
        <w:rPr>
          <w:lang w:eastAsia="en-GB"/>
        </w:rPr>
        <w:t xml:space="preserve"> is</w:t>
      </w:r>
      <w:r w:rsidR="00164440">
        <w:rPr>
          <w:lang w:eastAsia="en-GB"/>
        </w:rPr>
        <w:t xml:space="preserve"> managed</w:t>
      </w:r>
      <w:r w:rsidR="008C35C2">
        <w:rPr>
          <w:lang w:eastAsia="en-GB"/>
        </w:rPr>
        <w:t xml:space="preserve"> by UNEP and therefore there is no other </w:t>
      </w:r>
      <w:r w:rsidR="002158AC">
        <w:rPr>
          <w:lang w:eastAsia="en-GB"/>
        </w:rPr>
        <w:t xml:space="preserve">contribution </w:t>
      </w:r>
      <w:r w:rsidR="008C35C2">
        <w:rPr>
          <w:lang w:eastAsia="en-GB"/>
        </w:rPr>
        <w:t>recipient that can coordinate this programme.</w:t>
      </w:r>
      <w:r w:rsidR="008C50F4">
        <w:rPr>
          <w:lang w:eastAsia="en-GB"/>
        </w:rPr>
        <w:t xml:space="preserve"> </w:t>
      </w:r>
      <w:r w:rsidR="005C58AE" w:rsidRPr="00EE7D50">
        <w:rPr>
          <w:rStyle w:val="normaltextrun"/>
          <w:rFonts w:ascii="Calibri" w:hAnsi="Calibri" w:cs="Calibri"/>
          <w:color w:val="000000"/>
          <w:shd w:val="clear" w:color="auto" w:fill="FFFFFF"/>
        </w:rPr>
        <w:t xml:space="preserve">The standard template should not be used for this </w:t>
      </w:r>
      <w:r w:rsidR="008C50F4">
        <w:rPr>
          <w:rStyle w:val="normaltextrun"/>
          <w:rFonts w:ascii="Calibri" w:hAnsi="Calibri" w:cs="Calibri"/>
          <w:color w:val="000000"/>
          <w:shd w:val="clear" w:color="auto" w:fill="FFFFFF"/>
        </w:rPr>
        <w:t>contribution</w:t>
      </w:r>
      <w:r w:rsidR="005C58AE" w:rsidRPr="00EE7D50">
        <w:rPr>
          <w:rStyle w:val="normaltextrun"/>
          <w:rFonts w:ascii="Calibri" w:hAnsi="Calibri" w:cs="Calibri"/>
          <w:color w:val="000000"/>
          <w:shd w:val="clear" w:color="auto" w:fill="FFFFFF"/>
        </w:rPr>
        <w:t xml:space="preserve">. UNEP would not accept our standard terms and conditions, therefore the format </w:t>
      </w:r>
      <w:r w:rsidR="00CA6020">
        <w:rPr>
          <w:rStyle w:val="normaltextrun"/>
          <w:rFonts w:ascii="Calibri" w:hAnsi="Calibri" w:cs="Calibri"/>
          <w:color w:val="000000"/>
          <w:shd w:val="clear" w:color="auto" w:fill="FFFFFF"/>
        </w:rPr>
        <w:t xml:space="preserve">of </w:t>
      </w:r>
      <w:r w:rsidR="005C58AE" w:rsidRPr="00EE7D50">
        <w:rPr>
          <w:rStyle w:val="normaltextrun"/>
          <w:rFonts w:ascii="Calibri" w:hAnsi="Calibri" w:cs="Calibri"/>
          <w:color w:val="000000"/>
          <w:shd w:val="clear" w:color="auto" w:fill="FFFFFF"/>
        </w:rPr>
        <w:t xml:space="preserve">the </w:t>
      </w:r>
      <w:r w:rsidR="00EE7D50">
        <w:rPr>
          <w:rStyle w:val="normaltextrun"/>
          <w:rFonts w:ascii="Calibri" w:hAnsi="Calibri" w:cs="Calibri"/>
          <w:color w:val="000000"/>
          <w:shd w:val="clear" w:color="auto" w:fill="FFFFFF"/>
        </w:rPr>
        <w:t>contribution</w:t>
      </w:r>
      <w:r w:rsidR="005C58AE">
        <w:rPr>
          <w:rStyle w:val="normaltextrun"/>
          <w:rFonts w:ascii="Calibri" w:hAnsi="Calibri" w:cs="Calibri"/>
          <w:color w:val="000000"/>
          <w:shd w:val="clear" w:color="auto" w:fill="FFFFFF"/>
        </w:rPr>
        <w:t xml:space="preserve"> </w:t>
      </w:r>
      <w:r w:rsidR="005C58AE" w:rsidRPr="00EE7D50">
        <w:rPr>
          <w:rStyle w:val="normaltextrun"/>
          <w:rFonts w:ascii="Calibri" w:hAnsi="Calibri" w:cs="Calibri"/>
          <w:color w:val="000000"/>
          <w:shd w:val="clear" w:color="auto" w:fill="FFFFFF"/>
        </w:rPr>
        <w:t xml:space="preserve">letter </w:t>
      </w:r>
      <w:r w:rsidR="00CA6020">
        <w:rPr>
          <w:rStyle w:val="normaltextrun"/>
          <w:rFonts w:ascii="Calibri" w:hAnsi="Calibri" w:cs="Calibri"/>
          <w:color w:val="000000"/>
          <w:shd w:val="clear" w:color="auto" w:fill="FFFFFF"/>
        </w:rPr>
        <w:t>used</w:t>
      </w:r>
      <w:r w:rsidR="00CA6020" w:rsidRPr="00EE7D50">
        <w:rPr>
          <w:rStyle w:val="normaltextrun"/>
          <w:rFonts w:ascii="Calibri" w:hAnsi="Calibri" w:cs="Calibri"/>
          <w:color w:val="000000"/>
          <w:shd w:val="clear" w:color="auto" w:fill="FFFFFF"/>
        </w:rPr>
        <w:t xml:space="preserve"> </w:t>
      </w:r>
      <w:r w:rsidR="005C58AE" w:rsidRPr="00EE7D50">
        <w:rPr>
          <w:rStyle w:val="normaltextrun"/>
          <w:rFonts w:ascii="Calibri" w:hAnsi="Calibri" w:cs="Calibri"/>
          <w:color w:val="000000"/>
          <w:shd w:val="clear" w:color="auto" w:fill="FFFFFF"/>
        </w:rPr>
        <w:t>in phase</w:t>
      </w:r>
      <w:r w:rsidR="00EE7D50">
        <w:rPr>
          <w:rStyle w:val="normaltextrun"/>
          <w:rFonts w:ascii="Calibri" w:hAnsi="Calibri" w:cs="Calibri"/>
          <w:color w:val="000000"/>
          <w:shd w:val="clear" w:color="auto" w:fill="FFFFFF"/>
        </w:rPr>
        <w:t>s</w:t>
      </w:r>
      <w:r w:rsidR="005C58AE" w:rsidRPr="00EE7D50">
        <w:rPr>
          <w:rStyle w:val="normaltextrun"/>
          <w:rFonts w:ascii="Calibri" w:hAnsi="Calibri" w:cs="Calibri"/>
          <w:color w:val="000000"/>
          <w:shd w:val="clear" w:color="auto" w:fill="FFFFFF"/>
        </w:rPr>
        <w:t xml:space="preserve"> 2</w:t>
      </w:r>
      <w:r w:rsidR="005C58AE">
        <w:rPr>
          <w:rStyle w:val="normaltextrun"/>
          <w:rFonts w:ascii="Calibri" w:hAnsi="Calibri" w:cs="Calibri"/>
          <w:color w:val="000000"/>
          <w:shd w:val="clear" w:color="auto" w:fill="FFFFFF"/>
        </w:rPr>
        <w:t xml:space="preserve"> </w:t>
      </w:r>
      <w:r w:rsidR="00EE7D50">
        <w:rPr>
          <w:rStyle w:val="normaltextrun"/>
          <w:rFonts w:ascii="Calibri" w:hAnsi="Calibri" w:cs="Calibri"/>
          <w:color w:val="000000"/>
          <w:shd w:val="clear" w:color="auto" w:fill="FFFFFF"/>
        </w:rPr>
        <w:t>and 3</w:t>
      </w:r>
      <w:r w:rsidR="005C58AE" w:rsidRPr="00EE7D50">
        <w:rPr>
          <w:rStyle w:val="normaltextrun"/>
          <w:rFonts w:ascii="Calibri" w:hAnsi="Calibri" w:cs="Calibri"/>
          <w:color w:val="000000"/>
          <w:shd w:val="clear" w:color="auto" w:fill="FFFFFF"/>
        </w:rPr>
        <w:t xml:space="preserve"> of the </w:t>
      </w:r>
      <w:r w:rsidR="00EE7D50">
        <w:rPr>
          <w:rStyle w:val="normaltextrun"/>
          <w:rFonts w:ascii="Calibri" w:hAnsi="Calibri" w:cs="Calibri"/>
          <w:color w:val="000000"/>
          <w:shd w:val="clear" w:color="auto" w:fill="FFFFFF"/>
        </w:rPr>
        <w:t xml:space="preserve">Tide Turners </w:t>
      </w:r>
      <w:r w:rsidR="005C58AE" w:rsidRPr="00EE7D50">
        <w:rPr>
          <w:rStyle w:val="normaltextrun"/>
          <w:rFonts w:ascii="Calibri" w:hAnsi="Calibri" w:cs="Calibri"/>
          <w:color w:val="000000"/>
          <w:shd w:val="clear" w:color="auto" w:fill="FFFFFF"/>
        </w:rPr>
        <w:t xml:space="preserve">programme will need to </w:t>
      </w:r>
      <w:r w:rsidR="00CA6020">
        <w:rPr>
          <w:rStyle w:val="normaltextrun"/>
          <w:rFonts w:ascii="Calibri" w:hAnsi="Calibri" w:cs="Calibri"/>
          <w:color w:val="000000"/>
          <w:shd w:val="clear" w:color="auto" w:fill="FFFFFF"/>
        </w:rPr>
        <w:t xml:space="preserve">again </w:t>
      </w:r>
      <w:r w:rsidR="005C58AE" w:rsidRPr="00EE7D50">
        <w:rPr>
          <w:rStyle w:val="normaltextrun"/>
          <w:rFonts w:ascii="Calibri" w:hAnsi="Calibri" w:cs="Calibri"/>
          <w:color w:val="000000"/>
          <w:shd w:val="clear" w:color="auto" w:fill="FFFFFF"/>
        </w:rPr>
        <w:t>be used</w:t>
      </w:r>
      <w:r w:rsidR="002158AC">
        <w:rPr>
          <w:rStyle w:val="normaltextrun"/>
          <w:rFonts w:ascii="Calibri" w:hAnsi="Calibri" w:cs="Calibri"/>
          <w:color w:val="000000"/>
          <w:shd w:val="clear" w:color="auto" w:fill="FFFFFF"/>
        </w:rPr>
        <w:t>.</w:t>
      </w:r>
    </w:p>
    <w:p w14:paraId="6E00E9D8" w14:textId="53BC7FA3" w:rsidR="004216CF" w:rsidRPr="00E00022" w:rsidRDefault="005C58AE" w:rsidP="00613ABF">
      <w:pPr>
        <w:spacing w:after="240"/>
      </w:pPr>
      <w:r>
        <w:rPr>
          <w:lang w:eastAsia="en-GB"/>
        </w:rPr>
        <w:t xml:space="preserve">Similarly, UNEP is the UN body responsible for hosting the global negotiations and housing the INC, and therefore operations involving the INC will be managed by </w:t>
      </w:r>
      <w:r w:rsidR="00AC60C0">
        <w:rPr>
          <w:lang w:eastAsia="en-GB"/>
        </w:rPr>
        <w:t>a secretariat within</w:t>
      </w:r>
      <w:r>
        <w:rPr>
          <w:lang w:eastAsia="en-GB"/>
        </w:rPr>
        <w:t xml:space="preserve"> UNEP. This stream of funding will proceed through a financial contribution, as the UK will be one of several global donors contributing to the facilitation of this negotiation process. We have agreed with UNEP that the funding must be ringfenced for ODA-eligible countries only. </w:t>
      </w:r>
    </w:p>
    <w:p w14:paraId="14A169C1" w14:textId="53FA6478" w:rsidR="004216CF" w:rsidRPr="00217F59" w:rsidRDefault="004216CF" w:rsidP="00214816">
      <w:pPr>
        <w:pStyle w:val="Heading2"/>
        <w:numPr>
          <w:ilvl w:val="1"/>
          <w:numId w:val="39"/>
        </w:numPr>
      </w:pPr>
      <w:bookmarkStart w:id="36" w:name="_Toc121224113"/>
      <w:r w:rsidRPr="00217F59">
        <w:t>Ensuring value for money through procurement</w:t>
      </w:r>
      <w:bookmarkEnd w:id="36"/>
    </w:p>
    <w:p w14:paraId="3F559D26" w14:textId="77777777" w:rsidR="00AA1664" w:rsidRDefault="00323CC4" w:rsidP="00613ABF">
      <w:pPr>
        <w:spacing w:after="240"/>
        <w:rPr>
          <w:rFonts w:cstheme="minorHAnsi"/>
        </w:rPr>
      </w:pPr>
      <w:r>
        <w:rPr>
          <w:rFonts w:cstheme="minorHAnsi"/>
        </w:rPr>
        <w:t xml:space="preserve">Downstream, the </w:t>
      </w:r>
      <w:r w:rsidR="004F0296">
        <w:rPr>
          <w:rFonts w:cstheme="minorHAnsi"/>
        </w:rPr>
        <w:t>UNEP is obliged to abide by the UN’s procurement policy</w:t>
      </w:r>
      <w:r w:rsidR="004F0296">
        <w:rPr>
          <w:rStyle w:val="FootnoteReference"/>
          <w:rFonts w:cstheme="minorHAnsi"/>
        </w:rPr>
        <w:footnoteReference w:id="29"/>
      </w:r>
      <w:r w:rsidR="004F0296">
        <w:rPr>
          <w:rFonts w:cstheme="minorHAnsi"/>
        </w:rPr>
        <w:t xml:space="preserve"> which sets out procurement principles including VfM and transparency, ethical standards including conflicts of interest, and ensur</w:t>
      </w:r>
      <w:r>
        <w:rPr>
          <w:rFonts w:cstheme="minorHAnsi"/>
        </w:rPr>
        <w:t>es</w:t>
      </w:r>
      <w:r w:rsidR="004F0296">
        <w:rPr>
          <w:rFonts w:cstheme="minorHAnsi"/>
        </w:rPr>
        <w:t xml:space="preserve"> effective competition.</w:t>
      </w:r>
      <w:r w:rsidR="00D62EEB">
        <w:rPr>
          <w:rFonts w:cstheme="minorHAnsi"/>
        </w:rPr>
        <w:t xml:space="preserve"> </w:t>
      </w:r>
    </w:p>
    <w:p w14:paraId="11F4281D" w14:textId="1E4C730E" w:rsidR="004F0296" w:rsidRPr="00D62EEB" w:rsidRDefault="00D62EEB" w:rsidP="00613ABF">
      <w:pPr>
        <w:spacing w:after="240"/>
        <w:rPr>
          <w:rFonts w:cstheme="minorHAnsi"/>
        </w:rPr>
      </w:pPr>
      <w:r w:rsidRPr="00747EE5">
        <w:rPr>
          <w:rFonts w:cstheme="minorHAnsi"/>
        </w:rPr>
        <w:t xml:space="preserve">The UN is </w:t>
      </w:r>
      <w:r w:rsidR="00973266" w:rsidRPr="00747EE5">
        <w:rPr>
          <w:rFonts w:cstheme="minorHAnsi"/>
        </w:rPr>
        <w:t xml:space="preserve">best placed to deliver this </w:t>
      </w:r>
      <w:r w:rsidR="00747EE5" w:rsidRPr="00747EE5">
        <w:rPr>
          <w:rFonts w:cstheme="minorHAnsi"/>
        </w:rPr>
        <w:t xml:space="preserve">procurement </w:t>
      </w:r>
      <w:r w:rsidR="00973266" w:rsidRPr="00747EE5">
        <w:rPr>
          <w:rFonts w:cstheme="minorHAnsi"/>
        </w:rPr>
        <w:t>requirement</w:t>
      </w:r>
      <w:r w:rsidR="00747EE5" w:rsidRPr="00747EE5">
        <w:rPr>
          <w:rFonts w:cstheme="minorHAnsi"/>
        </w:rPr>
        <w:t xml:space="preserve"> as they possess the </w:t>
      </w:r>
      <w:r w:rsidR="00973266" w:rsidRPr="00747EE5">
        <w:rPr>
          <w:rFonts w:cstheme="minorHAnsi"/>
        </w:rPr>
        <w:t>most expertise</w:t>
      </w:r>
      <w:r w:rsidR="00922D3E">
        <w:rPr>
          <w:rFonts w:cstheme="minorHAnsi"/>
        </w:rPr>
        <w:t xml:space="preserve">, have </w:t>
      </w:r>
      <w:r w:rsidR="00AE7D4F">
        <w:rPr>
          <w:rFonts w:cstheme="minorHAnsi"/>
        </w:rPr>
        <w:t xml:space="preserve">extensive </w:t>
      </w:r>
      <w:r w:rsidR="00946B6D">
        <w:rPr>
          <w:rFonts w:cstheme="minorHAnsi"/>
        </w:rPr>
        <w:t xml:space="preserve">global reach, are present in every </w:t>
      </w:r>
      <w:r w:rsidR="007860E2">
        <w:rPr>
          <w:rFonts w:cstheme="minorHAnsi"/>
        </w:rPr>
        <w:t xml:space="preserve">delivery partner </w:t>
      </w:r>
      <w:r w:rsidR="00946B6D">
        <w:rPr>
          <w:rFonts w:cstheme="minorHAnsi"/>
        </w:rPr>
        <w:t xml:space="preserve">country </w:t>
      </w:r>
      <w:r w:rsidR="00973266" w:rsidRPr="00747EE5">
        <w:rPr>
          <w:rFonts w:cstheme="minorHAnsi"/>
        </w:rPr>
        <w:t xml:space="preserve">and can </w:t>
      </w:r>
      <w:r w:rsidR="00747EE5" w:rsidRPr="00747EE5">
        <w:rPr>
          <w:rFonts w:cstheme="minorHAnsi"/>
        </w:rPr>
        <w:t>therefore secure the</w:t>
      </w:r>
      <w:r w:rsidR="00973266" w:rsidRPr="00747EE5">
        <w:rPr>
          <w:rFonts w:cstheme="minorHAnsi"/>
        </w:rPr>
        <w:t xml:space="preserve"> best </w:t>
      </w:r>
      <w:r w:rsidR="00946B6D">
        <w:rPr>
          <w:rFonts w:cstheme="minorHAnsi"/>
        </w:rPr>
        <w:t>VfM</w:t>
      </w:r>
      <w:r w:rsidR="007860E2">
        <w:rPr>
          <w:rFonts w:cstheme="minorHAnsi"/>
        </w:rPr>
        <w:t xml:space="preserve"> for the purposes of this programme.</w:t>
      </w:r>
    </w:p>
    <w:p w14:paraId="63F0A5F7" w14:textId="41233CBA" w:rsidR="004216CF" w:rsidRPr="00217F59" w:rsidRDefault="004216CF" w:rsidP="00214816">
      <w:pPr>
        <w:pStyle w:val="Heading2"/>
        <w:numPr>
          <w:ilvl w:val="1"/>
          <w:numId w:val="39"/>
        </w:numPr>
      </w:pPr>
      <w:bookmarkStart w:id="37" w:name="_Toc121224114"/>
      <w:r w:rsidRPr="00217F59">
        <w:t>Financial management and ability of partners to deliver</w:t>
      </w:r>
      <w:bookmarkEnd w:id="37"/>
    </w:p>
    <w:p w14:paraId="79E42BEA" w14:textId="5BA2E1D0" w:rsidR="00270C36" w:rsidRDefault="004F0296" w:rsidP="00613ABF">
      <w:pPr>
        <w:spacing w:after="240"/>
      </w:pPr>
      <w:r>
        <w:rPr>
          <w:rFonts w:cstheme="minorHAnsi"/>
          <w:lang w:eastAsia="en-GB"/>
        </w:rPr>
        <w:t xml:space="preserve">The </w:t>
      </w:r>
      <w:r w:rsidR="00323CC4">
        <w:rPr>
          <w:rFonts w:cstheme="minorHAnsi"/>
          <w:lang w:eastAsia="en-GB"/>
        </w:rPr>
        <w:t>UN</w:t>
      </w:r>
      <w:r>
        <w:rPr>
          <w:rFonts w:cstheme="minorHAnsi"/>
          <w:lang w:eastAsia="en-GB"/>
        </w:rPr>
        <w:t xml:space="preserve"> is the world’s largest international, intergovernmental organisation.</w:t>
      </w:r>
      <w:r w:rsidR="00270C36">
        <w:rPr>
          <w:rFonts w:cstheme="minorHAnsi"/>
          <w:lang w:eastAsia="en-GB"/>
        </w:rPr>
        <w:t xml:space="preserve"> </w:t>
      </w:r>
      <w:r w:rsidR="00270C36" w:rsidRPr="00E00022">
        <w:rPr>
          <w:iCs/>
        </w:rPr>
        <w:t>UNEP is the principle environmental organisation within the UN and the leading global environmental authority. It has a range of programmes, platforms, networks and events which it uses to promote the environmental dimension of sustainable development. UNEP is based in Nairobi, Kenya, the UN’s primary presence in the global south and work through regional, liaison and out-posted offices and a growing network of collaborating centres of excellence. UNEP has the widest membership of any international environment forum and also host several environmental conventions, secretariats and inter-agency coordinating bodies.</w:t>
      </w:r>
    </w:p>
    <w:p w14:paraId="4AED64F7" w14:textId="77777777" w:rsidR="002D7E83" w:rsidRDefault="002D7E83" w:rsidP="002D7E83">
      <w:pPr>
        <w:spacing w:after="240"/>
        <w:rPr>
          <w:lang w:eastAsia="en-GB"/>
        </w:rPr>
      </w:pPr>
      <w:r>
        <w:rPr>
          <w:lang w:eastAsia="en-GB"/>
        </w:rPr>
        <w:t>Justification for an additional contribution to UNEP to disburse through Tide Turners verses other similar non-UN programmes is as follows:</w:t>
      </w:r>
    </w:p>
    <w:p w14:paraId="10472A01" w14:textId="283B8AE3" w:rsidR="002D7E83" w:rsidRPr="00F454A1" w:rsidRDefault="002D7E83" w:rsidP="005C25BE">
      <w:pPr>
        <w:pStyle w:val="ListParagraph"/>
        <w:numPr>
          <w:ilvl w:val="0"/>
          <w:numId w:val="14"/>
        </w:numPr>
        <w:spacing w:after="240" w:line="240" w:lineRule="auto"/>
      </w:pPr>
      <w:r w:rsidRPr="00217F59">
        <w:rPr>
          <w:b/>
          <w:bCs/>
        </w:rPr>
        <w:t>Relationship with member states:</w:t>
      </w:r>
      <w:r>
        <w:t xml:space="preserve"> UNEP has unprecedented access to member states through both its Committee of Permanent Representatives in Nairobi, hosting the Regional Seas Programmes as well as being the anchor for the INC process. Being the multilateral anchor for this agenda means that the Tide Turners programme is framed as a core contribution to the global plastics agenda. The impact this programme has had in India is due to the fact that UNEP has a national office which is convening youth, youth partners, different Ministries and other UN agencies which combined, has made Tide Turners the pre-eminent youth initiative in the country.</w:t>
      </w:r>
    </w:p>
    <w:p w14:paraId="15232CC7" w14:textId="77777777" w:rsidR="002D7E83" w:rsidRPr="00F454A1" w:rsidRDefault="002D7E83" w:rsidP="005C25BE">
      <w:pPr>
        <w:pStyle w:val="ListParagraph"/>
        <w:numPr>
          <w:ilvl w:val="0"/>
          <w:numId w:val="14"/>
        </w:numPr>
        <w:spacing w:after="240" w:line="240" w:lineRule="auto"/>
      </w:pPr>
      <w:r w:rsidRPr="00217F59">
        <w:rPr>
          <w:b/>
          <w:bCs/>
        </w:rPr>
        <w:lastRenderedPageBreak/>
        <w:t>Generating collaboration with major youth networks:</w:t>
      </w:r>
      <w:r>
        <w:t xml:space="preserve"> Traditionally, youth networks might be competing for funds and may not be collaborating or sharing insight on what they can do as a collective. UNEP’s role as a convener means partners are increasingly learning, sharing and collaborating with each other. The initiative has also helped to accelerate the wider integration of environmental education into their global curricula.</w:t>
      </w:r>
    </w:p>
    <w:p w14:paraId="01797B8E" w14:textId="77777777" w:rsidR="002D7E83" w:rsidRDefault="002D7E83" w:rsidP="005C25BE">
      <w:pPr>
        <w:pStyle w:val="ListParagraph"/>
        <w:numPr>
          <w:ilvl w:val="0"/>
          <w:numId w:val="14"/>
        </w:numPr>
        <w:spacing w:after="240" w:line="240" w:lineRule="auto"/>
      </w:pPr>
      <w:r w:rsidRPr="00217F59">
        <w:rPr>
          <w:b/>
          <w:bCs/>
        </w:rPr>
        <w:t>Attraction to youth:</w:t>
      </w:r>
      <w:r>
        <w:t xml:space="preserve"> Anecdotal feedback has shown that this being a “UN initiative” makes the programme more attractive to youth than if it was run by an NGO. Having a UN credential validates the initiative with certificates of completion being a strong incentive which is highly sought-after.</w:t>
      </w:r>
    </w:p>
    <w:p w14:paraId="66E6C6F7" w14:textId="22609296" w:rsidR="0040068D" w:rsidRPr="00236BF3" w:rsidRDefault="002D7E83" w:rsidP="005C25BE">
      <w:pPr>
        <w:pStyle w:val="ListParagraph"/>
        <w:numPr>
          <w:ilvl w:val="0"/>
          <w:numId w:val="14"/>
        </w:numPr>
        <w:spacing w:after="240" w:line="240" w:lineRule="auto"/>
      </w:pPr>
      <w:r w:rsidRPr="00F454A1">
        <w:rPr>
          <w:b/>
          <w:bCs/>
        </w:rPr>
        <w:t xml:space="preserve">Connecting Tide Turners to the wider UNEP programme: </w:t>
      </w:r>
      <w:r>
        <w:t>UNEP is engaging with all stakeholders in the plastics value chain in scaling up resource efficiency, sustainable materials management and circularity, by building political support and leadership for reducing and reusing plastics. Tide Turner's Plastic Challenge is connected to programmes such as the Clean Seas Campaign and is being mainstreamed as a key youth offer in GEF ISLANDS Pacific Child Project portfolios, and UNEP’s wider plastic programme.</w:t>
      </w:r>
    </w:p>
    <w:p w14:paraId="59B1D182" w14:textId="5DC35EDE" w:rsidR="003720A2" w:rsidRDefault="003720A2" w:rsidP="00E1240A">
      <w:pPr>
        <w:pStyle w:val="Heading3"/>
      </w:pPr>
      <w:r w:rsidRPr="00284727">
        <w:t>Fraud and corruption</w:t>
      </w:r>
    </w:p>
    <w:p w14:paraId="1E8FEB02" w14:textId="6DC93364" w:rsidR="00977717" w:rsidRPr="00383775" w:rsidRDefault="00383775" w:rsidP="00F95D20">
      <w:pPr>
        <w:spacing w:after="240"/>
        <w:rPr>
          <w:rFonts w:cstheme="minorHAnsi"/>
        </w:rPr>
      </w:pPr>
      <w:r>
        <w:rPr>
          <w:rFonts w:cstheme="minorHAnsi"/>
        </w:rPr>
        <w:t xml:space="preserve">The </w:t>
      </w:r>
      <w:r w:rsidR="003720A2" w:rsidRPr="00F95D20">
        <w:rPr>
          <w:rFonts w:cstheme="minorHAnsi"/>
        </w:rPr>
        <w:t>UN secretariat</w:t>
      </w:r>
      <w:r>
        <w:rPr>
          <w:rFonts w:cstheme="minorHAnsi"/>
        </w:rPr>
        <w:t xml:space="preserve"> has established </w:t>
      </w:r>
      <w:r w:rsidR="003720A2" w:rsidRPr="00F95D20">
        <w:rPr>
          <w:rFonts w:cstheme="minorHAnsi"/>
          <w:b/>
          <w:bCs/>
        </w:rPr>
        <w:t>The Anti-Fraud and Anti-Corruption Framework of the United Nations Secretariat</w:t>
      </w:r>
      <w:r w:rsidR="003720A2" w:rsidRPr="00F95D20">
        <w:rPr>
          <w:rFonts w:cstheme="minorHAnsi"/>
        </w:rPr>
        <w:t xml:space="preserve"> </w:t>
      </w:r>
      <w:r w:rsidR="00977717">
        <w:rPr>
          <w:rStyle w:val="FootnoteReference"/>
          <w:rFonts w:cstheme="minorHAnsi"/>
        </w:rPr>
        <w:footnoteReference w:id="30"/>
      </w:r>
      <w:r w:rsidR="00977717" w:rsidRPr="00F95D20">
        <w:rPr>
          <w:rFonts w:cstheme="minorHAnsi"/>
        </w:rPr>
        <w:t xml:space="preserve"> </w:t>
      </w:r>
      <w:r w:rsidR="003720A2" w:rsidRPr="00F95D20">
        <w:rPr>
          <w:rFonts w:cstheme="minorHAnsi"/>
        </w:rPr>
        <w:t>provides definitions for mismanagement and lists prohibited practices, as well as providing information on prevention, mitigation and corrective strategies</w:t>
      </w:r>
      <w:r w:rsidR="00977717" w:rsidRPr="00F95D20">
        <w:rPr>
          <w:rFonts w:cstheme="minorHAnsi"/>
        </w:rPr>
        <w:t>.</w:t>
      </w:r>
      <w:r>
        <w:rPr>
          <w:rFonts w:cstheme="minorHAnsi"/>
        </w:rPr>
        <w:t xml:space="preserve"> In addition, </w:t>
      </w:r>
      <w:r w:rsidR="00977717" w:rsidRPr="00F95D20">
        <w:rPr>
          <w:rFonts w:cstheme="minorHAnsi"/>
        </w:rPr>
        <w:t>UNEP</w:t>
      </w:r>
      <w:r w:rsidR="003720A2" w:rsidRPr="00F95D20">
        <w:rPr>
          <w:rFonts w:cstheme="minorHAnsi"/>
        </w:rPr>
        <w:t xml:space="preserve"> has established </w:t>
      </w:r>
      <w:r w:rsidR="003720A2" w:rsidRPr="00F95D20">
        <w:rPr>
          <w:rFonts w:cstheme="minorHAnsi"/>
          <w:b/>
          <w:bCs/>
        </w:rPr>
        <w:t>Anti-Fraud and Anti-Corruption Guidelines</w:t>
      </w:r>
      <w:r w:rsidR="00977717">
        <w:rPr>
          <w:rStyle w:val="FootnoteReference"/>
          <w:rFonts w:cstheme="minorHAnsi"/>
        </w:rPr>
        <w:footnoteReference w:id="31"/>
      </w:r>
      <w:r w:rsidR="00977717" w:rsidRPr="00F95D20">
        <w:rPr>
          <w:rFonts w:cstheme="minorHAnsi"/>
          <w:b/>
          <w:bCs/>
        </w:rPr>
        <w:t xml:space="preserve"> </w:t>
      </w:r>
      <w:r w:rsidR="003720A2" w:rsidRPr="00F95D20">
        <w:rPr>
          <w:rFonts w:cstheme="minorHAnsi"/>
        </w:rPr>
        <w:t>covering fraud detection and prevention, fraud, risk management, internal control systems etc. The UNEP guidelines implement the provisions of the Anti-Fraud and Anti-Corruption Framework of the United Nations Secretariat ST/IC/2016/25</w:t>
      </w:r>
      <w:r w:rsidR="00977717" w:rsidRPr="00F95D20">
        <w:rPr>
          <w:rFonts w:cstheme="minorHAnsi"/>
        </w:rPr>
        <w:t xml:space="preserve"> </w:t>
      </w:r>
      <w:r w:rsidR="003720A2" w:rsidRPr="00F95D20">
        <w:rPr>
          <w:rFonts w:cstheme="minorHAnsi"/>
        </w:rPr>
        <w:t>and provide for rigorous measures to prevent and combat financial and other forms of financial mismanagement by employees. The Guidelines reiterate the standards and codes of conduct for UN secretariat personnel and provide internal guidance on reporting of fraud and corruption and the processes thereunder.</w:t>
      </w:r>
    </w:p>
    <w:p w14:paraId="00BCCE03" w14:textId="5FF3343A" w:rsidR="003720A2" w:rsidRDefault="003720A2" w:rsidP="008D6369">
      <w:pPr>
        <w:pStyle w:val="Heading3"/>
      </w:pPr>
      <w:r w:rsidRPr="00977717">
        <w:t xml:space="preserve">Financial management requirements for </w:t>
      </w:r>
      <w:r w:rsidR="008D6369">
        <w:t>delivery partners</w:t>
      </w:r>
    </w:p>
    <w:p w14:paraId="7B19A579" w14:textId="77777777" w:rsidR="006A77B8" w:rsidRPr="00922B3E" w:rsidRDefault="003720A2" w:rsidP="00383775">
      <w:pPr>
        <w:spacing w:after="240"/>
        <w:rPr>
          <w:rFonts w:cstheme="minorHAnsi"/>
          <w:b/>
          <w:bCs/>
        </w:rPr>
      </w:pPr>
      <w:r w:rsidRPr="00383775">
        <w:rPr>
          <w:rFonts w:cstheme="minorHAnsi"/>
        </w:rPr>
        <w:t>UNEP provides trainings to Executing Entities on Financial reporting and fraud and corruption, for all approved Funded activities.</w:t>
      </w:r>
      <w:r w:rsidR="00383775">
        <w:rPr>
          <w:rFonts w:cstheme="minorHAnsi"/>
        </w:rPr>
        <w:t xml:space="preserve"> </w:t>
      </w:r>
      <w:r w:rsidRPr="00383775">
        <w:rPr>
          <w:rFonts w:cstheme="minorHAnsi"/>
        </w:rPr>
        <w:t>As per the standard UNEP-GCF legal instruments</w:t>
      </w:r>
      <w:r w:rsidR="00EF492A" w:rsidRPr="00383775">
        <w:rPr>
          <w:rFonts w:cstheme="minorHAnsi"/>
        </w:rPr>
        <w:t xml:space="preserve">, </w:t>
      </w:r>
      <w:r w:rsidRPr="00922B3E">
        <w:rPr>
          <w:rFonts w:cstheme="minorHAnsi"/>
          <w:b/>
          <w:bCs/>
        </w:rPr>
        <w:t xml:space="preserve">Executing Entities must provide regular reports to UNEP on project implementation progress and expenditure reports for the subsequent disbursements. </w:t>
      </w:r>
    </w:p>
    <w:p w14:paraId="4D9D9E6A" w14:textId="26C8A975" w:rsidR="006A77B8" w:rsidRPr="006A77B8" w:rsidRDefault="003720A2" w:rsidP="005C25BE">
      <w:pPr>
        <w:pStyle w:val="ListParagraph"/>
        <w:numPr>
          <w:ilvl w:val="0"/>
          <w:numId w:val="35"/>
        </w:numPr>
        <w:spacing w:after="240"/>
        <w:rPr>
          <w:rFonts w:cstheme="minorHAnsi"/>
        </w:rPr>
      </w:pPr>
      <w:r w:rsidRPr="006A77B8">
        <w:rPr>
          <w:rFonts w:cstheme="minorHAnsi"/>
        </w:rPr>
        <w:t xml:space="preserve">Should the project monitoring reveal irregularities and/or fraud, this would trigger internal investigations within UNEP, and if necessary, recovery of funds in line with the project implementation agreement. </w:t>
      </w:r>
    </w:p>
    <w:p w14:paraId="73A54804" w14:textId="77777777" w:rsidR="006A77B8" w:rsidRDefault="003720A2" w:rsidP="005C25BE">
      <w:pPr>
        <w:pStyle w:val="ListParagraph"/>
        <w:numPr>
          <w:ilvl w:val="0"/>
          <w:numId w:val="34"/>
        </w:numPr>
        <w:spacing w:after="240"/>
        <w:rPr>
          <w:rFonts w:cstheme="minorHAnsi"/>
        </w:rPr>
      </w:pPr>
      <w:r w:rsidRPr="006A77B8">
        <w:rPr>
          <w:rFonts w:cstheme="minorHAnsi"/>
        </w:rPr>
        <w:t xml:space="preserve">If the project review reveals non-compliance with any terms of the legal instrument, and subsequent requests for justifications and information are unsatisfactory, the project implementation may be suspended pending investigation by UNEP in accordance with UN Regulations and Rules. </w:t>
      </w:r>
    </w:p>
    <w:p w14:paraId="1250B4B1" w14:textId="77777777" w:rsidR="00A75C2B" w:rsidRDefault="003720A2" w:rsidP="005C25BE">
      <w:pPr>
        <w:pStyle w:val="ListParagraph"/>
        <w:numPr>
          <w:ilvl w:val="0"/>
          <w:numId w:val="34"/>
        </w:numPr>
        <w:spacing w:after="240"/>
        <w:rPr>
          <w:rFonts w:cstheme="minorHAnsi"/>
        </w:rPr>
      </w:pPr>
      <w:r w:rsidRPr="006A77B8">
        <w:rPr>
          <w:rFonts w:cstheme="minorHAnsi"/>
        </w:rPr>
        <w:t xml:space="preserve">If the Executing Entity is unable to remedy the event of default, the agreement may be terminated after due consultation with stakeholders and donors. </w:t>
      </w:r>
    </w:p>
    <w:p w14:paraId="5EF81255" w14:textId="1DD86969" w:rsidR="00164440" w:rsidRPr="006A77B8" w:rsidRDefault="003720A2" w:rsidP="005C25BE">
      <w:pPr>
        <w:pStyle w:val="ListParagraph"/>
        <w:numPr>
          <w:ilvl w:val="0"/>
          <w:numId w:val="34"/>
        </w:numPr>
        <w:spacing w:after="240"/>
        <w:rPr>
          <w:rFonts w:cstheme="minorHAnsi"/>
        </w:rPr>
      </w:pPr>
      <w:r w:rsidRPr="006A77B8">
        <w:rPr>
          <w:rFonts w:cstheme="minorHAnsi"/>
        </w:rPr>
        <w:t xml:space="preserve">UNEP legal instruments require Executing Entities to ensure that in any procurement activities, the Executing Entities will safeguard the principles of highest quality, </w:t>
      </w:r>
      <w:r w:rsidR="00EF492A" w:rsidRPr="006A77B8">
        <w:rPr>
          <w:rFonts w:cstheme="minorHAnsi"/>
        </w:rPr>
        <w:t>economy,</w:t>
      </w:r>
      <w:r w:rsidRPr="006A77B8">
        <w:rPr>
          <w:rFonts w:cstheme="minorHAnsi"/>
        </w:rPr>
        <w:t xml:space="preserve"> </w:t>
      </w:r>
      <w:r w:rsidRPr="006A77B8">
        <w:rPr>
          <w:rFonts w:cstheme="minorHAnsi"/>
        </w:rPr>
        <w:lastRenderedPageBreak/>
        <w:t>and efficiency, and that the placing of such orders will be based on an assessment of competitive quotations, bids, or proposals unless otherwise agreed to by UNEP.</w:t>
      </w:r>
    </w:p>
    <w:p w14:paraId="1914B0C8" w14:textId="4AFFA8B5" w:rsidR="00B4536E" w:rsidRPr="00B4536E" w:rsidRDefault="00B4536E" w:rsidP="00B4536E">
      <w:pPr>
        <w:spacing w:after="240"/>
        <w:rPr>
          <w:rFonts w:cstheme="minorHAnsi"/>
        </w:rPr>
      </w:pPr>
      <w:r w:rsidRPr="00B4536E">
        <w:rPr>
          <w:rFonts w:cstheme="minorHAnsi"/>
        </w:rPr>
        <w:t xml:space="preserve">The UN expects all its vendors to comply with the </w:t>
      </w:r>
      <w:r w:rsidRPr="00922B3E">
        <w:rPr>
          <w:rFonts w:cstheme="minorHAnsi"/>
          <w:b/>
          <w:bCs/>
        </w:rPr>
        <w:t>United Nations Supplier Code of Conduct</w:t>
      </w:r>
      <w:r>
        <w:rPr>
          <w:rStyle w:val="FootnoteReference"/>
          <w:rFonts w:cstheme="minorHAnsi"/>
        </w:rPr>
        <w:footnoteReference w:id="32"/>
      </w:r>
      <w:r w:rsidRPr="00B4536E">
        <w:rPr>
          <w:rFonts w:cstheme="minorHAnsi"/>
        </w:rPr>
        <w:t xml:space="preserve">, which reflects the core values outlined in the Charter of the United Nations. As such, an acknowledgment of the United Nations Supplier Code of Conduct is a requirement to register as a vendor in the United Nations Global Marketplace (UNGM). The United Nations Supplier Code of Conduct includes principles of the United Nations Global Compact on Labour, Human Rights, Environment and Ethical Conduct and sets the minimum requirements expected by vendors across their supply chain. </w:t>
      </w:r>
      <w:r w:rsidRPr="00922B3E">
        <w:rPr>
          <w:rFonts w:cstheme="minorHAnsi"/>
          <w:b/>
          <w:bCs/>
        </w:rPr>
        <w:t>The UN General Conditions of Contract</w:t>
      </w:r>
      <w:r w:rsidRPr="00B4536E">
        <w:rPr>
          <w:rFonts w:cstheme="minorHAnsi"/>
        </w:rPr>
        <w:t xml:space="preserve"> include requirements for the vendors to hold responsibility for the behaviour of their personnel, and to respect local laws and customs and conform to a high standard of moral and ethical conduct.</w:t>
      </w:r>
      <w:r>
        <w:rPr>
          <w:rStyle w:val="FootnoteReference"/>
          <w:rFonts w:cstheme="minorHAnsi"/>
        </w:rPr>
        <w:footnoteReference w:id="33"/>
      </w:r>
      <w:r w:rsidR="00922B3E" w:rsidRPr="00922B3E">
        <w:rPr>
          <w:rFonts w:cstheme="minorHAnsi"/>
        </w:rPr>
        <w:t xml:space="preserve"> </w:t>
      </w:r>
      <w:r w:rsidR="00922B3E" w:rsidRPr="00B4536E">
        <w:rPr>
          <w:rFonts w:cstheme="minorHAnsi"/>
        </w:rPr>
        <w:t>Recently issued OIOs internal reports on UNEP’s core financial areas are available at: https://oios.un.org/audit-reports</w:t>
      </w:r>
      <w:r w:rsidR="00922B3E">
        <w:rPr>
          <w:rFonts w:cstheme="minorHAnsi"/>
        </w:rPr>
        <w:t>.</w:t>
      </w:r>
    </w:p>
    <w:p w14:paraId="08368248" w14:textId="05A5A490" w:rsidR="00F67600" w:rsidRPr="00922B3E" w:rsidRDefault="00E00022" w:rsidP="00214816">
      <w:pPr>
        <w:pStyle w:val="Heading2"/>
        <w:numPr>
          <w:ilvl w:val="1"/>
          <w:numId w:val="39"/>
        </w:numPr>
        <w:spacing w:after="240" w:line="240" w:lineRule="auto"/>
      </w:pPr>
      <w:bookmarkStart w:id="38" w:name="_Toc121224115"/>
      <w:r w:rsidRPr="00F67600">
        <w:t>Commercial risks</w:t>
      </w:r>
      <w:r w:rsidR="00871FE8">
        <w:t xml:space="preserve"> </w:t>
      </w:r>
      <w:r w:rsidR="00700B36">
        <w:t>t</w:t>
      </w:r>
      <w:r w:rsidR="00871FE8">
        <w:t>o UN</w:t>
      </w:r>
      <w:r w:rsidR="00CF4B3C">
        <w:t>EP</w:t>
      </w:r>
      <w:r w:rsidR="00871FE8">
        <w:t xml:space="preserve"> (Tide Turners Programme)</w:t>
      </w:r>
      <w:bookmarkEnd w:id="38"/>
    </w:p>
    <w:tbl>
      <w:tblPr>
        <w:tblStyle w:val="TableGrid"/>
        <w:tblpPr w:leftFromText="180" w:rightFromText="180" w:vertAnchor="text" w:horzAnchor="margin" w:tblpY="101"/>
        <w:tblW w:w="5000" w:type="pct"/>
        <w:tblLayout w:type="fixed"/>
        <w:tblLook w:val="04A0" w:firstRow="1" w:lastRow="0" w:firstColumn="1" w:lastColumn="0" w:noHBand="0" w:noVBand="1"/>
      </w:tblPr>
      <w:tblGrid>
        <w:gridCol w:w="2368"/>
        <w:gridCol w:w="1198"/>
        <w:gridCol w:w="793"/>
        <w:gridCol w:w="1075"/>
        <w:gridCol w:w="935"/>
        <w:gridCol w:w="2637"/>
      </w:tblGrid>
      <w:tr w:rsidR="00AE636B" w:rsidRPr="004238FE" w14:paraId="717AA568" w14:textId="77777777" w:rsidTr="004B6D9F">
        <w:trPr>
          <w:trHeight w:val="508"/>
        </w:trPr>
        <w:tc>
          <w:tcPr>
            <w:tcW w:w="1315" w:type="pct"/>
          </w:tcPr>
          <w:p w14:paraId="4D5EAF38" w14:textId="77777777" w:rsidR="00E00022" w:rsidRPr="00E00022" w:rsidRDefault="00E00022" w:rsidP="007D41F7">
            <w:pPr>
              <w:spacing w:line="276" w:lineRule="auto"/>
              <w:rPr>
                <w:rFonts w:ascii="Calibri" w:hAnsi="Calibri" w:cs="Calibri"/>
                <w:b/>
                <w:bCs/>
              </w:rPr>
            </w:pPr>
            <w:r w:rsidRPr="00E00022">
              <w:rPr>
                <w:rFonts w:ascii="Calibri" w:hAnsi="Calibri" w:cs="Calibri"/>
                <w:b/>
                <w:bCs/>
              </w:rPr>
              <w:t>Risk description</w:t>
            </w:r>
          </w:p>
        </w:tc>
        <w:tc>
          <w:tcPr>
            <w:tcW w:w="665" w:type="pct"/>
          </w:tcPr>
          <w:p w14:paraId="4474DFD5" w14:textId="77777777" w:rsidR="00E00022" w:rsidRPr="00E00022" w:rsidRDefault="00E00022" w:rsidP="007D41F7">
            <w:pPr>
              <w:spacing w:line="276" w:lineRule="auto"/>
              <w:rPr>
                <w:rFonts w:ascii="Calibri" w:hAnsi="Calibri" w:cs="Calibri"/>
                <w:b/>
                <w:bCs/>
              </w:rPr>
            </w:pPr>
            <w:r w:rsidRPr="00E00022">
              <w:rPr>
                <w:rFonts w:ascii="Calibri" w:hAnsi="Calibri" w:cs="Calibri"/>
                <w:b/>
                <w:bCs/>
              </w:rPr>
              <w:t>Risk category</w:t>
            </w:r>
          </w:p>
        </w:tc>
        <w:tc>
          <w:tcPr>
            <w:tcW w:w="440" w:type="pct"/>
            <w:shd w:val="clear" w:color="auto" w:fill="FFFFFF" w:themeFill="background1"/>
          </w:tcPr>
          <w:p w14:paraId="52BBC080" w14:textId="77777777" w:rsidR="00E00022" w:rsidRPr="00E00022" w:rsidRDefault="00E00022" w:rsidP="007D41F7">
            <w:pPr>
              <w:spacing w:line="276" w:lineRule="auto"/>
              <w:rPr>
                <w:rFonts w:ascii="Calibri" w:hAnsi="Calibri" w:cs="Calibri"/>
                <w:b/>
                <w:bCs/>
              </w:rPr>
            </w:pPr>
            <w:r w:rsidRPr="00E00022">
              <w:rPr>
                <w:rFonts w:ascii="Calibri" w:hAnsi="Calibri" w:cs="Calibri"/>
                <w:b/>
                <w:bCs/>
              </w:rPr>
              <w:t>Impact</w:t>
            </w:r>
          </w:p>
        </w:tc>
        <w:tc>
          <w:tcPr>
            <w:tcW w:w="597" w:type="pct"/>
            <w:shd w:val="clear" w:color="auto" w:fill="FFFFFF" w:themeFill="background1"/>
          </w:tcPr>
          <w:p w14:paraId="07D4CB57" w14:textId="77777777" w:rsidR="00E00022" w:rsidRPr="00E00022" w:rsidRDefault="00E00022" w:rsidP="007D41F7">
            <w:pPr>
              <w:spacing w:line="276" w:lineRule="auto"/>
              <w:rPr>
                <w:rFonts w:ascii="Calibri" w:hAnsi="Calibri" w:cs="Calibri"/>
                <w:b/>
                <w:bCs/>
              </w:rPr>
            </w:pPr>
            <w:r w:rsidRPr="00E00022">
              <w:rPr>
                <w:rFonts w:ascii="Calibri" w:hAnsi="Calibri" w:cs="Calibri"/>
                <w:b/>
                <w:bCs/>
              </w:rPr>
              <w:t>Likelihood</w:t>
            </w:r>
          </w:p>
        </w:tc>
        <w:tc>
          <w:tcPr>
            <w:tcW w:w="519" w:type="pct"/>
            <w:shd w:val="clear" w:color="auto" w:fill="FFFFFF" w:themeFill="background1"/>
          </w:tcPr>
          <w:p w14:paraId="09897E1C" w14:textId="77777777" w:rsidR="00E00022" w:rsidRPr="00E00022" w:rsidRDefault="00E00022" w:rsidP="007D41F7">
            <w:pPr>
              <w:spacing w:line="276" w:lineRule="auto"/>
              <w:rPr>
                <w:rFonts w:ascii="Calibri" w:hAnsi="Calibri" w:cs="Calibri"/>
                <w:b/>
                <w:bCs/>
              </w:rPr>
            </w:pPr>
            <w:r w:rsidRPr="00E00022">
              <w:rPr>
                <w:rFonts w:ascii="Calibri" w:hAnsi="Calibri" w:cs="Calibri"/>
                <w:b/>
                <w:bCs/>
              </w:rPr>
              <w:t>RAG</w:t>
            </w:r>
            <w:r w:rsidRPr="00E00022">
              <w:rPr>
                <w:rStyle w:val="FootnoteReference"/>
                <w:rFonts w:ascii="Calibri" w:hAnsi="Calibri" w:cs="Calibri"/>
                <w:b/>
                <w:bCs/>
              </w:rPr>
              <w:footnoteReference w:id="34"/>
            </w:r>
          </w:p>
        </w:tc>
        <w:tc>
          <w:tcPr>
            <w:tcW w:w="1464" w:type="pct"/>
            <w:shd w:val="clear" w:color="auto" w:fill="FFFFFF" w:themeFill="background1"/>
          </w:tcPr>
          <w:p w14:paraId="7AB79FCE" w14:textId="77777777" w:rsidR="00E00022" w:rsidRPr="00E00022" w:rsidRDefault="00E00022" w:rsidP="007D41F7">
            <w:pPr>
              <w:spacing w:line="276" w:lineRule="auto"/>
              <w:rPr>
                <w:rFonts w:ascii="Calibri" w:hAnsi="Calibri" w:cs="Calibri"/>
                <w:b/>
                <w:bCs/>
              </w:rPr>
            </w:pPr>
            <w:r w:rsidRPr="00E00022">
              <w:rPr>
                <w:rFonts w:ascii="Calibri" w:hAnsi="Calibri" w:cs="Calibri"/>
                <w:b/>
                <w:bCs/>
              </w:rPr>
              <w:t>Mitigation measure</w:t>
            </w:r>
          </w:p>
        </w:tc>
      </w:tr>
      <w:tr w:rsidR="00AE636B" w:rsidRPr="004238FE" w14:paraId="129AAA9B" w14:textId="77777777" w:rsidTr="004B6D9F">
        <w:trPr>
          <w:trHeight w:val="1261"/>
        </w:trPr>
        <w:tc>
          <w:tcPr>
            <w:tcW w:w="1315" w:type="pct"/>
            <w:vAlign w:val="center"/>
          </w:tcPr>
          <w:p w14:paraId="0928857D" w14:textId="77777777" w:rsidR="00E00022" w:rsidRPr="00E00022" w:rsidRDefault="00E00022" w:rsidP="007D41F7">
            <w:pPr>
              <w:spacing w:line="276" w:lineRule="auto"/>
              <w:jc w:val="left"/>
              <w:rPr>
                <w:rFonts w:ascii="Calibri" w:hAnsi="Calibri" w:cs="Calibri"/>
              </w:rPr>
            </w:pPr>
            <w:r w:rsidRPr="00E00022">
              <w:rPr>
                <w:rFonts w:ascii="Calibri" w:hAnsi="Calibri" w:cs="Calibri"/>
              </w:rPr>
              <w:t>UNEP fails to deliver on agreed outputs and activities, leading to poor VfM and reputational damage</w:t>
            </w:r>
          </w:p>
        </w:tc>
        <w:tc>
          <w:tcPr>
            <w:tcW w:w="665" w:type="pct"/>
            <w:vAlign w:val="center"/>
          </w:tcPr>
          <w:p w14:paraId="7295C5E1" w14:textId="4578DA10" w:rsidR="00E00022" w:rsidRPr="00E00022" w:rsidRDefault="00E00022" w:rsidP="007D41F7">
            <w:pPr>
              <w:spacing w:line="276" w:lineRule="auto"/>
              <w:jc w:val="left"/>
              <w:rPr>
                <w:rFonts w:ascii="Calibri" w:hAnsi="Calibri" w:cs="Calibri"/>
              </w:rPr>
            </w:pPr>
            <w:r w:rsidRPr="00E00022">
              <w:rPr>
                <w:rFonts w:ascii="Calibri" w:hAnsi="Calibri" w:cs="Calibri"/>
              </w:rPr>
              <w:t>Operational</w:t>
            </w:r>
          </w:p>
        </w:tc>
        <w:tc>
          <w:tcPr>
            <w:tcW w:w="440" w:type="pct"/>
            <w:shd w:val="clear" w:color="auto" w:fill="FFFFFF" w:themeFill="background1"/>
            <w:vAlign w:val="center"/>
          </w:tcPr>
          <w:p w14:paraId="76D52ECA" w14:textId="77777777" w:rsidR="00E00022" w:rsidRPr="00AE636B" w:rsidRDefault="00E00022" w:rsidP="00AE636B">
            <w:pPr>
              <w:jc w:val="left"/>
            </w:pPr>
            <w:r w:rsidRPr="00AE636B">
              <w:t>High</w:t>
            </w:r>
          </w:p>
        </w:tc>
        <w:tc>
          <w:tcPr>
            <w:tcW w:w="597" w:type="pct"/>
            <w:shd w:val="clear" w:color="auto" w:fill="FFFFFF" w:themeFill="background1"/>
            <w:vAlign w:val="center"/>
          </w:tcPr>
          <w:p w14:paraId="6B70E481" w14:textId="77777777" w:rsidR="00E00022" w:rsidRPr="00E00022" w:rsidRDefault="00E00022" w:rsidP="007D41F7">
            <w:pPr>
              <w:pStyle w:val="ListParagraph"/>
              <w:spacing w:after="0"/>
              <w:ind w:left="314"/>
              <w:jc w:val="left"/>
            </w:pPr>
            <w:r w:rsidRPr="00E00022">
              <w:t>Low</w:t>
            </w:r>
          </w:p>
        </w:tc>
        <w:tc>
          <w:tcPr>
            <w:tcW w:w="519" w:type="pct"/>
            <w:shd w:val="clear" w:color="auto" w:fill="FFC000"/>
            <w:vAlign w:val="center"/>
          </w:tcPr>
          <w:p w14:paraId="64FB2312" w14:textId="77777777" w:rsidR="00E00022" w:rsidRPr="003B5346" w:rsidRDefault="00E00022" w:rsidP="003B5346">
            <w:r w:rsidRPr="003B5346">
              <w:t>Medium</w:t>
            </w:r>
          </w:p>
        </w:tc>
        <w:tc>
          <w:tcPr>
            <w:tcW w:w="1464" w:type="pct"/>
            <w:shd w:val="clear" w:color="auto" w:fill="FFFFFF" w:themeFill="background1"/>
            <w:vAlign w:val="center"/>
          </w:tcPr>
          <w:p w14:paraId="0F0A20D8" w14:textId="6E3458DE" w:rsidR="00E00022" w:rsidRPr="003B5346" w:rsidRDefault="00E00022" w:rsidP="00D17E5F">
            <w:pPr>
              <w:jc w:val="left"/>
            </w:pPr>
            <w:r w:rsidRPr="003B5346">
              <w:t>Ensuring that the performance of UNEP is sufficiently reported through regular meeting and financial reports to continuously review VfM and whether the budget is being spent as agreed</w:t>
            </w:r>
          </w:p>
        </w:tc>
      </w:tr>
      <w:tr w:rsidR="000610A1" w:rsidRPr="004238FE" w14:paraId="2A2E0F0A" w14:textId="77777777" w:rsidTr="004B6D9F">
        <w:trPr>
          <w:trHeight w:val="1261"/>
        </w:trPr>
        <w:tc>
          <w:tcPr>
            <w:tcW w:w="1315" w:type="pct"/>
            <w:vAlign w:val="center"/>
          </w:tcPr>
          <w:p w14:paraId="0B1DEB46" w14:textId="1BE2E892" w:rsidR="000610A1" w:rsidRPr="00EE550A" w:rsidRDefault="00743B71" w:rsidP="007D41F7">
            <w:pPr>
              <w:spacing w:line="276" w:lineRule="auto"/>
              <w:jc w:val="left"/>
              <w:rPr>
                <w:rFonts w:cstheme="minorHAnsi"/>
              </w:rPr>
            </w:pPr>
            <w:r w:rsidRPr="00EE550A">
              <w:rPr>
                <w:rFonts w:cstheme="minorHAnsi"/>
                <w:iCs/>
                <w:color w:val="000000"/>
                <w:lang w:eastAsia="en-GB"/>
              </w:rPr>
              <w:t>Tendering process does not complete in time to have appointed suppliers/partners in place</w:t>
            </w:r>
          </w:p>
        </w:tc>
        <w:tc>
          <w:tcPr>
            <w:tcW w:w="665" w:type="pct"/>
            <w:vAlign w:val="center"/>
          </w:tcPr>
          <w:p w14:paraId="15D78532" w14:textId="6343D59F" w:rsidR="000610A1" w:rsidRPr="00E00022" w:rsidRDefault="003B5346" w:rsidP="007D41F7">
            <w:pPr>
              <w:spacing w:line="276" w:lineRule="auto"/>
              <w:jc w:val="left"/>
              <w:rPr>
                <w:rFonts w:ascii="Calibri" w:hAnsi="Calibri" w:cs="Calibri"/>
              </w:rPr>
            </w:pPr>
            <w:r>
              <w:rPr>
                <w:rFonts w:ascii="Calibri" w:hAnsi="Calibri" w:cs="Calibri"/>
              </w:rPr>
              <w:t>Operational</w:t>
            </w:r>
          </w:p>
        </w:tc>
        <w:tc>
          <w:tcPr>
            <w:tcW w:w="440" w:type="pct"/>
            <w:shd w:val="clear" w:color="auto" w:fill="FFFFFF" w:themeFill="background1"/>
            <w:vAlign w:val="center"/>
          </w:tcPr>
          <w:p w14:paraId="081D7B73" w14:textId="4EC903B0" w:rsidR="000610A1" w:rsidRPr="00AE636B" w:rsidRDefault="003B5346" w:rsidP="00AE636B">
            <w:pPr>
              <w:jc w:val="left"/>
            </w:pPr>
            <w:r w:rsidRPr="00AE636B">
              <w:t>High</w:t>
            </w:r>
          </w:p>
        </w:tc>
        <w:tc>
          <w:tcPr>
            <w:tcW w:w="597" w:type="pct"/>
            <w:shd w:val="clear" w:color="auto" w:fill="FFFFFF" w:themeFill="background1"/>
            <w:vAlign w:val="center"/>
          </w:tcPr>
          <w:p w14:paraId="6E15ABAA" w14:textId="363CF86E" w:rsidR="000610A1" w:rsidRPr="00E00022" w:rsidRDefault="003B5346" w:rsidP="007D41F7">
            <w:pPr>
              <w:pStyle w:val="ListParagraph"/>
              <w:spacing w:after="0"/>
              <w:ind w:left="314"/>
              <w:jc w:val="left"/>
            </w:pPr>
            <w:r>
              <w:t>Low</w:t>
            </w:r>
          </w:p>
        </w:tc>
        <w:tc>
          <w:tcPr>
            <w:tcW w:w="519" w:type="pct"/>
            <w:shd w:val="clear" w:color="auto" w:fill="FFC000"/>
            <w:vAlign w:val="center"/>
          </w:tcPr>
          <w:p w14:paraId="50677E23" w14:textId="2A3D17BA" w:rsidR="000610A1" w:rsidRPr="003B5346" w:rsidRDefault="003B5346" w:rsidP="003B5346">
            <w:r w:rsidRPr="003B5346">
              <w:t>Medium</w:t>
            </w:r>
          </w:p>
        </w:tc>
        <w:tc>
          <w:tcPr>
            <w:tcW w:w="1464" w:type="pct"/>
            <w:shd w:val="clear" w:color="auto" w:fill="FFFFFF" w:themeFill="background1"/>
            <w:vAlign w:val="center"/>
          </w:tcPr>
          <w:p w14:paraId="2D5ED56A" w14:textId="5F1E89B0" w:rsidR="000610A1" w:rsidRPr="00D17E5F" w:rsidRDefault="0026554A" w:rsidP="00D17E5F">
            <w:pPr>
              <w:jc w:val="left"/>
              <w:rPr>
                <w:rFonts w:cstheme="minorHAnsi"/>
              </w:rPr>
            </w:pPr>
            <w:r w:rsidRPr="00D17E5F">
              <w:rPr>
                <w:rFonts w:eastAsia="Calibri" w:cstheme="minorHAnsi"/>
                <w:spacing w:val="-1"/>
              </w:rPr>
              <w:t>Timetable has been agreed and project management principles have been applied</w:t>
            </w:r>
          </w:p>
        </w:tc>
      </w:tr>
      <w:tr w:rsidR="00AF2E5A" w:rsidRPr="004238FE" w14:paraId="77BF9B53" w14:textId="77777777" w:rsidTr="004B6D9F">
        <w:trPr>
          <w:trHeight w:val="1261"/>
        </w:trPr>
        <w:tc>
          <w:tcPr>
            <w:tcW w:w="1315" w:type="pct"/>
            <w:vAlign w:val="center"/>
          </w:tcPr>
          <w:p w14:paraId="797235FE" w14:textId="5E3040A0" w:rsidR="00AF2E5A" w:rsidRPr="008D689D" w:rsidRDefault="007D0BB3" w:rsidP="007D41F7">
            <w:pPr>
              <w:spacing w:line="276" w:lineRule="auto"/>
              <w:jc w:val="left"/>
              <w:rPr>
                <w:rFonts w:ascii="Arial" w:hAnsi="Arial" w:cs="Arial"/>
                <w:iCs/>
                <w:color w:val="000000"/>
                <w:lang w:eastAsia="en-GB"/>
              </w:rPr>
            </w:pPr>
            <w:r w:rsidRPr="00EE550A">
              <w:rPr>
                <w:rFonts w:cstheme="minorHAnsi"/>
                <w:iCs/>
                <w:color w:val="000000"/>
                <w:lang w:eastAsia="en-GB"/>
              </w:rPr>
              <w:t>There is a lack of suitable appointed suppliers/partners</w:t>
            </w:r>
          </w:p>
        </w:tc>
        <w:tc>
          <w:tcPr>
            <w:tcW w:w="665" w:type="pct"/>
            <w:vAlign w:val="center"/>
          </w:tcPr>
          <w:p w14:paraId="2D8E46C3" w14:textId="44F05AF8" w:rsidR="00AF2E5A" w:rsidRPr="00E00022" w:rsidRDefault="003B5346" w:rsidP="007D41F7">
            <w:pPr>
              <w:spacing w:line="276" w:lineRule="auto"/>
              <w:jc w:val="left"/>
              <w:rPr>
                <w:rFonts w:ascii="Calibri" w:hAnsi="Calibri" w:cs="Calibri"/>
              </w:rPr>
            </w:pPr>
            <w:r>
              <w:rPr>
                <w:rFonts w:ascii="Calibri" w:hAnsi="Calibri" w:cs="Calibri"/>
              </w:rPr>
              <w:t>Operational</w:t>
            </w:r>
          </w:p>
        </w:tc>
        <w:tc>
          <w:tcPr>
            <w:tcW w:w="440" w:type="pct"/>
            <w:shd w:val="clear" w:color="auto" w:fill="FFFFFF" w:themeFill="background1"/>
            <w:vAlign w:val="center"/>
          </w:tcPr>
          <w:p w14:paraId="463D797C" w14:textId="61718CA9" w:rsidR="00AF2E5A" w:rsidRPr="00AE636B" w:rsidRDefault="003B5346" w:rsidP="00AE636B">
            <w:pPr>
              <w:jc w:val="left"/>
            </w:pPr>
            <w:r w:rsidRPr="00AE636B">
              <w:t>High</w:t>
            </w:r>
          </w:p>
        </w:tc>
        <w:tc>
          <w:tcPr>
            <w:tcW w:w="597" w:type="pct"/>
            <w:shd w:val="clear" w:color="auto" w:fill="FFFFFF" w:themeFill="background1"/>
            <w:vAlign w:val="center"/>
          </w:tcPr>
          <w:p w14:paraId="3F6A714C" w14:textId="2CE89DA4" w:rsidR="00AF2E5A" w:rsidRPr="00E00022" w:rsidRDefault="003B5346" w:rsidP="007D41F7">
            <w:pPr>
              <w:pStyle w:val="ListParagraph"/>
              <w:spacing w:after="0"/>
              <w:ind w:left="314"/>
              <w:jc w:val="left"/>
            </w:pPr>
            <w:r>
              <w:t>Low</w:t>
            </w:r>
          </w:p>
        </w:tc>
        <w:tc>
          <w:tcPr>
            <w:tcW w:w="519" w:type="pct"/>
            <w:shd w:val="clear" w:color="auto" w:fill="FFC000"/>
            <w:vAlign w:val="center"/>
          </w:tcPr>
          <w:p w14:paraId="718955FC" w14:textId="7576B3AE" w:rsidR="00AF2E5A" w:rsidRPr="003B5346" w:rsidRDefault="003B5346" w:rsidP="003B5346">
            <w:r w:rsidRPr="003B5346">
              <w:t>Medium</w:t>
            </w:r>
          </w:p>
        </w:tc>
        <w:tc>
          <w:tcPr>
            <w:tcW w:w="1464" w:type="pct"/>
            <w:shd w:val="clear" w:color="auto" w:fill="FFFFFF" w:themeFill="background1"/>
            <w:vAlign w:val="center"/>
          </w:tcPr>
          <w:p w14:paraId="3CB49B89" w14:textId="2DE5C152" w:rsidR="00AF2E5A" w:rsidRPr="00D17E5F" w:rsidRDefault="001D0525" w:rsidP="00D17E5F">
            <w:pPr>
              <w:jc w:val="left"/>
              <w:rPr>
                <w:rFonts w:cstheme="minorHAnsi"/>
              </w:rPr>
            </w:pPr>
            <w:r w:rsidRPr="00D17E5F">
              <w:rPr>
                <w:rFonts w:eastAsia="Calibri" w:cstheme="minorHAnsi"/>
                <w:spacing w:val="-1"/>
              </w:rPr>
              <w:t>Market engagement will establish the opportunity and attract sufficient interest</w:t>
            </w:r>
          </w:p>
        </w:tc>
      </w:tr>
      <w:tr w:rsidR="00D17E5F" w:rsidRPr="004238FE" w14:paraId="6AFE7F97" w14:textId="77777777" w:rsidTr="004B6D9F">
        <w:trPr>
          <w:trHeight w:val="1261"/>
        </w:trPr>
        <w:tc>
          <w:tcPr>
            <w:tcW w:w="1315" w:type="pct"/>
            <w:vAlign w:val="center"/>
          </w:tcPr>
          <w:p w14:paraId="69927DDA" w14:textId="40FB553A" w:rsidR="00D17E5F" w:rsidRPr="00EE550A" w:rsidRDefault="00D17E5F" w:rsidP="00D17E5F">
            <w:pPr>
              <w:spacing w:line="276" w:lineRule="auto"/>
              <w:jc w:val="left"/>
              <w:rPr>
                <w:rFonts w:cstheme="minorHAnsi"/>
                <w:iCs/>
                <w:color w:val="000000"/>
                <w:lang w:eastAsia="en-GB"/>
              </w:rPr>
            </w:pPr>
            <w:r w:rsidRPr="00EE550A">
              <w:rPr>
                <w:rFonts w:cstheme="minorHAnsi"/>
                <w:iCs/>
                <w:color w:val="000000"/>
                <w:lang w:eastAsia="en-GB"/>
              </w:rPr>
              <w:t>Challenge by unsuccessful supplier</w:t>
            </w:r>
          </w:p>
        </w:tc>
        <w:tc>
          <w:tcPr>
            <w:tcW w:w="665" w:type="pct"/>
            <w:vAlign w:val="center"/>
          </w:tcPr>
          <w:p w14:paraId="33F30843" w14:textId="132F2BA6" w:rsidR="00D17E5F" w:rsidRPr="00E00022" w:rsidRDefault="00D17E5F" w:rsidP="00D17E5F">
            <w:pPr>
              <w:spacing w:line="276" w:lineRule="auto"/>
              <w:jc w:val="left"/>
              <w:rPr>
                <w:rFonts w:ascii="Calibri" w:hAnsi="Calibri" w:cs="Calibri"/>
              </w:rPr>
            </w:pPr>
            <w:r>
              <w:rPr>
                <w:rFonts w:ascii="Calibri" w:hAnsi="Calibri" w:cs="Calibri"/>
              </w:rPr>
              <w:t>Operational</w:t>
            </w:r>
          </w:p>
        </w:tc>
        <w:tc>
          <w:tcPr>
            <w:tcW w:w="440" w:type="pct"/>
            <w:shd w:val="clear" w:color="auto" w:fill="FFFFFF" w:themeFill="background1"/>
            <w:vAlign w:val="center"/>
          </w:tcPr>
          <w:p w14:paraId="0D90B3AE" w14:textId="3DFB48C5" w:rsidR="00D17E5F" w:rsidRPr="00AE636B" w:rsidRDefault="00D17E5F" w:rsidP="00D17E5F">
            <w:pPr>
              <w:jc w:val="left"/>
            </w:pPr>
            <w:r w:rsidRPr="00AE636B">
              <w:t>High</w:t>
            </w:r>
          </w:p>
        </w:tc>
        <w:tc>
          <w:tcPr>
            <w:tcW w:w="597" w:type="pct"/>
            <w:shd w:val="clear" w:color="auto" w:fill="FFFFFF" w:themeFill="background1"/>
            <w:vAlign w:val="center"/>
          </w:tcPr>
          <w:p w14:paraId="0349DCAD" w14:textId="5999DDCD" w:rsidR="00D17E5F" w:rsidRPr="00E00022" w:rsidRDefault="00D17E5F" w:rsidP="00D17E5F">
            <w:pPr>
              <w:pStyle w:val="ListParagraph"/>
              <w:spacing w:after="0"/>
              <w:ind w:left="314"/>
              <w:jc w:val="left"/>
            </w:pPr>
            <w:r>
              <w:t>Low</w:t>
            </w:r>
          </w:p>
        </w:tc>
        <w:tc>
          <w:tcPr>
            <w:tcW w:w="519" w:type="pct"/>
            <w:shd w:val="clear" w:color="auto" w:fill="FFC000"/>
            <w:vAlign w:val="center"/>
          </w:tcPr>
          <w:p w14:paraId="43A390BF" w14:textId="20017BFC" w:rsidR="00D17E5F" w:rsidRPr="00AE636B" w:rsidRDefault="00D17E5F" w:rsidP="00D17E5F">
            <w:r>
              <w:t>Medium</w:t>
            </w:r>
          </w:p>
        </w:tc>
        <w:tc>
          <w:tcPr>
            <w:tcW w:w="1464" w:type="pct"/>
            <w:shd w:val="clear" w:color="auto" w:fill="FFFFFF" w:themeFill="background1"/>
          </w:tcPr>
          <w:p w14:paraId="6619D836" w14:textId="77777777" w:rsidR="00D17E5F" w:rsidRPr="00D17E5F" w:rsidRDefault="00D17E5F" w:rsidP="00D17E5F">
            <w:pPr>
              <w:jc w:val="left"/>
              <w:rPr>
                <w:rFonts w:eastAsia="Calibri" w:cstheme="minorHAnsi"/>
                <w:spacing w:val="-1"/>
              </w:rPr>
            </w:pPr>
          </w:p>
          <w:p w14:paraId="74F4B632" w14:textId="3EC3517C" w:rsidR="00D17E5F" w:rsidRPr="00D17E5F" w:rsidRDefault="00D17E5F" w:rsidP="00D17E5F">
            <w:pPr>
              <w:jc w:val="left"/>
              <w:rPr>
                <w:rFonts w:cstheme="minorHAnsi"/>
              </w:rPr>
            </w:pPr>
            <w:r w:rsidRPr="00D17E5F">
              <w:rPr>
                <w:rFonts w:eastAsia="Calibri" w:cstheme="minorHAnsi"/>
                <w:spacing w:val="-1"/>
              </w:rPr>
              <w:t>Audit trail to support fair open and transparent process</w:t>
            </w:r>
          </w:p>
        </w:tc>
      </w:tr>
    </w:tbl>
    <w:p w14:paraId="45F0A144" w14:textId="5BEA9C76" w:rsidR="004238FE" w:rsidRDefault="004238FE" w:rsidP="00613ABF">
      <w:pPr>
        <w:spacing w:after="240"/>
        <w:rPr>
          <w:rFonts w:cstheme="minorHAnsi"/>
          <w:lang w:eastAsia="en-GB"/>
        </w:rPr>
        <w:sectPr w:rsidR="004238FE" w:rsidSect="00B15938">
          <w:type w:val="continuous"/>
          <w:pgSz w:w="11906" w:h="16838"/>
          <w:pgMar w:top="1440" w:right="1440" w:bottom="1440" w:left="1440" w:header="708" w:footer="708" w:gutter="0"/>
          <w:cols w:space="708"/>
          <w:docGrid w:linePitch="360"/>
        </w:sectPr>
      </w:pPr>
    </w:p>
    <w:p w14:paraId="06E07DFC" w14:textId="77777777" w:rsidR="004238FE" w:rsidRDefault="004238FE" w:rsidP="00613ABF">
      <w:pPr>
        <w:spacing w:after="240"/>
        <w:jc w:val="left"/>
        <w:rPr>
          <w:rFonts w:cstheme="minorHAnsi"/>
        </w:rPr>
      </w:pPr>
    </w:p>
    <w:p w14:paraId="5D25740B" w14:textId="0E8571DB" w:rsidR="004B6D9F" w:rsidRDefault="004B6D9F">
      <w:pPr>
        <w:spacing w:after="160" w:line="259" w:lineRule="auto"/>
        <w:jc w:val="left"/>
        <w:rPr>
          <w:rFonts w:cstheme="minorHAnsi"/>
        </w:rPr>
      </w:pPr>
      <w:r>
        <w:rPr>
          <w:rFonts w:cstheme="minorHAnsi"/>
        </w:rPr>
        <w:br w:type="page"/>
      </w:r>
    </w:p>
    <w:p w14:paraId="306D97E1" w14:textId="77777777" w:rsidR="00CB4B60" w:rsidRPr="00CB4B60" w:rsidRDefault="00CB4B60" w:rsidP="00704DEA">
      <w:pPr>
        <w:spacing w:after="160" w:line="259" w:lineRule="auto"/>
        <w:jc w:val="left"/>
        <w:rPr>
          <w:rFonts w:cstheme="minorHAnsi"/>
        </w:rPr>
        <w:sectPr w:rsidR="00CB4B60" w:rsidRPr="00CB4B60" w:rsidSect="00E00022">
          <w:type w:val="continuous"/>
          <w:pgSz w:w="11906" w:h="16838"/>
          <w:pgMar w:top="1440" w:right="1440" w:bottom="1440" w:left="1440" w:header="709" w:footer="709" w:gutter="0"/>
          <w:cols w:space="708"/>
          <w:docGrid w:linePitch="360"/>
        </w:sectPr>
      </w:pPr>
    </w:p>
    <w:p w14:paraId="07FB4ECF" w14:textId="6B72EF27" w:rsidR="00997E35" w:rsidRPr="00217F59" w:rsidRDefault="00430A13" w:rsidP="00214816">
      <w:pPr>
        <w:pStyle w:val="Heading1"/>
        <w:numPr>
          <w:ilvl w:val="0"/>
          <w:numId w:val="39"/>
        </w:numPr>
      </w:pPr>
      <w:bookmarkStart w:id="39" w:name="_Toc121224116"/>
      <w:r w:rsidRPr="00217F59">
        <w:lastRenderedPageBreak/>
        <w:t>FINANCIAL CASE</w:t>
      </w:r>
      <w:bookmarkEnd w:id="39"/>
    </w:p>
    <w:p w14:paraId="25A24979" w14:textId="14ADD843" w:rsidR="008F56AD" w:rsidRDefault="009B53B5" w:rsidP="00214816">
      <w:pPr>
        <w:pStyle w:val="Heading2"/>
        <w:numPr>
          <w:ilvl w:val="1"/>
          <w:numId w:val="39"/>
        </w:numPr>
      </w:pPr>
      <w:bookmarkStart w:id="40" w:name="_Toc121224117"/>
      <w:r w:rsidRPr="00217F59">
        <w:t>Accounting Officer Tests</w:t>
      </w:r>
      <w:bookmarkEnd w:id="40"/>
    </w:p>
    <w:p w14:paraId="418AA4CE" w14:textId="0684411E" w:rsidR="00900A34" w:rsidRDefault="00900A34" w:rsidP="00613ABF">
      <w:pPr>
        <w:spacing w:after="240"/>
        <w:rPr>
          <w:rFonts w:ascii="Calibri" w:hAnsi="Calibri" w:cs="Calibri"/>
        </w:rPr>
      </w:pPr>
      <w:r w:rsidRPr="000354B5">
        <w:rPr>
          <w:rFonts w:ascii="Calibri" w:hAnsi="Calibri" w:cs="Calibri"/>
        </w:rPr>
        <w:t>The primary accounting office tests have been considered throughout the development of this business case:</w:t>
      </w:r>
    </w:p>
    <w:p w14:paraId="46DDED93" w14:textId="7D4241BD" w:rsidR="00900A34" w:rsidRPr="000354B5" w:rsidRDefault="00900A34" w:rsidP="005C25BE">
      <w:pPr>
        <w:pStyle w:val="ListParagraph"/>
        <w:numPr>
          <w:ilvl w:val="0"/>
          <w:numId w:val="17"/>
        </w:numPr>
        <w:spacing w:after="240" w:line="240" w:lineRule="auto"/>
      </w:pPr>
      <w:r w:rsidRPr="000354B5">
        <w:rPr>
          <w:b/>
          <w:bCs/>
        </w:rPr>
        <w:t xml:space="preserve">Regularity: </w:t>
      </w:r>
      <w:r w:rsidRPr="000354B5">
        <w:t>the programme funds will be managed in accordance with HMT’s Managing Public Money guidance and ODA guidance.</w:t>
      </w:r>
      <w:r w:rsidR="002E5C72">
        <w:t xml:space="preserve"> </w:t>
      </w:r>
      <w:r w:rsidR="002E5C72" w:rsidRPr="00EC3F9D">
        <w:t>ODA funding will be allocated under Section 1 of the International Development Act 2002 and expenditure will be in accordance with this legislation and all ODA requirements</w:t>
      </w:r>
      <w:r w:rsidR="002E5C72">
        <w:t>.</w:t>
      </w:r>
    </w:p>
    <w:p w14:paraId="239AE248" w14:textId="0684411E" w:rsidR="00900A34" w:rsidRPr="000354B5" w:rsidRDefault="00900A34" w:rsidP="005C25BE">
      <w:pPr>
        <w:pStyle w:val="ListParagraph"/>
        <w:numPr>
          <w:ilvl w:val="0"/>
          <w:numId w:val="17"/>
        </w:numPr>
        <w:spacing w:after="240" w:line="240" w:lineRule="auto"/>
        <w:rPr>
          <w:b/>
          <w:bCs/>
        </w:rPr>
      </w:pPr>
      <w:r w:rsidRPr="000354B5">
        <w:rPr>
          <w:b/>
          <w:bCs/>
        </w:rPr>
        <w:t xml:space="preserve">Propriety: </w:t>
      </w:r>
      <w:r w:rsidRPr="000354B5">
        <w:t>ODA funding will be allocated under Section 1 of the International Development Act 2002 and expenditure will be in accordance with this legislation and all ODA requirements.</w:t>
      </w:r>
    </w:p>
    <w:p w14:paraId="170D3D5B" w14:textId="0684411E" w:rsidR="00900A34" w:rsidRPr="000354B5" w:rsidRDefault="00900A34" w:rsidP="005C25BE">
      <w:pPr>
        <w:pStyle w:val="ListParagraph"/>
        <w:numPr>
          <w:ilvl w:val="0"/>
          <w:numId w:val="17"/>
        </w:numPr>
        <w:spacing w:after="240" w:line="240" w:lineRule="auto"/>
        <w:rPr>
          <w:b/>
          <w:bCs/>
        </w:rPr>
      </w:pPr>
      <w:r w:rsidRPr="000354B5">
        <w:rPr>
          <w:b/>
          <w:bCs/>
        </w:rPr>
        <w:t xml:space="preserve">Value for Money: </w:t>
      </w:r>
      <w:r w:rsidRPr="000354B5">
        <w:t xml:space="preserve">the recommended approach has been appraised carefully against alternative options, including doing nothing and alternative funding mechanisms and delivery approaches. Please see the economic case for a detailed appraisal of the value for money for this investment in comparison with alternative options. </w:t>
      </w:r>
    </w:p>
    <w:p w14:paraId="306636D3" w14:textId="50A4AB87" w:rsidR="00900A34" w:rsidRPr="000354B5" w:rsidRDefault="00900A34" w:rsidP="005C25BE">
      <w:pPr>
        <w:pStyle w:val="ListParagraph"/>
        <w:numPr>
          <w:ilvl w:val="0"/>
          <w:numId w:val="17"/>
        </w:numPr>
        <w:spacing w:after="240" w:line="240" w:lineRule="auto"/>
        <w:rPr>
          <w:b/>
          <w:bCs/>
        </w:rPr>
      </w:pPr>
      <w:r w:rsidRPr="000354B5">
        <w:rPr>
          <w:b/>
          <w:bCs/>
        </w:rPr>
        <w:t xml:space="preserve">Feasibility: </w:t>
      </w:r>
      <w:r w:rsidRPr="000354B5">
        <w:t xml:space="preserve">the need for this investment has been explored fully in the strategic case, and ensured that it can be realistically implemented and delivered within the proposed timeframe. </w:t>
      </w:r>
      <w:r w:rsidR="003A4372">
        <w:t xml:space="preserve">Please see </w:t>
      </w:r>
      <w:r w:rsidR="003A4372">
        <w:rPr>
          <w:i/>
          <w:iCs/>
        </w:rPr>
        <w:t xml:space="preserve">Section 4.3 </w:t>
      </w:r>
      <w:r w:rsidR="003A4372">
        <w:t>for information on UNEP’s capacity to deliver.</w:t>
      </w:r>
    </w:p>
    <w:p w14:paraId="21B89722" w14:textId="10F28C53" w:rsidR="00900A34" w:rsidRPr="00E00022" w:rsidRDefault="00900A34" w:rsidP="005C25BE">
      <w:pPr>
        <w:pStyle w:val="ListParagraph"/>
        <w:numPr>
          <w:ilvl w:val="0"/>
          <w:numId w:val="17"/>
        </w:numPr>
        <w:spacing w:after="240" w:line="240" w:lineRule="auto"/>
        <w:rPr>
          <w:i/>
          <w:lang w:eastAsia="en-GB"/>
        </w:rPr>
      </w:pPr>
      <w:r w:rsidRPr="000354B5">
        <w:rPr>
          <w:b/>
          <w:bCs/>
        </w:rPr>
        <w:t xml:space="preserve">Affordability: </w:t>
      </w:r>
      <w:r w:rsidRPr="000354B5">
        <w:t xml:space="preserve">the </w:t>
      </w:r>
      <w:r>
        <w:t>budget covering the lifetime of this investment has been secured through the 2021 Spending Review.</w:t>
      </w:r>
      <w:r w:rsidR="002E5C72">
        <w:t xml:space="preserve"> It comes from the BPF delivery budget.</w:t>
      </w:r>
    </w:p>
    <w:p w14:paraId="4CD22485" w14:textId="0EC76678" w:rsidR="009B53B5" w:rsidRDefault="009B53B5" w:rsidP="00214816">
      <w:pPr>
        <w:pStyle w:val="Heading2"/>
        <w:numPr>
          <w:ilvl w:val="1"/>
          <w:numId w:val="39"/>
        </w:numPr>
      </w:pPr>
      <w:bookmarkStart w:id="41" w:name="_Toc121224118"/>
      <w:r w:rsidRPr="00217F59">
        <w:t>Nature and value of the expected costs</w:t>
      </w:r>
      <w:bookmarkEnd w:id="41"/>
    </w:p>
    <w:p w14:paraId="4A7FD679" w14:textId="5D658024" w:rsidR="005D49B3" w:rsidRPr="005D49B3" w:rsidRDefault="005D49B3" w:rsidP="005D49B3">
      <w:pPr>
        <w:rPr>
          <w:lang w:eastAsia="en-GB"/>
        </w:rPr>
      </w:pPr>
      <w:r w:rsidRPr="005D49B3">
        <w:rPr>
          <w:lang w:eastAsia="en-GB"/>
        </w:rPr>
        <w:t xml:space="preserve">Defra is looking to contribute </w:t>
      </w:r>
      <w:r w:rsidRPr="00CC484D">
        <w:rPr>
          <w:b/>
          <w:bCs/>
          <w:lang w:eastAsia="en-GB"/>
        </w:rPr>
        <w:t>£1.6 million</w:t>
      </w:r>
      <w:r w:rsidRPr="005D49B3">
        <w:rPr>
          <w:lang w:eastAsia="en-GB"/>
        </w:rPr>
        <w:t xml:space="preserve"> for the duration of a three-year contract to support the UNEP Tide Turners programme</w:t>
      </w:r>
      <w:r w:rsidR="00CC484D">
        <w:rPr>
          <w:lang w:eastAsia="en-GB"/>
        </w:rPr>
        <w:t xml:space="preserve"> and </w:t>
      </w:r>
      <w:r w:rsidR="00CC484D" w:rsidRPr="00CC484D">
        <w:rPr>
          <w:b/>
          <w:bCs/>
          <w:lang w:eastAsia="en-GB"/>
        </w:rPr>
        <w:t>up to £2 million</w:t>
      </w:r>
      <w:r w:rsidR="00CC484D">
        <w:rPr>
          <w:lang w:eastAsia="en-GB"/>
        </w:rPr>
        <w:t xml:space="preserve"> to support the INC negotiations</w:t>
      </w:r>
      <w:r w:rsidRPr="005D49B3">
        <w:rPr>
          <w:lang w:eastAsia="en-GB"/>
        </w:rPr>
        <w:t xml:space="preserve">. </w:t>
      </w:r>
      <w:r w:rsidRPr="005D49B3">
        <w:rPr>
          <w:b/>
          <w:bCs/>
          <w:lang w:eastAsia="en-GB"/>
        </w:rPr>
        <w:t>This will proceed via a contribution to UNEP.</w:t>
      </w:r>
      <w:r w:rsidRPr="005D49B3">
        <w:rPr>
          <w:lang w:eastAsia="en-GB"/>
        </w:rPr>
        <w:t xml:space="preserve"> The investment breakdown is proposed to be granted as follows:</w:t>
      </w:r>
    </w:p>
    <w:p w14:paraId="2553CBC8" w14:textId="77777777" w:rsidR="005D49B3" w:rsidRPr="005D49B3" w:rsidRDefault="005D49B3" w:rsidP="005D49B3">
      <w:pPr>
        <w:rPr>
          <w:b/>
          <w:bCs/>
          <w:lang w:eastAsia="en-GB"/>
        </w:rPr>
      </w:pPr>
    </w:p>
    <w:p w14:paraId="1ABD79BF" w14:textId="775F489D" w:rsidR="005D49B3" w:rsidRPr="005D49B3" w:rsidRDefault="005D49B3" w:rsidP="005D49B3">
      <w:pPr>
        <w:rPr>
          <w:b/>
          <w:bCs/>
          <w:lang w:eastAsia="en-GB"/>
        </w:rPr>
      </w:pPr>
      <w:r w:rsidRPr="005D49B3">
        <w:rPr>
          <w:b/>
          <w:bCs/>
          <w:lang w:eastAsia="en-GB"/>
        </w:rPr>
        <w:t>•</w:t>
      </w:r>
      <w:r w:rsidRPr="005D49B3">
        <w:rPr>
          <w:b/>
          <w:bCs/>
          <w:lang w:eastAsia="en-GB"/>
        </w:rPr>
        <w:tab/>
      </w:r>
      <w:r w:rsidRPr="004B6D9F">
        <w:rPr>
          <w:lang w:eastAsia="en-GB"/>
        </w:rPr>
        <w:t>Year 1 (FY22/23):</w:t>
      </w:r>
      <w:r w:rsidRPr="005D49B3">
        <w:rPr>
          <w:b/>
          <w:bCs/>
          <w:lang w:eastAsia="en-GB"/>
        </w:rPr>
        <w:t xml:space="preserve"> £0.3m</w:t>
      </w:r>
      <w:r w:rsidR="00217B5B">
        <w:rPr>
          <w:b/>
          <w:bCs/>
          <w:lang w:eastAsia="en-GB"/>
        </w:rPr>
        <w:t xml:space="preserve"> (Tide Turners) </w:t>
      </w:r>
      <w:r w:rsidR="000F0B85">
        <w:rPr>
          <w:b/>
          <w:bCs/>
          <w:lang w:eastAsia="en-GB"/>
        </w:rPr>
        <w:t>+</w:t>
      </w:r>
      <w:r w:rsidR="00AE0759">
        <w:rPr>
          <w:b/>
          <w:bCs/>
          <w:lang w:eastAsia="en-GB"/>
        </w:rPr>
        <w:t xml:space="preserve"> </w:t>
      </w:r>
      <w:r w:rsidR="00C61A19">
        <w:rPr>
          <w:b/>
          <w:bCs/>
          <w:lang w:eastAsia="en-GB"/>
        </w:rPr>
        <w:t xml:space="preserve">up to </w:t>
      </w:r>
      <w:r w:rsidR="007652D3">
        <w:rPr>
          <w:b/>
          <w:bCs/>
          <w:lang w:eastAsia="en-GB"/>
        </w:rPr>
        <w:t>£</w:t>
      </w:r>
      <w:r w:rsidR="000F0B85">
        <w:rPr>
          <w:b/>
          <w:bCs/>
          <w:lang w:eastAsia="en-GB"/>
        </w:rPr>
        <w:t>0.4</w:t>
      </w:r>
      <w:r w:rsidR="007652D3">
        <w:rPr>
          <w:b/>
          <w:bCs/>
          <w:lang w:eastAsia="en-GB"/>
        </w:rPr>
        <w:t xml:space="preserve">m </w:t>
      </w:r>
      <w:r w:rsidR="00217B5B">
        <w:rPr>
          <w:b/>
          <w:bCs/>
          <w:lang w:eastAsia="en-GB"/>
        </w:rPr>
        <w:t>(INC)</w:t>
      </w:r>
    </w:p>
    <w:p w14:paraId="71F44FCD" w14:textId="4B3BFFAD" w:rsidR="005D49B3" w:rsidRPr="005D49B3" w:rsidRDefault="005D49B3" w:rsidP="005D49B3">
      <w:pPr>
        <w:rPr>
          <w:b/>
          <w:bCs/>
          <w:lang w:eastAsia="en-GB"/>
        </w:rPr>
      </w:pPr>
      <w:r w:rsidRPr="005D49B3">
        <w:rPr>
          <w:b/>
          <w:bCs/>
          <w:lang w:eastAsia="en-GB"/>
        </w:rPr>
        <w:t>•</w:t>
      </w:r>
      <w:r w:rsidRPr="005D49B3">
        <w:rPr>
          <w:b/>
          <w:bCs/>
          <w:lang w:eastAsia="en-GB"/>
        </w:rPr>
        <w:tab/>
      </w:r>
      <w:r w:rsidRPr="004B6D9F">
        <w:rPr>
          <w:lang w:eastAsia="en-GB"/>
        </w:rPr>
        <w:t>Year 2 (FY23/24):</w:t>
      </w:r>
      <w:r w:rsidRPr="005D49B3">
        <w:rPr>
          <w:b/>
          <w:bCs/>
          <w:lang w:eastAsia="en-GB"/>
        </w:rPr>
        <w:t xml:space="preserve"> £0.8m</w:t>
      </w:r>
      <w:r w:rsidR="00217B5B">
        <w:rPr>
          <w:b/>
          <w:bCs/>
          <w:lang w:eastAsia="en-GB"/>
        </w:rPr>
        <w:t xml:space="preserve"> (</w:t>
      </w:r>
      <w:r w:rsidR="007652D3">
        <w:rPr>
          <w:b/>
          <w:bCs/>
          <w:lang w:eastAsia="en-GB"/>
        </w:rPr>
        <w:t>Tide Turners</w:t>
      </w:r>
      <w:r w:rsidR="00217B5B">
        <w:rPr>
          <w:b/>
          <w:bCs/>
          <w:lang w:eastAsia="en-GB"/>
        </w:rPr>
        <w:t>)</w:t>
      </w:r>
      <w:r w:rsidR="007652D3">
        <w:rPr>
          <w:b/>
          <w:bCs/>
          <w:lang w:eastAsia="en-GB"/>
        </w:rPr>
        <w:t xml:space="preserve"> </w:t>
      </w:r>
      <w:r w:rsidR="000F0B85">
        <w:rPr>
          <w:b/>
          <w:bCs/>
          <w:lang w:eastAsia="en-GB"/>
        </w:rPr>
        <w:t>+</w:t>
      </w:r>
      <w:r w:rsidR="007652D3">
        <w:rPr>
          <w:b/>
          <w:bCs/>
          <w:lang w:eastAsia="en-GB"/>
        </w:rPr>
        <w:t xml:space="preserve"> </w:t>
      </w:r>
      <w:r w:rsidR="00C61A19">
        <w:rPr>
          <w:b/>
          <w:bCs/>
          <w:lang w:eastAsia="en-GB"/>
        </w:rPr>
        <w:t xml:space="preserve">up to </w:t>
      </w:r>
      <w:r w:rsidR="007652D3">
        <w:rPr>
          <w:b/>
          <w:bCs/>
          <w:lang w:eastAsia="en-GB"/>
        </w:rPr>
        <w:t>£</w:t>
      </w:r>
      <w:r w:rsidR="000F0B85">
        <w:rPr>
          <w:b/>
          <w:bCs/>
          <w:lang w:eastAsia="en-GB"/>
        </w:rPr>
        <w:t>0.8m (INC)</w:t>
      </w:r>
    </w:p>
    <w:p w14:paraId="5B894600" w14:textId="1EC18F71" w:rsidR="005D49B3" w:rsidRPr="005D49B3" w:rsidRDefault="005D49B3" w:rsidP="005D49B3">
      <w:pPr>
        <w:rPr>
          <w:b/>
          <w:bCs/>
          <w:lang w:eastAsia="en-GB"/>
        </w:rPr>
      </w:pPr>
      <w:r w:rsidRPr="005D49B3">
        <w:rPr>
          <w:b/>
          <w:bCs/>
          <w:lang w:eastAsia="en-GB"/>
        </w:rPr>
        <w:t>•</w:t>
      </w:r>
      <w:r w:rsidRPr="005D49B3">
        <w:rPr>
          <w:b/>
          <w:bCs/>
          <w:lang w:eastAsia="en-GB"/>
        </w:rPr>
        <w:tab/>
      </w:r>
      <w:r w:rsidRPr="004B6D9F">
        <w:rPr>
          <w:lang w:eastAsia="en-GB"/>
        </w:rPr>
        <w:t>Year 3 (FY24/25):</w:t>
      </w:r>
      <w:r w:rsidRPr="005D49B3">
        <w:rPr>
          <w:b/>
          <w:bCs/>
          <w:lang w:eastAsia="en-GB"/>
        </w:rPr>
        <w:t xml:space="preserve"> £0.5m</w:t>
      </w:r>
      <w:r w:rsidR="007652D3">
        <w:rPr>
          <w:b/>
          <w:bCs/>
          <w:lang w:eastAsia="en-GB"/>
        </w:rPr>
        <w:t xml:space="preserve"> (Tide Turners) </w:t>
      </w:r>
      <w:r w:rsidR="000F0B85">
        <w:rPr>
          <w:b/>
          <w:bCs/>
          <w:lang w:eastAsia="en-GB"/>
        </w:rPr>
        <w:t>+</w:t>
      </w:r>
      <w:r w:rsidR="00C61A19">
        <w:rPr>
          <w:b/>
          <w:bCs/>
          <w:lang w:eastAsia="en-GB"/>
        </w:rPr>
        <w:t xml:space="preserve"> up to</w:t>
      </w:r>
      <w:r w:rsidR="000F0B85">
        <w:rPr>
          <w:b/>
          <w:bCs/>
          <w:lang w:eastAsia="en-GB"/>
        </w:rPr>
        <w:t xml:space="preserve"> £0.8m (INC)</w:t>
      </w:r>
    </w:p>
    <w:p w14:paraId="05F69E86" w14:textId="110BDFEC" w:rsidR="00560ECE" w:rsidRPr="00C175C7" w:rsidRDefault="00C175C7" w:rsidP="00C91C28">
      <w:pPr>
        <w:spacing w:after="240"/>
        <w:rPr>
          <w:lang w:eastAsia="en-GB"/>
        </w:rPr>
      </w:pPr>
      <w:r>
        <w:rPr>
          <w:b/>
          <w:bCs/>
          <w:highlight w:val="yellow"/>
          <w:lang w:eastAsia="en-GB"/>
        </w:rPr>
        <w:br/>
      </w:r>
      <w:r w:rsidR="0056365A">
        <w:rPr>
          <w:lang w:eastAsia="en-GB"/>
        </w:rPr>
        <w:t>The</w:t>
      </w:r>
      <w:r w:rsidR="005D49B3" w:rsidRPr="00C175C7">
        <w:rPr>
          <w:lang w:eastAsia="en-GB"/>
        </w:rPr>
        <w:t xml:space="preserve"> Tide Turners programme is a </w:t>
      </w:r>
      <w:r w:rsidR="005D49B3" w:rsidRPr="0056365A">
        <w:rPr>
          <w:lang w:eastAsia="en-GB"/>
        </w:rPr>
        <w:t>multi-donor programme</w:t>
      </w:r>
      <w:r w:rsidR="005D49B3" w:rsidRPr="00C175C7">
        <w:rPr>
          <w:lang w:eastAsia="en-GB"/>
        </w:rPr>
        <w:t xml:space="preserve"> from a </w:t>
      </w:r>
      <w:r w:rsidR="00FD39BC">
        <w:rPr>
          <w:lang w:eastAsia="en-GB"/>
        </w:rPr>
        <w:t>limited number of</w:t>
      </w:r>
      <w:r w:rsidR="005D49B3" w:rsidRPr="00C175C7">
        <w:rPr>
          <w:lang w:eastAsia="en-GB"/>
        </w:rPr>
        <w:t xml:space="preserve"> </w:t>
      </w:r>
      <w:r w:rsidRPr="00C175C7">
        <w:rPr>
          <w:lang w:eastAsia="en-GB"/>
        </w:rPr>
        <w:t>s</w:t>
      </w:r>
      <w:r w:rsidR="005D49B3" w:rsidRPr="00C175C7">
        <w:rPr>
          <w:lang w:eastAsia="en-GB"/>
        </w:rPr>
        <w:t>ources</w:t>
      </w:r>
      <w:r w:rsidR="00F16CA2" w:rsidRPr="00C175C7">
        <w:rPr>
          <w:lang w:eastAsia="en-GB"/>
        </w:rPr>
        <w:t>,</w:t>
      </w:r>
      <w:r w:rsidRPr="00C175C7">
        <w:rPr>
          <w:lang w:eastAsia="en-GB"/>
        </w:rPr>
        <w:t xml:space="preserve"> which includes</w:t>
      </w:r>
      <w:r w:rsidR="00C91C28">
        <w:rPr>
          <w:lang w:eastAsia="en-GB"/>
        </w:rPr>
        <w:t xml:space="preserve"> the </w:t>
      </w:r>
      <w:r w:rsidR="0054582C">
        <w:rPr>
          <w:lang w:eastAsia="en-GB"/>
        </w:rPr>
        <w:t>Global Environment Fund (GEF)</w:t>
      </w:r>
      <w:r w:rsidR="00C91C28">
        <w:rPr>
          <w:lang w:eastAsia="en-GB"/>
        </w:rPr>
        <w:t xml:space="preserve">, the </w:t>
      </w:r>
      <w:r w:rsidR="00107E8C">
        <w:rPr>
          <w:lang w:eastAsia="en-GB"/>
        </w:rPr>
        <w:t>Green Growth Knowledge Platform (GGKP</w:t>
      </w:r>
      <w:r w:rsidR="00C91C28">
        <w:rPr>
          <w:lang w:eastAsia="en-GB"/>
        </w:rPr>
        <w:t xml:space="preserve">), the </w:t>
      </w:r>
      <w:r w:rsidR="00DC1319">
        <w:rPr>
          <w:lang w:eastAsia="en-GB"/>
        </w:rPr>
        <w:t>Norwegian Government</w:t>
      </w:r>
      <w:r w:rsidR="00B17520">
        <w:rPr>
          <w:lang w:eastAsia="en-GB"/>
        </w:rPr>
        <w:t xml:space="preserve"> and SIDA,</w:t>
      </w:r>
      <w:r w:rsidR="00C91C28">
        <w:rPr>
          <w:lang w:eastAsia="en-GB"/>
        </w:rPr>
        <w:t xml:space="preserve"> as well as </w:t>
      </w:r>
      <w:r w:rsidR="00107E8C">
        <w:rPr>
          <w:lang w:eastAsia="en-GB"/>
        </w:rPr>
        <w:t>UNE</w:t>
      </w:r>
      <w:r w:rsidR="005963A2">
        <w:rPr>
          <w:lang w:eastAsia="en-GB"/>
        </w:rPr>
        <w:t>P</w:t>
      </w:r>
      <w:r w:rsidR="00A727D6">
        <w:rPr>
          <w:lang w:eastAsia="en-GB"/>
        </w:rPr>
        <w:t xml:space="preserve">’s own </w:t>
      </w:r>
      <w:r w:rsidR="005963A2">
        <w:rPr>
          <w:lang w:eastAsia="en-GB"/>
        </w:rPr>
        <w:t>r</w:t>
      </w:r>
      <w:r w:rsidR="00A727D6">
        <w:rPr>
          <w:lang w:eastAsia="en-GB"/>
        </w:rPr>
        <w:t>es</w:t>
      </w:r>
      <w:r w:rsidR="005963A2">
        <w:rPr>
          <w:lang w:eastAsia="en-GB"/>
        </w:rPr>
        <w:t>ource</w:t>
      </w:r>
      <w:r w:rsidR="00FD39BC">
        <w:rPr>
          <w:lang w:eastAsia="en-GB"/>
        </w:rPr>
        <w:t>s</w:t>
      </w:r>
      <w:r w:rsidR="00C91C28">
        <w:rPr>
          <w:lang w:eastAsia="en-GB"/>
        </w:rPr>
        <w:t>.</w:t>
      </w:r>
    </w:p>
    <w:p w14:paraId="6D3203CA" w14:textId="3E353D16" w:rsidR="00C91C28" w:rsidRDefault="00C91C28" w:rsidP="00613ABF">
      <w:pPr>
        <w:spacing w:after="240"/>
        <w:rPr>
          <w:lang w:eastAsia="en-GB"/>
        </w:rPr>
      </w:pPr>
      <w:r>
        <w:rPr>
          <w:lang w:eastAsia="en-GB"/>
        </w:rPr>
        <w:t>The INC negotiations will be financially supported by a wide range of UN Member States, as part of the UN-wide commitment to tackling global plastic pollution</w:t>
      </w:r>
      <w:r w:rsidR="00C61A19">
        <w:rPr>
          <w:lang w:eastAsia="en-GB"/>
        </w:rPr>
        <w:t>.</w:t>
      </w:r>
      <w:r w:rsidR="0071674D">
        <w:rPr>
          <w:lang w:eastAsia="en-GB"/>
        </w:rPr>
        <w:t xml:space="preserve"> </w:t>
      </w:r>
      <w:r w:rsidR="0071674D" w:rsidRPr="00DC760E">
        <w:rPr>
          <w:lang w:eastAsia="en-GB"/>
        </w:rPr>
        <w:t xml:space="preserve">All funding for both </w:t>
      </w:r>
      <w:r w:rsidR="0071674D">
        <w:rPr>
          <w:lang w:eastAsia="en-GB"/>
        </w:rPr>
        <w:t>components</w:t>
      </w:r>
      <w:r w:rsidR="0071674D" w:rsidRPr="00DC760E">
        <w:rPr>
          <w:lang w:eastAsia="en-GB"/>
        </w:rPr>
        <w:t xml:space="preserve"> has been ringfenced as ODA spending and</w:t>
      </w:r>
      <w:r w:rsidR="0071674D">
        <w:rPr>
          <w:lang w:eastAsia="en-GB"/>
        </w:rPr>
        <w:t xml:space="preserve"> is</w:t>
      </w:r>
      <w:r w:rsidR="0071674D" w:rsidRPr="00DC760E">
        <w:rPr>
          <w:lang w:eastAsia="en-GB"/>
        </w:rPr>
        <w:t xml:space="preserve"> from the</w:t>
      </w:r>
      <w:r w:rsidR="0071674D">
        <w:rPr>
          <w:lang w:eastAsia="en-GB"/>
        </w:rPr>
        <w:t xml:space="preserve"> UK</w:t>
      </w:r>
      <w:r w:rsidR="0071674D" w:rsidRPr="00DC760E">
        <w:rPr>
          <w:lang w:eastAsia="en-GB"/>
        </w:rPr>
        <w:t xml:space="preserve"> ODA budget.</w:t>
      </w:r>
    </w:p>
    <w:p w14:paraId="1B755CD8" w14:textId="7FEB5556" w:rsidR="00A96948" w:rsidRDefault="00BD1692" w:rsidP="00613ABF">
      <w:pPr>
        <w:spacing w:after="240"/>
        <w:rPr>
          <w:lang w:eastAsia="en-GB"/>
        </w:rPr>
      </w:pPr>
      <w:r>
        <w:rPr>
          <w:lang w:eastAsia="en-GB"/>
        </w:rPr>
        <w:t xml:space="preserve">This will be paid as an advance payment as they do not have a stockpile of funds from which to pay onward partners up front. They have demonstrated the need for the funding and </w:t>
      </w:r>
      <w:r w:rsidR="003145FC">
        <w:rPr>
          <w:lang w:eastAsia="en-GB"/>
        </w:rPr>
        <w:t>set out in advance what this funding will be used for. This agreement is common with UNEP-delivered programmes, and we have historically worked with Tide Turners through this mechanism.</w:t>
      </w:r>
    </w:p>
    <w:p w14:paraId="0235B77C" w14:textId="46A3D988" w:rsidR="00F34EDF" w:rsidRDefault="00F34EDF" w:rsidP="00613ABF">
      <w:pPr>
        <w:spacing w:after="240"/>
        <w:rPr>
          <w:lang w:eastAsia="en-GB"/>
        </w:rPr>
      </w:pPr>
    </w:p>
    <w:p w14:paraId="16DD1BA3" w14:textId="4A6C63A7" w:rsidR="00F34EDF" w:rsidRDefault="00F34EDF" w:rsidP="00613ABF">
      <w:pPr>
        <w:spacing w:after="240"/>
        <w:rPr>
          <w:lang w:eastAsia="en-GB"/>
        </w:rPr>
      </w:pPr>
    </w:p>
    <w:p w14:paraId="3B37CB38" w14:textId="39E49FE3" w:rsidR="00F34EDF" w:rsidRDefault="00F34EDF" w:rsidP="00613ABF">
      <w:pPr>
        <w:spacing w:after="240"/>
        <w:rPr>
          <w:lang w:eastAsia="en-GB"/>
        </w:rPr>
      </w:pPr>
    </w:p>
    <w:p w14:paraId="12D69552" w14:textId="77777777" w:rsidR="00F34EDF" w:rsidRDefault="00F34EDF" w:rsidP="00613ABF">
      <w:pPr>
        <w:spacing w:after="240"/>
        <w:rPr>
          <w:lang w:eastAsia="en-GB"/>
        </w:rPr>
      </w:pPr>
    </w:p>
    <w:p w14:paraId="79331365" w14:textId="45ADF45B" w:rsidR="009B53B5" w:rsidRPr="00217F59" w:rsidRDefault="009B53B5" w:rsidP="00214816">
      <w:pPr>
        <w:pStyle w:val="Heading2"/>
        <w:numPr>
          <w:ilvl w:val="1"/>
          <w:numId w:val="39"/>
        </w:numPr>
      </w:pPr>
      <w:bookmarkStart w:id="42" w:name="_Toc121224119"/>
      <w:r w:rsidRPr="00217F59">
        <w:lastRenderedPageBreak/>
        <w:t>Schedule of funding / costs (i.e. high-level budget)</w:t>
      </w:r>
      <w:bookmarkEnd w:id="42"/>
    </w:p>
    <w:p w14:paraId="3221DD91" w14:textId="2904D7F5" w:rsidR="009B53B5" w:rsidRPr="0023693D" w:rsidRDefault="0023693D" w:rsidP="00613ABF">
      <w:pPr>
        <w:spacing w:after="240"/>
        <w:rPr>
          <w:rFonts w:cstheme="minorHAnsi"/>
          <w:b/>
          <w:lang w:eastAsia="en-GB"/>
        </w:rPr>
      </w:pPr>
      <w:r w:rsidRPr="0023693D">
        <w:rPr>
          <w:rFonts w:cstheme="minorHAnsi"/>
          <w:b/>
          <w:bCs/>
          <w:lang w:eastAsia="en-GB"/>
        </w:rPr>
        <w:t xml:space="preserve">Table 6 - </w:t>
      </w:r>
      <w:r w:rsidR="009B53B5" w:rsidRPr="0023693D">
        <w:rPr>
          <w:rFonts w:cstheme="minorHAnsi"/>
          <w:b/>
          <w:lang w:eastAsia="en-GB"/>
        </w:rPr>
        <w:t>The overall cost of the investment to HMG is forecast as follows:</w:t>
      </w:r>
    </w:p>
    <w:tbl>
      <w:tblPr>
        <w:tblStyle w:val="TableGrid"/>
        <w:tblW w:w="5000" w:type="pct"/>
        <w:tblLayout w:type="fixed"/>
        <w:tblLook w:val="04A0" w:firstRow="1" w:lastRow="0" w:firstColumn="1" w:lastColumn="0" w:noHBand="0" w:noVBand="1"/>
      </w:tblPr>
      <w:tblGrid>
        <w:gridCol w:w="1003"/>
        <w:gridCol w:w="1884"/>
        <w:gridCol w:w="2246"/>
        <w:gridCol w:w="1560"/>
        <w:gridCol w:w="2313"/>
      </w:tblGrid>
      <w:tr w:rsidR="00C42DA9" w:rsidRPr="00E00A77" w14:paraId="66BC9783" w14:textId="77777777" w:rsidTr="00565E6E">
        <w:trPr>
          <w:trHeight w:val="465"/>
        </w:trPr>
        <w:tc>
          <w:tcPr>
            <w:tcW w:w="557" w:type="pct"/>
            <w:shd w:val="clear" w:color="auto" w:fill="BFBFBF" w:themeFill="background1" w:themeFillShade="BF"/>
          </w:tcPr>
          <w:p w14:paraId="6478A8CE" w14:textId="77777777" w:rsidR="009B53B5" w:rsidRPr="00217F59" w:rsidRDefault="009B53B5" w:rsidP="00613ABF">
            <w:pPr>
              <w:tabs>
                <w:tab w:val="left" w:pos="7248"/>
              </w:tabs>
              <w:jc w:val="center"/>
              <w:rPr>
                <w:rFonts w:cstheme="minorHAnsi"/>
                <w:b/>
              </w:rPr>
            </w:pPr>
            <w:r w:rsidRPr="00BD39C8">
              <w:rPr>
                <w:rFonts w:cstheme="minorHAnsi"/>
                <w:b/>
              </w:rPr>
              <w:t>Financial year</w:t>
            </w:r>
          </w:p>
        </w:tc>
        <w:tc>
          <w:tcPr>
            <w:tcW w:w="1046" w:type="pct"/>
            <w:shd w:val="clear" w:color="auto" w:fill="BFBFBF" w:themeFill="background1" w:themeFillShade="BF"/>
          </w:tcPr>
          <w:p w14:paraId="349556CC" w14:textId="474536AC" w:rsidR="00900A34" w:rsidRDefault="00900A34" w:rsidP="00613ABF">
            <w:pPr>
              <w:tabs>
                <w:tab w:val="left" w:pos="7248"/>
              </w:tabs>
              <w:jc w:val="center"/>
              <w:rPr>
                <w:rFonts w:cstheme="minorHAnsi"/>
                <w:b/>
              </w:rPr>
            </w:pPr>
            <w:r>
              <w:rPr>
                <w:rFonts w:cstheme="minorHAnsi"/>
                <w:b/>
              </w:rPr>
              <w:t>Component</w:t>
            </w:r>
          </w:p>
        </w:tc>
        <w:tc>
          <w:tcPr>
            <w:tcW w:w="1247" w:type="pct"/>
            <w:shd w:val="clear" w:color="auto" w:fill="BFBFBF" w:themeFill="background1" w:themeFillShade="BF"/>
          </w:tcPr>
          <w:p w14:paraId="03F0DAD4" w14:textId="1775A50A" w:rsidR="009B53B5" w:rsidRPr="00217F59" w:rsidRDefault="009B53B5" w:rsidP="00613ABF">
            <w:pPr>
              <w:tabs>
                <w:tab w:val="left" w:pos="7248"/>
              </w:tabs>
              <w:jc w:val="center"/>
              <w:rPr>
                <w:rFonts w:cstheme="minorHAnsi"/>
                <w:b/>
              </w:rPr>
            </w:pPr>
            <w:r w:rsidRPr="00217F59">
              <w:rPr>
                <w:rFonts w:cstheme="minorHAnsi"/>
                <w:b/>
              </w:rPr>
              <w:t>Programme RDEL</w:t>
            </w:r>
            <w:r w:rsidR="00565C95">
              <w:rPr>
                <w:rFonts w:cstheme="minorHAnsi"/>
                <w:b/>
              </w:rPr>
              <w:t>/£</w:t>
            </w:r>
          </w:p>
        </w:tc>
        <w:tc>
          <w:tcPr>
            <w:tcW w:w="866" w:type="pct"/>
            <w:shd w:val="clear" w:color="auto" w:fill="BFBFBF" w:themeFill="background1" w:themeFillShade="BF"/>
          </w:tcPr>
          <w:p w14:paraId="37E64315" w14:textId="29AFAAF3" w:rsidR="00565C95" w:rsidRDefault="00565C95" w:rsidP="00613ABF">
            <w:pPr>
              <w:tabs>
                <w:tab w:val="left" w:pos="7248"/>
              </w:tabs>
              <w:jc w:val="center"/>
              <w:rPr>
                <w:rFonts w:cstheme="minorHAnsi"/>
                <w:b/>
              </w:rPr>
            </w:pPr>
            <w:r>
              <w:rPr>
                <w:rFonts w:cstheme="minorHAnsi"/>
                <w:b/>
              </w:rPr>
              <w:t>Total</w:t>
            </w:r>
          </w:p>
        </w:tc>
        <w:tc>
          <w:tcPr>
            <w:tcW w:w="1284" w:type="pct"/>
            <w:shd w:val="clear" w:color="auto" w:fill="BFBFBF" w:themeFill="background1" w:themeFillShade="BF"/>
          </w:tcPr>
          <w:p w14:paraId="6A087DBE" w14:textId="4FCB16C6" w:rsidR="009B53B5" w:rsidRPr="00217F59" w:rsidRDefault="00900A34" w:rsidP="00613ABF">
            <w:pPr>
              <w:tabs>
                <w:tab w:val="left" w:pos="7248"/>
              </w:tabs>
              <w:jc w:val="center"/>
              <w:rPr>
                <w:rFonts w:cstheme="minorHAnsi"/>
                <w:b/>
              </w:rPr>
            </w:pPr>
            <w:r>
              <w:rPr>
                <w:rFonts w:cstheme="minorHAnsi"/>
                <w:b/>
              </w:rPr>
              <w:t>Payment schedule</w:t>
            </w:r>
          </w:p>
        </w:tc>
      </w:tr>
      <w:tr w:rsidR="00C42DA9" w:rsidRPr="00E00A77" w14:paraId="30DF5E49" w14:textId="77777777" w:rsidTr="00565E6E">
        <w:trPr>
          <w:trHeight w:val="829"/>
        </w:trPr>
        <w:tc>
          <w:tcPr>
            <w:tcW w:w="557" w:type="pct"/>
            <w:shd w:val="clear" w:color="auto" w:fill="FFFFFF" w:themeFill="background1"/>
          </w:tcPr>
          <w:p w14:paraId="17E91626" w14:textId="3D2A0C68" w:rsidR="00900A34" w:rsidRPr="00BD39C8" w:rsidRDefault="00900A34" w:rsidP="00613ABF">
            <w:pPr>
              <w:tabs>
                <w:tab w:val="left" w:pos="7248"/>
              </w:tabs>
              <w:jc w:val="center"/>
              <w:rPr>
                <w:rFonts w:cstheme="minorHAnsi"/>
                <w:b/>
              </w:rPr>
            </w:pPr>
            <w:r>
              <w:rPr>
                <w:rFonts w:cstheme="minorHAnsi"/>
                <w:b/>
              </w:rPr>
              <w:t>Pre-BPF 2019 - 2021</w:t>
            </w:r>
          </w:p>
        </w:tc>
        <w:tc>
          <w:tcPr>
            <w:tcW w:w="1046" w:type="pct"/>
            <w:shd w:val="clear" w:color="auto" w:fill="FFFFFF" w:themeFill="background1"/>
          </w:tcPr>
          <w:p w14:paraId="64036527" w14:textId="42743CC1" w:rsidR="00900A34" w:rsidRPr="000354B5" w:rsidRDefault="00900A34" w:rsidP="00613ABF">
            <w:pPr>
              <w:tabs>
                <w:tab w:val="left" w:pos="7248"/>
              </w:tabs>
              <w:jc w:val="center"/>
              <w:rPr>
                <w:rFonts w:cstheme="minorHAnsi"/>
                <w:bCs/>
              </w:rPr>
            </w:pPr>
            <w:r w:rsidRPr="000354B5">
              <w:rPr>
                <w:rFonts w:cstheme="minorHAnsi"/>
                <w:bCs/>
              </w:rPr>
              <w:t>(Historic budget</w:t>
            </w:r>
            <w:r w:rsidR="00F374D0">
              <w:rPr>
                <w:rFonts w:cstheme="minorHAnsi"/>
                <w:bCs/>
              </w:rPr>
              <w:t xml:space="preserve"> -spent</w:t>
            </w:r>
            <w:r w:rsidRPr="000354B5">
              <w:rPr>
                <w:rFonts w:cstheme="minorHAnsi"/>
                <w:bCs/>
              </w:rPr>
              <w:t>) Tide Turners</w:t>
            </w:r>
          </w:p>
        </w:tc>
        <w:tc>
          <w:tcPr>
            <w:tcW w:w="1247" w:type="pct"/>
            <w:shd w:val="clear" w:color="auto" w:fill="FFFFFF" w:themeFill="background1"/>
          </w:tcPr>
          <w:p w14:paraId="714C6F98" w14:textId="22A7CB93" w:rsidR="00900A34" w:rsidRPr="000354B5" w:rsidRDefault="00900A34" w:rsidP="00613ABF">
            <w:pPr>
              <w:tabs>
                <w:tab w:val="left" w:pos="7248"/>
              </w:tabs>
              <w:jc w:val="center"/>
              <w:rPr>
                <w:rFonts w:cstheme="minorHAnsi"/>
                <w:bCs/>
              </w:rPr>
            </w:pPr>
            <w:r w:rsidRPr="000354B5">
              <w:rPr>
                <w:rFonts w:cstheme="minorHAnsi"/>
                <w:bCs/>
              </w:rPr>
              <w:t>1,340,000</w:t>
            </w:r>
          </w:p>
        </w:tc>
        <w:tc>
          <w:tcPr>
            <w:tcW w:w="866" w:type="pct"/>
            <w:shd w:val="clear" w:color="auto" w:fill="FFFFFF" w:themeFill="background1"/>
          </w:tcPr>
          <w:p w14:paraId="7EBC0038" w14:textId="3D3F1535" w:rsidR="00565C95" w:rsidRDefault="00565C95" w:rsidP="00613ABF">
            <w:pPr>
              <w:tabs>
                <w:tab w:val="left" w:pos="7248"/>
              </w:tabs>
              <w:jc w:val="center"/>
              <w:rPr>
                <w:rFonts w:cstheme="minorHAnsi"/>
                <w:bCs/>
              </w:rPr>
            </w:pPr>
            <w:r>
              <w:rPr>
                <w:rFonts w:cstheme="minorHAnsi"/>
                <w:bCs/>
              </w:rPr>
              <w:t>1,340,000</w:t>
            </w:r>
          </w:p>
        </w:tc>
        <w:tc>
          <w:tcPr>
            <w:tcW w:w="1284" w:type="pct"/>
            <w:shd w:val="clear" w:color="auto" w:fill="FFFFFF" w:themeFill="background1"/>
          </w:tcPr>
          <w:p w14:paraId="16C51C73" w14:textId="4C70B065" w:rsidR="00900A34" w:rsidRPr="000354B5" w:rsidDel="00900A34" w:rsidRDefault="00900A34" w:rsidP="00613ABF">
            <w:pPr>
              <w:tabs>
                <w:tab w:val="left" w:pos="7248"/>
              </w:tabs>
              <w:jc w:val="center"/>
              <w:rPr>
                <w:rFonts w:cstheme="minorHAnsi"/>
                <w:bCs/>
              </w:rPr>
            </w:pPr>
            <w:r w:rsidRPr="000354B5">
              <w:rPr>
                <w:rFonts w:cstheme="minorHAnsi"/>
                <w:bCs/>
              </w:rPr>
              <w:t>N/A</w:t>
            </w:r>
          </w:p>
        </w:tc>
      </w:tr>
      <w:tr w:rsidR="004434E3" w:rsidRPr="00E00A77" w14:paraId="6F730244" w14:textId="77777777" w:rsidTr="00565E6E">
        <w:trPr>
          <w:trHeight w:val="258"/>
        </w:trPr>
        <w:tc>
          <w:tcPr>
            <w:tcW w:w="557" w:type="pct"/>
            <w:vMerge w:val="restart"/>
          </w:tcPr>
          <w:p w14:paraId="6C0D5F0B" w14:textId="1642513B" w:rsidR="009B53B5" w:rsidRPr="00900A34" w:rsidRDefault="00F94033" w:rsidP="00613ABF">
            <w:pPr>
              <w:tabs>
                <w:tab w:val="left" w:pos="7248"/>
              </w:tabs>
              <w:jc w:val="center"/>
              <w:rPr>
                <w:rFonts w:cstheme="minorHAnsi"/>
                <w:b/>
              </w:rPr>
            </w:pPr>
            <w:r w:rsidRPr="00900A34">
              <w:rPr>
                <w:rFonts w:cstheme="minorHAnsi"/>
                <w:b/>
              </w:rPr>
              <w:t>2022/23</w:t>
            </w:r>
          </w:p>
        </w:tc>
        <w:tc>
          <w:tcPr>
            <w:tcW w:w="1046" w:type="pct"/>
          </w:tcPr>
          <w:p w14:paraId="6BCA9D40" w14:textId="379B7174" w:rsidR="00900A34" w:rsidRDefault="00900A34" w:rsidP="00613ABF">
            <w:pPr>
              <w:tabs>
                <w:tab w:val="left" w:pos="7248"/>
              </w:tabs>
              <w:jc w:val="center"/>
              <w:rPr>
                <w:rFonts w:cstheme="minorHAnsi"/>
              </w:rPr>
            </w:pPr>
            <w:r>
              <w:rPr>
                <w:rFonts w:cstheme="minorHAnsi"/>
              </w:rPr>
              <w:t>Tide Turners</w:t>
            </w:r>
          </w:p>
        </w:tc>
        <w:tc>
          <w:tcPr>
            <w:tcW w:w="1247" w:type="pct"/>
          </w:tcPr>
          <w:p w14:paraId="58041CC2" w14:textId="0EE6E778" w:rsidR="009B53B5" w:rsidRPr="00217F59" w:rsidRDefault="00900A34" w:rsidP="00613ABF">
            <w:pPr>
              <w:tabs>
                <w:tab w:val="left" w:pos="7248"/>
              </w:tabs>
              <w:jc w:val="center"/>
              <w:rPr>
                <w:rFonts w:cstheme="minorHAnsi"/>
              </w:rPr>
            </w:pPr>
            <w:r>
              <w:rPr>
                <w:rFonts w:cstheme="minorHAnsi"/>
              </w:rPr>
              <w:t>300,000</w:t>
            </w:r>
          </w:p>
        </w:tc>
        <w:tc>
          <w:tcPr>
            <w:tcW w:w="866" w:type="pct"/>
            <w:vMerge w:val="restart"/>
          </w:tcPr>
          <w:p w14:paraId="71D44373" w14:textId="078252D4" w:rsidR="00565C95" w:rsidRDefault="00565C95" w:rsidP="00613ABF">
            <w:pPr>
              <w:tabs>
                <w:tab w:val="left" w:pos="7248"/>
              </w:tabs>
              <w:jc w:val="center"/>
              <w:rPr>
                <w:rFonts w:cstheme="minorHAnsi"/>
              </w:rPr>
            </w:pPr>
            <w:r>
              <w:rPr>
                <w:rFonts w:cstheme="minorHAnsi"/>
              </w:rPr>
              <w:t>700,000</w:t>
            </w:r>
          </w:p>
        </w:tc>
        <w:tc>
          <w:tcPr>
            <w:tcW w:w="1284" w:type="pct"/>
          </w:tcPr>
          <w:p w14:paraId="724549D3" w14:textId="6A98494C" w:rsidR="009B53B5" w:rsidRPr="00217F59" w:rsidRDefault="003A5E23" w:rsidP="00613ABF">
            <w:pPr>
              <w:tabs>
                <w:tab w:val="left" w:pos="7248"/>
              </w:tabs>
              <w:jc w:val="center"/>
              <w:rPr>
                <w:rFonts w:cstheme="minorHAnsi"/>
              </w:rPr>
            </w:pPr>
            <w:r>
              <w:rPr>
                <w:rFonts w:cstheme="minorHAnsi"/>
              </w:rPr>
              <w:t>October 2022</w:t>
            </w:r>
          </w:p>
        </w:tc>
      </w:tr>
      <w:tr w:rsidR="004434E3" w:rsidRPr="00E00A77" w14:paraId="232E83EE" w14:textId="77777777" w:rsidTr="00565E6E">
        <w:trPr>
          <w:trHeight w:val="308"/>
        </w:trPr>
        <w:tc>
          <w:tcPr>
            <w:tcW w:w="557" w:type="pct"/>
            <w:vMerge/>
          </w:tcPr>
          <w:p w14:paraId="3F95E015" w14:textId="77777777" w:rsidR="00900A34" w:rsidRPr="000354B5" w:rsidRDefault="00900A34" w:rsidP="00613ABF">
            <w:pPr>
              <w:tabs>
                <w:tab w:val="left" w:pos="7248"/>
              </w:tabs>
              <w:jc w:val="center"/>
              <w:rPr>
                <w:rFonts w:cstheme="minorHAnsi"/>
                <w:b/>
                <w:bCs/>
              </w:rPr>
            </w:pPr>
          </w:p>
        </w:tc>
        <w:tc>
          <w:tcPr>
            <w:tcW w:w="1046" w:type="pct"/>
          </w:tcPr>
          <w:p w14:paraId="23BB4720" w14:textId="088EBA6F" w:rsidR="00900A34" w:rsidRPr="00217F59" w:rsidRDefault="00900A34" w:rsidP="00613ABF">
            <w:pPr>
              <w:tabs>
                <w:tab w:val="left" w:pos="7248"/>
              </w:tabs>
              <w:jc w:val="center"/>
              <w:rPr>
                <w:rFonts w:cstheme="minorHAnsi"/>
              </w:rPr>
            </w:pPr>
            <w:r>
              <w:rPr>
                <w:rFonts w:cstheme="minorHAnsi"/>
              </w:rPr>
              <w:t>INC</w:t>
            </w:r>
          </w:p>
        </w:tc>
        <w:tc>
          <w:tcPr>
            <w:tcW w:w="1247" w:type="pct"/>
          </w:tcPr>
          <w:p w14:paraId="73C26C94" w14:textId="6EE8C889" w:rsidR="00900A34" w:rsidRPr="00217F59" w:rsidRDefault="00565C95" w:rsidP="00613ABF">
            <w:pPr>
              <w:tabs>
                <w:tab w:val="left" w:pos="7248"/>
              </w:tabs>
              <w:jc w:val="center"/>
              <w:rPr>
                <w:rFonts w:cstheme="minorHAnsi"/>
              </w:rPr>
            </w:pPr>
            <w:r>
              <w:rPr>
                <w:rFonts w:cstheme="minorHAnsi"/>
              </w:rPr>
              <w:t>400,000</w:t>
            </w:r>
          </w:p>
        </w:tc>
        <w:tc>
          <w:tcPr>
            <w:tcW w:w="866" w:type="pct"/>
            <w:vMerge/>
          </w:tcPr>
          <w:p w14:paraId="14E71E73" w14:textId="77777777" w:rsidR="00565C95" w:rsidRPr="00316FE2" w:rsidRDefault="00565C95" w:rsidP="00613ABF">
            <w:pPr>
              <w:tabs>
                <w:tab w:val="left" w:pos="7248"/>
              </w:tabs>
              <w:jc w:val="center"/>
              <w:rPr>
                <w:rFonts w:cstheme="minorHAnsi"/>
              </w:rPr>
            </w:pPr>
          </w:p>
        </w:tc>
        <w:tc>
          <w:tcPr>
            <w:tcW w:w="1284" w:type="pct"/>
          </w:tcPr>
          <w:p w14:paraId="04A48C4D" w14:textId="40521ADE" w:rsidR="00900A34" w:rsidRPr="00316FE2" w:rsidRDefault="003A5E23" w:rsidP="00613ABF">
            <w:pPr>
              <w:tabs>
                <w:tab w:val="left" w:pos="7248"/>
              </w:tabs>
              <w:jc w:val="center"/>
              <w:rPr>
                <w:rFonts w:cstheme="minorHAnsi"/>
              </w:rPr>
            </w:pPr>
            <w:r>
              <w:rPr>
                <w:rFonts w:cstheme="minorHAnsi"/>
              </w:rPr>
              <w:t>October 2022</w:t>
            </w:r>
          </w:p>
        </w:tc>
      </w:tr>
      <w:tr w:rsidR="004434E3" w:rsidRPr="00E00A77" w14:paraId="153C3726" w14:textId="77777777" w:rsidTr="00565E6E">
        <w:trPr>
          <w:trHeight w:val="258"/>
        </w:trPr>
        <w:tc>
          <w:tcPr>
            <w:tcW w:w="557" w:type="pct"/>
            <w:vMerge w:val="restart"/>
          </w:tcPr>
          <w:p w14:paraId="2A2AE73C" w14:textId="09331031" w:rsidR="009B53B5" w:rsidRPr="000354B5" w:rsidRDefault="00F94033" w:rsidP="00613ABF">
            <w:pPr>
              <w:tabs>
                <w:tab w:val="left" w:pos="7248"/>
              </w:tabs>
              <w:jc w:val="center"/>
              <w:rPr>
                <w:rFonts w:cstheme="minorHAnsi"/>
                <w:b/>
              </w:rPr>
            </w:pPr>
            <w:r w:rsidRPr="000354B5">
              <w:rPr>
                <w:rFonts w:cstheme="minorHAnsi"/>
                <w:b/>
              </w:rPr>
              <w:t>2023/24</w:t>
            </w:r>
          </w:p>
        </w:tc>
        <w:tc>
          <w:tcPr>
            <w:tcW w:w="1046" w:type="pct"/>
          </w:tcPr>
          <w:p w14:paraId="1189305C" w14:textId="74905DAD" w:rsidR="00900A34" w:rsidRDefault="00900A34" w:rsidP="00613ABF">
            <w:pPr>
              <w:tabs>
                <w:tab w:val="left" w:pos="7248"/>
              </w:tabs>
              <w:jc w:val="center"/>
              <w:rPr>
                <w:rFonts w:cstheme="minorHAnsi"/>
              </w:rPr>
            </w:pPr>
            <w:r>
              <w:rPr>
                <w:rFonts w:cstheme="minorHAnsi"/>
              </w:rPr>
              <w:t>Tide Turners</w:t>
            </w:r>
          </w:p>
        </w:tc>
        <w:tc>
          <w:tcPr>
            <w:tcW w:w="1247" w:type="pct"/>
          </w:tcPr>
          <w:p w14:paraId="4AF5BE71" w14:textId="64BF8929" w:rsidR="009B53B5" w:rsidRPr="00217F59" w:rsidRDefault="00900A34" w:rsidP="00613ABF">
            <w:pPr>
              <w:tabs>
                <w:tab w:val="left" w:pos="7248"/>
              </w:tabs>
              <w:jc w:val="center"/>
              <w:rPr>
                <w:rFonts w:cstheme="minorHAnsi"/>
              </w:rPr>
            </w:pPr>
            <w:r>
              <w:rPr>
                <w:rFonts w:cstheme="minorHAnsi"/>
              </w:rPr>
              <w:t>800,000</w:t>
            </w:r>
          </w:p>
        </w:tc>
        <w:tc>
          <w:tcPr>
            <w:tcW w:w="866" w:type="pct"/>
            <w:vMerge w:val="restart"/>
          </w:tcPr>
          <w:p w14:paraId="79BFC906" w14:textId="3E016736" w:rsidR="00565C95" w:rsidRDefault="00565C95" w:rsidP="00613ABF">
            <w:pPr>
              <w:tabs>
                <w:tab w:val="left" w:pos="7248"/>
              </w:tabs>
              <w:jc w:val="center"/>
              <w:rPr>
                <w:rFonts w:cstheme="minorHAnsi"/>
              </w:rPr>
            </w:pPr>
            <w:r>
              <w:rPr>
                <w:rFonts w:cstheme="minorHAnsi"/>
              </w:rPr>
              <w:t>1,600,000</w:t>
            </w:r>
          </w:p>
        </w:tc>
        <w:tc>
          <w:tcPr>
            <w:tcW w:w="1284" w:type="pct"/>
          </w:tcPr>
          <w:p w14:paraId="24B0D56E" w14:textId="6EEA8E8F" w:rsidR="009B53B5" w:rsidRPr="00217F59" w:rsidRDefault="003A5E23" w:rsidP="00613ABF">
            <w:pPr>
              <w:tabs>
                <w:tab w:val="left" w:pos="7248"/>
              </w:tabs>
              <w:jc w:val="center"/>
              <w:rPr>
                <w:rFonts w:cstheme="minorHAnsi"/>
              </w:rPr>
            </w:pPr>
            <w:r>
              <w:rPr>
                <w:rFonts w:cstheme="minorHAnsi"/>
              </w:rPr>
              <w:t>April 2023</w:t>
            </w:r>
          </w:p>
        </w:tc>
      </w:tr>
      <w:tr w:rsidR="004434E3" w:rsidRPr="00E00A77" w14:paraId="411C25CB" w14:textId="77777777" w:rsidTr="00565E6E">
        <w:trPr>
          <w:trHeight w:val="288"/>
        </w:trPr>
        <w:tc>
          <w:tcPr>
            <w:tcW w:w="557" w:type="pct"/>
            <w:vMerge/>
          </w:tcPr>
          <w:p w14:paraId="2739A60A" w14:textId="77777777" w:rsidR="00900A34" w:rsidRPr="000354B5" w:rsidRDefault="00900A34" w:rsidP="00613ABF">
            <w:pPr>
              <w:tabs>
                <w:tab w:val="left" w:pos="7248"/>
              </w:tabs>
              <w:jc w:val="center"/>
              <w:rPr>
                <w:rFonts w:cstheme="minorHAnsi"/>
                <w:b/>
                <w:bCs/>
              </w:rPr>
            </w:pPr>
          </w:p>
        </w:tc>
        <w:tc>
          <w:tcPr>
            <w:tcW w:w="1046" w:type="pct"/>
          </w:tcPr>
          <w:p w14:paraId="3ECB129E" w14:textId="05AE6F03" w:rsidR="00900A34" w:rsidRPr="00217F59" w:rsidRDefault="00900A34" w:rsidP="00613ABF">
            <w:pPr>
              <w:tabs>
                <w:tab w:val="left" w:pos="7248"/>
              </w:tabs>
              <w:jc w:val="center"/>
              <w:rPr>
                <w:rFonts w:cstheme="minorHAnsi"/>
              </w:rPr>
            </w:pPr>
            <w:r>
              <w:rPr>
                <w:rFonts w:cstheme="minorHAnsi"/>
              </w:rPr>
              <w:t>INC</w:t>
            </w:r>
          </w:p>
        </w:tc>
        <w:tc>
          <w:tcPr>
            <w:tcW w:w="1247" w:type="pct"/>
          </w:tcPr>
          <w:p w14:paraId="69A38A06" w14:textId="7594AF51" w:rsidR="00900A34" w:rsidRPr="00217F59" w:rsidRDefault="00565C95" w:rsidP="00613ABF">
            <w:pPr>
              <w:tabs>
                <w:tab w:val="left" w:pos="7248"/>
              </w:tabs>
              <w:jc w:val="center"/>
              <w:rPr>
                <w:rFonts w:cstheme="minorHAnsi"/>
              </w:rPr>
            </w:pPr>
            <w:r>
              <w:rPr>
                <w:rFonts w:cstheme="minorHAnsi"/>
              </w:rPr>
              <w:t>800,000</w:t>
            </w:r>
          </w:p>
        </w:tc>
        <w:tc>
          <w:tcPr>
            <w:tcW w:w="866" w:type="pct"/>
            <w:vMerge/>
          </w:tcPr>
          <w:p w14:paraId="16BB636C" w14:textId="77777777" w:rsidR="00565C95" w:rsidRPr="00316FE2" w:rsidRDefault="00565C95" w:rsidP="00613ABF">
            <w:pPr>
              <w:tabs>
                <w:tab w:val="left" w:pos="7248"/>
              </w:tabs>
              <w:jc w:val="center"/>
              <w:rPr>
                <w:rFonts w:cstheme="minorHAnsi"/>
              </w:rPr>
            </w:pPr>
          </w:p>
        </w:tc>
        <w:tc>
          <w:tcPr>
            <w:tcW w:w="1284" w:type="pct"/>
          </w:tcPr>
          <w:p w14:paraId="65C9E946" w14:textId="6446AD47" w:rsidR="00900A34" w:rsidRPr="00316FE2" w:rsidRDefault="003A5E23" w:rsidP="00613ABF">
            <w:pPr>
              <w:tabs>
                <w:tab w:val="left" w:pos="7248"/>
              </w:tabs>
              <w:jc w:val="center"/>
              <w:rPr>
                <w:rFonts w:cstheme="minorHAnsi"/>
              </w:rPr>
            </w:pPr>
            <w:r>
              <w:rPr>
                <w:rFonts w:cstheme="minorHAnsi"/>
              </w:rPr>
              <w:t>April 2023</w:t>
            </w:r>
          </w:p>
        </w:tc>
      </w:tr>
      <w:tr w:rsidR="004434E3" w:rsidRPr="00E00A77" w14:paraId="2C520B1A" w14:textId="77777777" w:rsidTr="00565E6E">
        <w:trPr>
          <w:trHeight w:val="258"/>
        </w:trPr>
        <w:tc>
          <w:tcPr>
            <w:tcW w:w="557" w:type="pct"/>
            <w:vMerge w:val="restart"/>
          </w:tcPr>
          <w:p w14:paraId="421C7184" w14:textId="0700CD6B" w:rsidR="009B53B5" w:rsidRPr="000354B5" w:rsidRDefault="009B53B5" w:rsidP="00613ABF">
            <w:pPr>
              <w:tabs>
                <w:tab w:val="left" w:pos="7248"/>
              </w:tabs>
              <w:jc w:val="center"/>
              <w:rPr>
                <w:rFonts w:cstheme="minorHAnsi"/>
                <w:b/>
              </w:rPr>
            </w:pPr>
            <w:r w:rsidRPr="000354B5">
              <w:rPr>
                <w:rFonts w:cstheme="minorHAnsi"/>
                <w:b/>
              </w:rPr>
              <w:t>20</w:t>
            </w:r>
            <w:r w:rsidR="00F94033" w:rsidRPr="000354B5">
              <w:rPr>
                <w:rFonts w:cstheme="minorHAnsi"/>
                <w:b/>
              </w:rPr>
              <w:t>24/25</w:t>
            </w:r>
          </w:p>
        </w:tc>
        <w:tc>
          <w:tcPr>
            <w:tcW w:w="1046" w:type="pct"/>
          </w:tcPr>
          <w:p w14:paraId="3610EDAA" w14:textId="133B1EAD" w:rsidR="00900A34" w:rsidRDefault="00900A34" w:rsidP="00613ABF">
            <w:pPr>
              <w:tabs>
                <w:tab w:val="left" w:pos="7248"/>
              </w:tabs>
              <w:jc w:val="center"/>
              <w:rPr>
                <w:rFonts w:cstheme="minorHAnsi"/>
              </w:rPr>
            </w:pPr>
            <w:r>
              <w:rPr>
                <w:rFonts w:cstheme="minorHAnsi"/>
              </w:rPr>
              <w:t>Tide Turners</w:t>
            </w:r>
          </w:p>
        </w:tc>
        <w:tc>
          <w:tcPr>
            <w:tcW w:w="1247" w:type="pct"/>
          </w:tcPr>
          <w:p w14:paraId="583B9E15" w14:textId="5F71AF93" w:rsidR="009B53B5" w:rsidRPr="00217F59" w:rsidRDefault="00900A34" w:rsidP="00613ABF">
            <w:pPr>
              <w:tabs>
                <w:tab w:val="left" w:pos="7248"/>
              </w:tabs>
              <w:jc w:val="center"/>
              <w:rPr>
                <w:rFonts w:cstheme="minorHAnsi"/>
              </w:rPr>
            </w:pPr>
            <w:r>
              <w:rPr>
                <w:rFonts w:cstheme="minorHAnsi"/>
              </w:rPr>
              <w:t>500,000</w:t>
            </w:r>
          </w:p>
        </w:tc>
        <w:tc>
          <w:tcPr>
            <w:tcW w:w="866" w:type="pct"/>
            <w:vMerge w:val="restart"/>
          </w:tcPr>
          <w:p w14:paraId="557B46E7" w14:textId="026C719B" w:rsidR="00565C95" w:rsidRDefault="00565C95" w:rsidP="00613ABF">
            <w:pPr>
              <w:tabs>
                <w:tab w:val="left" w:pos="7248"/>
              </w:tabs>
              <w:jc w:val="center"/>
              <w:rPr>
                <w:rFonts w:cstheme="minorHAnsi"/>
              </w:rPr>
            </w:pPr>
            <w:r>
              <w:rPr>
                <w:rFonts w:cstheme="minorHAnsi"/>
              </w:rPr>
              <w:t>1,300,000</w:t>
            </w:r>
          </w:p>
        </w:tc>
        <w:tc>
          <w:tcPr>
            <w:tcW w:w="1284" w:type="pct"/>
          </w:tcPr>
          <w:p w14:paraId="65BD6059" w14:textId="55D37165" w:rsidR="009B53B5" w:rsidRPr="00217F59" w:rsidRDefault="003A5E23" w:rsidP="00613ABF">
            <w:pPr>
              <w:tabs>
                <w:tab w:val="left" w:pos="7248"/>
              </w:tabs>
              <w:jc w:val="center"/>
              <w:rPr>
                <w:rFonts w:cstheme="minorHAnsi"/>
              </w:rPr>
            </w:pPr>
            <w:r>
              <w:rPr>
                <w:rFonts w:cstheme="minorHAnsi"/>
              </w:rPr>
              <w:t>April 2024</w:t>
            </w:r>
          </w:p>
        </w:tc>
      </w:tr>
      <w:tr w:rsidR="004434E3" w:rsidRPr="00E00A77" w14:paraId="26DEE6C3" w14:textId="77777777" w:rsidTr="00565E6E">
        <w:trPr>
          <w:trHeight w:val="165"/>
        </w:trPr>
        <w:tc>
          <w:tcPr>
            <w:tcW w:w="557" w:type="pct"/>
            <w:vMerge/>
          </w:tcPr>
          <w:p w14:paraId="232E2795" w14:textId="77777777" w:rsidR="00900A34" w:rsidRPr="00BD39C8" w:rsidDel="00F94033" w:rsidRDefault="00900A34" w:rsidP="00613ABF">
            <w:pPr>
              <w:tabs>
                <w:tab w:val="left" w:pos="7248"/>
              </w:tabs>
              <w:jc w:val="center"/>
              <w:rPr>
                <w:rFonts w:cstheme="minorHAnsi"/>
              </w:rPr>
            </w:pPr>
          </w:p>
        </w:tc>
        <w:tc>
          <w:tcPr>
            <w:tcW w:w="1046" w:type="pct"/>
          </w:tcPr>
          <w:p w14:paraId="10119CF4" w14:textId="6E2968F5" w:rsidR="00900A34" w:rsidRPr="00217F59" w:rsidRDefault="00900A34" w:rsidP="00613ABF">
            <w:pPr>
              <w:tabs>
                <w:tab w:val="left" w:pos="7248"/>
              </w:tabs>
              <w:jc w:val="center"/>
              <w:rPr>
                <w:rFonts w:cstheme="minorHAnsi"/>
              </w:rPr>
            </w:pPr>
            <w:r>
              <w:rPr>
                <w:rFonts w:cstheme="minorHAnsi"/>
              </w:rPr>
              <w:t>INC</w:t>
            </w:r>
          </w:p>
        </w:tc>
        <w:tc>
          <w:tcPr>
            <w:tcW w:w="1247" w:type="pct"/>
          </w:tcPr>
          <w:p w14:paraId="3CB14E41" w14:textId="02DE84EE" w:rsidR="00900A34" w:rsidRPr="00217F59" w:rsidRDefault="00565C95" w:rsidP="00613ABF">
            <w:pPr>
              <w:tabs>
                <w:tab w:val="left" w:pos="7248"/>
              </w:tabs>
              <w:jc w:val="center"/>
              <w:rPr>
                <w:rFonts w:cstheme="minorHAnsi"/>
              </w:rPr>
            </w:pPr>
            <w:r>
              <w:rPr>
                <w:rFonts w:cstheme="minorHAnsi"/>
              </w:rPr>
              <w:t>800,000</w:t>
            </w:r>
          </w:p>
        </w:tc>
        <w:tc>
          <w:tcPr>
            <w:tcW w:w="866" w:type="pct"/>
            <w:vMerge/>
          </w:tcPr>
          <w:p w14:paraId="5E315076" w14:textId="77777777" w:rsidR="00565C95" w:rsidRPr="00316FE2" w:rsidRDefault="00565C95" w:rsidP="00613ABF">
            <w:pPr>
              <w:tabs>
                <w:tab w:val="left" w:pos="7248"/>
              </w:tabs>
              <w:jc w:val="center"/>
              <w:rPr>
                <w:rFonts w:cstheme="minorHAnsi"/>
              </w:rPr>
            </w:pPr>
          </w:p>
        </w:tc>
        <w:tc>
          <w:tcPr>
            <w:tcW w:w="1284" w:type="pct"/>
          </w:tcPr>
          <w:p w14:paraId="2FECEB99" w14:textId="7B526FCD" w:rsidR="00900A34" w:rsidRPr="00316FE2" w:rsidRDefault="003A5E23" w:rsidP="00613ABF">
            <w:pPr>
              <w:tabs>
                <w:tab w:val="left" w:pos="7248"/>
              </w:tabs>
              <w:jc w:val="center"/>
              <w:rPr>
                <w:rFonts w:cstheme="minorHAnsi"/>
              </w:rPr>
            </w:pPr>
            <w:r>
              <w:rPr>
                <w:rFonts w:cstheme="minorHAnsi"/>
              </w:rPr>
              <w:t>April 2024</w:t>
            </w:r>
          </w:p>
        </w:tc>
      </w:tr>
    </w:tbl>
    <w:p w14:paraId="7E2B0BC2" w14:textId="0684411E" w:rsidR="009B53B5" w:rsidRPr="00217F59" w:rsidRDefault="00367D94" w:rsidP="00595499">
      <w:pPr>
        <w:pStyle w:val="Heading3"/>
      </w:pPr>
      <w:r w:rsidRPr="5611DCC6">
        <w:t>STAFFING</w:t>
      </w:r>
      <w:r w:rsidR="00570CAE" w:rsidRPr="5611DCC6">
        <w:t xml:space="preserve"> delivery costs</w:t>
      </w:r>
    </w:p>
    <w:p w14:paraId="7032A1BF" w14:textId="5ACC91C4" w:rsidR="009B53B5" w:rsidRPr="007D41F7" w:rsidRDefault="003A60A4" w:rsidP="00613ABF">
      <w:pPr>
        <w:spacing w:after="240"/>
        <w:rPr>
          <w:rFonts w:ascii="Calibri" w:hAnsi="Calibri" w:cs="Calibri"/>
          <w:lang w:eastAsia="en-GB"/>
        </w:rPr>
      </w:pPr>
      <w:r w:rsidRPr="000354B5">
        <w:rPr>
          <w:rFonts w:ascii="Calibri" w:hAnsi="Calibri" w:cs="Calibri"/>
          <w:lang w:eastAsia="en-GB"/>
        </w:rPr>
        <w:t>Within HM Government, managing the UK’s contribution, as well as influencing and participating in key decisions, will require the below staff dedication</w:t>
      </w:r>
      <w:r>
        <w:rPr>
          <w:rStyle w:val="FootnoteReference"/>
          <w:rFonts w:ascii="Arial" w:hAnsi="Arial" w:cs="Arial"/>
        </w:rPr>
        <w:footnoteReference w:id="35"/>
      </w:r>
      <w:r w:rsidRPr="000354B5">
        <w:rPr>
          <w:rFonts w:ascii="Calibri" w:hAnsi="Calibri" w:cs="Calibri"/>
          <w:lang w:eastAsia="en-GB"/>
        </w:rPr>
        <w:t xml:space="preserve"> (full time equivalent (FTE)) from DEFRA and the overseas network: </w:t>
      </w:r>
    </w:p>
    <w:tbl>
      <w:tblPr>
        <w:tblStyle w:val="TableGrid1"/>
        <w:tblW w:w="9356" w:type="dxa"/>
        <w:tblLook w:val="04A0" w:firstRow="1" w:lastRow="0" w:firstColumn="1" w:lastColumn="0" w:noHBand="0" w:noVBand="1"/>
      </w:tblPr>
      <w:tblGrid>
        <w:gridCol w:w="1891"/>
        <w:gridCol w:w="1264"/>
        <w:gridCol w:w="1253"/>
        <w:gridCol w:w="1253"/>
        <w:gridCol w:w="1253"/>
        <w:gridCol w:w="1253"/>
        <w:gridCol w:w="1189"/>
      </w:tblGrid>
      <w:tr w:rsidR="00F63B87" w:rsidRPr="007D41F7" w14:paraId="2075D7ED" w14:textId="77777777" w:rsidTr="003A60A4">
        <w:trPr>
          <w:trHeight w:val="521"/>
        </w:trPr>
        <w:tc>
          <w:tcPr>
            <w:tcW w:w="1891" w:type="dxa"/>
            <w:shd w:val="clear" w:color="auto" w:fill="A8D08D" w:themeFill="accent6" w:themeFillTint="99"/>
          </w:tcPr>
          <w:p w14:paraId="52C38CD2" w14:textId="77777777" w:rsidR="006B015F" w:rsidRPr="007D41F7" w:rsidRDefault="006B015F" w:rsidP="00613ABF">
            <w:pPr>
              <w:jc w:val="center"/>
              <w:rPr>
                <w:rFonts w:asciiTheme="minorHAnsi" w:hAnsiTheme="minorHAnsi" w:cstheme="minorHAnsi"/>
                <w:sz w:val="20"/>
              </w:rPr>
            </w:pPr>
            <w:r w:rsidRPr="007D41F7">
              <w:rPr>
                <w:rFonts w:asciiTheme="minorHAnsi" w:hAnsiTheme="minorHAnsi" w:cstheme="minorHAnsi"/>
                <w:sz w:val="20"/>
              </w:rPr>
              <w:t>GRADE</w:t>
            </w:r>
          </w:p>
        </w:tc>
        <w:tc>
          <w:tcPr>
            <w:tcW w:w="1264" w:type="dxa"/>
            <w:shd w:val="clear" w:color="auto" w:fill="A8D08D" w:themeFill="accent6" w:themeFillTint="99"/>
          </w:tcPr>
          <w:p w14:paraId="32FE2D61" w14:textId="77777777" w:rsidR="006B015F" w:rsidRPr="007D41F7" w:rsidRDefault="006B015F" w:rsidP="00613ABF">
            <w:pPr>
              <w:jc w:val="center"/>
              <w:rPr>
                <w:rFonts w:asciiTheme="minorHAnsi" w:hAnsiTheme="minorHAnsi" w:cstheme="minorHAnsi"/>
                <w:sz w:val="20"/>
              </w:rPr>
            </w:pPr>
            <w:r w:rsidRPr="007D41F7">
              <w:rPr>
                <w:rFonts w:asciiTheme="minorHAnsi" w:hAnsiTheme="minorHAnsi" w:cstheme="minorHAnsi"/>
                <w:sz w:val="20"/>
              </w:rPr>
              <w:t>HEO</w:t>
            </w:r>
          </w:p>
        </w:tc>
        <w:tc>
          <w:tcPr>
            <w:tcW w:w="1253" w:type="dxa"/>
            <w:shd w:val="clear" w:color="auto" w:fill="A8D08D" w:themeFill="accent6" w:themeFillTint="99"/>
          </w:tcPr>
          <w:p w14:paraId="5C1FBAF4" w14:textId="77777777" w:rsidR="006B015F" w:rsidRPr="007D41F7" w:rsidRDefault="006B015F" w:rsidP="00613ABF">
            <w:pPr>
              <w:jc w:val="center"/>
              <w:rPr>
                <w:rFonts w:asciiTheme="minorHAnsi" w:hAnsiTheme="minorHAnsi" w:cstheme="minorHAnsi"/>
                <w:sz w:val="20"/>
              </w:rPr>
            </w:pPr>
            <w:r w:rsidRPr="007D41F7">
              <w:rPr>
                <w:rFonts w:asciiTheme="minorHAnsi" w:hAnsiTheme="minorHAnsi" w:cstheme="minorHAnsi"/>
                <w:sz w:val="20"/>
              </w:rPr>
              <w:t>SEO</w:t>
            </w:r>
          </w:p>
        </w:tc>
        <w:tc>
          <w:tcPr>
            <w:tcW w:w="1253" w:type="dxa"/>
            <w:shd w:val="clear" w:color="auto" w:fill="A8D08D" w:themeFill="accent6" w:themeFillTint="99"/>
          </w:tcPr>
          <w:p w14:paraId="4853FEE1" w14:textId="77777777" w:rsidR="006B015F" w:rsidRPr="007D41F7" w:rsidRDefault="006B015F" w:rsidP="00613ABF">
            <w:pPr>
              <w:jc w:val="center"/>
              <w:rPr>
                <w:rFonts w:asciiTheme="minorHAnsi" w:hAnsiTheme="minorHAnsi" w:cstheme="minorHAnsi"/>
                <w:sz w:val="20"/>
              </w:rPr>
            </w:pPr>
            <w:r w:rsidRPr="007D41F7">
              <w:rPr>
                <w:rFonts w:asciiTheme="minorHAnsi" w:hAnsiTheme="minorHAnsi" w:cstheme="minorHAnsi"/>
                <w:sz w:val="20"/>
              </w:rPr>
              <w:t>G7</w:t>
            </w:r>
            <w:r w:rsidRPr="007D41F7">
              <w:rPr>
                <w:rStyle w:val="FootnoteReference"/>
                <w:rFonts w:asciiTheme="minorHAnsi" w:hAnsiTheme="minorHAnsi" w:cstheme="minorHAnsi"/>
                <w:sz w:val="20"/>
              </w:rPr>
              <w:footnoteReference w:id="36"/>
            </w:r>
          </w:p>
        </w:tc>
        <w:tc>
          <w:tcPr>
            <w:tcW w:w="1253" w:type="dxa"/>
            <w:shd w:val="clear" w:color="auto" w:fill="A8D08D" w:themeFill="accent6" w:themeFillTint="99"/>
          </w:tcPr>
          <w:p w14:paraId="5965C837" w14:textId="77777777" w:rsidR="006B015F" w:rsidRPr="007D41F7" w:rsidRDefault="006B015F" w:rsidP="00613ABF">
            <w:pPr>
              <w:jc w:val="center"/>
              <w:rPr>
                <w:rFonts w:asciiTheme="minorHAnsi" w:hAnsiTheme="minorHAnsi" w:cstheme="minorHAnsi"/>
                <w:sz w:val="20"/>
              </w:rPr>
            </w:pPr>
            <w:r w:rsidRPr="007D41F7">
              <w:rPr>
                <w:rFonts w:asciiTheme="minorHAnsi" w:hAnsiTheme="minorHAnsi" w:cstheme="minorHAnsi"/>
                <w:sz w:val="20"/>
              </w:rPr>
              <w:t>G6</w:t>
            </w:r>
          </w:p>
        </w:tc>
        <w:tc>
          <w:tcPr>
            <w:tcW w:w="1253" w:type="dxa"/>
            <w:shd w:val="clear" w:color="auto" w:fill="A8D08D" w:themeFill="accent6" w:themeFillTint="99"/>
          </w:tcPr>
          <w:p w14:paraId="30BED4F3" w14:textId="77777777" w:rsidR="006B015F" w:rsidRPr="007D41F7" w:rsidRDefault="006B015F" w:rsidP="00613ABF">
            <w:pPr>
              <w:jc w:val="center"/>
              <w:rPr>
                <w:rFonts w:asciiTheme="minorHAnsi" w:hAnsiTheme="minorHAnsi" w:cstheme="minorHAnsi"/>
                <w:sz w:val="20"/>
              </w:rPr>
            </w:pPr>
            <w:r w:rsidRPr="007D41F7">
              <w:rPr>
                <w:rFonts w:asciiTheme="minorHAnsi" w:hAnsiTheme="minorHAnsi" w:cstheme="minorHAnsi"/>
                <w:sz w:val="20"/>
              </w:rPr>
              <w:t>SCS</w:t>
            </w:r>
          </w:p>
        </w:tc>
        <w:tc>
          <w:tcPr>
            <w:tcW w:w="1189" w:type="dxa"/>
            <w:shd w:val="clear" w:color="auto" w:fill="A8D08D" w:themeFill="accent6" w:themeFillTint="99"/>
          </w:tcPr>
          <w:p w14:paraId="23FC487E" w14:textId="77777777" w:rsidR="006B015F" w:rsidRPr="007D41F7" w:rsidRDefault="006B015F" w:rsidP="00613ABF">
            <w:pPr>
              <w:jc w:val="center"/>
              <w:rPr>
                <w:rFonts w:asciiTheme="minorHAnsi" w:hAnsiTheme="minorHAnsi" w:cstheme="minorHAnsi"/>
                <w:sz w:val="20"/>
              </w:rPr>
            </w:pPr>
            <w:r w:rsidRPr="007D41F7">
              <w:rPr>
                <w:rFonts w:asciiTheme="minorHAnsi" w:hAnsiTheme="minorHAnsi" w:cstheme="minorHAnsi"/>
                <w:sz w:val="20"/>
              </w:rPr>
              <w:t>Total</w:t>
            </w:r>
          </w:p>
        </w:tc>
      </w:tr>
      <w:tr w:rsidR="00F63B87" w:rsidRPr="007D41F7" w14:paraId="78C40D6D" w14:textId="77777777" w:rsidTr="003A60A4">
        <w:trPr>
          <w:trHeight w:val="521"/>
        </w:trPr>
        <w:tc>
          <w:tcPr>
            <w:tcW w:w="1891" w:type="dxa"/>
            <w:shd w:val="clear" w:color="auto" w:fill="E2EFD9" w:themeFill="accent6" w:themeFillTint="33"/>
          </w:tcPr>
          <w:p w14:paraId="63E963E1" w14:textId="77777777" w:rsidR="006B015F" w:rsidRPr="007D41F7" w:rsidRDefault="006B015F" w:rsidP="00613ABF">
            <w:pPr>
              <w:pStyle w:val="BodyText"/>
              <w:spacing w:after="0"/>
              <w:jc w:val="left"/>
              <w:rPr>
                <w:rFonts w:asciiTheme="minorHAnsi" w:hAnsiTheme="minorHAnsi" w:cstheme="minorHAnsi"/>
                <w:i/>
                <w:iCs/>
                <w:sz w:val="20"/>
              </w:rPr>
            </w:pPr>
            <w:r w:rsidRPr="007D41F7">
              <w:rPr>
                <w:rFonts w:asciiTheme="minorHAnsi" w:hAnsiTheme="minorHAnsi" w:cstheme="minorHAnsi"/>
                <w:sz w:val="20"/>
              </w:rPr>
              <w:t>FTE</w:t>
            </w:r>
          </w:p>
        </w:tc>
        <w:tc>
          <w:tcPr>
            <w:tcW w:w="1264" w:type="dxa"/>
            <w:shd w:val="clear" w:color="auto" w:fill="E2EFD9" w:themeFill="accent6" w:themeFillTint="33"/>
          </w:tcPr>
          <w:p w14:paraId="0BA9A534" w14:textId="161771C0" w:rsidR="006B015F" w:rsidRPr="007D41F7" w:rsidRDefault="003A60A4" w:rsidP="00613ABF">
            <w:pPr>
              <w:pStyle w:val="BodyText"/>
              <w:spacing w:after="0"/>
              <w:jc w:val="center"/>
              <w:rPr>
                <w:rFonts w:asciiTheme="minorHAnsi" w:hAnsiTheme="minorHAnsi" w:cstheme="minorHAnsi"/>
                <w:sz w:val="20"/>
              </w:rPr>
            </w:pPr>
            <w:r w:rsidRPr="007D41F7">
              <w:rPr>
                <w:rFonts w:asciiTheme="minorHAnsi" w:hAnsiTheme="minorHAnsi" w:cstheme="minorHAnsi"/>
                <w:sz w:val="20"/>
              </w:rPr>
              <w:t>0.5</w:t>
            </w:r>
          </w:p>
        </w:tc>
        <w:tc>
          <w:tcPr>
            <w:tcW w:w="1253" w:type="dxa"/>
            <w:shd w:val="clear" w:color="auto" w:fill="E2EFD9" w:themeFill="accent6" w:themeFillTint="33"/>
          </w:tcPr>
          <w:p w14:paraId="0633760A" w14:textId="472E0402" w:rsidR="006B015F" w:rsidRPr="007D41F7" w:rsidRDefault="003A60A4" w:rsidP="00613ABF">
            <w:pPr>
              <w:pStyle w:val="BodyText"/>
              <w:spacing w:after="0"/>
              <w:jc w:val="center"/>
              <w:rPr>
                <w:rFonts w:asciiTheme="minorHAnsi" w:hAnsiTheme="minorHAnsi" w:cstheme="minorHAnsi"/>
                <w:sz w:val="20"/>
              </w:rPr>
            </w:pPr>
            <w:r w:rsidRPr="007D41F7">
              <w:rPr>
                <w:rFonts w:asciiTheme="minorHAnsi" w:hAnsiTheme="minorHAnsi" w:cstheme="minorHAnsi"/>
                <w:sz w:val="20"/>
              </w:rPr>
              <w:t>0.2</w:t>
            </w:r>
          </w:p>
        </w:tc>
        <w:tc>
          <w:tcPr>
            <w:tcW w:w="1253" w:type="dxa"/>
            <w:shd w:val="clear" w:color="auto" w:fill="E2EFD9" w:themeFill="accent6" w:themeFillTint="33"/>
          </w:tcPr>
          <w:p w14:paraId="7F440F4F" w14:textId="1FE6AF95" w:rsidR="006B015F" w:rsidRPr="007D41F7" w:rsidRDefault="003A60A4" w:rsidP="00613ABF">
            <w:pPr>
              <w:pStyle w:val="BodyText"/>
              <w:tabs>
                <w:tab w:val="left" w:pos="744"/>
              </w:tabs>
              <w:spacing w:after="0"/>
              <w:jc w:val="center"/>
              <w:rPr>
                <w:rFonts w:asciiTheme="minorHAnsi" w:hAnsiTheme="minorHAnsi" w:cstheme="minorBidi"/>
                <w:sz w:val="20"/>
              </w:rPr>
            </w:pPr>
            <w:r w:rsidRPr="0332D757">
              <w:rPr>
                <w:rFonts w:asciiTheme="minorHAnsi" w:hAnsiTheme="minorHAnsi" w:cstheme="minorBidi"/>
                <w:sz w:val="20"/>
              </w:rPr>
              <w:t>0.2</w:t>
            </w:r>
          </w:p>
        </w:tc>
        <w:tc>
          <w:tcPr>
            <w:tcW w:w="1253" w:type="dxa"/>
            <w:shd w:val="clear" w:color="auto" w:fill="E2EFD9" w:themeFill="accent6" w:themeFillTint="33"/>
          </w:tcPr>
          <w:p w14:paraId="710C33F2" w14:textId="6A3CBD93" w:rsidR="006B015F" w:rsidRPr="007D41F7" w:rsidRDefault="003A60A4" w:rsidP="00613ABF">
            <w:pPr>
              <w:pStyle w:val="BodyText"/>
              <w:spacing w:after="0"/>
              <w:jc w:val="center"/>
              <w:rPr>
                <w:rFonts w:asciiTheme="minorHAnsi" w:hAnsiTheme="minorHAnsi" w:cstheme="minorHAnsi"/>
                <w:sz w:val="20"/>
              </w:rPr>
            </w:pPr>
            <w:r w:rsidRPr="007D41F7">
              <w:rPr>
                <w:rFonts w:asciiTheme="minorHAnsi" w:hAnsiTheme="minorHAnsi" w:cstheme="minorHAnsi"/>
                <w:sz w:val="20"/>
              </w:rPr>
              <w:t>0.</w:t>
            </w:r>
            <w:r w:rsidR="007710E7">
              <w:rPr>
                <w:rFonts w:asciiTheme="minorHAnsi" w:hAnsiTheme="minorHAnsi" w:cstheme="minorHAnsi"/>
                <w:sz w:val="20"/>
              </w:rPr>
              <w:t>1</w:t>
            </w:r>
          </w:p>
        </w:tc>
        <w:tc>
          <w:tcPr>
            <w:tcW w:w="1253" w:type="dxa"/>
            <w:shd w:val="clear" w:color="auto" w:fill="E2EFD9" w:themeFill="accent6" w:themeFillTint="33"/>
          </w:tcPr>
          <w:p w14:paraId="7C31BAA1" w14:textId="7F4FBA0E" w:rsidR="006B015F" w:rsidRPr="007D41F7" w:rsidRDefault="003A60A4" w:rsidP="00613ABF">
            <w:pPr>
              <w:pStyle w:val="BodyText"/>
              <w:spacing w:after="0"/>
              <w:jc w:val="center"/>
              <w:rPr>
                <w:rFonts w:asciiTheme="minorHAnsi" w:hAnsiTheme="minorHAnsi" w:cstheme="minorHAnsi"/>
                <w:sz w:val="20"/>
              </w:rPr>
            </w:pPr>
            <w:r w:rsidRPr="007D41F7">
              <w:rPr>
                <w:rFonts w:asciiTheme="minorHAnsi" w:hAnsiTheme="minorHAnsi" w:cstheme="minorHAnsi"/>
                <w:sz w:val="20"/>
              </w:rPr>
              <w:t>0.0</w:t>
            </w:r>
          </w:p>
        </w:tc>
        <w:tc>
          <w:tcPr>
            <w:tcW w:w="1189" w:type="dxa"/>
            <w:shd w:val="clear" w:color="auto" w:fill="E2EFD9" w:themeFill="accent6" w:themeFillTint="33"/>
          </w:tcPr>
          <w:p w14:paraId="1AD1AC19" w14:textId="3741A6F1" w:rsidR="006B015F" w:rsidRPr="007D41F7" w:rsidRDefault="00332E7B" w:rsidP="00613ABF">
            <w:pPr>
              <w:pStyle w:val="BodyText"/>
              <w:spacing w:after="0"/>
              <w:jc w:val="center"/>
              <w:rPr>
                <w:rFonts w:asciiTheme="minorHAnsi" w:hAnsiTheme="minorHAnsi" w:cstheme="minorHAnsi"/>
                <w:sz w:val="20"/>
              </w:rPr>
            </w:pPr>
            <w:r>
              <w:rPr>
                <w:rFonts w:asciiTheme="minorHAnsi" w:hAnsiTheme="minorHAnsi" w:cstheme="minorHAnsi"/>
                <w:sz w:val="20"/>
              </w:rPr>
              <w:t>1.0</w:t>
            </w:r>
          </w:p>
        </w:tc>
      </w:tr>
      <w:tr w:rsidR="00F63B87" w:rsidRPr="007D41F7" w14:paraId="1EEEC960" w14:textId="77777777" w:rsidTr="003A60A4">
        <w:trPr>
          <w:trHeight w:val="521"/>
        </w:trPr>
        <w:tc>
          <w:tcPr>
            <w:tcW w:w="1891" w:type="dxa"/>
            <w:shd w:val="clear" w:color="auto" w:fill="E2EFD9" w:themeFill="accent6" w:themeFillTint="33"/>
          </w:tcPr>
          <w:p w14:paraId="14440058" w14:textId="77777777" w:rsidR="006B015F" w:rsidRPr="007D41F7" w:rsidRDefault="006B015F" w:rsidP="00613ABF">
            <w:pPr>
              <w:pStyle w:val="BodyText"/>
              <w:spacing w:after="0"/>
              <w:jc w:val="left"/>
              <w:rPr>
                <w:rFonts w:asciiTheme="minorHAnsi" w:hAnsiTheme="minorHAnsi" w:cstheme="minorHAnsi"/>
                <w:i/>
                <w:iCs/>
                <w:sz w:val="20"/>
              </w:rPr>
            </w:pPr>
            <w:r w:rsidRPr="007D41F7">
              <w:rPr>
                <w:rFonts w:asciiTheme="minorHAnsi" w:hAnsiTheme="minorHAnsi" w:cstheme="minorHAnsi"/>
                <w:sz w:val="20"/>
              </w:rPr>
              <w:t>FY 2021/2022 cost</w:t>
            </w:r>
          </w:p>
        </w:tc>
        <w:tc>
          <w:tcPr>
            <w:tcW w:w="1264" w:type="dxa"/>
            <w:shd w:val="clear" w:color="auto" w:fill="E2EFD9" w:themeFill="accent6" w:themeFillTint="33"/>
          </w:tcPr>
          <w:p w14:paraId="0FCDD942" w14:textId="14F50167" w:rsidR="006B015F" w:rsidRPr="007D41F7" w:rsidRDefault="003A60A4" w:rsidP="00613ABF">
            <w:pPr>
              <w:pStyle w:val="BodyText"/>
              <w:spacing w:after="0"/>
              <w:jc w:val="center"/>
              <w:rPr>
                <w:rFonts w:asciiTheme="minorHAnsi" w:hAnsiTheme="minorHAnsi" w:cstheme="minorHAnsi"/>
                <w:sz w:val="20"/>
              </w:rPr>
            </w:pPr>
            <w:r w:rsidRPr="007D41F7">
              <w:rPr>
                <w:rFonts w:asciiTheme="minorHAnsi" w:hAnsiTheme="minorHAnsi" w:cstheme="minorHAnsi"/>
                <w:sz w:val="20"/>
              </w:rPr>
              <w:t>£22,187</w:t>
            </w:r>
          </w:p>
        </w:tc>
        <w:tc>
          <w:tcPr>
            <w:tcW w:w="1253" w:type="dxa"/>
            <w:shd w:val="clear" w:color="auto" w:fill="E2EFD9" w:themeFill="accent6" w:themeFillTint="33"/>
          </w:tcPr>
          <w:p w14:paraId="67146FAC" w14:textId="519C0A0A" w:rsidR="006B015F" w:rsidRPr="007D41F7" w:rsidRDefault="003A60A4" w:rsidP="00613ABF">
            <w:pPr>
              <w:pStyle w:val="BodyText"/>
              <w:spacing w:after="0"/>
              <w:jc w:val="center"/>
              <w:rPr>
                <w:rFonts w:asciiTheme="minorHAnsi" w:hAnsiTheme="minorHAnsi" w:cstheme="minorHAnsi"/>
                <w:sz w:val="20"/>
              </w:rPr>
            </w:pPr>
            <w:r w:rsidRPr="007D41F7">
              <w:rPr>
                <w:rFonts w:asciiTheme="minorHAnsi" w:hAnsiTheme="minorHAnsi" w:cstheme="minorHAnsi"/>
                <w:sz w:val="20"/>
              </w:rPr>
              <w:t>£10,737</w:t>
            </w:r>
          </w:p>
        </w:tc>
        <w:tc>
          <w:tcPr>
            <w:tcW w:w="1253" w:type="dxa"/>
            <w:shd w:val="clear" w:color="auto" w:fill="E2EFD9" w:themeFill="accent6" w:themeFillTint="33"/>
          </w:tcPr>
          <w:p w14:paraId="160D0A41" w14:textId="4B719743" w:rsidR="006B015F" w:rsidRPr="007D41F7" w:rsidRDefault="006B015F" w:rsidP="00613ABF">
            <w:pPr>
              <w:pStyle w:val="BodyText"/>
              <w:tabs>
                <w:tab w:val="left" w:pos="744"/>
              </w:tabs>
              <w:spacing w:after="0"/>
              <w:jc w:val="center"/>
              <w:rPr>
                <w:rFonts w:asciiTheme="minorHAnsi" w:hAnsiTheme="minorHAnsi" w:cstheme="minorHAnsi"/>
                <w:i/>
                <w:iCs/>
                <w:sz w:val="20"/>
              </w:rPr>
            </w:pPr>
            <w:r w:rsidRPr="007D41F7">
              <w:rPr>
                <w:rFonts w:asciiTheme="minorHAnsi" w:hAnsiTheme="minorHAnsi" w:cstheme="minorHAnsi"/>
                <w:sz w:val="20"/>
              </w:rPr>
              <w:t>£</w:t>
            </w:r>
            <w:r w:rsidR="003A60A4" w:rsidRPr="007D41F7">
              <w:rPr>
                <w:rFonts w:asciiTheme="minorHAnsi" w:hAnsiTheme="minorHAnsi" w:cstheme="minorHAnsi"/>
                <w:sz w:val="20"/>
              </w:rPr>
              <w:t>14,350</w:t>
            </w:r>
          </w:p>
        </w:tc>
        <w:tc>
          <w:tcPr>
            <w:tcW w:w="1253" w:type="dxa"/>
            <w:shd w:val="clear" w:color="auto" w:fill="E2EFD9" w:themeFill="accent6" w:themeFillTint="33"/>
          </w:tcPr>
          <w:p w14:paraId="0D4F2141" w14:textId="6CAE2CA9" w:rsidR="006B015F" w:rsidRPr="007D41F7" w:rsidRDefault="008E0B8E" w:rsidP="00613ABF">
            <w:pPr>
              <w:pStyle w:val="BodyText"/>
              <w:spacing w:after="0"/>
              <w:jc w:val="center"/>
              <w:rPr>
                <w:rFonts w:asciiTheme="minorHAnsi" w:hAnsiTheme="minorHAnsi" w:cstheme="minorHAnsi"/>
                <w:i/>
                <w:iCs/>
                <w:sz w:val="20"/>
              </w:rPr>
            </w:pPr>
            <w:r>
              <w:rPr>
                <w:rFonts w:asciiTheme="minorHAnsi" w:hAnsiTheme="minorHAnsi" w:cstheme="minorHAnsi"/>
                <w:sz w:val="20"/>
              </w:rPr>
              <w:t>£8,685</w:t>
            </w:r>
          </w:p>
        </w:tc>
        <w:tc>
          <w:tcPr>
            <w:tcW w:w="1253" w:type="dxa"/>
            <w:shd w:val="clear" w:color="auto" w:fill="E2EFD9" w:themeFill="accent6" w:themeFillTint="33"/>
          </w:tcPr>
          <w:p w14:paraId="2FBB7296" w14:textId="131A3072" w:rsidR="006B015F" w:rsidRPr="007D41F7" w:rsidRDefault="003A60A4" w:rsidP="00613ABF">
            <w:pPr>
              <w:pStyle w:val="BodyText"/>
              <w:spacing w:after="0"/>
              <w:jc w:val="center"/>
              <w:rPr>
                <w:rFonts w:asciiTheme="minorHAnsi" w:hAnsiTheme="minorHAnsi" w:cstheme="minorHAnsi"/>
                <w:sz w:val="20"/>
              </w:rPr>
            </w:pPr>
            <w:r w:rsidRPr="007D41F7">
              <w:rPr>
                <w:rFonts w:asciiTheme="minorHAnsi" w:hAnsiTheme="minorHAnsi" w:cstheme="minorHAnsi"/>
                <w:sz w:val="20"/>
              </w:rPr>
              <w:t>-</w:t>
            </w:r>
          </w:p>
        </w:tc>
        <w:tc>
          <w:tcPr>
            <w:tcW w:w="1189" w:type="dxa"/>
            <w:shd w:val="clear" w:color="auto" w:fill="E2EFD9" w:themeFill="accent6" w:themeFillTint="33"/>
          </w:tcPr>
          <w:p w14:paraId="4527B245" w14:textId="70F449AD" w:rsidR="006B015F" w:rsidRPr="007D41F7" w:rsidRDefault="003A60A4" w:rsidP="00613ABF">
            <w:pPr>
              <w:pStyle w:val="BodyText"/>
              <w:spacing w:after="0"/>
              <w:jc w:val="center"/>
              <w:rPr>
                <w:rFonts w:asciiTheme="minorHAnsi" w:hAnsiTheme="minorHAnsi" w:cstheme="minorHAnsi"/>
                <w:sz w:val="20"/>
              </w:rPr>
            </w:pPr>
            <w:r w:rsidRPr="007D41F7">
              <w:rPr>
                <w:rFonts w:asciiTheme="minorHAnsi" w:hAnsiTheme="minorHAnsi" w:cstheme="minorHAnsi"/>
                <w:sz w:val="20"/>
              </w:rPr>
              <w:t>£</w:t>
            </w:r>
            <w:r w:rsidR="00D5021A">
              <w:rPr>
                <w:rFonts w:asciiTheme="minorHAnsi" w:hAnsiTheme="minorHAnsi" w:cstheme="minorHAnsi"/>
                <w:sz w:val="20"/>
              </w:rPr>
              <w:t>55,959</w:t>
            </w:r>
          </w:p>
        </w:tc>
      </w:tr>
      <w:tr w:rsidR="00F63B87" w:rsidRPr="007D41F7" w14:paraId="58B70382" w14:textId="77777777" w:rsidTr="003A60A4">
        <w:trPr>
          <w:trHeight w:val="521"/>
        </w:trPr>
        <w:tc>
          <w:tcPr>
            <w:tcW w:w="1891" w:type="dxa"/>
            <w:shd w:val="clear" w:color="auto" w:fill="E2EFD9" w:themeFill="accent6" w:themeFillTint="33"/>
          </w:tcPr>
          <w:p w14:paraId="49B02637" w14:textId="5F31371B" w:rsidR="006B015F" w:rsidRPr="007D41F7" w:rsidRDefault="006B015F" w:rsidP="00613ABF">
            <w:pPr>
              <w:pStyle w:val="BodyText"/>
              <w:spacing w:after="0"/>
              <w:jc w:val="left"/>
              <w:rPr>
                <w:rFonts w:asciiTheme="minorHAnsi" w:hAnsiTheme="minorHAnsi" w:cstheme="minorHAnsi"/>
                <w:i/>
                <w:iCs/>
                <w:sz w:val="20"/>
              </w:rPr>
            </w:pPr>
            <w:r w:rsidRPr="007D41F7">
              <w:rPr>
                <w:rFonts w:asciiTheme="minorHAnsi" w:hAnsiTheme="minorHAnsi" w:cstheme="minorHAnsi"/>
                <w:sz w:val="20"/>
              </w:rPr>
              <w:t>Whole life cost (3 years)</w:t>
            </w:r>
          </w:p>
        </w:tc>
        <w:tc>
          <w:tcPr>
            <w:tcW w:w="1264" w:type="dxa"/>
            <w:shd w:val="clear" w:color="auto" w:fill="E2EFD9" w:themeFill="accent6" w:themeFillTint="33"/>
          </w:tcPr>
          <w:p w14:paraId="05B6EA9E" w14:textId="0E80E9E3" w:rsidR="006B015F" w:rsidRPr="007D41F7" w:rsidRDefault="006B015F" w:rsidP="00613ABF">
            <w:pPr>
              <w:pStyle w:val="BodyText"/>
              <w:spacing w:after="0"/>
              <w:jc w:val="center"/>
              <w:rPr>
                <w:rFonts w:asciiTheme="minorHAnsi" w:hAnsiTheme="minorHAnsi" w:cstheme="minorHAnsi"/>
                <w:i/>
                <w:iCs/>
                <w:sz w:val="20"/>
              </w:rPr>
            </w:pPr>
            <w:r w:rsidRPr="007D41F7">
              <w:rPr>
                <w:rFonts w:asciiTheme="minorHAnsi" w:hAnsiTheme="minorHAnsi" w:cstheme="minorHAnsi"/>
                <w:sz w:val="20"/>
              </w:rPr>
              <w:t>£</w:t>
            </w:r>
            <w:r w:rsidR="003A60A4" w:rsidRPr="007D41F7">
              <w:rPr>
                <w:rFonts w:asciiTheme="minorHAnsi" w:hAnsiTheme="minorHAnsi" w:cstheme="minorHAnsi"/>
                <w:sz w:val="20"/>
              </w:rPr>
              <w:t>66,561</w:t>
            </w:r>
          </w:p>
        </w:tc>
        <w:tc>
          <w:tcPr>
            <w:tcW w:w="1253" w:type="dxa"/>
            <w:shd w:val="clear" w:color="auto" w:fill="E2EFD9" w:themeFill="accent6" w:themeFillTint="33"/>
          </w:tcPr>
          <w:p w14:paraId="555372AF" w14:textId="5D64D62B" w:rsidR="006B015F" w:rsidRPr="007D41F7" w:rsidRDefault="003A60A4" w:rsidP="00613ABF">
            <w:pPr>
              <w:pStyle w:val="BodyText"/>
              <w:spacing w:after="0"/>
              <w:jc w:val="center"/>
              <w:rPr>
                <w:rFonts w:asciiTheme="minorHAnsi" w:hAnsiTheme="minorHAnsi" w:cstheme="minorHAnsi"/>
                <w:sz w:val="20"/>
              </w:rPr>
            </w:pPr>
            <w:r w:rsidRPr="007D41F7">
              <w:rPr>
                <w:rFonts w:asciiTheme="minorHAnsi" w:hAnsiTheme="minorHAnsi" w:cstheme="minorHAnsi"/>
                <w:sz w:val="20"/>
              </w:rPr>
              <w:t>£32,211</w:t>
            </w:r>
          </w:p>
        </w:tc>
        <w:tc>
          <w:tcPr>
            <w:tcW w:w="1253" w:type="dxa"/>
            <w:shd w:val="clear" w:color="auto" w:fill="E2EFD9" w:themeFill="accent6" w:themeFillTint="33"/>
          </w:tcPr>
          <w:p w14:paraId="7D6381C1" w14:textId="1BADBDA7" w:rsidR="006B015F" w:rsidRPr="007D41F7" w:rsidRDefault="006B015F" w:rsidP="00613ABF">
            <w:pPr>
              <w:pStyle w:val="BodyText"/>
              <w:tabs>
                <w:tab w:val="left" w:pos="744"/>
              </w:tabs>
              <w:spacing w:after="0"/>
              <w:jc w:val="center"/>
              <w:rPr>
                <w:rFonts w:asciiTheme="minorHAnsi" w:hAnsiTheme="minorHAnsi" w:cstheme="minorHAnsi"/>
                <w:i/>
                <w:iCs/>
                <w:sz w:val="20"/>
              </w:rPr>
            </w:pPr>
            <w:r w:rsidRPr="007D41F7">
              <w:rPr>
                <w:rFonts w:asciiTheme="minorHAnsi" w:hAnsiTheme="minorHAnsi" w:cstheme="minorHAnsi"/>
                <w:sz w:val="20"/>
              </w:rPr>
              <w:t>£</w:t>
            </w:r>
            <w:r w:rsidR="003A60A4" w:rsidRPr="007D41F7">
              <w:rPr>
                <w:rFonts w:asciiTheme="minorHAnsi" w:hAnsiTheme="minorHAnsi" w:cstheme="minorHAnsi"/>
                <w:sz w:val="20"/>
              </w:rPr>
              <w:t>43,050</w:t>
            </w:r>
          </w:p>
        </w:tc>
        <w:tc>
          <w:tcPr>
            <w:tcW w:w="1253" w:type="dxa"/>
            <w:shd w:val="clear" w:color="auto" w:fill="E2EFD9" w:themeFill="accent6" w:themeFillTint="33"/>
          </w:tcPr>
          <w:p w14:paraId="6D75D5AD" w14:textId="66BB5C78" w:rsidR="006B015F" w:rsidRPr="007D41F7" w:rsidRDefault="00C073E2" w:rsidP="00613ABF">
            <w:pPr>
              <w:pStyle w:val="BodyText"/>
              <w:spacing w:after="0"/>
              <w:jc w:val="center"/>
              <w:rPr>
                <w:rFonts w:asciiTheme="minorHAnsi" w:hAnsiTheme="minorHAnsi" w:cstheme="minorHAnsi"/>
                <w:i/>
                <w:iCs/>
                <w:sz w:val="20"/>
              </w:rPr>
            </w:pPr>
            <w:r>
              <w:rPr>
                <w:rFonts w:asciiTheme="minorHAnsi" w:hAnsiTheme="minorHAnsi" w:cstheme="minorHAnsi"/>
                <w:sz w:val="20"/>
              </w:rPr>
              <w:t>£26,055</w:t>
            </w:r>
          </w:p>
        </w:tc>
        <w:tc>
          <w:tcPr>
            <w:tcW w:w="1253" w:type="dxa"/>
            <w:shd w:val="clear" w:color="auto" w:fill="E2EFD9" w:themeFill="accent6" w:themeFillTint="33"/>
          </w:tcPr>
          <w:p w14:paraId="5C9344C2" w14:textId="6EC13105" w:rsidR="006B015F" w:rsidRPr="007D41F7" w:rsidRDefault="003A60A4" w:rsidP="00613ABF">
            <w:pPr>
              <w:pStyle w:val="BodyText"/>
              <w:spacing w:after="0"/>
              <w:jc w:val="center"/>
              <w:rPr>
                <w:rFonts w:asciiTheme="minorHAnsi" w:hAnsiTheme="minorHAnsi" w:cstheme="minorHAnsi"/>
                <w:sz w:val="20"/>
              </w:rPr>
            </w:pPr>
            <w:r w:rsidRPr="007D41F7">
              <w:rPr>
                <w:rFonts w:asciiTheme="minorHAnsi" w:hAnsiTheme="minorHAnsi" w:cstheme="minorHAnsi"/>
                <w:sz w:val="20"/>
              </w:rPr>
              <w:t>-</w:t>
            </w:r>
          </w:p>
        </w:tc>
        <w:tc>
          <w:tcPr>
            <w:tcW w:w="1189" w:type="dxa"/>
            <w:shd w:val="clear" w:color="auto" w:fill="E2EFD9" w:themeFill="accent6" w:themeFillTint="33"/>
          </w:tcPr>
          <w:p w14:paraId="18C1AA82" w14:textId="3CD753B7" w:rsidR="006B015F" w:rsidRPr="007D41F7" w:rsidRDefault="003A60A4" w:rsidP="00613ABF">
            <w:pPr>
              <w:pStyle w:val="BodyText"/>
              <w:spacing w:after="0"/>
              <w:jc w:val="center"/>
              <w:rPr>
                <w:rFonts w:asciiTheme="minorHAnsi" w:hAnsiTheme="minorHAnsi" w:cstheme="minorHAnsi"/>
                <w:sz w:val="20"/>
              </w:rPr>
            </w:pPr>
            <w:r w:rsidRPr="007D41F7">
              <w:rPr>
                <w:rFonts w:asciiTheme="minorHAnsi" w:hAnsiTheme="minorHAnsi" w:cstheme="minorHAnsi"/>
                <w:sz w:val="20"/>
              </w:rPr>
              <w:t>£1</w:t>
            </w:r>
            <w:r w:rsidR="00332E7B">
              <w:rPr>
                <w:rFonts w:asciiTheme="minorHAnsi" w:hAnsiTheme="minorHAnsi" w:cstheme="minorHAnsi"/>
                <w:sz w:val="20"/>
              </w:rPr>
              <w:t>67,877</w:t>
            </w:r>
          </w:p>
        </w:tc>
      </w:tr>
    </w:tbl>
    <w:p w14:paraId="1EDEFDCF" w14:textId="4A7DBEE6" w:rsidR="006B015F" w:rsidRPr="000354B5" w:rsidRDefault="006B015F" w:rsidP="00613ABF">
      <w:pPr>
        <w:spacing w:before="240" w:after="240"/>
        <w:rPr>
          <w:rFonts w:ascii="Calibri" w:hAnsi="Calibri" w:cs="Calibri"/>
          <w:sz w:val="20"/>
          <w:szCs w:val="20"/>
          <w:lang w:eastAsia="en-GB"/>
        </w:rPr>
      </w:pPr>
      <w:r w:rsidRPr="000354B5">
        <w:rPr>
          <w:rFonts w:ascii="Calibri" w:hAnsi="Calibri" w:cs="Calibri"/>
        </w:rPr>
        <w:t xml:space="preserve">The </w:t>
      </w:r>
      <w:r w:rsidR="003F6643">
        <w:rPr>
          <w:rFonts w:ascii="Calibri" w:hAnsi="Calibri" w:cs="Calibri"/>
        </w:rPr>
        <w:t>Front-Line Delivery (</w:t>
      </w:r>
      <w:r w:rsidRPr="000354B5">
        <w:rPr>
          <w:rFonts w:ascii="Calibri" w:hAnsi="Calibri" w:cs="Calibri"/>
        </w:rPr>
        <w:t>FLD</w:t>
      </w:r>
      <w:r w:rsidR="003F6643">
        <w:rPr>
          <w:rFonts w:ascii="Calibri" w:hAnsi="Calibri" w:cs="Calibri"/>
        </w:rPr>
        <w:t>)</w:t>
      </w:r>
      <w:r w:rsidRPr="000354B5">
        <w:rPr>
          <w:rFonts w:ascii="Calibri" w:hAnsi="Calibri" w:cs="Calibri"/>
        </w:rPr>
        <w:t xml:space="preserve"> budget will be sourced from the wider BPF budget for FY</w:t>
      </w:r>
      <w:r>
        <w:rPr>
          <w:rFonts w:ascii="Calibri" w:hAnsi="Calibri" w:cs="Calibri"/>
        </w:rPr>
        <w:t xml:space="preserve">s </w:t>
      </w:r>
      <w:r w:rsidRPr="000354B5">
        <w:rPr>
          <w:rFonts w:ascii="Calibri" w:hAnsi="Calibri" w:cs="Calibri"/>
        </w:rPr>
        <w:t>2</w:t>
      </w:r>
      <w:r>
        <w:rPr>
          <w:rFonts w:ascii="Calibri" w:hAnsi="Calibri" w:cs="Calibri"/>
        </w:rPr>
        <w:t>2</w:t>
      </w:r>
      <w:r w:rsidRPr="000354B5">
        <w:rPr>
          <w:rFonts w:ascii="Calibri" w:hAnsi="Calibri" w:cs="Calibri"/>
        </w:rPr>
        <w:t>/2</w:t>
      </w:r>
      <w:r>
        <w:rPr>
          <w:rFonts w:ascii="Calibri" w:hAnsi="Calibri" w:cs="Calibri"/>
        </w:rPr>
        <w:t>3-24/25</w:t>
      </w:r>
      <w:r w:rsidRPr="000354B5">
        <w:rPr>
          <w:rFonts w:ascii="Calibri" w:hAnsi="Calibri" w:cs="Calibri"/>
        </w:rPr>
        <w:t xml:space="preserve"> and will cover a fully resourced programme management team.</w:t>
      </w:r>
    </w:p>
    <w:p w14:paraId="596A0822" w14:textId="696B0FC9" w:rsidR="00570CAE" w:rsidRPr="00217F59" w:rsidRDefault="00570CAE" w:rsidP="00214816">
      <w:pPr>
        <w:pStyle w:val="Heading2"/>
        <w:numPr>
          <w:ilvl w:val="1"/>
          <w:numId w:val="39"/>
        </w:numPr>
      </w:pPr>
      <w:bookmarkStart w:id="43" w:name="_Toc121224120"/>
      <w:r w:rsidRPr="00217F59">
        <w:t>Financial Accounting Considerations for Defra</w:t>
      </w:r>
      <w:bookmarkEnd w:id="43"/>
    </w:p>
    <w:p w14:paraId="78056A3B" w14:textId="593E390F" w:rsidR="000865C8" w:rsidRPr="0077536C" w:rsidRDefault="0077536C" w:rsidP="00613ABF">
      <w:pPr>
        <w:spacing w:after="240"/>
        <w:rPr>
          <w:rFonts w:cstheme="minorHAnsi"/>
          <w:lang w:eastAsia="en-GB"/>
        </w:rPr>
      </w:pPr>
      <w:r>
        <w:rPr>
          <w:rFonts w:cstheme="minorHAnsi"/>
          <w:iCs/>
          <w:lang w:eastAsia="en-GB"/>
        </w:rPr>
        <w:t xml:space="preserve">This funding </w:t>
      </w:r>
      <w:r w:rsidRPr="000E16E4">
        <w:rPr>
          <w:rFonts w:cstheme="minorHAnsi"/>
          <w:b/>
          <w:lang w:eastAsia="en-GB"/>
        </w:rPr>
        <w:t>does not require an ESA10 assessment because it is a financial contribution</w:t>
      </w:r>
      <w:r>
        <w:rPr>
          <w:rFonts w:cstheme="minorHAnsi"/>
          <w:iCs/>
          <w:lang w:eastAsia="en-GB"/>
        </w:rPr>
        <w:t xml:space="preserve"> and will not be spent on direct contracting of capital or research costs.</w:t>
      </w:r>
    </w:p>
    <w:p w14:paraId="0A3ED4D7" w14:textId="38DB9FE4" w:rsidR="0071674D" w:rsidRDefault="00317162" w:rsidP="009D471F">
      <w:pPr>
        <w:rPr>
          <w:b/>
          <w:bCs/>
          <w:i/>
          <w:iCs/>
        </w:rPr>
      </w:pPr>
      <w:r w:rsidRPr="000E16E4">
        <w:t>T</w:t>
      </w:r>
      <w:r w:rsidR="0071674D" w:rsidRPr="000E16E4">
        <w:t xml:space="preserve">his spend/contribution </w:t>
      </w:r>
      <w:r w:rsidR="0071674D" w:rsidRPr="000E16E4">
        <w:rPr>
          <w:b/>
          <w:bCs/>
        </w:rPr>
        <w:t>will be</w:t>
      </w:r>
      <w:r w:rsidR="0071674D" w:rsidRPr="00317162">
        <w:rPr>
          <w:b/>
          <w:bCs/>
        </w:rPr>
        <w:t xml:space="preserve"> categorised as RDEL </w:t>
      </w:r>
      <w:r w:rsidR="0071674D" w:rsidRPr="000E16E4">
        <w:t>in accordance with</w:t>
      </w:r>
      <w:r w:rsidR="0071674D">
        <w:t xml:space="preserve"> </w:t>
      </w:r>
      <w:r w:rsidR="0071674D" w:rsidRPr="004B6D9F">
        <w:rPr>
          <w:i/>
          <w:iCs/>
        </w:rPr>
        <w:t>Managing Public Money and Consolidated Budgeting Guidance.</w:t>
      </w:r>
    </w:p>
    <w:p w14:paraId="5ED6C61A" w14:textId="77777777" w:rsidR="009D471F" w:rsidRPr="009D471F" w:rsidRDefault="009D471F" w:rsidP="009D471F">
      <w:pPr>
        <w:rPr>
          <w:b/>
          <w:bCs/>
          <w:i/>
          <w:iCs/>
        </w:rPr>
      </w:pPr>
    </w:p>
    <w:p w14:paraId="52991EBE" w14:textId="2A9B5B3E" w:rsidR="009B53B5" w:rsidRPr="00780DB0" w:rsidRDefault="009B53B5" w:rsidP="00780DB0">
      <w:pPr>
        <w:pStyle w:val="Heading2"/>
        <w:numPr>
          <w:ilvl w:val="1"/>
          <w:numId w:val="39"/>
        </w:numPr>
      </w:pPr>
      <w:bookmarkStart w:id="44" w:name="_Toc121224121"/>
      <w:r w:rsidRPr="00217F59">
        <w:t>Monitoring, reporting and accounting for expenditure</w:t>
      </w:r>
      <w:bookmarkEnd w:id="44"/>
      <w:r w:rsidR="00570CAE" w:rsidRPr="00217F59">
        <w:t xml:space="preserve"> </w:t>
      </w:r>
    </w:p>
    <w:tbl>
      <w:tblPr>
        <w:tblStyle w:val="TableGrid"/>
        <w:tblW w:w="9346" w:type="dxa"/>
        <w:tblLayout w:type="fixed"/>
        <w:tblLook w:val="04A0" w:firstRow="1" w:lastRow="0" w:firstColumn="1" w:lastColumn="0" w:noHBand="0" w:noVBand="1"/>
      </w:tblPr>
      <w:tblGrid>
        <w:gridCol w:w="1691"/>
        <w:gridCol w:w="1276"/>
        <w:gridCol w:w="2244"/>
        <w:gridCol w:w="875"/>
        <w:gridCol w:w="1417"/>
        <w:gridCol w:w="1843"/>
      </w:tblGrid>
      <w:tr w:rsidR="00570CAE" w:rsidRPr="00570CAE" w14:paraId="3A55295A" w14:textId="77777777" w:rsidTr="004B6D9F">
        <w:trPr>
          <w:trHeight w:val="383"/>
        </w:trPr>
        <w:tc>
          <w:tcPr>
            <w:tcW w:w="1691" w:type="dxa"/>
            <w:shd w:val="clear" w:color="auto" w:fill="008938"/>
          </w:tcPr>
          <w:p w14:paraId="6654FB0A" w14:textId="77777777" w:rsidR="00570CAE" w:rsidRPr="00217F59" w:rsidRDefault="00570CAE" w:rsidP="00613ABF">
            <w:pPr>
              <w:jc w:val="center"/>
              <w:rPr>
                <w:rFonts w:cstheme="minorHAnsi"/>
                <w:b/>
                <w:color w:val="FFFFFF" w:themeColor="background1"/>
              </w:rPr>
            </w:pPr>
            <w:r w:rsidRPr="00217F59">
              <w:rPr>
                <w:rFonts w:cstheme="minorHAnsi"/>
                <w:b/>
                <w:color w:val="FFFFFF" w:themeColor="background1"/>
              </w:rPr>
              <w:t>Document</w:t>
            </w:r>
          </w:p>
        </w:tc>
        <w:tc>
          <w:tcPr>
            <w:tcW w:w="1276" w:type="dxa"/>
            <w:shd w:val="clear" w:color="auto" w:fill="008938"/>
          </w:tcPr>
          <w:p w14:paraId="652FA026" w14:textId="77777777" w:rsidR="00570CAE" w:rsidRPr="00217F59" w:rsidRDefault="00570CAE" w:rsidP="00613ABF">
            <w:pPr>
              <w:jc w:val="center"/>
              <w:rPr>
                <w:rFonts w:cstheme="minorHAnsi"/>
                <w:b/>
                <w:color w:val="FFFFFF" w:themeColor="background1"/>
              </w:rPr>
            </w:pPr>
            <w:r w:rsidRPr="00217F59">
              <w:rPr>
                <w:rFonts w:cstheme="minorHAnsi"/>
                <w:b/>
                <w:color w:val="FFFFFF" w:themeColor="background1"/>
              </w:rPr>
              <w:t>Lead</w:t>
            </w:r>
          </w:p>
        </w:tc>
        <w:tc>
          <w:tcPr>
            <w:tcW w:w="2244" w:type="dxa"/>
            <w:shd w:val="clear" w:color="auto" w:fill="008938"/>
          </w:tcPr>
          <w:p w14:paraId="6F1FB2C2" w14:textId="77777777" w:rsidR="00570CAE" w:rsidRPr="00217F59" w:rsidRDefault="00570CAE" w:rsidP="00613ABF">
            <w:pPr>
              <w:jc w:val="center"/>
              <w:rPr>
                <w:rFonts w:cstheme="minorHAnsi"/>
                <w:b/>
                <w:color w:val="FFFFFF" w:themeColor="background1"/>
              </w:rPr>
            </w:pPr>
            <w:r w:rsidRPr="00217F59">
              <w:rPr>
                <w:rFonts w:cstheme="minorHAnsi"/>
                <w:b/>
                <w:color w:val="FFFFFF" w:themeColor="background1"/>
              </w:rPr>
              <w:t>Description</w:t>
            </w:r>
          </w:p>
        </w:tc>
        <w:tc>
          <w:tcPr>
            <w:tcW w:w="875" w:type="dxa"/>
            <w:shd w:val="clear" w:color="auto" w:fill="008938"/>
          </w:tcPr>
          <w:p w14:paraId="2E19BE54" w14:textId="77777777" w:rsidR="00570CAE" w:rsidRPr="00217F59" w:rsidRDefault="00570CAE" w:rsidP="00613ABF">
            <w:pPr>
              <w:jc w:val="center"/>
              <w:rPr>
                <w:rFonts w:cstheme="minorHAnsi"/>
                <w:b/>
                <w:color w:val="FFFFFF" w:themeColor="background1"/>
              </w:rPr>
            </w:pPr>
            <w:r w:rsidRPr="00217F59">
              <w:rPr>
                <w:rFonts w:cstheme="minorHAnsi"/>
                <w:b/>
                <w:color w:val="FFFFFF" w:themeColor="background1"/>
              </w:rPr>
              <w:t>Form</w:t>
            </w:r>
          </w:p>
        </w:tc>
        <w:tc>
          <w:tcPr>
            <w:tcW w:w="1417" w:type="dxa"/>
            <w:shd w:val="clear" w:color="auto" w:fill="008938"/>
          </w:tcPr>
          <w:p w14:paraId="2CA76E1D" w14:textId="77777777" w:rsidR="00570CAE" w:rsidRPr="00217F59" w:rsidRDefault="00570CAE" w:rsidP="00613ABF">
            <w:pPr>
              <w:jc w:val="center"/>
              <w:rPr>
                <w:rFonts w:cstheme="minorHAnsi"/>
                <w:b/>
                <w:color w:val="FFFFFF" w:themeColor="background1"/>
              </w:rPr>
            </w:pPr>
            <w:r w:rsidRPr="00217F59">
              <w:rPr>
                <w:rFonts w:cstheme="minorHAnsi"/>
                <w:b/>
                <w:color w:val="FFFFFF" w:themeColor="background1"/>
              </w:rPr>
              <w:t>Cycle</w:t>
            </w:r>
          </w:p>
        </w:tc>
        <w:tc>
          <w:tcPr>
            <w:tcW w:w="1843" w:type="dxa"/>
            <w:shd w:val="clear" w:color="auto" w:fill="008938"/>
          </w:tcPr>
          <w:p w14:paraId="2E3820F5" w14:textId="77777777" w:rsidR="00570CAE" w:rsidRPr="00217F59" w:rsidRDefault="00570CAE" w:rsidP="00613ABF">
            <w:pPr>
              <w:jc w:val="center"/>
              <w:rPr>
                <w:rFonts w:cstheme="minorHAnsi"/>
                <w:b/>
                <w:color w:val="FFFFFF" w:themeColor="background1"/>
              </w:rPr>
            </w:pPr>
            <w:r w:rsidRPr="00217F59">
              <w:rPr>
                <w:rFonts w:cstheme="minorHAnsi"/>
                <w:b/>
                <w:color w:val="FFFFFF" w:themeColor="background1"/>
              </w:rPr>
              <w:t>Deadline</w:t>
            </w:r>
          </w:p>
        </w:tc>
      </w:tr>
      <w:tr w:rsidR="00570CAE" w:rsidRPr="00A92C7F" w14:paraId="2581222F" w14:textId="77777777" w:rsidTr="004B6D9F">
        <w:trPr>
          <w:trHeight w:val="690"/>
        </w:trPr>
        <w:tc>
          <w:tcPr>
            <w:tcW w:w="1691" w:type="dxa"/>
            <w:shd w:val="clear" w:color="auto" w:fill="F2F2F2" w:themeFill="background1" w:themeFillShade="F2"/>
          </w:tcPr>
          <w:p w14:paraId="70202D12" w14:textId="1CA4BCCD" w:rsidR="00570CAE" w:rsidRPr="00595499" w:rsidRDefault="004B6D9F" w:rsidP="004168E0">
            <w:pPr>
              <w:jc w:val="left"/>
              <w:rPr>
                <w:rFonts w:cstheme="minorHAnsi"/>
                <w:b/>
              </w:rPr>
            </w:pPr>
            <w:r>
              <w:rPr>
                <w:rFonts w:cstheme="minorHAnsi"/>
                <w:b/>
              </w:rPr>
              <w:t xml:space="preserve">Tide Turners: </w:t>
            </w:r>
            <w:r w:rsidR="00570CAE" w:rsidRPr="00595499">
              <w:rPr>
                <w:rFonts w:cstheme="minorHAnsi"/>
                <w:b/>
              </w:rPr>
              <w:t xml:space="preserve">Financial </w:t>
            </w:r>
            <w:r w:rsidR="004168E0">
              <w:rPr>
                <w:rFonts w:cstheme="minorHAnsi"/>
                <w:b/>
              </w:rPr>
              <w:t xml:space="preserve">and </w:t>
            </w:r>
            <w:r w:rsidR="004168E0">
              <w:rPr>
                <w:rFonts w:cstheme="minorHAnsi"/>
                <w:b/>
              </w:rPr>
              <w:lastRenderedPageBreak/>
              <w:t xml:space="preserve">operational </w:t>
            </w:r>
            <w:r w:rsidR="00570CAE" w:rsidRPr="00595499">
              <w:rPr>
                <w:rFonts w:cstheme="minorHAnsi"/>
                <w:b/>
              </w:rPr>
              <w:t xml:space="preserve">report </w:t>
            </w:r>
          </w:p>
        </w:tc>
        <w:tc>
          <w:tcPr>
            <w:tcW w:w="1276" w:type="dxa"/>
          </w:tcPr>
          <w:p w14:paraId="1D6E0167" w14:textId="16EF7385" w:rsidR="00570CAE" w:rsidRPr="00595499" w:rsidRDefault="006A037E" w:rsidP="004168E0">
            <w:pPr>
              <w:jc w:val="left"/>
              <w:rPr>
                <w:rFonts w:cstheme="minorHAnsi"/>
              </w:rPr>
            </w:pPr>
            <w:r w:rsidRPr="00595499">
              <w:rPr>
                <w:rFonts w:cstheme="minorHAnsi"/>
              </w:rPr>
              <w:lastRenderedPageBreak/>
              <w:t>Programme lead</w:t>
            </w:r>
          </w:p>
        </w:tc>
        <w:tc>
          <w:tcPr>
            <w:tcW w:w="2244" w:type="dxa"/>
          </w:tcPr>
          <w:p w14:paraId="20389B9F" w14:textId="76D333C0" w:rsidR="00570CAE" w:rsidRPr="00595499" w:rsidRDefault="004168E0" w:rsidP="004168E0">
            <w:pPr>
              <w:jc w:val="left"/>
              <w:rPr>
                <w:rFonts w:cstheme="minorHAnsi"/>
              </w:rPr>
            </w:pPr>
            <w:r>
              <w:rPr>
                <w:rFonts w:cstheme="minorHAnsi"/>
              </w:rPr>
              <w:t xml:space="preserve">Progress of the programme including </w:t>
            </w:r>
            <w:r>
              <w:rPr>
                <w:rFonts w:cstheme="minorHAnsi"/>
              </w:rPr>
              <w:lastRenderedPageBreak/>
              <w:t>key indicators, successes and risks</w:t>
            </w:r>
          </w:p>
        </w:tc>
        <w:tc>
          <w:tcPr>
            <w:tcW w:w="875" w:type="dxa"/>
          </w:tcPr>
          <w:p w14:paraId="36B6D603" w14:textId="33A0BF7D" w:rsidR="00570CAE" w:rsidRPr="00595499" w:rsidRDefault="004168E0" w:rsidP="00613ABF">
            <w:pPr>
              <w:rPr>
                <w:rFonts w:cstheme="minorHAnsi"/>
              </w:rPr>
            </w:pPr>
            <w:r>
              <w:rPr>
                <w:rFonts w:cstheme="minorHAnsi"/>
              </w:rPr>
              <w:lastRenderedPageBreak/>
              <w:t>Digital</w:t>
            </w:r>
          </w:p>
        </w:tc>
        <w:tc>
          <w:tcPr>
            <w:tcW w:w="1417" w:type="dxa"/>
          </w:tcPr>
          <w:p w14:paraId="1F3D1439" w14:textId="30E2AE2B" w:rsidR="00570CAE" w:rsidRPr="00595499" w:rsidRDefault="006A037E" w:rsidP="00613ABF">
            <w:pPr>
              <w:rPr>
                <w:rFonts w:cstheme="minorHAnsi"/>
              </w:rPr>
            </w:pPr>
            <w:r w:rsidRPr="00595499">
              <w:rPr>
                <w:rFonts w:cstheme="minorHAnsi"/>
              </w:rPr>
              <w:t>Quarterly</w:t>
            </w:r>
          </w:p>
        </w:tc>
        <w:tc>
          <w:tcPr>
            <w:tcW w:w="1843" w:type="dxa"/>
          </w:tcPr>
          <w:p w14:paraId="053D8E1A" w14:textId="2FC03FBA" w:rsidR="00570CAE" w:rsidRPr="00595499" w:rsidRDefault="004168E0" w:rsidP="00613ABF">
            <w:pPr>
              <w:rPr>
                <w:rFonts w:cstheme="minorHAnsi"/>
              </w:rPr>
            </w:pPr>
            <w:r>
              <w:rPr>
                <w:rFonts w:cstheme="minorHAnsi"/>
              </w:rPr>
              <w:t>28 days after end of quarter</w:t>
            </w:r>
          </w:p>
        </w:tc>
      </w:tr>
    </w:tbl>
    <w:p w14:paraId="330BD112" w14:textId="4180C0FB" w:rsidR="009B53B5" w:rsidRPr="00217F59" w:rsidRDefault="009B53B5" w:rsidP="00704DEA">
      <w:pPr>
        <w:pStyle w:val="Heading2"/>
        <w:numPr>
          <w:ilvl w:val="1"/>
          <w:numId w:val="39"/>
        </w:numPr>
        <w:spacing w:before="240"/>
      </w:pPr>
      <w:bookmarkStart w:id="45" w:name="_Toc121224122"/>
      <w:r w:rsidRPr="00217F59">
        <w:t>Financial management</w:t>
      </w:r>
      <w:bookmarkEnd w:id="45"/>
    </w:p>
    <w:p w14:paraId="45B8B331" w14:textId="1D9EC143" w:rsidR="00780DB0" w:rsidRPr="00F34EDF" w:rsidRDefault="004303C4" w:rsidP="00613ABF">
      <w:pPr>
        <w:spacing w:after="240"/>
        <w:rPr>
          <w:rFonts w:cstheme="minorHAnsi"/>
        </w:rPr>
      </w:pPr>
      <w:r w:rsidRPr="00BD39C8">
        <w:rPr>
          <w:rFonts w:cstheme="minorHAnsi"/>
        </w:rPr>
        <w:t xml:space="preserve">There is no expected accrued costs, leftover funds or interest as a result of this </w:t>
      </w:r>
      <w:r w:rsidR="001969A3">
        <w:rPr>
          <w:rFonts w:cstheme="minorHAnsi"/>
        </w:rPr>
        <w:t>contribution</w:t>
      </w:r>
      <w:r w:rsidRPr="00BD39C8">
        <w:rPr>
          <w:rFonts w:cstheme="minorHAnsi"/>
        </w:rPr>
        <w:t xml:space="preserve">. The investment will be paid out in British </w:t>
      </w:r>
      <w:r w:rsidR="00ED6D28">
        <w:rPr>
          <w:rFonts w:cstheme="minorHAnsi"/>
        </w:rPr>
        <w:t>S</w:t>
      </w:r>
      <w:r w:rsidRPr="00BD39C8">
        <w:rPr>
          <w:rFonts w:cstheme="minorHAnsi"/>
        </w:rPr>
        <w:t xml:space="preserve">terling (GBP) and converted into local currency by the delivery partner; therefore, there is no financial risk to Defra due to fluctuating exchange rates.  </w:t>
      </w:r>
    </w:p>
    <w:p w14:paraId="56BE2293" w14:textId="08730DAA" w:rsidR="004846AA" w:rsidRPr="00217F59" w:rsidRDefault="004846AA" w:rsidP="00214816">
      <w:pPr>
        <w:pStyle w:val="Heading2"/>
        <w:numPr>
          <w:ilvl w:val="1"/>
          <w:numId w:val="39"/>
        </w:numPr>
      </w:pPr>
      <w:bookmarkStart w:id="46" w:name="_Toc121224123"/>
      <w:r w:rsidRPr="00217F59">
        <w:t>Financial and fraud risk assessment</w:t>
      </w:r>
      <w:bookmarkEnd w:id="46"/>
    </w:p>
    <w:p w14:paraId="16CF4DD0" w14:textId="77777777" w:rsidR="00ED2BE8" w:rsidRDefault="004303C4" w:rsidP="00613ABF">
      <w:pPr>
        <w:pStyle w:val="NoSpacing"/>
        <w:spacing w:after="240"/>
        <w:jc w:val="both"/>
        <w:rPr>
          <w:rFonts w:cstheme="minorHAnsi"/>
          <w:sz w:val="22"/>
          <w:szCs w:val="22"/>
        </w:rPr>
      </w:pPr>
      <w:r w:rsidRPr="00217F59">
        <w:rPr>
          <w:rFonts w:cstheme="minorHAnsi"/>
          <w:sz w:val="22"/>
          <w:szCs w:val="22"/>
        </w:rPr>
        <w:t xml:space="preserve">In line with ODA guidance, Defra expects all organisations to have a zero-tolerance approach to fraud and corruption; acting immediately if it is found, working with authorities to bring perpetrators to account and pursuing aggressive loss recovery approaches. The work of </w:t>
      </w:r>
      <w:r>
        <w:rPr>
          <w:rFonts w:cstheme="minorHAnsi"/>
          <w:sz w:val="22"/>
          <w:szCs w:val="22"/>
        </w:rPr>
        <w:t>UNEP</w:t>
      </w:r>
      <w:r w:rsidRPr="00217F59">
        <w:rPr>
          <w:rFonts w:cstheme="minorHAnsi"/>
          <w:sz w:val="22"/>
          <w:szCs w:val="22"/>
        </w:rPr>
        <w:t xml:space="preserve"> is governed by </w:t>
      </w:r>
      <w:r>
        <w:rPr>
          <w:rFonts w:cstheme="minorHAnsi"/>
          <w:sz w:val="22"/>
          <w:szCs w:val="22"/>
        </w:rPr>
        <w:t xml:space="preserve">anti-fraud and anti-corruption guidance, which can be accessed </w:t>
      </w:r>
      <w:hyperlink r:id="rId26" w:history="1">
        <w:r w:rsidRPr="004303C4">
          <w:rPr>
            <w:rStyle w:val="Hyperlink"/>
            <w:rFonts w:cstheme="minorHAnsi"/>
            <w:sz w:val="22"/>
            <w:szCs w:val="22"/>
          </w:rPr>
          <w:t>here</w:t>
        </w:r>
      </w:hyperlink>
      <w:r>
        <w:rPr>
          <w:rFonts w:cstheme="minorHAnsi"/>
          <w:sz w:val="22"/>
          <w:szCs w:val="22"/>
        </w:rPr>
        <w:t>.</w:t>
      </w:r>
    </w:p>
    <w:p w14:paraId="271E7E47" w14:textId="365619ED" w:rsidR="00AE5CD5" w:rsidRDefault="00915D10" w:rsidP="00214816">
      <w:pPr>
        <w:pStyle w:val="Heading2"/>
        <w:numPr>
          <w:ilvl w:val="1"/>
          <w:numId w:val="39"/>
        </w:numPr>
      </w:pPr>
      <w:bookmarkStart w:id="47" w:name="_Toc121224124"/>
      <w:r>
        <w:t>Approach to Due Diligence</w:t>
      </w:r>
      <w:bookmarkEnd w:id="47"/>
    </w:p>
    <w:p w14:paraId="4FF1BFE2" w14:textId="2DA2FFDA" w:rsidR="005A53ED" w:rsidRPr="00482877" w:rsidRDefault="005A53ED" w:rsidP="00613ABF">
      <w:pPr>
        <w:spacing w:after="240"/>
        <w:rPr>
          <w:b/>
          <w:lang w:eastAsia="en-GB"/>
        </w:rPr>
      </w:pPr>
      <w:r>
        <w:rPr>
          <w:lang w:eastAsia="en-GB"/>
        </w:rPr>
        <w:t xml:space="preserve">Please see </w:t>
      </w:r>
      <w:r w:rsidRPr="007860E2">
        <w:rPr>
          <w:b/>
          <w:lang w:eastAsia="en-GB"/>
        </w:rPr>
        <w:t xml:space="preserve">Section 2.5 </w:t>
      </w:r>
      <w:r w:rsidR="007860E2">
        <w:rPr>
          <w:b/>
          <w:bCs/>
          <w:lang w:eastAsia="en-GB"/>
        </w:rPr>
        <w:t xml:space="preserve">- </w:t>
      </w:r>
      <w:r w:rsidRPr="007860E2">
        <w:rPr>
          <w:b/>
          <w:lang w:eastAsia="en-GB"/>
        </w:rPr>
        <w:t>Compliance</w:t>
      </w:r>
      <w:r>
        <w:rPr>
          <w:lang w:eastAsia="en-GB"/>
        </w:rPr>
        <w:t xml:space="preserve"> for details on UNEP due diligence. We will also abide by ODA requirements to consider due diligence at the commercial stages, including a due diligence assessment and consideration of the enhanced due diligence report that KPMG undertook in </w:t>
      </w:r>
      <w:r w:rsidRPr="00482877">
        <w:rPr>
          <w:b/>
          <w:lang w:eastAsia="en-GB"/>
        </w:rPr>
        <w:t>September 2019.</w:t>
      </w:r>
    </w:p>
    <w:p w14:paraId="60C0D3EB" w14:textId="79CFC4FA" w:rsidR="009B53B5" w:rsidRPr="00217F59" w:rsidRDefault="009B53B5" w:rsidP="00214816">
      <w:pPr>
        <w:pStyle w:val="Heading2"/>
        <w:numPr>
          <w:ilvl w:val="1"/>
          <w:numId w:val="39"/>
        </w:numPr>
      </w:pPr>
      <w:bookmarkStart w:id="48" w:name="_Toc121224125"/>
      <w:r w:rsidRPr="00217F59">
        <w:t>Provisions for DEFRA to withdraw funding</w:t>
      </w:r>
      <w:bookmarkEnd w:id="48"/>
    </w:p>
    <w:p w14:paraId="608EC2A0" w14:textId="2786ED44" w:rsidR="009B53B5" w:rsidRPr="00217F59" w:rsidRDefault="009B53B5" w:rsidP="00613ABF">
      <w:pPr>
        <w:spacing w:after="240"/>
        <w:rPr>
          <w:rFonts w:cstheme="minorHAnsi"/>
          <w:lang w:eastAsia="en-GB"/>
        </w:rPr>
      </w:pPr>
      <w:r w:rsidRPr="00BD39C8">
        <w:rPr>
          <w:rFonts w:cstheme="minorHAnsi"/>
          <w:lang w:eastAsia="en-GB"/>
        </w:rPr>
        <w:t>The scenarios of potential suspension of funding, termination and returns to DE</w:t>
      </w:r>
      <w:r w:rsidR="00AE5CD5" w:rsidRPr="00BD39C8">
        <w:rPr>
          <w:rFonts w:cstheme="minorHAnsi"/>
          <w:lang w:eastAsia="en-GB"/>
        </w:rPr>
        <w:t>F</w:t>
      </w:r>
      <w:r w:rsidRPr="00217F59">
        <w:rPr>
          <w:rFonts w:cstheme="minorHAnsi"/>
          <w:lang w:eastAsia="en-GB"/>
        </w:rPr>
        <w:t>RA and how they might be triggered, including by the monitoring and reporting cycle, are as follows:</w:t>
      </w:r>
    </w:p>
    <w:tbl>
      <w:tblPr>
        <w:tblStyle w:val="TableGrid"/>
        <w:tblW w:w="9356" w:type="dxa"/>
        <w:tblInd w:w="-10" w:type="dxa"/>
        <w:tblLook w:val="04A0" w:firstRow="1" w:lastRow="0" w:firstColumn="1" w:lastColumn="0" w:noHBand="0" w:noVBand="1"/>
      </w:tblPr>
      <w:tblGrid>
        <w:gridCol w:w="5103"/>
        <w:gridCol w:w="4253"/>
      </w:tblGrid>
      <w:tr w:rsidR="0084538F" w:rsidRPr="00602815" w14:paraId="21C085F8" w14:textId="77777777" w:rsidTr="00E00022">
        <w:tc>
          <w:tcPr>
            <w:tcW w:w="5103" w:type="dxa"/>
            <w:shd w:val="clear" w:color="auto" w:fill="008938"/>
          </w:tcPr>
          <w:p w14:paraId="4737AEB0" w14:textId="77777777" w:rsidR="00570CAE" w:rsidRPr="00602815" w:rsidRDefault="00570CAE" w:rsidP="00613ABF">
            <w:pPr>
              <w:jc w:val="center"/>
              <w:rPr>
                <w:rFonts w:cstheme="minorHAnsi"/>
                <w:b/>
                <w:color w:val="FFFFFF" w:themeColor="background1"/>
                <w:lang w:val="en-US"/>
              </w:rPr>
            </w:pPr>
            <w:r w:rsidRPr="00602815">
              <w:rPr>
                <w:rFonts w:cstheme="minorHAnsi"/>
                <w:b/>
                <w:color w:val="FFFFFF" w:themeColor="background1"/>
                <w:lang w:val="en-US"/>
              </w:rPr>
              <w:t>Scenario</w:t>
            </w:r>
          </w:p>
        </w:tc>
        <w:tc>
          <w:tcPr>
            <w:tcW w:w="4253" w:type="dxa"/>
            <w:shd w:val="clear" w:color="auto" w:fill="008938"/>
          </w:tcPr>
          <w:p w14:paraId="3E356716" w14:textId="77777777" w:rsidR="00570CAE" w:rsidRPr="00602815" w:rsidRDefault="00570CAE" w:rsidP="00613ABF">
            <w:pPr>
              <w:jc w:val="center"/>
              <w:rPr>
                <w:rFonts w:cstheme="minorHAnsi"/>
                <w:b/>
                <w:color w:val="FFFFFF" w:themeColor="background1"/>
                <w:lang w:val="en-US"/>
              </w:rPr>
            </w:pPr>
            <w:r w:rsidRPr="00602815">
              <w:rPr>
                <w:rFonts w:cstheme="minorHAnsi"/>
                <w:b/>
                <w:color w:val="FFFFFF" w:themeColor="background1"/>
                <w:lang w:val="en-US"/>
              </w:rPr>
              <w:t>Timing and reporting trigger (if relevant)</w:t>
            </w:r>
          </w:p>
        </w:tc>
      </w:tr>
      <w:tr w:rsidR="00354390" w:rsidRPr="00602815" w14:paraId="6D6C0A5B" w14:textId="77777777" w:rsidTr="00E00022">
        <w:tc>
          <w:tcPr>
            <w:tcW w:w="5103" w:type="dxa"/>
          </w:tcPr>
          <w:p w14:paraId="71E03FCD" w14:textId="77777777" w:rsidR="00570CAE" w:rsidRPr="00602815" w:rsidRDefault="00570CAE" w:rsidP="00613ABF">
            <w:pPr>
              <w:rPr>
                <w:rFonts w:cstheme="minorHAnsi"/>
                <w:lang w:val="en-US"/>
              </w:rPr>
            </w:pPr>
            <w:r w:rsidRPr="00602815">
              <w:rPr>
                <w:rFonts w:cstheme="minorHAnsi"/>
                <w:lang w:val="en-US"/>
              </w:rPr>
              <w:t>Occurrence of any illegal or corrupt practice</w:t>
            </w:r>
          </w:p>
        </w:tc>
        <w:tc>
          <w:tcPr>
            <w:tcW w:w="4253" w:type="dxa"/>
          </w:tcPr>
          <w:p w14:paraId="61EE0E47" w14:textId="77777777" w:rsidR="004303C4" w:rsidRPr="00602815" w:rsidRDefault="004303C4" w:rsidP="005C25BE">
            <w:pPr>
              <w:pStyle w:val="NormalWeb"/>
              <w:numPr>
                <w:ilvl w:val="0"/>
                <w:numId w:val="4"/>
              </w:numPr>
              <w:spacing w:after="0" w:afterAutospacing="0"/>
              <w:rPr>
                <w:rFonts w:asciiTheme="minorHAnsi" w:hAnsiTheme="minorHAnsi" w:cstheme="minorHAnsi"/>
                <w:sz w:val="20"/>
                <w:szCs w:val="20"/>
              </w:rPr>
            </w:pPr>
            <w:r w:rsidRPr="00602815">
              <w:rPr>
                <w:rFonts w:asciiTheme="minorHAnsi" w:hAnsiTheme="minorHAnsi" w:cstheme="minorHAnsi"/>
                <w:sz w:val="20"/>
                <w:szCs w:val="20"/>
              </w:rPr>
              <w:t>Annual reviews (by Defra)</w:t>
            </w:r>
          </w:p>
          <w:p w14:paraId="04A6B102" w14:textId="77777777" w:rsidR="004303C4" w:rsidRPr="00602815" w:rsidRDefault="004303C4" w:rsidP="005C25BE">
            <w:pPr>
              <w:pStyle w:val="NormalWeb"/>
              <w:numPr>
                <w:ilvl w:val="0"/>
                <w:numId w:val="4"/>
              </w:numPr>
              <w:spacing w:after="0" w:afterAutospacing="0"/>
              <w:rPr>
                <w:rFonts w:asciiTheme="minorHAnsi" w:hAnsiTheme="minorHAnsi" w:cstheme="minorHAnsi"/>
                <w:sz w:val="20"/>
                <w:szCs w:val="20"/>
              </w:rPr>
            </w:pPr>
            <w:r w:rsidRPr="00602815">
              <w:rPr>
                <w:rFonts w:asciiTheme="minorHAnsi" w:hAnsiTheme="minorHAnsi" w:cstheme="minorHAnsi"/>
                <w:sz w:val="20"/>
                <w:szCs w:val="20"/>
              </w:rPr>
              <w:t xml:space="preserve">Monthly updates (delivery partners) </w:t>
            </w:r>
          </w:p>
          <w:p w14:paraId="07330DA4" w14:textId="77777777" w:rsidR="004303C4" w:rsidRPr="00602815" w:rsidRDefault="004303C4" w:rsidP="005C25BE">
            <w:pPr>
              <w:pStyle w:val="NormalWeb"/>
              <w:numPr>
                <w:ilvl w:val="0"/>
                <w:numId w:val="4"/>
              </w:numPr>
              <w:spacing w:after="0" w:afterAutospacing="0"/>
              <w:rPr>
                <w:rFonts w:asciiTheme="minorHAnsi" w:hAnsiTheme="minorHAnsi" w:cstheme="minorHAnsi"/>
                <w:sz w:val="20"/>
                <w:szCs w:val="20"/>
              </w:rPr>
            </w:pPr>
            <w:r w:rsidRPr="00602815">
              <w:rPr>
                <w:rFonts w:asciiTheme="minorHAnsi" w:hAnsiTheme="minorHAnsi" w:cstheme="minorHAnsi"/>
                <w:sz w:val="20"/>
                <w:szCs w:val="20"/>
              </w:rPr>
              <w:t>Press-release or media coverage</w:t>
            </w:r>
          </w:p>
          <w:p w14:paraId="42FC8AF7" w14:textId="581A621E" w:rsidR="00570CAE" w:rsidRPr="00602815" w:rsidRDefault="004303C4" w:rsidP="005C25BE">
            <w:pPr>
              <w:pStyle w:val="NormalWeb"/>
              <w:numPr>
                <w:ilvl w:val="0"/>
                <w:numId w:val="4"/>
              </w:numPr>
              <w:spacing w:after="0" w:afterAutospacing="0"/>
              <w:rPr>
                <w:rFonts w:cstheme="minorHAnsi"/>
                <w:sz w:val="20"/>
                <w:szCs w:val="20"/>
              </w:rPr>
            </w:pPr>
            <w:r w:rsidRPr="00602815">
              <w:rPr>
                <w:rFonts w:asciiTheme="minorHAnsi" w:eastAsiaTheme="minorEastAsia" w:hAnsiTheme="minorHAnsi" w:cstheme="minorHAnsi"/>
                <w:sz w:val="20"/>
                <w:szCs w:val="20"/>
              </w:rPr>
              <w:t>Whistle-blowing</w:t>
            </w:r>
          </w:p>
        </w:tc>
      </w:tr>
      <w:tr w:rsidR="00354390" w:rsidRPr="00602815" w14:paraId="01610A1B" w14:textId="77777777" w:rsidTr="00E00022">
        <w:trPr>
          <w:trHeight w:val="254"/>
        </w:trPr>
        <w:tc>
          <w:tcPr>
            <w:tcW w:w="5103" w:type="dxa"/>
          </w:tcPr>
          <w:p w14:paraId="74314B77" w14:textId="77777777" w:rsidR="007D41F7" w:rsidRPr="00602815" w:rsidRDefault="00570CAE" w:rsidP="00613ABF">
            <w:pPr>
              <w:rPr>
                <w:rFonts w:cstheme="minorHAnsi"/>
                <w:lang w:val="en-US"/>
              </w:rPr>
            </w:pPr>
            <w:r w:rsidRPr="00602815">
              <w:rPr>
                <w:rFonts w:cstheme="minorHAnsi"/>
                <w:lang w:val="en-US"/>
              </w:rPr>
              <w:t>“Extraordinary circumstances that seriously jeopardise the implementation, operation or purpose of the programme”</w:t>
            </w:r>
            <w:r w:rsidR="007D41F7" w:rsidRPr="00602815">
              <w:rPr>
                <w:rFonts w:cstheme="minorHAnsi"/>
                <w:lang w:val="en-US"/>
              </w:rPr>
              <w:t xml:space="preserve">. </w:t>
            </w:r>
          </w:p>
          <w:p w14:paraId="313C2665" w14:textId="208BE203" w:rsidR="00570CAE" w:rsidRPr="00602815" w:rsidRDefault="00570CAE" w:rsidP="00613ABF">
            <w:pPr>
              <w:rPr>
                <w:rFonts w:cstheme="minorHAnsi"/>
                <w:lang w:val="en-US"/>
              </w:rPr>
            </w:pPr>
            <w:r w:rsidRPr="00602815">
              <w:rPr>
                <w:rFonts w:cstheme="minorHAnsi"/>
                <w:lang w:val="en-US"/>
              </w:rPr>
              <w:t xml:space="preserve">This is primarily designed to cover instances of force majeure. We assess this may also provide some cover in extreme cases of under-delivery. </w:t>
            </w:r>
          </w:p>
        </w:tc>
        <w:tc>
          <w:tcPr>
            <w:tcW w:w="4253" w:type="dxa"/>
          </w:tcPr>
          <w:p w14:paraId="72D0E890" w14:textId="77777777" w:rsidR="004303C4" w:rsidRPr="00602815" w:rsidRDefault="004303C4" w:rsidP="005C25BE">
            <w:pPr>
              <w:pStyle w:val="NormalWeb"/>
              <w:numPr>
                <w:ilvl w:val="0"/>
                <w:numId w:val="4"/>
              </w:numPr>
              <w:spacing w:after="0" w:afterAutospacing="0"/>
              <w:rPr>
                <w:rFonts w:asciiTheme="minorHAnsi" w:hAnsiTheme="minorHAnsi" w:cstheme="minorHAnsi"/>
                <w:sz w:val="20"/>
                <w:szCs w:val="20"/>
              </w:rPr>
            </w:pPr>
            <w:r w:rsidRPr="00602815">
              <w:rPr>
                <w:rFonts w:asciiTheme="minorHAnsi" w:hAnsiTheme="minorHAnsi" w:cstheme="minorHAnsi"/>
                <w:sz w:val="20"/>
                <w:szCs w:val="20"/>
              </w:rPr>
              <w:t>Annual reviews (by Defra)</w:t>
            </w:r>
          </w:p>
          <w:p w14:paraId="6B77C976" w14:textId="77777777" w:rsidR="004303C4" w:rsidRPr="00602815" w:rsidRDefault="004303C4" w:rsidP="005C25BE">
            <w:pPr>
              <w:pStyle w:val="NormalWeb"/>
              <w:numPr>
                <w:ilvl w:val="0"/>
                <w:numId w:val="4"/>
              </w:numPr>
              <w:spacing w:after="0" w:afterAutospacing="0"/>
              <w:rPr>
                <w:rFonts w:asciiTheme="minorHAnsi" w:hAnsiTheme="minorHAnsi" w:cstheme="minorHAnsi"/>
                <w:sz w:val="20"/>
                <w:szCs w:val="20"/>
              </w:rPr>
            </w:pPr>
            <w:r w:rsidRPr="00602815">
              <w:rPr>
                <w:rFonts w:asciiTheme="minorHAnsi" w:hAnsiTheme="minorHAnsi" w:cstheme="minorHAnsi"/>
                <w:sz w:val="20"/>
                <w:szCs w:val="20"/>
              </w:rPr>
              <w:t xml:space="preserve">Monthly updates (delivery partners) </w:t>
            </w:r>
          </w:p>
          <w:p w14:paraId="6B99ABCF" w14:textId="3C24D122" w:rsidR="00570CAE" w:rsidRPr="00602815" w:rsidRDefault="004303C4" w:rsidP="005C25BE">
            <w:pPr>
              <w:pStyle w:val="NormalWeb"/>
              <w:numPr>
                <w:ilvl w:val="0"/>
                <w:numId w:val="4"/>
              </w:numPr>
              <w:spacing w:after="0" w:afterAutospacing="0"/>
              <w:rPr>
                <w:rFonts w:cstheme="minorHAnsi"/>
                <w:sz w:val="20"/>
                <w:szCs w:val="20"/>
              </w:rPr>
            </w:pPr>
            <w:r w:rsidRPr="00602815">
              <w:rPr>
                <w:rFonts w:asciiTheme="minorHAnsi" w:eastAsiaTheme="minorEastAsia" w:hAnsiTheme="minorHAnsi" w:cstheme="minorHAnsi"/>
                <w:sz w:val="20"/>
                <w:szCs w:val="20"/>
              </w:rPr>
              <w:t>Press-release or media coverage</w:t>
            </w:r>
          </w:p>
        </w:tc>
      </w:tr>
      <w:tr w:rsidR="00354390" w:rsidRPr="00602815" w14:paraId="10C67DF1" w14:textId="77777777" w:rsidTr="00E00022">
        <w:trPr>
          <w:trHeight w:val="254"/>
        </w:trPr>
        <w:tc>
          <w:tcPr>
            <w:tcW w:w="5103" w:type="dxa"/>
          </w:tcPr>
          <w:p w14:paraId="02CD627D" w14:textId="400F0D9E" w:rsidR="00570CAE" w:rsidRPr="00602815" w:rsidRDefault="00570CAE" w:rsidP="00613ABF">
            <w:pPr>
              <w:rPr>
                <w:rFonts w:cstheme="minorHAnsi"/>
                <w:lang w:val="en-US"/>
              </w:rPr>
            </w:pPr>
            <w:r w:rsidRPr="00602815">
              <w:rPr>
                <w:rFonts w:cstheme="minorHAnsi"/>
                <w:lang w:val="en-US"/>
              </w:rPr>
              <w:t xml:space="preserve">“If </w:t>
            </w:r>
            <w:r w:rsidR="004303C4" w:rsidRPr="00602815">
              <w:rPr>
                <w:rFonts w:cstheme="minorHAnsi"/>
                <w:lang w:val="en-US"/>
              </w:rPr>
              <w:t>UNEP</w:t>
            </w:r>
            <w:r w:rsidRPr="00602815">
              <w:rPr>
                <w:rFonts w:cstheme="minorHAnsi"/>
                <w:lang w:val="en-US"/>
              </w:rPr>
              <w:t xml:space="preserve"> does not fulfill its commitments according to the cooperation contract”</w:t>
            </w:r>
          </w:p>
        </w:tc>
        <w:tc>
          <w:tcPr>
            <w:tcW w:w="4253" w:type="dxa"/>
          </w:tcPr>
          <w:p w14:paraId="4109CA3A" w14:textId="77777777" w:rsidR="004303C4" w:rsidRPr="00602815" w:rsidRDefault="004303C4" w:rsidP="005C25BE">
            <w:pPr>
              <w:pStyle w:val="NoSpacing"/>
              <w:numPr>
                <w:ilvl w:val="0"/>
                <w:numId w:val="5"/>
              </w:numPr>
              <w:rPr>
                <w:rFonts w:cstheme="minorHAnsi"/>
                <w:i/>
                <w:iCs/>
              </w:rPr>
            </w:pPr>
            <w:r w:rsidRPr="00602815">
              <w:rPr>
                <w:rFonts w:cstheme="minorHAnsi"/>
              </w:rPr>
              <w:t>Monitoring and evaluation procedures at mid- and end-points of the programme</w:t>
            </w:r>
          </w:p>
          <w:p w14:paraId="2F9FEC29" w14:textId="77777777" w:rsidR="004303C4" w:rsidRPr="00602815" w:rsidRDefault="004303C4" w:rsidP="005C25BE">
            <w:pPr>
              <w:pStyle w:val="NoSpacing"/>
              <w:numPr>
                <w:ilvl w:val="0"/>
                <w:numId w:val="5"/>
              </w:numPr>
              <w:rPr>
                <w:rFonts w:cstheme="minorHAnsi"/>
                <w:i/>
                <w:iCs/>
              </w:rPr>
            </w:pPr>
            <w:r w:rsidRPr="00602815">
              <w:rPr>
                <w:rFonts w:cstheme="minorHAnsi"/>
              </w:rPr>
              <w:t>Monthly financial reports (by Defra)</w:t>
            </w:r>
          </w:p>
          <w:p w14:paraId="56B586CC" w14:textId="77777777" w:rsidR="004303C4" w:rsidRPr="00602815" w:rsidRDefault="004303C4" w:rsidP="005C25BE">
            <w:pPr>
              <w:pStyle w:val="NoSpacing"/>
              <w:numPr>
                <w:ilvl w:val="0"/>
                <w:numId w:val="5"/>
              </w:numPr>
              <w:rPr>
                <w:rFonts w:cstheme="minorHAnsi"/>
                <w:i/>
                <w:iCs/>
              </w:rPr>
            </w:pPr>
            <w:r w:rsidRPr="00602815">
              <w:rPr>
                <w:rFonts w:cstheme="minorHAnsi"/>
              </w:rPr>
              <w:t>Annual reviews (by Defra)</w:t>
            </w:r>
          </w:p>
          <w:p w14:paraId="1C47FD20" w14:textId="4C7F9CF7" w:rsidR="00570CAE" w:rsidRPr="00217F59" w:rsidRDefault="004303C4" w:rsidP="005C25BE">
            <w:pPr>
              <w:pStyle w:val="NoSpacing"/>
              <w:numPr>
                <w:ilvl w:val="0"/>
                <w:numId w:val="5"/>
              </w:numPr>
              <w:rPr>
                <w:rFonts w:cstheme="minorHAnsi"/>
                <w:i/>
                <w:szCs w:val="22"/>
              </w:rPr>
            </w:pPr>
            <w:r w:rsidRPr="00602815">
              <w:rPr>
                <w:rFonts w:cstheme="minorHAnsi"/>
              </w:rPr>
              <w:t>Monthly updates (delivery partners)</w:t>
            </w:r>
          </w:p>
        </w:tc>
      </w:tr>
    </w:tbl>
    <w:p w14:paraId="64B1D3A8" w14:textId="77777777" w:rsidR="00FF072D" w:rsidRDefault="00E810F8" w:rsidP="00613ABF">
      <w:pPr>
        <w:spacing w:after="240"/>
        <w:jc w:val="left"/>
        <w:rPr>
          <w:rFonts w:eastAsiaTheme="minorEastAsia" w:cstheme="minorHAnsi"/>
          <w:b/>
          <w:color w:val="FFFFFF" w:themeColor="background1"/>
          <w:sz w:val="28"/>
        </w:rPr>
      </w:pPr>
      <w:r>
        <w:rPr>
          <w:rFonts w:cstheme="minorHAnsi"/>
          <w:caps/>
        </w:rPr>
        <w:br w:type="page"/>
      </w:r>
    </w:p>
    <w:p w14:paraId="1E68000D" w14:textId="0A15BA41" w:rsidR="00FF072D" w:rsidRPr="00217F59" w:rsidRDefault="00FF072D" w:rsidP="00214816">
      <w:pPr>
        <w:pStyle w:val="Heading1"/>
        <w:numPr>
          <w:ilvl w:val="0"/>
          <w:numId w:val="39"/>
        </w:numPr>
      </w:pPr>
      <w:bookmarkStart w:id="49" w:name="_Toc121224126"/>
      <w:r w:rsidRPr="00217F59">
        <w:lastRenderedPageBreak/>
        <w:t>MANAGEMENT CASE</w:t>
      </w:r>
      <w:bookmarkEnd w:id="49"/>
    </w:p>
    <w:p w14:paraId="5C274B0D" w14:textId="175543E1" w:rsidR="0044521A" w:rsidRPr="00F9475A" w:rsidRDefault="004216CF" w:rsidP="00214816">
      <w:pPr>
        <w:pStyle w:val="Heading2"/>
        <w:numPr>
          <w:ilvl w:val="1"/>
          <w:numId w:val="39"/>
        </w:numPr>
      </w:pPr>
      <w:bookmarkStart w:id="50" w:name="_Toc121224127"/>
      <w:r w:rsidRPr="00217F59">
        <w:t>What are the management and governance arrangements?</w:t>
      </w:r>
      <w:bookmarkEnd w:id="50"/>
    </w:p>
    <w:p w14:paraId="2B206E0A" w14:textId="4E723B96" w:rsidR="0044521A" w:rsidRPr="00217F59" w:rsidRDefault="0044521A" w:rsidP="00595499">
      <w:pPr>
        <w:pStyle w:val="Heading3"/>
      </w:pPr>
      <w:r w:rsidRPr="00217F59">
        <w:t>Roles, responsibilities and accountabilities</w:t>
      </w:r>
    </w:p>
    <w:p w14:paraId="6F752231" w14:textId="4080B099" w:rsidR="00DE41DA" w:rsidRPr="00DE41DA" w:rsidRDefault="00873C7B" w:rsidP="254A63E7">
      <w:pPr>
        <w:rPr>
          <w:lang w:eastAsia="en-GB"/>
        </w:rPr>
      </w:pPr>
      <w:r w:rsidRPr="101D0A4C">
        <w:rPr>
          <w:b/>
          <w:bCs/>
          <w:lang w:eastAsia="en-GB"/>
        </w:rPr>
        <w:t>The Defra Project Manager</w:t>
      </w:r>
      <w:r w:rsidRPr="101D0A4C">
        <w:rPr>
          <w:lang w:eastAsia="en-GB"/>
        </w:rPr>
        <w:t xml:space="preserve"> will work closely with the delivery partner to ensure progress is on track, request delivery evidence and reporting, and ensure timely payments are processed.</w:t>
      </w:r>
      <w:r w:rsidR="004B6D9F" w:rsidRPr="101D0A4C">
        <w:rPr>
          <w:lang w:eastAsia="en-GB"/>
        </w:rPr>
        <w:t xml:space="preserve"> This involves bi-monthly progress meetings with UNEP to discuss deliverables, risks and issues with the Tide Turners programme.</w:t>
      </w:r>
      <w:r w:rsidR="0083605D" w:rsidRPr="101D0A4C">
        <w:rPr>
          <w:lang w:eastAsia="en-GB"/>
        </w:rPr>
        <w:t xml:space="preserve"> </w:t>
      </w:r>
      <w:r w:rsidR="0002113F" w:rsidRPr="101D0A4C">
        <w:rPr>
          <w:lang w:eastAsia="en-GB"/>
        </w:rPr>
        <w:t xml:space="preserve">The process for regularly engaging on INC spending and delivery will be similar, </w:t>
      </w:r>
      <w:r w:rsidR="00C75089" w:rsidRPr="101D0A4C">
        <w:rPr>
          <w:lang w:eastAsia="en-GB"/>
        </w:rPr>
        <w:t xml:space="preserve">with UNEP providing annual reporting </w:t>
      </w:r>
      <w:r w:rsidR="00E91177" w:rsidRPr="101D0A4C">
        <w:rPr>
          <w:lang w:eastAsia="en-GB"/>
        </w:rPr>
        <w:t xml:space="preserve">on </w:t>
      </w:r>
      <w:r w:rsidR="00E8481C" w:rsidRPr="101D0A4C">
        <w:rPr>
          <w:lang w:eastAsia="en-GB"/>
        </w:rPr>
        <w:t>Defra funding</w:t>
      </w:r>
      <w:r w:rsidR="008D4767" w:rsidRPr="101D0A4C">
        <w:rPr>
          <w:lang w:eastAsia="en-GB"/>
        </w:rPr>
        <w:t xml:space="preserve"> in addition to </w:t>
      </w:r>
      <w:r w:rsidR="00E131F7" w:rsidRPr="101D0A4C">
        <w:rPr>
          <w:lang w:eastAsia="en-GB"/>
        </w:rPr>
        <w:t>routine reporting</w:t>
      </w:r>
      <w:r w:rsidR="78601A0B" w:rsidRPr="101D0A4C">
        <w:rPr>
          <w:lang w:eastAsia="en-GB"/>
        </w:rPr>
        <w:t xml:space="preserve"> to the Bureau and member states</w:t>
      </w:r>
      <w:r w:rsidR="00E131F7" w:rsidRPr="101D0A4C">
        <w:rPr>
          <w:lang w:eastAsia="en-GB"/>
        </w:rPr>
        <w:t xml:space="preserve"> on the overall INC budget</w:t>
      </w:r>
      <w:r w:rsidR="00CD6398" w:rsidRPr="101D0A4C">
        <w:rPr>
          <w:lang w:eastAsia="en-GB"/>
        </w:rPr>
        <w:t xml:space="preserve">. </w:t>
      </w:r>
      <w:r w:rsidR="0060775D" w:rsidRPr="101D0A4C">
        <w:rPr>
          <w:lang w:eastAsia="en-GB"/>
        </w:rPr>
        <w:t>Progress review meetings</w:t>
      </w:r>
      <w:r w:rsidR="00ED6DB3" w:rsidRPr="101D0A4C">
        <w:rPr>
          <w:lang w:eastAsia="en-GB"/>
        </w:rPr>
        <w:t xml:space="preserve"> to discuss deliverables, risks and issues</w:t>
      </w:r>
      <w:r w:rsidR="0060775D" w:rsidRPr="101D0A4C">
        <w:rPr>
          <w:lang w:eastAsia="en-GB"/>
        </w:rPr>
        <w:t xml:space="preserve"> can be arranged </w:t>
      </w:r>
      <w:r w:rsidR="00ED6DB3" w:rsidRPr="101D0A4C">
        <w:rPr>
          <w:lang w:eastAsia="en-GB"/>
        </w:rPr>
        <w:t>if</w:t>
      </w:r>
      <w:r w:rsidR="008467D5" w:rsidRPr="101D0A4C">
        <w:rPr>
          <w:lang w:eastAsia="en-GB"/>
        </w:rPr>
        <w:t xml:space="preserve"> required by project and policy teams after review </w:t>
      </w:r>
      <w:r w:rsidR="008A14EC" w:rsidRPr="101D0A4C">
        <w:rPr>
          <w:lang w:eastAsia="en-GB"/>
        </w:rPr>
        <w:t>of the annual reporting</w:t>
      </w:r>
      <w:r w:rsidR="0002113F" w:rsidRPr="101D0A4C">
        <w:rPr>
          <w:lang w:eastAsia="en-GB"/>
        </w:rPr>
        <w:t xml:space="preserve">. </w:t>
      </w:r>
      <w:r w:rsidR="0083605D" w:rsidRPr="101D0A4C">
        <w:rPr>
          <w:lang w:eastAsia="en-GB"/>
        </w:rPr>
        <w:t>The Project Manager</w:t>
      </w:r>
      <w:r w:rsidRPr="101D0A4C">
        <w:rPr>
          <w:lang w:eastAsia="en-GB"/>
        </w:rPr>
        <w:t xml:space="preserve"> will be required to report to the </w:t>
      </w:r>
      <w:r w:rsidRPr="101D0A4C">
        <w:rPr>
          <w:b/>
          <w:bCs/>
          <w:lang w:eastAsia="en-GB"/>
        </w:rPr>
        <w:t>BPF Programme Board</w:t>
      </w:r>
      <w:r w:rsidRPr="101D0A4C">
        <w:rPr>
          <w:lang w:eastAsia="en-GB"/>
        </w:rPr>
        <w:t xml:space="preserve">, which has </w:t>
      </w:r>
      <w:r>
        <w:t>oversight of all BPF investments, their timelines, realised benefits and the potential risks.</w:t>
      </w:r>
      <w:r w:rsidRPr="101D0A4C">
        <w:rPr>
          <w:color w:val="000000" w:themeColor="text1"/>
        </w:rPr>
        <w:t xml:space="preserve"> </w:t>
      </w:r>
    </w:p>
    <w:p w14:paraId="4FD8C2DF" w14:textId="78B9AC3D" w:rsidR="00DE41DA" w:rsidRPr="00DE41DA" w:rsidRDefault="00873C7B" w:rsidP="007B7079">
      <w:r w:rsidRPr="00DE41DA">
        <w:t xml:space="preserve">There will also be requirements to report to the Marine &amp; Fisheries programme board, and the </w:t>
      </w:r>
      <w:r w:rsidRPr="00DE41DA">
        <w:rPr>
          <w:b/>
          <w:bCs/>
        </w:rPr>
        <w:t>BPF Joint Management Board</w:t>
      </w:r>
      <w:r w:rsidR="009E3B73" w:rsidRPr="00DE41DA">
        <w:rPr>
          <w:b/>
          <w:bCs/>
        </w:rPr>
        <w:t xml:space="preserve"> (JMB)</w:t>
      </w:r>
      <w:r w:rsidRPr="00DE41DA">
        <w:t xml:space="preserve"> on a regular basis.</w:t>
      </w:r>
      <w:r w:rsidR="0081627B">
        <w:rPr>
          <w:b/>
          <w:bCs/>
        </w:rPr>
        <w:t xml:space="preserve"> </w:t>
      </w:r>
      <w:r w:rsidRPr="00DE41DA">
        <w:rPr>
          <w:b/>
          <w:bCs/>
        </w:rPr>
        <w:t>The Senior Responsible Officer (SRO)</w:t>
      </w:r>
      <w:r w:rsidRPr="00DE41DA">
        <w:t xml:space="preserve"> will </w:t>
      </w:r>
      <w:r w:rsidR="009E3B73" w:rsidRPr="00DE41DA">
        <w:t xml:space="preserve">retain policy oversight </w:t>
      </w:r>
      <w:r w:rsidR="00DE41DA" w:rsidRPr="00DE41DA">
        <w:t>and accountability for</w:t>
      </w:r>
      <w:r w:rsidR="009E3B73" w:rsidRPr="00DE41DA">
        <w:t xml:space="preserve"> the programme.</w:t>
      </w:r>
      <w:r w:rsidR="00FF0755">
        <w:t xml:space="preserve"> </w:t>
      </w:r>
    </w:p>
    <w:p w14:paraId="2109B7F5" w14:textId="38633469" w:rsidR="0044521A" w:rsidRPr="00217F59" w:rsidRDefault="0044521A" w:rsidP="00595499">
      <w:pPr>
        <w:pStyle w:val="Heading3"/>
      </w:pPr>
      <w:r w:rsidRPr="00217F59">
        <w:t>ODA Board</w:t>
      </w:r>
    </w:p>
    <w:p w14:paraId="0C52BCA7" w14:textId="2B6785AC" w:rsidR="0044521A" w:rsidRPr="00217F59" w:rsidRDefault="0044521A" w:rsidP="00613ABF">
      <w:pPr>
        <w:spacing w:after="240"/>
        <w:rPr>
          <w:rFonts w:cstheme="minorHAnsi"/>
        </w:rPr>
      </w:pPr>
      <w:r w:rsidRPr="00217F59">
        <w:rPr>
          <w:rFonts w:cstheme="minorHAnsi"/>
        </w:rPr>
        <w:t xml:space="preserve">The role of </w:t>
      </w:r>
      <w:r w:rsidR="001969A3">
        <w:rPr>
          <w:rFonts w:cstheme="minorHAnsi"/>
        </w:rPr>
        <w:t>the</w:t>
      </w:r>
      <w:r w:rsidR="001969A3" w:rsidRPr="00217F59">
        <w:rPr>
          <w:rFonts w:cstheme="minorHAnsi"/>
        </w:rPr>
        <w:t xml:space="preserve"> </w:t>
      </w:r>
      <w:r w:rsidRPr="00217F59">
        <w:rPr>
          <w:rFonts w:cstheme="minorHAnsi"/>
        </w:rPr>
        <w:t xml:space="preserve">ODA board is to provide </w:t>
      </w:r>
      <w:r w:rsidR="001969A3">
        <w:rPr>
          <w:rFonts w:cstheme="minorHAnsi"/>
        </w:rPr>
        <w:t>ongoing</w:t>
      </w:r>
      <w:r w:rsidRPr="00217F59">
        <w:rPr>
          <w:rFonts w:cstheme="minorHAnsi"/>
        </w:rPr>
        <w:t xml:space="preserve"> assurance for Defra’s ODA budget and to provide strategic direction for Defra’s ODA spend. </w:t>
      </w:r>
      <w:r w:rsidR="00E207C3">
        <w:rPr>
          <w:rFonts w:cstheme="minorHAnsi"/>
        </w:rPr>
        <w:t xml:space="preserve">High RAG-rated programme risks will be escalated to the ODA Board for sight and be kept involved in the mitigation process. </w:t>
      </w:r>
      <w:r w:rsidRPr="00217F59">
        <w:rPr>
          <w:rFonts w:cstheme="minorHAnsi"/>
        </w:rPr>
        <w:t xml:space="preserve">The ODA board meets quarterly and consists of Senior Civil servants from </w:t>
      </w:r>
      <w:r w:rsidR="0086261E" w:rsidRPr="00217F59">
        <w:rPr>
          <w:rFonts w:cstheme="minorHAnsi"/>
        </w:rPr>
        <w:t>FCDO</w:t>
      </w:r>
      <w:r w:rsidRPr="00217F59">
        <w:rPr>
          <w:rFonts w:cstheme="minorHAnsi"/>
        </w:rPr>
        <w:t xml:space="preserve"> and Defra. Within Defra the ODA Board has a remit to:</w:t>
      </w:r>
    </w:p>
    <w:p w14:paraId="4DBC80E1" w14:textId="4523DFEF" w:rsidR="0044521A" w:rsidRPr="00217F59" w:rsidRDefault="0044521A" w:rsidP="00565E6E">
      <w:pPr>
        <w:pStyle w:val="ListParagraph"/>
        <w:numPr>
          <w:ilvl w:val="0"/>
          <w:numId w:val="107"/>
        </w:numPr>
        <w:spacing w:after="240" w:line="240" w:lineRule="auto"/>
        <w:rPr>
          <w:rFonts w:asciiTheme="minorHAnsi" w:hAnsiTheme="minorHAnsi" w:cstheme="minorHAnsi"/>
        </w:rPr>
      </w:pPr>
      <w:r w:rsidRPr="00217F59">
        <w:rPr>
          <w:rFonts w:asciiTheme="minorHAnsi" w:hAnsiTheme="minorHAnsi" w:cstheme="minorHAnsi"/>
        </w:rPr>
        <w:t xml:space="preserve">Monitor the strategic direction for ODA spend in Defra </w:t>
      </w:r>
    </w:p>
    <w:p w14:paraId="53A9073C" w14:textId="54185099" w:rsidR="0044521A" w:rsidRPr="00217F59" w:rsidRDefault="0044521A" w:rsidP="00565E6E">
      <w:pPr>
        <w:pStyle w:val="ListParagraph"/>
        <w:numPr>
          <w:ilvl w:val="0"/>
          <w:numId w:val="107"/>
        </w:numPr>
        <w:spacing w:after="240" w:line="240" w:lineRule="auto"/>
        <w:rPr>
          <w:rFonts w:asciiTheme="minorHAnsi" w:hAnsiTheme="minorHAnsi" w:cstheme="minorHAnsi"/>
        </w:rPr>
      </w:pPr>
      <w:r w:rsidRPr="00217F59">
        <w:rPr>
          <w:rFonts w:asciiTheme="minorHAnsi" w:hAnsiTheme="minorHAnsi" w:cstheme="minorHAnsi"/>
        </w:rPr>
        <w:t>Monitor the implementation of Defra’s ODA strategy and policy priorities</w:t>
      </w:r>
    </w:p>
    <w:p w14:paraId="16877E4A" w14:textId="0DA1091C" w:rsidR="0044521A" w:rsidRPr="00217F59" w:rsidRDefault="0044521A" w:rsidP="00565E6E">
      <w:pPr>
        <w:pStyle w:val="ListParagraph"/>
        <w:numPr>
          <w:ilvl w:val="0"/>
          <w:numId w:val="107"/>
        </w:numPr>
        <w:spacing w:after="240" w:line="240" w:lineRule="auto"/>
        <w:rPr>
          <w:rFonts w:asciiTheme="minorHAnsi" w:hAnsiTheme="minorHAnsi" w:cstheme="minorHAnsi"/>
        </w:rPr>
      </w:pPr>
      <w:r w:rsidRPr="00217F59">
        <w:rPr>
          <w:rFonts w:asciiTheme="minorHAnsi" w:hAnsiTheme="minorHAnsi" w:cstheme="minorHAnsi"/>
        </w:rPr>
        <w:t>Clear Business Cases for ODA spend above £5 million</w:t>
      </w:r>
    </w:p>
    <w:p w14:paraId="6704892A" w14:textId="4178872C" w:rsidR="0044521A" w:rsidRPr="00217F59" w:rsidRDefault="0044521A" w:rsidP="00565E6E">
      <w:pPr>
        <w:pStyle w:val="ListParagraph"/>
        <w:numPr>
          <w:ilvl w:val="0"/>
          <w:numId w:val="107"/>
        </w:numPr>
        <w:spacing w:after="240" w:line="240" w:lineRule="auto"/>
        <w:rPr>
          <w:rFonts w:asciiTheme="minorHAnsi" w:hAnsiTheme="minorHAnsi" w:cstheme="minorHAnsi"/>
        </w:rPr>
      </w:pPr>
      <w:r w:rsidRPr="00217F59">
        <w:rPr>
          <w:rFonts w:asciiTheme="minorHAnsi" w:hAnsiTheme="minorHAnsi" w:cstheme="minorHAnsi"/>
        </w:rPr>
        <w:t>Monitor progress against the results set out in business case</w:t>
      </w:r>
    </w:p>
    <w:p w14:paraId="340EF783" w14:textId="176B4C1B" w:rsidR="0044521A" w:rsidRPr="00217F59" w:rsidRDefault="0044521A" w:rsidP="00565E6E">
      <w:pPr>
        <w:pStyle w:val="ListParagraph"/>
        <w:numPr>
          <w:ilvl w:val="0"/>
          <w:numId w:val="107"/>
        </w:numPr>
        <w:spacing w:after="240" w:line="240" w:lineRule="auto"/>
        <w:rPr>
          <w:rFonts w:asciiTheme="minorHAnsi" w:hAnsiTheme="minorHAnsi" w:cstheme="minorHAnsi"/>
        </w:rPr>
      </w:pPr>
      <w:r w:rsidRPr="00217F59">
        <w:rPr>
          <w:rFonts w:asciiTheme="minorHAnsi" w:hAnsiTheme="minorHAnsi" w:cstheme="minorHAnsi"/>
        </w:rPr>
        <w:t>Monitor and advis</w:t>
      </w:r>
      <w:r w:rsidR="009A6D0C">
        <w:rPr>
          <w:rFonts w:asciiTheme="minorHAnsi" w:hAnsiTheme="minorHAnsi" w:cstheme="minorHAnsi"/>
        </w:rPr>
        <w:t>e</w:t>
      </w:r>
      <w:r w:rsidRPr="00217F59">
        <w:rPr>
          <w:rFonts w:asciiTheme="minorHAnsi" w:hAnsiTheme="minorHAnsi" w:cstheme="minorHAnsi"/>
        </w:rPr>
        <w:t xml:space="preserve"> on significant risks to implementation </w:t>
      </w:r>
    </w:p>
    <w:p w14:paraId="3D3A1B9B" w14:textId="6D5C88B2" w:rsidR="0044521A" w:rsidRPr="00217F59" w:rsidRDefault="0044521A" w:rsidP="00565E6E">
      <w:pPr>
        <w:pStyle w:val="ListParagraph"/>
        <w:numPr>
          <w:ilvl w:val="0"/>
          <w:numId w:val="107"/>
        </w:numPr>
        <w:spacing w:after="240" w:line="240" w:lineRule="auto"/>
        <w:rPr>
          <w:rFonts w:asciiTheme="minorHAnsi" w:hAnsiTheme="minorHAnsi" w:cstheme="minorHAnsi"/>
        </w:rPr>
      </w:pPr>
      <w:r w:rsidRPr="00217F59">
        <w:rPr>
          <w:rFonts w:asciiTheme="minorHAnsi" w:hAnsiTheme="minorHAnsi" w:cstheme="minorHAnsi"/>
        </w:rPr>
        <w:t xml:space="preserve">Recommend remedial actions to the SRO if operational or financial performance is off track </w:t>
      </w:r>
    </w:p>
    <w:p w14:paraId="7941D9EE" w14:textId="02CC735C" w:rsidR="0044521A" w:rsidRPr="00217F59" w:rsidRDefault="0044521A" w:rsidP="00565E6E">
      <w:pPr>
        <w:pStyle w:val="ListParagraph"/>
        <w:numPr>
          <w:ilvl w:val="0"/>
          <w:numId w:val="107"/>
        </w:numPr>
        <w:spacing w:after="240" w:line="240" w:lineRule="auto"/>
        <w:rPr>
          <w:rFonts w:asciiTheme="minorHAnsi" w:hAnsiTheme="minorHAnsi" w:cstheme="minorHAnsi"/>
        </w:rPr>
      </w:pPr>
      <w:r w:rsidRPr="00217F59">
        <w:rPr>
          <w:rFonts w:asciiTheme="minorHAnsi" w:hAnsiTheme="minorHAnsi" w:cstheme="minorHAnsi"/>
        </w:rPr>
        <w:t xml:space="preserve">Ensure ODA rules are met </w:t>
      </w:r>
    </w:p>
    <w:p w14:paraId="3D6445DF" w14:textId="08AA211B" w:rsidR="0044521A" w:rsidRPr="00217F59" w:rsidRDefault="0044521A" w:rsidP="00565E6E">
      <w:pPr>
        <w:pStyle w:val="ListParagraph"/>
        <w:numPr>
          <w:ilvl w:val="0"/>
          <w:numId w:val="107"/>
        </w:numPr>
        <w:spacing w:after="240" w:line="240" w:lineRule="auto"/>
        <w:rPr>
          <w:rFonts w:asciiTheme="minorHAnsi" w:hAnsiTheme="minorHAnsi" w:cstheme="minorHAnsi"/>
        </w:rPr>
      </w:pPr>
      <w:r w:rsidRPr="00217F59">
        <w:rPr>
          <w:rFonts w:asciiTheme="minorHAnsi" w:hAnsiTheme="minorHAnsi" w:cstheme="minorHAnsi"/>
        </w:rPr>
        <w:t xml:space="preserve">Ensure consistency with </w:t>
      </w:r>
      <w:r w:rsidR="00787920">
        <w:rPr>
          <w:rFonts w:asciiTheme="minorHAnsi" w:hAnsiTheme="minorHAnsi" w:cstheme="minorHAnsi"/>
        </w:rPr>
        <w:t>Cross</w:t>
      </w:r>
      <w:r w:rsidRPr="00217F59">
        <w:rPr>
          <w:rFonts w:asciiTheme="minorHAnsi" w:hAnsiTheme="minorHAnsi" w:cstheme="minorHAnsi"/>
        </w:rPr>
        <w:t>-Whitehall ODA rules.</w:t>
      </w:r>
    </w:p>
    <w:p w14:paraId="4204BC48" w14:textId="44D7AD36" w:rsidR="00B47D1D" w:rsidRDefault="005568FF" w:rsidP="00B47D1D">
      <w:pPr>
        <w:pStyle w:val="Heading3"/>
      </w:pPr>
      <w:r>
        <w:t xml:space="preserve">Tide Turners </w:t>
      </w:r>
      <w:r w:rsidR="00B47D1D">
        <w:t>W</w:t>
      </w:r>
      <w:r w:rsidR="00B47D1D" w:rsidRPr="00217F59">
        <w:t>orkplan / delivery plan</w:t>
      </w:r>
    </w:p>
    <w:p w14:paraId="4AB7FA09" w14:textId="52FAEC45" w:rsidR="00B47D1D" w:rsidRPr="008676DA" w:rsidRDefault="00B47D1D" w:rsidP="00B47D1D">
      <w:pPr>
        <w:spacing w:after="240"/>
      </w:pPr>
      <w:r w:rsidRPr="008676DA">
        <w:t xml:space="preserve">The </w:t>
      </w:r>
      <w:r w:rsidRPr="008676DA">
        <w:rPr>
          <w:b/>
          <w:bCs/>
        </w:rPr>
        <w:t>tentative timeline</w:t>
      </w:r>
      <w:r w:rsidRPr="008676DA">
        <w:t xml:space="preserve"> for the Tide Turners programme, starting from June 2022, is presented in </w:t>
      </w:r>
      <w:r w:rsidR="00536BD1" w:rsidRPr="0002113F">
        <w:rPr>
          <w:bCs/>
        </w:rPr>
        <w:t>Table 7</w:t>
      </w:r>
      <w:r w:rsidRPr="000E6953">
        <w:rPr>
          <w:b/>
        </w:rPr>
        <w:t xml:space="preserve"> </w:t>
      </w:r>
      <w:r w:rsidRPr="008676DA">
        <w:t xml:space="preserve">below. In addition, key milestones for the programme are described. </w:t>
      </w:r>
    </w:p>
    <w:p w14:paraId="0F0009FB" w14:textId="51BE8695" w:rsidR="00B47D1D" w:rsidRPr="0002113F" w:rsidRDefault="00536BD1" w:rsidP="00B47D1D">
      <w:pPr>
        <w:spacing w:after="240"/>
        <w:rPr>
          <w:bCs/>
        </w:rPr>
      </w:pPr>
      <w:r w:rsidRPr="0002113F">
        <w:rPr>
          <w:bCs/>
        </w:rPr>
        <w:t>Table 7 –</w:t>
      </w:r>
      <w:r w:rsidR="00B47D1D" w:rsidRPr="0002113F">
        <w:rPr>
          <w:bCs/>
        </w:rPr>
        <w:t xml:space="preserve"> Tentative timeline for project implementation following wider discussion with DEFRA:</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435"/>
      </w:tblGrid>
      <w:tr w:rsidR="00B47D1D" w:rsidRPr="008676DA" w14:paraId="019F9255" w14:textId="77777777" w:rsidTr="00432660">
        <w:trPr>
          <w:tblHeader/>
        </w:trPr>
        <w:tc>
          <w:tcPr>
            <w:tcW w:w="2565" w:type="dxa"/>
            <w:shd w:val="clear" w:color="auto" w:fill="auto"/>
            <w:tcMar>
              <w:top w:w="100" w:type="dxa"/>
              <w:left w:w="100" w:type="dxa"/>
              <w:bottom w:w="100" w:type="dxa"/>
              <w:right w:w="100" w:type="dxa"/>
            </w:tcMar>
          </w:tcPr>
          <w:p w14:paraId="0F8BAC71" w14:textId="77777777" w:rsidR="00B47D1D" w:rsidRPr="00602815" w:rsidRDefault="00B47D1D" w:rsidP="00653E6D">
            <w:pPr>
              <w:widowControl w:val="0"/>
              <w:rPr>
                <w:rFonts w:cstheme="minorHAnsi"/>
                <w:b/>
                <w:sz w:val="20"/>
                <w:szCs w:val="20"/>
              </w:rPr>
            </w:pPr>
            <w:r w:rsidRPr="00602815">
              <w:rPr>
                <w:rFonts w:cstheme="minorHAnsi"/>
                <w:b/>
                <w:sz w:val="20"/>
                <w:szCs w:val="20"/>
              </w:rPr>
              <w:t>DATE</w:t>
            </w:r>
          </w:p>
        </w:tc>
        <w:tc>
          <w:tcPr>
            <w:tcW w:w="6435" w:type="dxa"/>
            <w:shd w:val="clear" w:color="auto" w:fill="auto"/>
            <w:tcMar>
              <w:top w:w="100" w:type="dxa"/>
              <w:left w:w="100" w:type="dxa"/>
              <w:bottom w:w="100" w:type="dxa"/>
              <w:right w:w="100" w:type="dxa"/>
            </w:tcMar>
          </w:tcPr>
          <w:p w14:paraId="7C631EBF" w14:textId="77777777" w:rsidR="00B47D1D" w:rsidRPr="00602815" w:rsidRDefault="00B47D1D" w:rsidP="00653E6D">
            <w:pPr>
              <w:widowControl w:val="0"/>
              <w:rPr>
                <w:rFonts w:cstheme="minorHAnsi"/>
                <w:b/>
                <w:sz w:val="20"/>
                <w:szCs w:val="20"/>
              </w:rPr>
            </w:pPr>
            <w:r w:rsidRPr="00602815">
              <w:rPr>
                <w:rFonts w:cstheme="minorHAnsi"/>
                <w:b/>
                <w:sz w:val="20"/>
                <w:szCs w:val="20"/>
              </w:rPr>
              <w:t>KEY ACTIVITIES</w:t>
            </w:r>
          </w:p>
        </w:tc>
      </w:tr>
      <w:tr w:rsidR="00B47D1D" w:rsidRPr="008676DA" w14:paraId="4D118760" w14:textId="77777777" w:rsidTr="00653E6D">
        <w:tc>
          <w:tcPr>
            <w:tcW w:w="2565" w:type="dxa"/>
            <w:shd w:val="clear" w:color="auto" w:fill="auto"/>
            <w:tcMar>
              <w:top w:w="100" w:type="dxa"/>
              <w:left w:w="100" w:type="dxa"/>
              <w:bottom w:w="100" w:type="dxa"/>
              <w:right w:w="100" w:type="dxa"/>
            </w:tcMar>
          </w:tcPr>
          <w:p w14:paraId="61BD6D9D" w14:textId="77777777" w:rsidR="00B47D1D" w:rsidRPr="002D2627" w:rsidRDefault="00B47D1D" w:rsidP="00653E6D">
            <w:pPr>
              <w:widowControl w:val="0"/>
              <w:rPr>
                <w:rFonts w:cstheme="minorHAnsi"/>
                <w:b/>
                <w:sz w:val="20"/>
                <w:szCs w:val="20"/>
              </w:rPr>
            </w:pPr>
            <w:r w:rsidRPr="002D2627">
              <w:rPr>
                <w:rFonts w:cstheme="minorHAnsi"/>
                <w:b/>
                <w:sz w:val="20"/>
                <w:szCs w:val="20"/>
              </w:rPr>
              <w:t>June 2022</w:t>
            </w:r>
          </w:p>
        </w:tc>
        <w:tc>
          <w:tcPr>
            <w:tcW w:w="6435" w:type="dxa"/>
            <w:shd w:val="clear" w:color="auto" w:fill="auto"/>
            <w:tcMar>
              <w:top w:w="100" w:type="dxa"/>
              <w:left w:w="100" w:type="dxa"/>
              <w:bottom w:w="100" w:type="dxa"/>
              <w:right w:w="100" w:type="dxa"/>
            </w:tcMar>
          </w:tcPr>
          <w:p w14:paraId="3B231CB8" w14:textId="77777777" w:rsidR="00B47D1D" w:rsidRPr="00602815" w:rsidRDefault="00B47D1D" w:rsidP="00653E6D">
            <w:pPr>
              <w:widowControl w:val="0"/>
              <w:rPr>
                <w:rFonts w:cstheme="minorHAnsi"/>
                <w:sz w:val="20"/>
                <w:szCs w:val="20"/>
              </w:rPr>
            </w:pPr>
            <w:r w:rsidRPr="00602815">
              <w:rPr>
                <w:rFonts w:cstheme="minorHAnsi"/>
                <w:sz w:val="20"/>
                <w:szCs w:val="20"/>
              </w:rPr>
              <w:t>Draft Programme Plan shared with Defra</w:t>
            </w:r>
          </w:p>
        </w:tc>
      </w:tr>
      <w:tr w:rsidR="00B47D1D" w:rsidRPr="008676DA" w14:paraId="292E902E" w14:textId="77777777" w:rsidTr="00653E6D">
        <w:tc>
          <w:tcPr>
            <w:tcW w:w="2565" w:type="dxa"/>
            <w:shd w:val="clear" w:color="auto" w:fill="auto"/>
            <w:tcMar>
              <w:top w:w="100" w:type="dxa"/>
              <w:left w:w="100" w:type="dxa"/>
              <w:bottom w:w="100" w:type="dxa"/>
              <w:right w:w="100" w:type="dxa"/>
            </w:tcMar>
          </w:tcPr>
          <w:p w14:paraId="3483411F" w14:textId="77777777" w:rsidR="00B47D1D" w:rsidRPr="002D2627" w:rsidRDefault="00B47D1D" w:rsidP="00653E6D">
            <w:pPr>
              <w:widowControl w:val="0"/>
              <w:rPr>
                <w:rFonts w:cstheme="minorHAnsi"/>
                <w:b/>
                <w:sz w:val="20"/>
                <w:szCs w:val="20"/>
              </w:rPr>
            </w:pPr>
            <w:r w:rsidRPr="002D2627">
              <w:rPr>
                <w:rFonts w:cstheme="minorHAnsi"/>
                <w:b/>
                <w:sz w:val="20"/>
                <w:szCs w:val="20"/>
              </w:rPr>
              <w:t>July 2022</w:t>
            </w:r>
          </w:p>
        </w:tc>
        <w:tc>
          <w:tcPr>
            <w:tcW w:w="6435" w:type="dxa"/>
            <w:shd w:val="clear" w:color="auto" w:fill="auto"/>
            <w:tcMar>
              <w:top w:w="100" w:type="dxa"/>
              <w:left w:w="100" w:type="dxa"/>
              <w:bottom w:w="100" w:type="dxa"/>
              <w:right w:w="100" w:type="dxa"/>
            </w:tcMar>
          </w:tcPr>
          <w:p w14:paraId="2A661489" w14:textId="77777777" w:rsidR="00B47D1D" w:rsidRPr="00602815" w:rsidRDefault="00B47D1D" w:rsidP="00653E6D">
            <w:pPr>
              <w:widowControl w:val="0"/>
              <w:rPr>
                <w:rFonts w:cstheme="minorHAnsi"/>
                <w:sz w:val="20"/>
                <w:szCs w:val="20"/>
              </w:rPr>
            </w:pPr>
            <w:r w:rsidRPr="00602815">
              <w:rPr>
                <w:rFonts w:cstheme="minorHAnsi"/>
                <w:sz w:val="20"/>
                <w:szCs w:val="20"/>
              </w:rPr>
              <w:t xml:space="preserve">Final version of Programme Plan (with partners proposal) shared with Defra </w:t>
            </w:r>
          </w:p>
        </w:tc>
      </w:tr>
      <w:tr w:rsidR="00B47D1D" w:rsidRPr="008676DA" w14:paraId="35CABDBB" w14:textId="77777777" w:rsidTr="00653E6D">
        <w:tc>
          <w:tcPr>
            <w:tcW w:w="2565" w:type="dxa"/>
            <w:shd w:val="clear" w:color="auto" w:fill="auto"/>
            <w:tcMar>
              <w:top w:w="100" w:type="dxa"/>
              <w:left w:w="100" w:type="dxa"/>
              <w:bottom w:w="100" w:type="dxa"/>
              <w:right w:w="100" w:type="dxa"/>
            </w:tcMar>
          </w:tcPr>
          <w:p w14:paraId="7A5E0854" w14:textId="77777777" w:rsidR="00B47D1D" w:rsidRPr="002D2627" w:rsidRDefault="00B47D1D" w:rsidP="00653E6D">
            <w:pPr>
              <w:widowControl w:val="0"/>
              <w:rPr>
                <w:rFonts w:cstheme="minorHAnsi"/>
                <w:b/>
                <w:sz w:val="20"/>
                <w:szCs w:val="20"/>
              </w:rPr>
            </w:pPr>
            <w:r w:rsidRPr="002D2627">
              <w:rPr>
                <w:rFonts w:cstheme="minorHAnsi"/>
                <w:b/>
                <w:sz w:val="20"/>
                <w:szCs w:val="20"/>
              </w:rPr>
              <w:t>August 2022</w:t>
            </w:r>
          </w:p>
        </w:tc>
        <w:tc>
          <w:tcPr>
            <w:tcW w:w="6435" w:type="dxa"/>
            <w:shd w:val="clear" w:color="auto" w:fill="auto"/>
            <w:tcMar>
              <w:top w:w="100" w:type="dxa"/>
              <w:left w:w="100" w:type="dxa"/>
              <w:bottom w:w="100" w:type="dxa"/>
              <w:right w:w="100" w:type="dxa"/>
            </w:tcMar>
          </w:tcPr>
          <w:p w14:paraId="047273A2" w14:textId="77777777" w:rsidR="00B47D1D" w:rsidRPr="00602815" w:rsidRDefault="00B47D1D" w:rsidP="00653E6D">
            <w:pPr>
              <w:widowControl w:val="0"/>
              <w:rPr>
                <w:rFonts w:cstheme="minorHAnsi"/>
                <w:sz w:val="20"/>
                <w:szCs w:val="20"/>
              </w:rPr>
            </w:pPr>
            <w:r w:rsidRPr="00602815">
              <w:rPr>
                <w:rFonts w:cstheme="minorHAnsi"/>
                <w:sz w:val="20"/>
                <w:szCs w:val="20"/>
              </w:rPr>
              <w:t xml:space="preserve">Partner &amp; youth consultations and draft implementation plans </w:t>
            </w:r>
          </w:p>
        </w:tc>
      </w:tr>
      <w:tr w:rsidR="00B47D1D" w:rsidRPr="008676DA" w14:paraId="14FC8E91" w14:textId="77777777" w:rsidTr="00653E6D">
        <w:tc>
          <w:tcPr>
            <w:tcW w:w="2565" w:type="dxa"/>
            <w:shd w:val="clear" w:color="auto" w:fill="auto"/>
            <w:tcMar>
              <w:top w:w="100" w:type="dxa"/>
              <w:left w:w="100" w:type="dxa"/>
              <w:bottom w:w="100" w:type="dxa"/>
              <w:right w:w="100" w:type="dxa"/>
            </w:tcMar>
          </w:tcPr>
          <w:p w14:paraId="3DDD8B65" w14:textId="77777777" w:rsidR="00B47D1D" w:rsidRPr="002D2627" w:rsidRDefault="00B47D1D" w:rsidP="00653E6D">
            <w:pPr>
              <w:widowControl w:val="0"/>
              <w:rPr>
                <w:rFonts w:cstheme="minorHAnsi"/>
                <w:b/>
                <w:sz w:val="20"/>
                <w:szCs w:val="20"/>
              </w:rPr>
            </w:pPr>
            <w:r w:rsidRPr="002D2627">
              <w:rPr>
                <w:rFonts w:cstheme="minorHAnsi"/>
                <w:b/>
                <w:sz w:val="20"/>
                <w:szCs w:val="20"/>
              </w:rPr>
              <w:t>September 2022</w:t>
            </w:r>
          </w:p>
        </w:tc>
        <w:tc>
          <w:tcPr>
            <w:tcW w:w="6435" w:type="dxa"/>
            <w:shd w:val="clear" w:color="auto" w:fill="auto"/>
            <w:tcMar>
              <w:top w:w="100" w:type="dxa"/>
              <w:left w:w="100" w:type="dxa"/>
              <w:bottom w:w="100" w:type="dxa"/>
              <w:right w:w="100" w:type="dxa"/>
            </w:tcMar>
          </w:tcPr>
          <w:p w14:paraId="74199881" w14:textId="77777777" w:rsidR="00B47D1D" w:rsidRPr="00602815" w:rsidRDefault="00B47D1D" w:rsidP="00653E6D">
            <w:pPr>
              <w:widowControl w:val="0"/>
              <w:rPr>
                <w:rFonts w:cstheme="minorHAnsi"/>
                <w:sz w:val="20"/>
                <w:szCs w:val="20"/>
              </w:rPr>
            </w:pPr>
            <w:r w:rsidRPr="00602815">
              <w:rPr>
                <w:rFonts w:cstheme="minorHAnsi"/>
                <w:sz w:val="20"/>
                <w:szCs w:val="20"/>
              </w:rPr>
              <w:t>Launch of Mainstreaming Youth Advocacy manual</w:t>
            </w:r>
          </w:p>
        </w:tc>
      </w:tr>
      <w:tr w:rsidR="00B47D1D" w:rsidRPr="008676DA" w14:paraId="1F4A919F" w14:textId="77777777" w:rsidTr="00653E6D">
        <w:tc>
          <w:tcPr>
            <w:tcW w:w="2565" w:type="dxa"/>
            <w:shd w:val="clear" w:color="auto" w:fill="auto"/>
            <w:tcMar>
              <w:top w:w="100" w:type="dxa"/>
              <w:left w:w="100" w:type="dxa"/>
              <w:bottom w:w="100" w:type="dxa"/>
              <w:right w:w="100" w:type="dxa"/>
            </w:tcMar>
          </w:tcPr>
          <w:p w14:paraId="23F1FB1D" w14:textId="12406437" w:rsidR="00B47D1D" w:rsidRPr="002D2627" w:rsidRDefault="00B47D1D" w:rsidP="00653E6D">
            <w:pPr>
              <w:widowControl w:val="0"/>
              <w:rPr>
                <w:rFonts w:cstheme="minorHAnsi"/>
                <w:b/>
                <w:sz w:val="20"/>
                <w:szCs w:val="20"/>
              </w:rPr>
            </w:pPr>
            <w:r w:rsidRPr="002D2627">
              <w:rPr>
                <w:rFonts w:cstheme="minorHAnsi"/>
                <w:b/>
                <w:sz w:val="20"/>
                <w:szCs w:val="20"/>
              </w:rPr>
              <w:t>November 2022</w:t>
            </w:r>
          </w:p>
        </w:tc>
        <w:tc>
          <w:tcPr>
            <w:tcW w:w="6435" w:type="dxa"/>
            <w:shd w:val="clear" w:color="auto" w:fill="auto"/>
            <w:tcMar>
              <w:top w:w="100" w:type="dxa"/>
              <w:left w:w="100" w:type="dxa"/>
              <w:bottom w:w="100" w:type="dxa"/>
              <w:right w:w="100" w:type="dxa"/>
            </w:tcMar>
          </w:tcPr>
          <w:p w14:paraId="64D33BD7" w14:textId="345C1EED" w:rsidR="00145641" w:rsidRDefault="00145641" w:rsidP="00145641">
            <w:pPr>
              <w:widowControl w:val="0"/>
              <w:rPr>
                <w:rFonts w:cstheme="minorHAnsi"/>
                <w:sz w:val="20"/>
                <w:szCs w:val="20"/>
              </w:rPr>
            </w:pPr>
            <w:r w:rsidRPr="00602815">
              <w:rPr>
                <w:rFonts w:cstheme="minorHAnsi"/>
                <w:sz w:val="20"/>
                <w:szCs w:val="20"/>
              </w:rPr>
              <w:t xml:space="preserve">Funding confirmed and implementation plans with partners finalised </w:t>
            </w:r>
          </w:p>
          <w:p w14:paraId="153B4ECB" w14:textId="25486DBD" w:rsidR="00B47D1D" w:rsidRPr="00602815" w:rsidRDefault="00145641" w:rsidP="00653E6D">
            <w:pPr>
              <w:widowControl w:val="0"/>
              <w:rPr>
                <w:rFonts w:cstheme="minorHAnsi"/>
                <w:sz w:val="20"/>
                <w:szCs w:val="20"/>
              </w:rPr>
            </w:pPr>
            <w:r w:rsidRPr="00602815">
              <w:rPr>
                <w:rFonts w:cstheme="minorHAnsi"/>
                <w:sz w:val="20"/>
                <w:szCs w:val="20"/>
              </w:rPr>
              <w:t>Event launching next phase of Tide Turners organised</w:t>
            </w:r>
          </w:p>
        </w:tc>
      </w:tr>
      <w:tr w:rsidR="002D2627" w:rsidRPr="008676DA" w14:paraId="65E53A5D" w14:textId="77777777" w:rsidTr="00653E6D">
        <w:tc>
          <w:tcPr>
            <w:tcW w:w="2565" w:type="dxa"/>
            <w:shd w:val="clear" w:color="auto" w:fill="auto"/>
            <w:tcMar>
              <w:top w:w="100" w:type="dxa"/>
              <w:left w:w="100" w:type="dxa"/>
              <w:bottom w:w="100" w:type="dxa"/>
              <w:right w:w="100" w:type="dxa"/>
            </w:tcMar>
          </w:tcPr>
          <w:p w14:paraId="0E81CA8D" w14:textId="73F94D59" w:rsidR="002D2627" w:rsidRPr="002D2627" w:rsidRDefault="002D2627" w:rsidP="00653E6D">
            <w:pPr>
              <w:widowControl w:val="0"/>
              <w:rPr>
                <w:rFonts w:cstheme="minorHAnsi"/>
                <w:b/>
                <w:bCs/>
                <w:sz w:val="20"/>
                <w:szCs w:val="20"/>
              </w:rPr>
            </w:pPr>
            <w:r w:rsidRPr="002D2627">
              <w:rPr>
                <w:rFonts w:cstheme="minorHAnsi"/>
                <w:b/>
                <w:bCs/>
                <w:sz w:val="20"/>
                <w:szCs w:val="20"/>
              </w:rPr>
              <w:t>December 2022</w:t>
            </w:r>
          </w:p>
        </w:tc>
        <w:tc>
          <w:tcPr>
            <w:tcW w:w="6435" w:type="dxa"/>
            <w:shd w:val="clear" w:color="auto" w:fill="auto"/>
            <w:tcMar>
              <w:top w:w="100" w:type="dxa"/>
              <w:left w:w="100" w:type="dxa"/>
              <w:bottom w:w="100" w:type="dxa"/>
              <w:right w:w="100" w:type="dxa"/>
            </w:tcMar>
          </w:tcPr>
          <w:p w14:paraId="172B3B0F" w14:textId="77777777" w:rsidR="002D2627" w:rsidRDefault="002D2627" w:rsidP="002D2627">
            <w:pPr>
              <w:widowControl w:val="0"/>
              <w:rPr>
                <w:rFonts w:cstheme="minorHAnsi"/>
                <w:sz w:val="20"/>
                <w:szCs w:val="20"/>
              </w:rPr>
            </w:pPr>
            <w:r w:rsidRPr="00602815">
              <w:rPr>
                <w:rFonts w:cstheme="minorHAnsi"/>
                <w:sz w:val="20"/>
                <w:szCs w:val="20"/>
              </w:rPr>
              <w:t xml:space="preserve">Funding allocated to partners </w:t>
            </w:r>
          </w:p>
          <w:p w14:paraId="0A55908E" w14:textId="0B3BFB7A" w:rsidR="002D2627" w:rsidRDefault="002D2627" w:rsidP="002D2627">
            <w:pPr>
              <w:widowControl w:val="0"/>
              <w:rPr>
                <w:rFonts w:cstheme="minorHAnsi"/>
                <w:sz w:val="20"/>
                <w:szCs w:val="20"/>
              </w:rPr>
            </w:pPr>
            <w:r w:rsidRPr="00602815">
              <w:rPr>
                <w:rFonts w:cstheme="minorHAnsi"/>
                <w:sz w:val="20"/>
                <w:szCs w:val="20"/>
              </w:rPr>
              <w:t>Legal agreements with partners finalised</w:t>
            </w:r>
          </w:p>
          <w:p w14:paraId="244428FD" w14:textId="589C2D26" w:rsidR="002D2627" w:rsidRPr="00602815" w:rsidRDefault="002D2627" w:rsidP="00145641">
            <w:pPr>
              <w:widowControl w:val="0"/>
              <w:rPr>
                <w:rFonts w:cstheme="minorHAnsi"/>
                <w:sz w:val="20"/>
                <w:szCs w:val="20"/>
              </w:rPr>
            </w:pPr>
            <w:r>
              <w:rPr>
                <w:rFonts w:cstheme="minorHAnsi"/>
                <w:sz w:val="20"/>
                <w:szCs w:val="20"/>
              </w:rPr>
              <w:lastRenderedPageBreak/>
              <w:t xml:space="preserve">(Dec 2022 cont.) </w:t>
            </w:r>
            <w:r w:rsidRPr="00602815">
              <w:rPr>
                <w:rFonts w:cstheme="minorHAnsi"/>
                <w:sz w:val="20"/>
                <w:szCs w:val="20"/>
              </w:rPr>
              <w:t>Funding allocated to UNEP</w:t>
            </w:r>
            <w:r>
              <w:rPr>
                <w:rFonts w:cstheme="minorHAnsi"/>
                <w:sz w:val="20"/>
                <w:szCs w:val="20"/>
              </w:rPr>
              <w:t xml:space="preserve"> for Tide Turners</w:t>
            </w:r>
          </w:p>
        </w:tc>
      </w:tr>
      <w:tr w:rsidR="006446E2" w:rsidRPr="008676DA" w14:paraId="20707B3B" w14:textId="77777777" w:rsidTr="00653E6D">
        <w:tc>
          <w:tcPr>
            <w:tcW w:w="2565" w:type="dxa"/>
            <w:shd w:val="clear" w:color="auto" w:fill="auto"/>
            <w:tcMar>
              <w:top w:w="100" w:type="dxa"/>
              <w:left w:w="100" w:type="dxa"/>
              <w:bottom w:w="100" w:type="dxa"/>
              <w:right w:w="100" w:type="dxa"/>
            </w:tcMar>
          </w:tcPr>
          <w:p w14:paraId="57645B08" w14:textId="5289BDBD" w:rsidR="006446E2" w:rsidRPr="002D2627" w:rsidRDefault="007E2D75" w:rsidP="00653E6D">
            <w:pPr>
              <w:widowControl w:val="0"/>
              <w:rPr>
                <w:rFonts w:cstheme="minorHAnsi"/>
                <w:b/>
                <w:sz w:val="20"/>
                <w:szCs w:val="20"/>
              </w:rPr>
            </w:pPr>
            <w:r w:rsidRPr="002D2627">
              <w:rPr>
                <w:rFonts w:cstheme="minorHAnsi"/>
                <w:b/>
                <w:bCs/>
                <w:sz w:val="20"/>
                <w:szCs w:val="20"/>
              </w:rPr>
              <w:lastRenderedPageBreak/>
              <w:t>Early 2023</w:t>
            </w:r>
          </w:p>
        </w:tc>
        <w:tc>
          <w:tcPr>
            <w:tcW w:w="6435" w:type="dxa"/>
            <w:shd w:val="clear" w:color="auto" w:fill="auto"/>
            <w:tcMar>
              <w:top w:w="100" w:type="dxa"/>
              <w:left w:w="100" w:type="dxa"/>
              <w:bottom w:w="100" w:type="dxa"/>
              <w:right w:w="100" w:type="dxa"/>
            </w:tcMar>
          </w:tcPr>
          <w:p w14:paraId="40052530" w14:textId="0170B748" w:rsidR="006446E2" w:rsidRPr="00602815" w:rsidRDefault="006446E2" w:rsidP="00653E6D">
            <w:pPr>
              <w:widowControl w:val="0"/>
              <w:rPr>
                <w:rFonts w:cstheme="minorHAnsi"/>
                <w:sz w:val="20"/>
                <w:szCs w:val="20"/>
              </w:rPr>
            </w:pPr>
            <w:r>
              <w:rPr>
                <w:rFonts w:cstheme="minorHAnsi"/>
                <w:sz w:val="20"/>
                <w:szCs w:val="20"/>
              </w:rPr>
              <w:t>Tide Turners App launched</w:t>
            </w:r>
          </w:p>
        </w:tc>
      </w:tr>
      <w:tr w:rsidR="00B47D1D" w:rsidRPr="008676DA" w14:paraId="43AC455A" w14:textId="77777777" w:rsidTr="00653E6D">
        <w:tc>
          <w:tcPr>
            <w:tcW w:w="2565" w:type="dxa"/>
            <w:shd w:val="clear" w:color="auto" w:fill="auto"/>
            <w:tcMar>
              <w:top w:w="100" w:type="dxa"/>
              <w:left w:w="100" w:type="dxa"/>
              <w:bottom w:w="100" w:type="dxa"/>
              <w:right w:w="100" w:type="dxa"/>
            </w:tcMar>
          </w:tcPr>
          <w:p w14:paraId="0D06CA16" w14:textId="77777777" w:rsidR="00B47D1D" w:rsidRPr="002D2627" w:rsidRDefault="00B47D1D" w:rsidP="00653E6D">
            <w:pPr>
              <w:widowControl w:val="0"/>
              <w:rPr>
                <w:rFonts w:cstheme="minorHAnsi"/>
                <w:b/>
                <w:sz w:val="20"/>
                <w:szCs w:val="20"/>
              </w:rPr>
            </w:pPr>
            <w:r w:rsidRPr="002D2627">
              <w:rPr>
                <w:rFonts w:cstheme="minorHAnsi"/>
                <w:b/>
                <w:sz w:val="20"/>
                <w:szCs w:val="20"/>
              </w:rPr>
              <w:t>January 2023</w:t>
            </w:r>
          </w:p>
        </w:tc>
        <w:tc>
          <w:tcPr>
            <w:tcW w:w="6435" w:type="dxa"/>
            <w:shd w:val="clear" w:color="auto" w:fill="auto"/>
            <w:tcMar>
              <w:top w:w="100" w:type="dxa"/>
              <w:left w:w="100" w:type="dxa"/>
              <w:bottom w:w="100" w:type="dxa"/>
              <w:right w:w="100" w:type="dxa"/>
            </w:tcMar>
          </w:tcPr>
          <w:p w14:paraId="58836450" w14:textId="77777777" w:rsidR="00B47D1D" w:rsidRPr="00602815" w:rsidRDefault="00B47D1D" w:rsidP="00653E6D">
            <w:pPr>
              <w:widowControl w:val="0"/>
              <w:rPr>
                <w:rFonts w:cstheme="minorHAnsi"/>
                <w:sz w:val="20"/>
                <w:szCs w:val="20"/>
              </w:rPr>
            </w:pPr>
            <w:r w:rsidRPr="00602815">
              <w:rPr>
                <w:rFonts w:cstheme="minorHAnsi"/>
                <w:sz w:val="20"/>
                <w:szCs w:val="20"/>
              </w:rPr>
              <w:t xml:space="preserve">Programme kick off </w:t>
            </w:r>
          </w:p>
        </w:tc>
      </w:tr>
      <w:tr w:rsidR="00B47D1D" w:rsidRPr="008676DA" w14:paraId="66AE21B0" w14:textId="77777777" w:rsidTr="00653E6D">
        <w:tc>
          <w:tcPr>
            <w:tcW w:w="2565" w:type="dxa"/>
            <w:shd w:val="clear" w:color="auto" w:fill="auto"/>
            <w:tcMar>
              <w:top w:w="100" w:type="dxa"/>
              <w:left w:w="100" w:type="dxa"/>
              <w:bottom w:w="100" w:type="dxa"/>
              <w:right w:w="100" w:type="dxa"/>
            </w:tcMar>
          </w:tcPr>
          <w:p w14:paraId="42ED63F0" w14:textId="3F153191" w:rsidR="00B47D1D" w:rsidRPr="002D2627" w:rsidRDefault="00B47D1D" w:rsidP="00653E6D">
            <w:pPr>
              <w:widowControl w:val="0"/>
              <w:rPr>
                <w:rFonts w:cstheme="minorHAnsi"/>
                <w:b/>
                <w:sz w:val="20"/>
                <w:szCs w:val="20"/>
              </w:rPr>
            </w:pPr>
            <w:r w:rsidRPr="002D2627">
              <w:rPr>
                <w:rFonts w:cstheme="minorHAnsi"/>
                <w:b/>
                <w:sz w:val="20"/>
                <w:szCs w:val="20"/>
              </w:rPr>
              <w:t xml:space="preserve">February </w:t>
            </w:r>
            <w:r w:rsidR="002C7B22" w:rsidRPr="002D2627">
              <w:rPr>
                <w:rFonts w:cstheme="minorHAnsi"/>
                <w:b/>
                <w:sz w:val="20"/>
                <w:szCs w:val="20"/>
              </w:rPr>
              <w:t xml:space="preserve">– April </w:t>
            </w:r>
            <w:r w:rsidRPr="002D2627">
              <w:rPr>
                <w:rFonts w:cstheme="minorHAnsi"/>
                <w:b/>
                <w:sz w:val="20"/>
                <w:szCs w:val="20"/>
              </w:rPr>
              <w:t>2023</w:t>
            </w:r>
          </w:p>
        </w:tc>
        <w:tc>
          <w:tcPr>
            <w:tcW w:w="6435" w:type="dxa"/>
            <w:shd w:val="clear" w:color="auto" w:fill="auto"/>
            <w:tcMar>
              <w:top w:w="100" w:type="dxa"/>
              <w:left w:w="100" w:type="dxa"/>
              <w:bottom w:w="100" w:type="dxa"/>
              <w:right w:w="100" w:type="dxa"/>
            </w:tcMar>
          </w:tcPr>
          <w:p w14:paraId="281FCAA7" w14:textId="77777777" w:rsidR="00B47D1D" w:rsidRPr="00602815" w:rsidRDefault="00B47D1D" w:rsidP="00653E6D">
            <w:pPr>
              <w:widowControl w:val="0"/>
              <w:rPr>
                <w:rFonts w:cstheme="minorHAnsi"/>
                <w:sz w:val="20"/>
                <w:szCs w:val="20"/>
              </w:rPr>
            </w:pPr>
            <w:r w:rsidRPr="00602815">
              <w:rPr>
                <w:rFonts w:cstheme="minorHAnsi"/>
                <w:sz w:val="20"/>
                <w:szCs w:val="20"/>
              </w:rPr>
              <w:t>Programme delivery</w:t>
            </w:r>
          </w:p>
        </w:tc>
      </w:tr>
      <w:tr w:rsidR="00B47D1D" w:rsidRPr="008676DA" w14:paraId="1DB825ED" w14:textId="77777777" w:rsidTr="00653E6D">
        <w:tc>
          <w:tcPr>
            <w:tcW w:w="2565" w:type="dxa"/>
            <w:shd w:val="clear" w:color="auto" w:fill="auto"/>
            <w:tcMar>
              <w:top w:w="100" w:type="dxa"/>
              <w:left w:w="100" w:type="dxa"/>
              <w:bottom w:w="100" w:type="dxa"/>
              <w:right w:w="100" w:type="dxa"/>
            </w:tcMar>
          </w:tcPr>
          <w:p w14:paraId="32EFE3C0" w14:textId="77777777" w:rsidR="00B47D1D" w:rsidRPr="002D2627" w:rsidRDefault="00B47D1D" w:rsidP="00653E6D">
            <w:pPr>
              <w:widowControl w:val="0"/>
              <w:rPr>
                <w:rFonts w:cstheme="minorHAnsi"/>
                <w:b/>
                <w:sz w:val="20"/>
                <w:szCs w:val="20"/>
              </w:rPr>
            </w:pPr>
            <w:r w:rsidRPr="002D2627">
              <w:rPr>
                <w:rFonts w:cstheme="minorHAnsi"/>
                <w:b/>
                <w:sz w:val="20"/>
                <w:szCs w:val="20"/>
              </w:rPr>
              <w:t>May 2023</w:t>
            </w:r>
          </w:p>
        </w:tc>
        <w:tc>
          <w:tcPr>
            <w:tcW w:w="6435" w:type="dxa"/>
            <w:shd w:val="clear" w:color="auto" w:fill="auto"/>
            <w:tcMar>
              <w:top w:w="100" w:type="dxa"/>
              <w:left w:w="100" w:type="dxa"/>
              <w:bottom w:w="100" w:type="dxa"/>
              <w:right w:w="100" w:type="dxa"/>
            </w:tcMar>
          </w:tcPr>
          <w:p w14:paraId="38011CBC" w14:textId="77777777" w:rsidR="00B47D1D" w:rsidRPr="00602815" w:rsidRDefault="00B47D1D" w:rsidP="00653E6D">
            <w:pPr>
              <w:widowControl w:val="0"/>
              <w:rPr>
                <w:rFonts w:cstheme="minorHAnsi"/>
                <w:i/>
                <w:sz w:val="20"/>
                <w:szCs w:val="20"/>
              </w:rPr>
            </w:pPr>
            <w:r w:rsidRPr="00602815">
              <w:rPr>
                <w:rFonts w:cstheme="minorHAnsi"/>
                <w:sz w:val="20"/>
                <w:szCs w:val="20"/>
              </w:rPr>
              <w:t xml:space="preserve">Mid-term report delivery to Defra </w:t>
            </w:r>
          </w:p>
        </w:tc>
      </w:tr>
      <w:tr w:rsidR="00B47D1D" w:rsidRPr="008676DA" w14:paraId="65583120" w14:textId="77777777" w:rsidTr="00653E6D">
        <w:tc>
          <w:tcPr>
            <w:tcW w:w="2565" w:type="dxa"/>
            <w:shd w:val="clear" w:color="auto" w:fill="auto"/>
            <w:tcMar>
              <w:top w:w="100" w:type="dxa"/>
              <w:left w:w="100" w:type="dxa"/>
              <w:bottom w:w="100" w:type="dxa"/>
              <w:right w:w="100" w:type="dxa"/>
            </w:tcMar>
          </w:tcPr>
          <w:p w14:paraId="3C93AF78" w14:textId="77777777" w:rsidR="00B47D1D" w:rsidRPr="002D2627" w:rsidRDefault="00B47D1D" w:rsidP="00653E6D">
            <w:pPr>
              <w:widowControl w:val="0"/>
              <w:rPr>
                <w:rFonts w:cstheme="minorHAnsi"/>
                <w:b/>
                <w:sz w:val="20"/>
                <w:szCs w:val="20"/>
              </w:rPr>
            </w:pPr>
            <w:r w:rsidRPr="002D2627">
              <w:rPr>
                <w:rFonts w:cstheme="minorHAnsi"/>
                <w:b/>
                <w:sz w:val="20"/>
                <w:szCs w:val="20"/>
              </w:rPr>
              <w:t xml:space="preserve">June 2023 </w:t>
            </w:r>
          </w:p>
        </w:tc>
        <w:tc>
          <w:tcPr>
            <w:tcW w:w="6435" w:type="dxa"/>
            <w:shd w:val="clear" w:color="auto" w:fill="auto"/>
            <w:tcMar>
              <w:top w:w="100" w:type="dxa"/>
              <w:left w:w="100" w:type="dxa"/>
              <w:bottom w:w="100" w:type="dxa"/>
              <w:right w:w="100" w:type="dxa"/>
            </w:tcMar>
          </w:tcPr>
          <w:p w14:paraId="08BF552E" w14:textId="77777777" w:rsidR="00B47D1D" w:rsidRPr="00602815" w:rsidRDefault="00B47D1D" w:rsidP="00653E6D">
            <w:pPr>
              <w:widowControl w:val="0"/>
              <w:rPr>
                <w:rFonts w:cstheme="minorHAnsi"/>
                <w:sz w:val="20"/>
                <w:szCs w:val="20"/>
              </w:rPr>
            </w:pPr>
            <w:r w:rsidRPr="00602815">
              <w:rPr>
                <w:rFonts w:cstheme="minorHAnsi"/>
                <w:sz w:val="20"/>
                <w:szCs w:val="20"/>
              </w:rPr>
              <w:t xml:space="preserve">Programme delivery </w:t>
            </w:r>
          </w:p>
          <w:p w14:paraId="2F337D3C" w14:textId="77777777" w:rsidR="00B47D1D" w:rsidRPr="00602815" w:rsidRDefault="00B47D1D" w:rsidP="00653E6D">
            <w:pPr>
              <w:widowControl w:val="0"/>
              <w:rPr>
                <w:rFonts w:cstheme="minorHAnsi"/>
                <w:sz w:val="20"/>
                <w:szCs w:val="20"/>
              </w:rPr>
            </w:pPr>
            <w:r w:rsidRPr="00602815">
              <w:rPr>
                <w:rFonts w:cstheme="minorHAnsi"/>
                <w:sz w:val="20"/>
                <w:szCs w:val="20"/>
              </w:rPr>
              <w:t>World Environment Day</w:t>
            </w:r>
          </w:p>
        </w:tc>
      </w:tr>
      <w:tr w:rsidR="00B47D1D" w:rsidRPr="008676DA" w14:paraId="0309FCD1" w14:textId="77777777" w:rsidTr="00653E6D">
        <w:tc>
          <w:tcPr>
            <w:tcW w:w="2565" w:type="dxa"/>
            <w:shd w:val="clear" w:color="auto" w:fill="auto"/>
            <w:tcMar>
              <w:top w:w="100" w:type="dxa"/>
              <w:left w:w="100" w:type="dxa"/>
              <w:bottom w:w="100" w:type="dxa"/>
              <w:right w:w="100" w:type="dxa"/>
            </w:tcMar>
          </w:tcPr>
          <w:p w14:paraId="036179A9" w14:textId="77777777" w:rsidR="00B47D1D" w:rsidRPr="002D2627" w:rsidRDefault="00B47D1D" w:rsidP="00653E6D">
            <w:pPr>
              <w:widowControl w:val="0"/>
              <w:rPr>
                <w:rFonts w:cstheme="minorHAnsi"/>
                <w:b/>
                <w:sz w:val="20"/>
                <w:szCs w:val="20"/>
              </w:rPr>
            </w:pPr>
            <w:r w:rsidRPr="002D2627">
              <w:rPr>
                <w:rFonts w:cstheme="minorHAnsi"/>
                <w:b/>
                <w:sz w:val="20"/>
                <w:szCs w:val="20"/>
              </w:rPr>
              <w:t xml:space="preserve">July 2023 </w:t>
            </w:r>
          </w:p>
        </w:tc>
        <w:tc>
          <w:tcPr>
            <w:tcW w:w="6435" w:type="dxa"/>
            <w:shd w:val="clear" w:color="auto" w:fill="auto"/>
            <w:tcMar>
              <w:top w:w="100" w:type="dxa"/>
              <w:left w:w="100" w:type="dxa"/>
              <w:bottom w:w="100" w:type="dxa"/>
              <w:right w:w="100" w:type="dxa"/>
            </w:tcMar>
          </w:tcPr>
          <w:p w14:paraId="4D85047D" w14:textId="77777777" w:rsidR="00B47D1D" w:rsidRPr="00602815" w:rsidRDefault="00B47D1D" w:rsidP="00653E6D">
            <w:pPr>
              <w:widowControl w:val="0"/>
              <w:rPr>
                <w:rFonts w:cstheme="minorHAnsi"/>
                <w:sz w:val="20"/>
                <w:szCs w:val="20"/>
              </w:rPr>
            </w:pPr>
            <w:r w:rsidRPr="00602815">
              <w:rPr>
                <w:rFonts w:cstheme="minorHAnsi"/>
                <w:sz w:val="20"/>
                <w:szCs w:val="20"/>
              </w:rPr>
              <w:t>Programme delivery</w:t>
            </w:r>
          </w:p>
        </w:tc>
      </w:tr>
      <w:tr w:rsidR="00B47D1D" w:rsidRPr="008676DA" w14:paraId="24656CFE" w14:textId="77777777" w:rsidTr="00653E6D">
        <w:tc>
          <w:tcPr>
            <w:tcW w:w="2565" w:type="dxa"/>
            <w:shd w:val="clear" w:color="auto" w:fill="auto"/>
            <w:tcMar>
              <w:top w:w="100" w:type="dxa"/>
              <w:left w:w="100" w:type="dxa"/>
              <w:bottom w:w="100" w:type="dxa"/>
              <w:right w:w="100" w:type="dxa"/>
            </w:tcMar>
          </w:tcPr>
          <w:p w14:paraId="31348364" w14:textId="77777777" w:rsidR="00B47D1D" w:rsidRPr="002D2627" w:rsidRDefault="00B47D1D" w:rsidP="00653E6D">
            <w:pPr>
              <w:widowControl w:val="0"/>
              <w:rPr>
                <w:rFonts w:cstheme="minorHAnsi"/>
                <w:b/>
                <w:sz w:val="20"/>
                <w:szCs w:val="20"/>
              </w:rPr>
            </w:pPr>
            <w:r w:rsidRPr="002D2627">
              <w:rPr>
                <w:rFonts w:cstheme="minorHAnsi"/>
                <w:b/>
                <w:sz w:val="20"/>
                <w:szCs w:val="20"/>
              </w:rPr>
              <w:t xml:space="preserve">August 2023 </w:t>
            </w:r>
          </w:p>
        </w:tc>
        <w:tc>
          <w:tcPr>
            <w:tcW w:w="6435" w:type="dxa"/>
            <w:shd w:val="clear" w:color="auto" w:fill="auto"/>
            <w:tcMar>
              <w:top w:w="100" w:type="dxa"/>
              <w:left w:w="100" w:type="dxa"/>
              <w:bottom w:w="100" w:type="dxa"/>
              <w:right w:w="100" w:type="dxa"/>
            </w:tcMar>
          </w:tcPr>
          <w:p w14:paraId="46A16647" w14:textId="77777777" w:rsidR="00B47D1D" w:rsidRPr="00602815" w:rsidRDefault="00B47D1D" w:rsidP="00653E6D">
            <w:pPr>
              <w:widowControl w:val="0"/>
              <w:rPr>
                <w:rFonts w:cstheme="minorHAnsi"/>
                <w:sz w:val="20"/>
                <w:szCs w:val="20"/>
              </w:rPr>
            </w:pPr>
            <w:r w:rsidRPr="00602815">
              <w:rPr>
                <w:rFonts w:cstheme="minorHAnsi"/>
                <w:sz w:val="20"/>
                <w:szCs w:val="20"/>
              </w:rPr>
              <w:t xml:space="preserve">Programme delivery </w:t>
            </w:r>
          </w:p>
          <w:p w14:paraId="38DD7F32" w14:textId="77777777" w:rsidR="00B47D1D" w:rsidRPr="00602815" w:rsidRDefault="00B47D1D" w:rsidP="00653E6D">
            <w:pPr>
              <w:widowControl w:val="0"/>
              <w:rPr>
                <w:rFonts w:cstheme="minorHAnsi"/>
                <w:sz w:val="20"/>
                <w:szCs w:val="20"/>
              </w:rPr>
            </w:pPr>
            <w:r w:rsidRPr="00602815">
              <w:rPr>
                <w:rFonts w:cstheme="minorHAnsi"/>
                <w:sz w:val="20"/>
                <w:szCs w:val="20"/>
              </w:rPr>
              <w:t>World Youth Day - Tide Turners Summit</w:t>
            </w:r>
          </w:p>
        </w:tc>
      </w:tr>
      <w:tr w:rsidR="00B47D1D" w:rsidRPr="008676DA" w14:paraId="4CCDCF83" w14:textId="77777777" w:rsidTr="00653E6D">
        <w:tc>
          <w:tcPr>
            <w:tcW w:w="2565" w:type="dxa"/>
            <w:shd w:val="clear" w:color="auto" w:fill="auto"/>
            <w:tcMar>
              <w:top w:w="100" w:type="dxa"/>
              <w:left w:w="100" w:type="dxa"/>
              <w:bottom w:w="100" w:type="dxa"/>
              <w:right w:w="100" w:type="dxa"/>
            </w:tcMar>
          </w:tcPr>
          <w:p w14:paraId="62131F38" w14:textId="77777777" w:rsidR="00B47D1D" w:rsidRPr="002D2627" w:rsidRDefault="00B47D1D" w:rsidP="00653E6D">
            <w:pPr>
              <w:widowControl w:val="0"/>
              <w:rPr>
                <w:rFonts w:cstheme="minorHAnsi"/>
                <w:b/>
                <w:sz w:val="20"/>
                <w:szCs w:val="20"/>
              </w:rPr>
            </w:pPr>
            <w:r w:rsidRPr="002D2627">
              <w:rPr>
                <w:rFonts w:cstheme="minorHAnsi"/>
                <w:b/>
                <w:sz w:val="20"/>
                <w:szCs w:val="20"/>
              </w:rPr>
              <w:t>September 2023</w:t>
            </w:r>
          </w:p>
        </w:tc>
        <w:tc>
          <w:tcPr>
            <w:tcW w:w="6435" w:type="dxa"/>
            <w:shd w:val="clear" w:color="auto" w:fill="auto"/>
            <w:tcMar>
              <w:top w:w="100" w:type="dxa"/>
              <w:left w:w="100" w:type="dxa"/>
              <w:bottom w:w="100" w:type="dxa"/>
              <w:right w:w="100" w:type="dxa"/>
            </w:tcMar>
          </w:tcPr>
          <w:p w14:paraId="12A1841C" w14:textId="77777777" w:rsidR="00B47D1D" w:rsidRPr="00602815" w:rsidRDefault="00B47D1D" w:rsidP="00653E6D">
            <w:pPr>
              <w:widowControl w:val="0"/>
              <w:rPr>
                <w:rFonts w:cstheme="minorHAnsi"/>
                <w:sz w:val="20"/>
                <w:szCs w:val="20"/>
              </w:rPr>
            </w:pPr>
            <w:r w:rsidRPr="00602815">
              <w:rPr>
                <w:rFonts w:cstheme="minorHAnsi"/>
                <w:sz w:val="20"/>
                <w:szCs w:val="20"/>
              </w:rPr>
              <w:t>Programme delivery</w:t>
            </w:r>
          </w:p>
          <w:p w14:paraId="3CCD0E26" w14:textId="77777777" w:rsidR="00B47D1D" w:rsidRDefault="00B47D1D" w:rsidP="00653E6D">
            <w:pPr>
              <w:widowControl w:val="0"/>
              <w:rPr>
                <w:rFonts w:cstheme="minorHAnsi"/>
                <w:sz w:val="20"/>
                <w:szCs w:val="20"/>
              </w:rPr>
            </w:pPr>
            <w:r w:rsidRPr="00602815">
              <w:rPr>
                <w:rFonts w:cstheme="minorHAnsi"/>
                <w:sz w:val="20"/>
                <w:szCs w:val="20"/>
              </w:rPr>
              <w:t>UNGA - presentation of the work</w:t>
            </w:r>
          </w:p>
          <w:p w14:paraId="5955D4B3" w14:textId="40BC9D55" w:rsidR="00B47D1D" w:rsidRPr="00602815" w:rsidRDefault="00161246" w:rsidP="00653E6D">
            <w:pPr>
              <w:widowControl w:val="0"/>
              <w:rPr>
                <w:rFonts w:cstheme="minorHAnsi"/>
                <w:sz w:val="20"/>
                <w:szCs w:val="20"/>
              </w:rPr>
            </w:pPr>
            <w:r>
              <w:rPr>
                <w:rFonts w:cstheme="minorHAnsi"/>
                <w:sz w:val="20"/>
                <w:szCs w:val="20"/>
              </w:rPr>
              <w:t>First Annual Review</w:t>
            </w:r>
          </w:p>
        </w:tc>
      </w:tr>
      <w:tr w:rsidR="002C7B22" w:rsidRPr="008676DA" w14:paraId="61EB605F" w14:textId="77777777" w:rsidTr="00653E6D">
        <w:tc>
          <w:tcPr>
            <w:tcW w:w="2565" w:type="dxa"/>
            <w:shd w:val="clear" w:color="auto" w:fill="auto"/>
            <w:tcMar>
              <w:top w:w="100" w:type="dxa"/>
              <w:left w:w="100" w:type="dxa"/>
              <w:bottom w:w="100" w:type="dxa"/>
              <w:right w:w="100" w:type="dxa"/>
            </w:tcMar>
          </w:tcPr>
          <w:p w14:paraId="6143FE57" w14:textId="7F74A2AB" w:rsidR="002C7B22" w:rsidRPr="002D2627" w:rsidRDefault="002C7B22" w:rsidP="002C7B22">
            <w:pPr>
              <w:widowControl w:val="0"/>
              <w:rPr>
                <w:rFonts w:cstheme="minorHAnsi"/>
                <w:b/>
                <w:sz w:val="20"/>
                <w:szCs w:val="20"/>
              </w:rPr>
            </w:pPr>
            <w:r w:rsidRPr="002D2627">
              <w:rPr>
                <w:rFonts w:cstheme="minorHAnsi"/>
                <w:b/>
                <w:sz w:val="20"/>
                <w:szCs w:val="20"/>
              </w:rPr>
              <w:t>Q4 2023</w:t>
            </w:r>
          </w:p>
        </w:tc>
        <w:tc>
          <w:tcPr>
            <w:tcW w:w="6435" w:type="dxa"/>
            <w:shd w:val="clear" w:color="auto" w:fill="auto"/>
            <w:tcMar>
              <w:top w:w="100" w:type="dxa"/>
              <w:left w:w="100" w:type="dxa"/>
              <w:bottom w:w="100" w:type="dxa"/>
              <w:right w:w="100" w:type="dxa"/>
            </w:tcMar>
          </w:tcPr>
          <w:p w14:paraId="088142C6" w14:textId="42EB7E99" w:rsidR="002C7B22" w:rsidRPr="00602815" w:rsidRDefault="002C7B22" w:rsidP="002C7B22">
            <w:pPr>
              <w:widowControl w:val="0"/>
              <w:rPr>
                <w:rFonts w:cstheme="minorHAnsi"/>
                <w:sz w:val="20"/>
                <w:szCs w:val="20"/>
              </w:rPr>
            </w:pPr>
            <w:r w:rsidRPr="00602815">
              <w:rPr>
                <w:color w:val="201F1E"/>
                <w:sz w:val="20"/>
                <w:szCs w:val="20"/>
              </w:rPr>
              <w:t>Roundtable discussion with youth and policymakers organised</w:t>
            </w:r>
          </w:p>
        </w:tc>
      </w:tr>
      <w:tr w:rsidR="00B47D1D" w:rsidRPr="008676DA" w14:paraId="7C4542DD" w14:textId="77777777" w:rsidTr="00653E6D">
        <w:tc>
          <w:tcPr>
            <w:tcW w:w="2565" w:type="dxa"/>
            <w:shd w:val="clear" w:color="auto" w:fill="auto"/>
            <w:tcMar>
              <w:top w:w="100" w:type="dxa"/>
              <w:left w:w="100" w:type="dxa"/>
              <w:bottom w:w="100" w:type="dxa"/>
              <w:right w:w="100" w:type="dxa"/>
            </w:tcMar>
          </w:tcPr>
          <w:p w14:paraId="0E9EB16E" w14:textId="204F8D0C" w:rsidR="00B47D1D" w:rsidRPr="002D2627" w:rsidRDefault="00B47D1D" w:rsidP="00653E6D">
            <w:pPr>
              <w:widowControl w:val="0"/>
              <w:rPr>
                <w:rFonts w:cstheme="minorHAnsi"/>
                <w:b/>
                <w:sz w:val="20"/>
                <w:szCs w:val="20"/>
              </w:rPr>
            </w:pPr>
            <w:r w:rsidRPr="002D2627">
              <w:rPr>
                <w:rFonts w:cstheme="minorHAnsi"/>
                <w:b/>
                <w:sz w:val="20"/>
                <w:szCs w:val="20"/>
              </w:rPr>
              <w:t xml:space="preserve">October </w:t>
            </w:r>
            <w:r w:rsidR="002C7B22" w:rsidRPr="002D2627">
              <w:rPr>
                <w:rFonts w:cstheme="minorHAnsi"/>
                <w:b/>
                <w:sz w:val="20"/>
                <w:szCs w:val="20"/>
              </w:rPr>
              <w:t xml:space="preserve">– November </w:t>
            </w:r>
            <w:r w:rsidRPr="002D2627">
              <w:rPr>
                <w:rFonts w:cstheme="minorHAnsi"/>
                <w:b/>
                <w:sz w:val="20"/>
                <w:szCs w:val="20"/>
              </w:rPr>
              <w:t xml:space="preserve">2023 </w:t>
            </w:r>
          </w:p>
        </w:tc>
        <w:tc>
          <w:tcPr>
            <w:tcW w:w="6435" w:type="dxa"/>
            <w:shd w:val="clear" w:color="auto" w:fill="auto"/>
            <w:tcMar>
              <w:top w:w="100" w:type="dxa"/>
              <w:left w:w="100" w:type="dxa"/>
              <w:bottom w:w="100" w:type="dxa"/>
              <w:right w:w="100" w:type="dxa"/>
            </w:tcMar>
          </w:tcPr>
          <w:p w14:paraId="79097E75" w14:textId="77777777" w:rsidR="00B47D1D" w:rsidRPr="00602815" w:rsidRDefault="00B47D1D" w:rsidP="00653E6D">
            <w:pPr>
              <w:widowControl w:val="0"/>
              <w:rPr>
                <w:rFonts w:cstheme="minorHAnsi"/>
                <w:sz w:val="20"/>
                <w:szCs w:val="20"/>
              </w:rPr>
            </w:pPr>
            <w:r w:rsidRPr="00602815">
              <w:rPr>
                <w:rFonts w:cstheme="minorHAnsi"/>
                <w:sz w:val="20"/>
                <w:szCs w:val="20"/>
              </w:rPr>
              <w:t>Programme delivery</w:t>
            </w:r>
          </w:p>
        </w:tc>
      </w:tr>
      <w:tr w:rsidR="00B47D1D" w:rsidRPr="008676DA" w14:paraId="363D8635" w14:textId="77777777" w:rsidTr="00653E6D">
        <w:tc>
          <w:tcPr>
            <w:tcW w:w="2565" w:type="dxa"/>
            <w:shd w:val="clear" w:color="auto" w:fill="auto"/>
            <w:tcMar>
              <w:top w:w="100" w:type="dxa"/>
              <w:left w:w="100" w:type="dxa"/>
              <w:bottom w:w="100" w:type="dxa"/>
              <w:right w:w="100" w:type="dxa"/>
            </w:tcMar>
          </w:tcPr>
          <w:p w14:paraId="7B023142" w14:textId="77777777" w:rsidR="00B47D1D" w:rsidRPr="002D2627" w:rsidRDefault="00B47D1D" w:rsidP="00653E6D">
            <w:pPr>
              <w:widowControl w:val="0"/>
              <w:rPr>
                <w:rFonts w:cstheme="minorHAnsi"/>
                <w:b/>
                <w:sz w:val="20"/>
                <w:szCs w:val="20"/>
              </w:rPr>
            </w:pPr>
            <w:r w:rsidRPr="002D2627">
              <w:rPr>
                <w:rFonts w:cstheme="minorHAnsi"/>
                <w:b/>
                <w:sz w:val="20"/>
                <w:szCs w:val="20"/>
              </w:rPr>
              <w:t>December 2023</w:t>
            </w:r>
          </w:p>
        </w:tc>
        <w:tc>
          <w:tcPr>
            <w:tcW w:w="6435" w:type="dxa"/>
            <w:shd w:val="clear" w:color="auto" w:fill="auto"/>
            <w:tcMar>
              <w:top w:w="100" w:type="dxa"/>
              <w:left w:w="100" w:type="dxa"/>
              <w:bottom w:w="100" w:type="dxa"/>
              <w:right w:w="100" w:type="dxa"/>
            </w:tcMar>
          </w:tcPr>
          <w:p w14:paraId="1E289AED" w14:textId="77777777" w:rsidR="00B47D1D" w:rsidRPr="00602815" w:rsidRDefault="00B47D1D" w:rsidP="00653E6D">
            <w:pPr>
              <w:widowControl w:val="0"/>
              <w:rPr>
                <w:rFonts w:cstheme="minorHAnsi"/>
                <w:sz w:val="20"/>
                <w:szCs w:val="20"/>
              </w:rPr>
            </w:pPr>
            <w:r w:rsidRPr="00602815">
              <w:rPr>
                <w:rFonts w:cstheme="minorHAnsi"/>
                <w:sz w:val="20"/>
                <w:szCs w:val="20"/>
              </w:rPr>
              <w:t xml:space="preserve">Programme delivery </w:t>
            </w:r>
          </w:p>
          <w:p w14:paraId="16CC49F2" w14:textId="77777777" w:rsidR="00B47D1D" w:rsidRPr="00602815" w:rsidRDefault="00B47D1D" w:rsidP="00653E6D">
            <w:pPr>
              <w:widowControl w:val="0"/>
              <w:rPr>
                <w:rFonts w:cstheme="minorHAnsi"/>
                <w:sz w:val="20"/>
                <w:szCs w:val="20"/>
              </w:rPr>
            </w:pPr>
            <w:r w:rsidRPr="00602815">
              <w:rPr>
                <w:rFonts w:cstheme="minorHAnsi"/>
                <w:sz w:val="20"/>
                <w:szCs w:val="20"/>
              </w:rPr>
              <w:t xml:space="preserve">Annual plan for 2024 agreed and partner assessment conducted </w:t>
            </w:r>
          </w:p>
        </w:tc>
      </w:tr>
      <w:tr w:rsidR="00B47D1D" w:rsidRPr="008676DA" w14:paraId="28614DAE" w14:textId="77777777" w:rsidTr="00653E6D">
        <w:tc>
          <w:tcPr>
            <w:tcW w:w="2565" w:type="dxa"/>
            <w:shd w:val="clear" w:color="auto" w:fill="auto"/>
            <w:tcMar>
              <w:top w:w="100" w:type="dxa"/>
              <w:left w:w="100" w:type="dxa"/>
              <w:bottom w:w="100" w:type="dxa"/>
              <w:right w:w="100" w:type="dxa"/>
            </w:tcMar>
          </w:tcPr>
          <w:p w14:paraId="7152690E" w14:textId="77777777" w:rsidR="00B47D1D" w:rsidRPr="002D2627" w:rsidRDefault="00B47D1D" w:rsidP="00653E6D">
            <w:pPr>
              <w:widowControl w:val="0"/>
              <w:rPr>
                <w:rFonts w:cstheme="minorHAnsi"/>
                <w:b/>
                <w:sz w:val="20"/>
                <w:szCs w:val="20"/>
              </w:rPr>
            </w:pPr>
            <w:r w:rsidRPr="002D2627">
              <w:rPr>
                <w:rFonts w:cstheme="minorHAnsi"/>
                <w:b/>
                <w:sz w:val="20"/>
                <w:szCs w:val="20"/>
              </w:rPr>
              <w:t xml:space="preserve">January - December 2024 </w:t>
            </w:r>
          </w:p>
        </w:tc>
        <w:tc>
          <w:tcPr>
            <w:tcW w:w="6435" w:type="dxa"/>
            <w:shd w:val="clear" w:color="auto" w:fill="auto"/>
            <w:tcMar>
              <w:top w:w="100" w:type="dxa"/>
              <w:left w:w="100" w:type="dxa"/>
              <w:bottom w:w="100" w:type="dxa"/>
              <w:right w:w="100" w:type="dxa"/>
            </w:tcMar>
          </w:tcPr>
          <w:p w14:paraId="01953B12" w14:textId="77777777" w:rsidR="00B47D1D" w:rsidRPr="00602815" w:rsidRDefault="00B47D1D" w:rsidP="00653E6D">
            <w:pPr>
              <w:widowControl w:val="0"/>
              <w:rPr>
                <w:rFonts w:cstheme="minorHAnsi"/>
                <w:i/>
                <w:sz w:val="20"/>
                <w:szCs w:val="20"/>
              </w:rPr>
            </w:pPr>
            <w:r w:rsidRPr="00602815">
              <w:rPr>
                <w:rFonts w:cstheme="minorHAnsi"/>
                <w:sz w:val="20"/>
                <w:szCs w:val="20"/>
              </w:rPr>
              <w:t>Yearly report delivery to Defra</w:t>
            </w:r>
          </w:p>
          <w:p w14:paraId="5507D41D" w14:textId="77777777" w:rsidR="00B47D1D" w:rsidRPr="00602815" w:rsidRDefault="00B47D1D" w:rsidP="00653E6D">
            <w:pPr>
              <w:widowControl w:val="0"/>
              <w:rPr>
                <w:rFonts w:cstheme="minorHAnsi"/>
                <w:sz w:val="20"/>
                <w:szCs w:val="20"/>
              </w:rPr>
            </w:pPr>
            <w:r w:rsidRPr="00602815">
              <w:rPr>
                <w:rFonts w:cstheme="minorHAnsi"/>
                <w:sz w:val="20"/>
                <w:szCs w:val="20"/>
              </w:rPr>
              <w:t>Year to follow similar pattern to 2023</w:t>
            </w:r>
          </w:p>
        </w:tc>
      </w:tr>
      <w:tr w:rsidR="00161246" w:rsidRPr="008676DA" w14:paraId="6FAA4E27" w14:textId="77777777" w:rsidTr="00653E6D">
        <w:tc>
          <w:tcPr>
            <w:tcW w:w="2565" w:type="dxa"/>
            <w:shd w:val="clear" w:color="auto" w:fill="auto"/>
            <w:tcMar>
              <w:top w:w="100" w:type="dxa"/>
              <w:left w:w="100" w:type="dxa"/>
              <w:bottom w:w="100" w:type="dxa"/>
              <w:right w:w="100" w:type="dxa"/>
            </w:tcMar>
          </w:tcPr>
          <w:p w14:paraId="62402220" w14:textId="10206F47" w:rsidR="00161246" w:rsidRPr="002D2627" w:rsidRDefault="00161246" w:rsidP="00653E6D">
            <w:pPr>
              <w:widowControl w:val="0"/>
              <w:rPr>
                <w:rFonts w:cstheme="minorHAnsi"/>
                <w:b/>
                <w:sz w:val="20"/>
                <w:szCs w:val="20"/>
              </w:rPr>
            </w:pPr>
            <w:r w:rsidRPr="002D2627">
              <w:rPr>
                <w:rFonts w:cstheme="minorHAnsi"/>
                <w:b/>
                <w:sz w:val="20"/>
                <w:szCs w:val="20"/>
              </w:rPr>
              <w:t>March/ April 2024*</w:t>
            </w:r>
          </w:p>
        </w:tc>
        <w:tc>
          <w:tcPr>
            <w:tcW w:w="6435" w:type="dxa"/>
            <w:shd w:val="clear" w:color="auto" w:fill="auto"/>
            <w:tcMar>
              <w:top w:w="100" w:type="dxa"/>
              <w:left w:w="100" w:type="dxa"/>
              <w:bottom w:w="100" w:type="dxa"/>
              <w:right w:w="100" w:type="dxa"/>
            </w:tcMar>
          </w:tcPr>
          <w:p w14:paraId="516A2215" w14:textId="7148CFC0" w:rsidR="00161246" w:rsidRPr="00602815" w:rsidRDefault="00161246" w:rsidP="00653E6D">
            <w:pPr>
              <w:widowControl w:val="0"/>
              <w:rPr>
                <w:rFonts w:cstheme="minorHAnsi"/>
                <w:sz w:val="20"/>
                <w:szCs w:val="20"/>
              </w:rPr>
            </w:pPr>
            <w:r>
              <w:rPr>
                <w:rFonts w:cstheme="minorHAnsi"/>
                <w:sz w:val="20"/>
                <w:szCs w:val="20"/>
              </w:rPr>
              <w:t>Interim Evaluation</w:t>
            </w:r>
          </w:p>
        </w:tc>
      </w:tr>
      <w:tr w:rsidR="00161246" w:rsidRPr="008676DA" w14:paraId="3A471404" w14:textId="77777777" w:rsidTr="00653E6D">
        <w:tc>
          <w:tcPr>
            <w:tcW w:w="2565" w:type="dxa"/>
            <w:shd w:val="clear" w:color="auto" w:fill="auto"/>
            <w:tcMar>
              <w:top w:w="100" w:type="dxa"/>
              <w:left w:w="100" w:type="dxa"/>
              <w:bottom w:w="100" w:type="dxa"/>
              <w:right w:w="100" w:type="dxa"/>
            </w:tcMar>
          </w:tcPr>
          <w:p w14:paraId="52A5647C" w14:textId="752271E4" w:rsidR="00161246" w:rsidRPr="002D2627" w:rsidRDefault="00161246" w:rsidP="00653E6D">
            <w:pPr>
              <w:widowControl w:val="0"/>
              <w:rPr>
                <w:rFonts w:cstheme="minorHAnsi"/>
                <w:b/>
                <w:sz w:val="20"/>
                <w:szCs w:val="20"/>
              </w:rPr>
            </w:pPr>
            <w:r w:rsidRPr="002D2627">
              <w:rPr>
                <w:rFonts w:cstheme="minorHAnsi"/>
                <w:b/>
                <w:sz w:val="20"/>
                <w:szCs w:val="20"/>
              </w:rPr>
              <w:t>September 2024</w:t>
            </w:r>
          </w:p>
        </w:tc>
        <w:tc>
          <w:tcPr>
            <w:tcW w:w="6435" w:type="dxa"/>
            <w:shd w:val="clear" w:color="auto" w:fill="auto"/>
            <w:tcMar>
              <w:top w:w="100" w:type="dxa"/>
              <w:left w:w="100" w:type="dxa"/>
              <w:bottom w:w="100" w:type="dxa"/>
              <w:right w:w="100" w:type="dxa"/>
            </w:tcMar>
          </w:tcPr>
          <w:p w14:paraId="2E0CC0A4" w14:textId="68433AA3" w:rsidR="00161246" w:rsidRDefault="00161246" w:rsidP="00653E6D">
            <w:pPr>
              <w:widowControl w:val="0"/>
              <w:rPr>
                <w:rFonts w:cstheme="minorHAnsi"/>
                <w:sz w:val="20"/>
                <w:szCs w:val="20"/>
              </w:rPr>
            </w:pPr>
            <w:r>
              <w:rPr>
                <w:rFonts w:cstheme="minorHAnsi"/>
                <w:sz w:val="20"/>
                <w:szCs w:val="20"/>
              </w:rPr>
              <w:t>Second Annual Review</w:t>
            </w:r>
          </w:p>
        </w:tc>
      </w:tr>
      <w:tr w:rsidR="00B47D1D" w:rsidRPr="008676DA" w14:paraId="3693E5DB" w14:textId="77777777" w:rsidTr="00653E6D">
        <w:tc>
          <w:tcPr>
            <w:tcW w:w="2565" w:type="dxa"/>
            <w:shd w:val="clear" w:color="auto" w:fill="auto"/>
            <w:tcMar>
              <w:top w:w="100" w:type="dxa"/>
              <w:left w:w="100" w:type="dxa"/>
              <w:bottom w:w="100" w:type="dxa"/>
              <w:right w:w="100" w:type="dxa"/>
            </w:tcMar>
          </w:tcPr>
          <w:p w14:paraId="37EDD5CB" w14:textId="77777777" w:rsidR="00B47D1D" w:rsidRPr="002D2627" w:rsidRDefault="00B47D1D" w:rsidP="00653E6D">
            <w:pPr>
              <w:widowControl w:val="0"/>
              <w:rPr>
                <w:rFonts w:cstheme="minorHAnsi"/>
                <w:b/>
                <w:sz w:val="20"/>
                <w:szCs w:val="20"/>
              </w:rPr>
            </w:pPr>
            <w:r w:rsidRPr="002D2627">
              <w:rPr>
                <w:rFonts w:cstheme="minorHAnsi"/>
                <w:b/>
                <w:sz w:val="20"/>
                <w:szCs w:val="20"/>
              </w:rPr>
              <w:t xml:space="preserve">January - December 2025 </w:t>
            </w:r>
          </w:p>
        </w:tc>
        <w:tc>
          <w:tcPr>
            <w:tcW w:w="6435" w:type="dxa"/>
            <w:shd w:val="clear" w:color="auto" w:fill="auto"/>
            <w:tcMar>
              <w:top w:w="100" w:type="dxa"/>
              <w:left w:w="100" w:type="dxa"/>
              <w:bottom w:w="100" w:type="dxa"/>
              <w:right w:w="100" w:type="dxa"/>
            </w:tcMar>
          </w:tcPr>
          <w:p w14:paraId="3A2F8E75" w14:textId="77777777" w:rsidR="00B47D1D" w:rsidRPr="00602815" w:rsidRDefault="00B47D1D" w:rsidP="00653E6D">
            <w:pPr>
              <w:widowControl w:val="0"/>
              <w:rPr>
                <w:rFonts w:cstheme="minorHAnsi"/>
                <w:sz w:val="20"/>
                <w:szCs w:val="20"/>
              </w:rPr>
            </w:pPr>
            <w:r w:rsidRPr="00602815">
              <w:rPr>
                <w:rFonts w:cstheme="minorHAnsi"/>
                <w:sz w:val="20"/>
                <w:szCs w:val="20"/>
              </w:rPr>
              <w:t xml:space="preserve">Programme delivery (TBC) </w:t>
            </w:r>
          </w:p>
          <w:p w14:paraId="4D7903CE" w14:textId="77777777" w:rsidR="00B47D1D" w:rsidRPr="00602815" w:rsidRDefault="00B47D1D" w:rsidP="00653E6D">
            <w:pPr>
              <w:widowControl w:val="0"/>
              <w:rPr>
                <w:rFonts w:cstheme="minorHAnsi"/>
                <w:sz w:val="20"/>
                <w:szCs w:val="20"/>
              </w:rPr>
            </w:pPr>
            <w:r w:rsidRPr="00602815">
              <w:rPr>
                <w:rFonts w:cstheme="minorHAnsi"/>
                <w:sz w:val="20"/>
                <w:szCs w:val="20"/>
              </w:rPr>
              <w:t>Year to follow similar pattern to 2025</w:t>
            </w:r>
          </w:p>
        </w:tc>
      </w:tr>
      <w:tr w:rsidR="00161246" w:rsidRPr="008676DA" w14:paraId="298FE3BC" w14:textId="77777777" w:rsidTr="00653E6D">
        <w:tc>
          <w:tcPr>
            <w:tcW w:w="2565" w:type="dxa"/>
            <w:shd w:val="clear" w:color="auto" w:fill="auto"/>
            <w:tcMar>
              <w:top w:w="100" w:type="dxa"/>
              <w:left w:w="100" w:type="dxa"/>
              <w:bottom w:w="100" w:type="dxa"/>
              <w:right w:w="100" w:type="dxa"/>
            </w:tcMar>
          </w:tcPr>
          <w:p w14:paraId="424C4A21" w14:textId="3E17E45C" w:rsidR="00161246" w:rsidRPr="002D2627" w:rsidRDefault="00161246" w:rsidP="002C7B22">
            <w:pPr>
              <w:widowControl w:val="0"/>
              <w:rPr>
                <w:rFonts w:cstheme="minorHAnsi"/>
                <w:b/>
                <w:sz w:val="20"/>
                <w:szCs w:val="20"/>
              </w:rPr>
            </w:pPr>
            <w:r w:rsidRPr="002D2627">
              <w:rPr>
                <w:rFonts w:cstheme="minorHAnsi"/>
                <w:b/>
                <w:sz w:val="20"/>
                <w:szCs w:val="20"/>
              </w:rPr>
              <w:t>September 2024</w:t>
            </w:r>
          </w:p>
        </w:tc>
        <w:tc>
          <w:tcPr>
            <w:tcW w:w="6435" w:type="dxa"/>
            <w:shd w:val="clear" w:color="auto" w:fill="auto"/>
            <w:tcMar>
              <w:top w:w="100" w:type="dxa"/>
              <w:left w:w="100" w:type="dxa"/>
              <w:bottom w:w="100" w:type="dxa"/>
              <w:right w:w="100" w:type="dxa"/>
            </w:tcMar>
          </w:tcPr>
          <w:p w14:paraId="03C4A238" w14:textId="623BBAA0" w:rsidR="00161246" w:rsidRDefault="00161246" w:rsidP="002C7B22">
            <w:pPr>
              <w:widowControl w:val="0"/>
              <w:rPr>
                <w:color w:val="201F1E"/>
                <w:sz w:val="20"/>
                <w:szCs w:val="20"/>
              </w:rPr>
            </w:pPr>
            <w:r>
              <w:rPr>
                <w:color w:val="201F1E"/>
                <w:sz w:val="20"/>
                <w:szCs w:val="20"/>
              </w:rPr>
              <w:t>Third Annual Review</w:t>
            </w:r>
          </w:p>
        </w:tc>
      </w:tr>
      <w:tr w:rsidR="002C7B22" w:rsidRPr="008676DA" w14:paraId="3ACD207D" w14:textId="77777777" w:rsidTr="00653E6D">
        <w:tc>
          <w:tcPr>
            <w:tcW w:w="2565" w:type="dxa"/>
            <w:shd w:val="clear" w:color="auto" w:fill="auto"/>
            <w:tcMar>
              <w:top w:w="100" w:type="dxa"/>
              <w:left w:w="100" w:type="dxa"/>
              <w:bottom w:w="100" w:type="dxa"/>
              <w:right w:w="100" w:type="dxa"/>
            </w:tcMar>
          </w:tcPr>
          <w:p w14:paraId="79214B63" w14:textId="15720523" w:rsidR="002C7B22" w:rsidRPr="002D2627" w:rsidRDefault="002C7B22" w:rsidP="002C7B22">
            <w:pPr>
              <w:widowControl w:val="0"/>
              <w:rPr>
                <w:rFonts w:cstheme="minorHAnsi"/>
                <w:b/>
                <w:sz w:val="20"/>
                <w:szCs w:val="20"/>
              </w:rPr>
            </w:pPr>
            <w:r w:rsidRPr="002D2627">
              <w:rPr>
                <w:rFonts w:cstheme="minorHAnsi"/>
                <w:b/>
                <w:sz w:val="20"/>
                <w:szCs w:val="20"/>
              </w:rPr>
              <w:t>Q4 2025</w:t>
            </w:r>
          </w:p>
        </w:tc>
        <w:tc>
          <w:tcPr>
            <w:tcW w:w="6435" w:type="dxa"/>
            <w:shd w:val="clear" w:color="auto" w:fill="auto"/>
            <w:tcMar>
              <w:top w:w="100" w:type="dxa"/>
              <w:left w:w="100" w:type="dxa"/>
              <w:bottom w:w="100" w:type="dxa"/>
              <w:right w:w="100" w:type="dxa"/>
            </w:tcMar>
          </w:tcPr>
          <w:p w14:paraId="0D56176B" w14:textId="690D3ECB" w:rsidR="002C7B22" w:rsidRPr="00602815" w:rsidRDefault="002C7B22" w:rsidP="002C7B22">
            <w:pPr>
              <w:widowControl w:val="0"/>
              <w:rPr>
                <w:rFonts w:cstheme="minorHAnsi"/>
                <w:sz w:val="20"/>
                <w:szCs w:val="20"/>
              </w:rPr>
            </w:pPr>
            <w:r>
              <w:rPr>
                <w:color w:val="201F1E"/>
                <w:sz w:val="20"/>
                <w:szCs w:val="20"/>
              </w:rPr>
              <w:t>T</w:t>
            </w:r>
            <w:r w:rsidRPr="00602815">
              <w:rPr>
                <w:color w:val="201F1E"/>
                <w:sz w:val="20"/>
                <w:szCs w:val="20"/>
              </w:rPr>
              <w:t>raining on skills-based training on circular economy / waste management that can increase alternative livelihood outcomes</w:t>
            </w:r>
          </w:p>
        </w:tc>
      </w:tr>
      <w:tr w:rsidR="00161246" w:rsidRPr="008676DA" w14:paraId="3C52BE87" w14:textId="77777777" w:rsidTr="00653E6D">
        <w:tc>
          <w:tcPr>
            <w:tcW w:w="2565" w:type="dxa"/>
            <w:shd w:val="clear" w:color="auto" w:fill="auto"/>
            <w:tcMar>
              <w:top w:w="100" w:type="dxa"/>
              <w:left w:w="100" w:type="dxa"/>
              <w:bottom w:w="100" w:type="dxa"/>
              <w:right w:w="100" w:type="dxa"/>
            </w:tcMar>
          </w:tcPr>
          <w:p w14:paraId="54FD8C5A" w14:textId="762D7A2B" w:rsidR="00161246" w:rsidRPr="002D2627" w:rsidRDefault="00161246" w:rsidP="002C7B22">
            <w:pPr>
              <w:widowControl w:val="0"/>
              <w:rPr>
                <w:rFonts w:cstheme="minorHAnsi"/>
                <w:b/>
                <w:sz w:val="20"/>
                <w:szCs w:val="20"/>
              </w:rPr>
            </w:pPr>
            <w:r w:rsidRPr="002D2627">
              <w:rPr>
                <w:rFonts w:cstheme="minorHAnsi"/>
                <w:b/>
                <w:sz w:val="20"/>
                <w:szCs w:val="20"/>
              </w:rPr>
              <w:t>December 2025/ January 2026*</w:t>
            </w:r>
          </w:p>
        </w:tc>
        <w:tc>
          <w:tcPr>
            <w:tcW w:w="6435" w:type="dxa"/>
            <w:shd w:val="clear" w:color="auto" w:fill="auto"/>
            <w:tcMar>
              <w:top w:w="100" w:type="dxa"/>
              <w:left w:w="100" w:type="dxa"/>
              <w:bottom w:w="100" w:type="dxa"/>
              <w:right w:w="100" w:type="dxa"/>
            </w:tcMar>
          </w:tcPr>
          <w:p w14:paraId="1DFE3562" w14:textId="183D2011" w:rsidR="00161246" w:rsidRDefault="00161246" w:rsidP="002C7B22">
            <w:pPr>
              <w:widowControl w:val="0"/>
              <w:rPr>
                <w:color w:val="201F1E"/>
                <w:sz w:val="20"/>
                <w:szCs w:val="20"/>
              </w:rPr>
            </w:pPr>
            <w:r>
              <w:rPr>
                <w:color w:val="201F1E"/>
                <w:sz w:val="20"/>
                <w:szCs w:val="20"/>
              </w:rPr>
              <w:t>Final evaluation</w:t>
            </w:r>
          </w:p>
        </w:tc>
      </w:tr>
    </w:tbl>
    <w:p w14:paraId="62E5CB3D" w14:textId="77777777" w:rsidR="00B47D1D" w:rsidRDefault="00B47D1D" w:rsidP="00B47D1D">
      <w:pPr>
        <w:spacing w:after="240"/>
        <w:rPr>
          <w:rFonts w:cstheme="minorHAnsi"/>
        </w:rPr>
      </w:pPr>
    </w:p>
    <w:p w14:paraId="3733A28A" w14:textId="5D12E763" w:rsidR="00161246" w:rsidRDefault="00161246" w:rsidP="00B47D1D">
      <w:pPr>
        <w:spacing w:after="240"/>
        <w:rPr>
          <w:rFonts w:cstheme="minorHAnsi"/>
        </w:rPr>
      </w:pPr>
      <w:r>
        <w:rPr>
          <w:rFonts w:cstheme="minorHAnsi"/>
        </w:rPr>
        <w:t>*Dates subject to change, depending on scale and scope of the evaluation undertaken, as well as the data required</w:t>
      </w:r>
      <w:r w:rsidR="006446E2">
        <w:rPr>
          <w:rFonts w:cstheme="minorHAnsi"/>
        </w:rPr>
        <w:t>.</w:t>
      </w:r>
    </w:p>
    <w:p w14:paraId="74B5AB3D" w14:textId="2B727D0A" w:rsidR="00B47D1D" w:rsidRDefault="00B47D1D" w:rsidP="00B47D1D">
      <w:pPr>
        <w:spacing w:after="240"/>
        <w:rPr>
          <w:lang w:eastAsia="en-GB"/>
        </w:rPr>
      </w:pPr>
      <w:r>
        <w:rPr>
          <w:lang w:eastAsia="en-GB"/>
        </w:rPr>
        <w:t xml:space="preserve">Please see </w:t>
      </w:r>
      <w:r w:rsidRPr="00F53184">
        <w:rPr>
          <w:b/>
          <w:lang w:eastAsia="en-GB"/>
        </w:rPr>
        <w:t>Appendix 4</w:t>
      </w:r>
      <w:r>
        <w:rPr>
          <w:lang w:eastAsia="en-GB"/>
        </w:rPr>
        <w:t xml:space="preserve"> for detailed delivery information.</w:t>
      </w:r>
    </w:p>
    <w:p w14:paraId="6233AAB8" w14:textId="77777777" w:rsidR="003755B3" w:rsidRPr="007A0C92" w:rsidRDefault="003755B3" w:rsidP="00B47D1D">
      <w:pPr>
        <w:spacing w:after="240"/>
        <w:rPr>
          <w:lang w:eastAsia="en-GB"/>
        </w:rPr>
      </w:pPr>
    </w:p>
    <w:p w14:paraId="1E4ACF77" w14:textId="483AA30E" w:rsidR="005568FF" w:rsidRDefault="005568FF" w:rsidP="005568FF">
      <w:pPr>
        <w:pStyle w:val="Heading3"/>
      </w:pPr>
      <w:r>
        <w:lastRenderedPageBreak/>
        <w:t>INC Governance</w:t>
      </w:r>
    </w:p>
    <w:p w14:paraId="1C97ED67" w14:textId="7EDC8B6A" w:rsidR="00BA429D" w:rsidRDefault="006B626F" w:rsidP="00BA429D">
      <w:pPr>
        <w:rPr>
          <w:lang w:val="en-US"/>
        </w:rPr>
      </w:pPr>
      <w:r>
        <w:rPr>
          <w:lang w:eastAsia="en-GB"/>
        </w:rPr>
        <w:t>There are existing governance structures in place to scrutini</w:t>
      </w:r>
      <w:r w:rsidR="00BA429D">
        <w:rPr>
          <w:lang w:eastAsia="en-GB"/>
        </w:rPr>
        <w:t>s</w:t>
      </w:r>
      <w:r>
        <w:rPr>
          <w:lang w:eastAsia="en-GB"/>
        </w:rPr>
        <w:t xml:space="preserve">e secretariat spending and ensure value for money. </w:t>
      </w:r>
      <w:r w:rsidR="00BA429D">
        <w:rPr>
          <w:lang w:val="en-US"/>
        </w:rPr>
        <w:t>The assurance and oversight on the use of the resources of the donors is undertaken by independent internal and external oversight bodies. Internally, the Office of Internal Oversight Services (OIOS) helps UNEP become more efficient, effective and relevant through performing internal audit, Inspection and evaluation and providing investigations services. In addition, UN Board of Auditors (UNBOA) appointed by the member states, ensures that the resources are utilized in accordance with the rules and regulations, internal procedures and guidelines by conducting financial and assurance auditing.</w:t>
      </w:r>
    </w:p>
    <w:p w14:paraId="3F2D889B" w14:textId="77777777" w:rsidR="00BA429D" w:rsidRDefault="00BA429D" w:rsidP="00BA429D">
      <w:pPr>
        <w:rPr>
          <w:lang w:val="en-US"/>
        </w:rPr>
      </w:pPr>
    </w:p>
    <w:p w14:paraId="1FA3F268" w14:textId="0F4BF6DE" w:rsidR="00905206" w:rsidRDefault="00705EF8" w:rsidP="00B47D1D">
      <w:pPr>
        <w:spacing w:after="240"/>
        <w:rPr>
          <w:lang w:eastAsia="en-GB"/>
        </w:rPr>
      </w:pPr>
      <w:r>
        <w:rPr>
          <w:lang w:eastAsia="en-GB"/>
        </w:rPr>
        <w:t xml:space="preserve">Secondly, the Secretariat will </w:t>
      </w:r>
      <w:r w:rsidR="008F57FA">
        <w:rPr>
          <w:lang w:eastAsia="en-GB"/>
        </w:rPr>
        <w:t xml:space="preserve">share an Information Document </w:t>
      </w:r>
      <w:r w:rsidR="00157F32">
        <w:rPr>
          <w:lang w:eastAsia="en-GB"/>
        </w:rPr>
        <w:t>related to the programme of work and budget</w:t>
      </w:r>
      <w:r w:rsidR="00EA12CC">
        <w:rPr>
          <w:lang w:eastAsia="en-GB"/>
        </w:rPr>
        <w:t xml:space="preserve"> </w:t>
      </w:r>
      <w:r w:rsidR="008034C3">
        <w:rPr>
          <w:lang w:eastAsia="en-GB"/>
        </w:rPr>
        <w:t xml:space="preserve">to the INC ahead of the second </w:t>
      </w:r>
      <w:r w:rsidR="00593053">
        <w:rPr>
          <w:lang w:eastAsia="en-GB"/>
        </w:rPr>
        <w:t>INC meeting of each year</w:t>
      </w:r>
      <w:r w:rsidR="00157F32">
        <w:rPr>
          <w:lang w:eastAsia="en-GB"/>
        </w:rPr>
        <w:t xml:space="preserve">. </w:t>
      </w:r>
      <w:r w:rsidR="00451BD3">
        <w:rPr>
          <w:lang w:eastAsia="en-GB"/>
        </w:rPr>
        <w:t xml:space="preserve">The Secretariat is also obliged to report on </w:t>
      </w:r>
      <w:r w:rsidR="000B74A9">
        <w:rPr>
          <w:lang w:eastAsia="en-GB"/>
        </w:rPr>
        <w:t xml:space="preserve">progress related to the implementation of UNEA resolution 5/14 to UNEA 6, alongside the usual </w:t>
      </w:r>
      <w:r w:rsidR="0023154E">
        <w:rPr>
          <w:lang w:eastAsia="en-GB"/>
        </w:rPr>
        <w:t xml:space="preserve">financial overview conducted on all resolutions agreed at UNEA 5. </w:t>
      </w:r>
      <w:r w:rsidR="004B1C4F" w:rsidRPr="004B1C4F">
        <w:t xml:space="preserve"> </w:t>
      </w:r>
      <w:r w:rsidR="00034467">
        <w:t xml:space="preserve">The Secretariat will also provide the Bureau </w:t>
      </w:r>
      <w:r w:rsidR="0038741C">
        <w:t>with financial reporting</w:t>
      </w:r>
      <w:r w:rsidR="00636438">
        <w:t xml:space="preserve"> on an annual basis. </w:t>
      </w:r>
      <w:r w:rsidR="00DC3488">
        <w:t>However, a</w:t>
      </w:r>
      <w:r w:rsidR="00636438">
        <w:t>ny scrutinization of the financial reporting</w:t>
      </w:r>
      <w:r w:rsidR="00D22D2B">
        <w:t xml:space="preserve"> by the Bureau, which the UK could feed into the JUSSCANNZ Bureau member, would require a mandate from Member States</w:t>
      </w:r>
      <w:r w:rsidR="00BF1D62">
        <w:t xml:space="preserve"> before </w:t>
      </w:r>
      <w:r w:rsidR="00DC3488">
        <w:t>taking place.</w:t>
      </w:r>
    </w:p>
    <w:p w14:paraId="7180BCEA" w14:textId="442809DF" w:rsidR="00A7774A" w:rsidRDefault="00F71502" w:rsidP="00B47D1D">
      <w:pPr>
        <w:spacing w:after="240"/>
        <w:rPr>
          <w:lang w:eastAsia="en-GB"/>
        </w:rPr>
      </w:pPr>
      <w:r>
        <w:rPr>
          <w:lang w:eastAsia="en-GB"/>
        </w:rPr>
        <w:t>In addition to the governance structures already in place,</w:t>
      </w:r>
      <w:r w:rsidR="00531A0C">
        <w:rPr>
          <w:lang w:eastAsia="en-GB"/>
        </w:rPr>
        <w:t xml:space="preserve"> Defra </w:t>
      </w:r>
      <w:r w:rsidR="00BA429D">
        <w:rPr>
          <w:lang w:eastAsia="en-GB"/>
        </w:rPr>
        <w:t>will</w:t>
      </w:r>
      <w:r w:rsidR="00531A0C">
        <w:rPr>
          <w:lang w:eastAsia="en-GB"/>
        </w:rPr>
        <w:t xml:space="preserve"> request additional reporting </w:t>
      </w:r>
      <w:r w:rsidR="00715269">
        <w:rPr>
          <w:lang w:eastAsia="en-GB"/>
        </w:rPr>
        <w:t xml:space="preserve">in our commitment letter as a condition </w:t>
      </w:r>
      <w:r w:rsidR="00B41ABF">
        <w:rPr>
          <w:lang w:eastAsia="en-GB"/>
        </w:rPr>
        <w:t xml:space="preserve">of our funding. </w:t>
      </w:r>
      <w:r w:rsidR="00F81E02">
        <w:rPr>
          <w:lang w:eastAsia="en-GB"/>
        </w:rPr>
        <w:t>We intend to request</w:t>
      </w:r>
      <w:r w:rsidR="00E53887">
        <w:rPr>
          <w:lang w:eastAsia="en-GB"/>
        </w:rPr>
        <w:t xml:space="preserve"> financial reporting every </w:t>
      </w:r>
      <w:r w:rsidR="00A663E5">
        <w:rPr>
          <w:lang w:eastAsia="en-GB"/>
        </w:rPr>
        <w:t>year</w:t>
      </w:r>
      <w:r w:rsidR="00E53887">
        <w:rPr>
          <w:lang w:eastAsia="en-GB"/>
        </w:rPr>
        <w:t xml:space="preserve"> outlining </w:t>
      </w:r>
      <w:r w:rsidR="00EC042C">
        <w:rPr>
          <w:lang w:eastAsia="en-GB"/>
        </w:rPr>
        <w:t>ODA-eligible expenditure and evidence of value for money</w:t>
      </w:r>
      <w:r w:rsidR="00BA429D">
        <w:rPr>
          <w:lang w:eastAsia="en-GB"/>
        </w:rPr>
        <w:t>, as shown in the proposed reporting schedule below. We also propose the following conditions to include in the agreement letter:</w:t>
      </w:r>
    </w:p>
    <w:p w14:paraId="58FE1021" w14:textId="77777777" w:rsidR="00BA429D" w:rsidRPr="00565E6E" w:rsidRDefault="00BA429D" w:rsidP="00565E6E">
      <w:pPr>
        <w:rPr>
          <w:rFonts w:ascii="Calibri" w:eastAsia="Times New Roman" w:hAnsi="Calibri" w:cs="Calibri"/>
          <w:i/>
          <w:iCs/>
          <w:lang w:eastAsia="en-GB"/>
        </w:rPr>
      </w:pPr>
      <w:r w:rsidRPr="00565E6E">
        <w:rPr>
          <w:rFonts w:ascii="Calibri" w:eastAsia="Times New Roman" w:hAnsi="Calibri" w:cs="Calibri"/>
          <w:i/>
          <w:iCs/>
          <w:lang w:eastAsia="en-GB"/>
        </w:rPr>
        <w:t>Funding for Financial Years 2023/2024 and 2024/2025 will be subject to the fulfilment of the following conditions:</w:t>
      </w:r>
    </w:p>
    <w:p w14:paraId="0318A355" w14:textId="5CCEFFB1" w:rsidR="00982AA6" w:rsidRPr="00982AA6" w:rsidRDefault="00982AA6" w:rsidP="00982AA6">
      <w:pPr>
        <w:pStyle w:val="ListParagraph"/>
        <w:numPr>
          <w:ilvl w:val="0"/>
          <w:numId w:val="110"/>
        </w:numPr>
        <w:spacing w:after="240"/>
        <w:rPr>
          <w:rFonts w:eastAsia="Times New Roman"/>
          <w:i/>
          <w:iCs/>
          <w:lang w:eastAsia="en-GB"/>
        </w:rPr>
      </w:pPr>
      <w:r w:rsidRPr="00982AA6">
        <w:rPr>
          <w:rFonts w:eastAsia="Times New Roman"/>
          <w:i/>
          <w:iCs/>
          <w:lang w:eastAsia="en-GB"/>
        </w:rPr>
        <w:t>Defra's funding should be used to support ODA-eligible activities only</w:t>
      </w:r>
    </w:p>
    <w:p w14:paraId="633EA81A" w14:textId="708EB9DC" w:rsidR="00982AA6" w:rsidRPr="00CF4465" w:rsidRDefault="00982AA6" w:rsidP="00CF4465">
      <w:pPr>
        <w:pStyle w:val="ListParagraph"/>
        <w:numPr>
          <w:ilvl w:val="0"/>
          <w:numId w:val="110"/>
        </w:numPr>
        <w:spacing w:after="240"/>
        <w:rPr>
          <w:rFonts w:eastAsia="Times New Roman"/>
          <w:i/>
          <w:iCs/>
          <w:lang w:eastAsia="en-GB"/>
        </w:rPr>
      </w:pPr>
      <w:r w:rsidRPr="00CF4465">
        <w:rPr>
          <w:rFonts w:eastAsia="Times New Roman"/>
          <w:i/>
          <w:iCs/>
          <w:lang w:eastAsia="en-GB"/>
        </w:rPr>
        <w:t xml:space="preserve">Where these activities support delegates, this funding should generally target Low Income Countries (LICs) and Lower/Middle Income Countries (LMICs) only. </w:t>
      </w:r>
    </w:p>
    <w:p w14:paraId="75C3DE70" w14:textId="14B9C092" w:rsidR="00982AA6" w:rsidRPr="00CF4465" w:rsidRDefault="00982AA6" w:rsidP="00CF4465">
      <w:pPr>
        <w:pStyle w:val="ListParagraph"/>
        <w:numPr>
          <w:ilvl w:val="0"/>
          <w:numId w:val="110"/>
        </w:numPr>
        <w:spacing w:after="240"/>
        <w:rPr>
          <w:rFonts w:eastAsia="Times New Roman"/>
          <w:i/>
          <w:iCs/>
          <w:lang w:eastAsia="en-GB"/>
        </w:rPr>
      </w:pPr>
      <w:r w:rsidRPr="00CF4465">
        <w:rPr>
          <w:rFonts w:eastAsia="Times New Roman"/>
          <w:i/>
          <w:iCs/>
          <w:lang w:eastAsia="en-GB"/>
        </w:rPr>
        <w:t xml:space="preserve">Where Defra's funding is spent on travel and subsistence (T&amp;S), only economy class will be eligible for travel.  </w:t>
      </w:r>
    </w:p>
    <w:p w14:paraId="08D0B024" w14:textId="77777777" w:rsidR="006E74CC" w:rsidRDefault="00982AA6" w:rsidP="00CF4465">
      <w:pPr>
        <w:pStyle w:val="ListParagraph"/>
        <w:numPr>
          <w:ilvl w:val="0"/>
          <w:numId w:val="110"/>
        </w:numPr>
        <w:spacing w:after="240"/>
        <w:rPr>
          <w:rFonts w:eastAsia="Times New Roman"/>
          <w:i/>
          <w:iCs/>
          <w:lang w:eastAsia="en-GB"/>
        </w:rPr>
      </w:pPr>
      <w:r w:rsidRPr="00CF4465">
        <w:rPr>
          <w:rFonts w:eastAsia="Times New Roman"/>
          <w:i/>
          <w:iCs/>
          <w:lang w:eastAsia="en-GB"/>
        </w:rPr>
        <w:t xml:space="preserve">A report will be provided to Defra after the first 6 months (April 2023) and then annually in April setting out how the Defra funding has supported ODA-eligible county engagement with the INC process, describing the types of activity supported and how they represent value for money and help deliver the objectives for the funding. The report should also confirm that conditions 1-4 have been fulfilled.  The report should take the form of </w:t>
      </w:r>
      <w:r w:rsidR="006E74CC">
        <w:rPr>
          <w:rFonts w:eastAsia="Times New Roman"/>
          <w:i/>
          <w:iCs/>
          <w:lang w:eastAsia="en-GB"/>
        </w:rPr>
        <w:t>a</w:t>
      </w:r>
      <w:r w:rsidRPr="00CF4465">
        <w:rPr>
          <w:rFonts w:eastAsia="Times New Roman"/>
          <w:i/>
          <w:iCs/>
          <w:lang w:eastAsia="en-GB"/>
        </w:rPr>
        <w:t xml:space="preserve"> proforma</w:t>
      </w:r>
      <w:r w:rsidR="006E74CC">
        <w:rPr>
          <w:rFonts w:eastAsia="Times New Roman"/>
          <w:i/>
          <w:iCs/>
          <w:lang w:eastAsia="en-GB"/>
        </w:rPr>
        <w:t xml:space="preserve"> containing the following:</w:t>
      </w:r>
    </w:p>
    <w:p w14:paraId="149919B9" w14:textId="77777777" w:rsidR="006E74CC" w:rsidRDefault="006E74CC" w:rsidP="006E74CC">
      <w:pPr>
        <w:pStyle w:val="ListParagraph"/>
        <w:numPr>
          <w:ilvl w:val="1"/>
          <w:numId w:val="110"/>
        </w:numPr>
        <w:spacing w:after="240"/>
        <w:rPr>
          <w:rFonts w:eastAsia="Times New Roman"/>
          <w:i/>
          <w:iCs/>
          <w:lang w:eastAsia="en-GB"/>
        </w:rPr>
      </w:pPr>
      <w:r>
        <w:rPr>
          <w:rFonts w:eastAsia="Times New Roman"/>
          <w:i/>
          <w:iCs/>
          <w:lang w:eastAsia="en-GB"/>
        </w:rPr>
        <w:t>Expenditure for the year</w:t>
      </w:r>
    </w:p>
    <w:p w14:paraId="329E9414" w14:textId="77777777" w:rsidR="006E74CC" w:rsidRDefault="006E74CC" w:rsidP="006E74CC">
      <w:pPr>
        <w:pStyle w:val="ListParagraph"/>
        <w:numPr>
          <w:ilvl w:val="1"/>
          <w:numId w:val="110"/>
        </w:numPr>
        <w:spacing w:after="240"/>
        <w:rPr>
          <w:rFonts w:eastAsia="Times New Roman"/>
          <w:i/>
          <w:iCs/>
          <w:lang w:eastAsia="en-GB"/>
        </w:rPr>
      </w:pPr>
      <w:r>
        <w:rPr>
          <w:rFonts w:eastAsia="Times New Roman"/>
          <w:i/>
          <w:iCs/>
          <w:lang w:eastAsia="en-GB"/>
        </w:rPr>
        <w:t>Comments on Value for Money</w:t>
      </w:r>
    </w:p>
    <w:p w14:paraId="2E4AE2BE" w14:textId="77777777" w:rsidR="006E74CC" w:rsidRDefault="006E74CC" w:rsidP="006E74CC">
      <w:pPr>
        <w:pStyle w:val="ListParagraph"/>
        <w:numPr>
          <w:ilvl w:val="1"/>
          <w:numId w:val="110"/>
        </w:numPr>
        <w:spacing w:after="240"/>
        <w:rPr>
          <w:rFonts w:eastAsia="Times New Roman"/>
          <w:i/>
          <w:iCs/>
          <w:lang w:eastAsia="en-GB"/>
        </w:rPr>
      </w:pPr>
      <w:r>
        <w:rPr>
          <w:rFonts w:eastAsia="Times New Roman"/>
          <w:i/>
          <w:iCs/>
          <w:lang w:eastAsia="en-GB"/>
        </w:rPr>
        <w:t>Outcomes of the funding</w:t>
      </w:r>
    </w:p>
    <w:p w14:paraId="6ED96F96" w14:textId="1C8F2D4A" w:rsidR="006E74CC" w:rsidRDefault="006E74CC" w:rsidP="006E74CC">
      <w:pPr>
        <w:pStyle w:val="ListParagraph"/>
        <w:numPr>
          <w:ilvl w:val="1"/>
          <w:numId w:val="110"/>
        </w:numPr>
        <w:spacing w:after="240"/>
        <w:rPr>
          <w:rFonts w:eastAsia="Times New Roman"/>
          <w:i/>
          <w:iCs/>
          <w:lang w:eastAsia="en-GB"/>
        </w:rPr>
      </w:pPr>
      <w:r>
        <w:rPr>
          <w:rFonts w:eastAsia="Times New Roman"/>
          <w:i/>
          <w:iCs/>
          <w:lang w:eastAsia="en-GB"/>
        </w:rPr>
        <w:t>Which countries funded</w:t>
      </w:r>
    </w:p>
    <w:p w14:paraId="76395C3B" w14:textId="63AA6FC8" w:rsidR="00982AA6" w:rsidRPr="00CF4465" w:rsidRDefault="006E74CC" w:rsidP="006E74CC">
      <w:pPr>
        <w:pStyle w:val="ListParagraph"/>
        <w:numPr>
          <w:ilvl w:val="1"/>
          <w:numId w:val="110"/>
        </w:numPr>
        <w:spacing w:after="240"/>
        <w:rPr>
          <w:rFonts w:eastAsia="Times New Roman"/>
          <w:i/>
          <w:iCs/>
          <w:lang w:eastAsia="en-GB"/>
        </w:rPr>
      </w:pPr>
      <w:r>
        <w:rPr>
          <w:rFonts w:eastAsia="Times New Roman"/>
          <w:i/>
          <w:iCs/>
          <w:lang w:eastAsia="en-GB"/>
        </w:rPr>
        <w:t>Types of activities funded</w:t>
      </w:r>
      <w:r w:rsidR="00982AA6" w:rsidRPr="00CF4465">
        <w:rPr>
          <w:rFonts w:eastAsia="Times New Roman"/>
          <w:i/>
          <w:iCs/>
          <w:lang w:eastAsia="en-GB"/>
        </w:rPr>
        <w:t xml:space="preserve">   </w:t>
      </w:r>
    </w:p>
    <w:p w14:paraId="73A3A9A0" w14:textId="572E9B88" w:rsidR="00FD21DC" w:rsidRPr="00565E6E" w:rsidRDefault="00BA429D" w:rsidP="00B47D1D">
      <w:pPr>
        <w:spacing w:after="240"/>
        <w:rPr>
          <w:u w:val="single"/>
          <w:lang w:eastAsia="en-GB"/>
        </w:rPr>
      </w:pPr>
      <w:r>
        <w:rPr>
          <w:u w:val="single"/>
          <w:lang w:eastAsia="en-GB"/>
        </w:rPr>
        <w:t>R</w:t>
      </w:r>
      <w:r w:rsidR="00FD21DC">
        <w:rPr>
          <w:u w:val="single"/>
          <w:lang w:eastAsia="en-GB"/>
        </w:rPr>
        <w:t>eporting schedule:</w:t>
      </w:r>
    </w:p>
    <w:tbl>
      <w:tblPr>
        <w:tblStyle w:val="TableGrid"/>
        <w:tblW w:w="0" w:type="auto"/>
        <w:tblLook w:val="04A0" w:firstRow="1" w:lastRow="0" w:firstColumn="1" w:lastColumn="0" w:noHBand="0" w:noVBand="1"/>
      </w:tblPr>
      <w:tblGrid>
        <w:gridCol w:w="1975"/>
        <w:gridCol w:w="7031"/>
      </w:tblGrid>
      <w:tr w:rsidR="00DF7212" w:rsidRPr="00BA429D" w14:paraId="7A7790CA" w14:textId="77777777" w:rsidTr="00565E6E">
        <w:tc>
          <w:tcPr>
            <w:tcW w:w="1975" w:type="dxa"/>
          </w:tcPr>
          <w:p w14:paraId="6F24FA2E" w14:textId="7B04D660" w:rsidR="00DF7212" w:rsidRPr="00565E6E" w:rsidRDefault="00E117CD" w:rsidP="00B47D1D">
            <w:pPr>
              <w:spacing w:after="240"/>
              <w:rPr>
                <w:b/>
                <w:bCs/>
                <w:sz w:val="22"/>
                <w:szCs w:val="22"/>
                <w:lang w:eastAsia="en-GB"/>
              </w:rPr>
            </w:pPr>
            <w:r w:rsidRPr="00BA429D">
              <w:rPr>
                <w:b/>
                <w:bCs/>
                <w:lang w:eastAsia="en-GB"/>
              </w:rPr>
              <w:t>DATE</w:t>
            </w:r>
          </w:p>
        </w:tc>
        <w:tc>
          <w:tcPr>
            <w:tcW w:w="7031" w:type="dxa"/>
          </w:tcPr>
          <w:p w14:paraId="789EAD9E" w14:textId="36097D92" w:rsidR="00DF7212" w:rsidRPr="00565E6E" w:rsidRDefault="00E117CD" w:rsidP="00B47D1D">
            <w:pPr>
              <w:spacing w:after="240"/>
              <w:rPr>
                <w:b/>
                <w:bCs/>
                <w:sz w:val="22"/>
                <w:szCs w:val="22"/>
                <w:lang w:eastAsia="en-GB"/>
              </w:rPr>
            </w:pPr>
            <w:r w:rsidRPr="00565E6E">
              <w:rPr>
                <w:b/>
                <w:bCs/>
                <w:lang w:eastAsia="en-GB"/>
              </w:rPr>
              <w:t>KEY ACTIVITIES</w:t>
            </w:r>
          </w:p>
        </w:tc>
      </w:tr>
      <w:tr w:rsidR="00DF7212" w:rsidRPr="00BA429D" w14:paraId="736D11F1" w14:textId="77777777" w:rsidTr="00565E6E">
        <w:tc>
          <w:tcPr>
            <w:tcW w:w="1975" w:type="dxa"/>
          </w:tcPr>
          <w:p w14:paraId="57FA821A" w14:textId="488D9904" w:rsidR="00DF7212" w:rsidRPr="00565E6E" w:rsidRDefault="000321E6" w:rsidP="00B47D1D">
            <w:pPr>
              <w:spacing w:after="240"/>
              <w:rPr>
                <w:sz w:val="22"/>
                <w:szCs w:val="22"/>
                <w:lang w:eastAsia="en-GB"/>
              </w:rPr>
            </w:pPr>
            <w:r w:rsidRPr="00BA429D">
              <w:rPr>
                <w:lang w:eastAsia="en-GB"/>
              </w:rPr>
              <w:t>October 2022</w:t>
            </w:r>
          </w:p>
        </w:tc>
        <w:tc>
          <w:tcPr>
            <w:tcW w:w="7031" w:type="dxa"/>
          </w:tcPr>
          <w:p w14:paraId="405E0EDD" w14:textId="33E352CA" w:rsidR="00DF7212" w:rsidRPr="00565E6E" w:rsidRDefault="004D2082" w:rsidP="00B47D1D">
            <w:pPr>
              <w:spacing w:after="240"/>
              <w:rPr>
                <w:sz w:val="22"/>
                <w:szCs w:val="22"/>
                <w:lang w:eastAsia="en-GB"/>
              </w:rPr>
            </w:pPr>
            <w:r w:rsidRPr="00BA429D">
              <w:rPr>
                <w:lang w:eastAsia="en-GB"/>
              </w:rPr>
              <w:t>2022 f</w:t>
            </w:r>
            <w:r w:rsidR="000321E6" w:rsidRPr="00BA429D">
              <w:rPr>
                <w:lang w:eastAsia="en-GB"/>
              </w:rPr>
              <w:t>unds dispersed</w:t>
            </w:r>
            <w:r w:rsidR="00BA429D">
              <w:rPr>
                <w:sz w:val="22"/>
                <w:szCs w:val="22"/>
                <w:lang w:eastAsia="en-GB"/>
              </w:rPr>
              <w:t xml:space="preserve"> (£400,000)</w:t>
            </w:r>
          </w:p>
        </w:tc>
      </w:tr>
      <w:tr w:rsidR="00DF7212" w:rsidRPr="00BA429D" w14:paraId="16EE5C71" w14:textId="77777777" w:rsidTr="00565E6E">
        <w:tc>
          <w:tcPr>
            <w:tcW w:w="1975" w:type="dxa"/>
          </w:tcPr>
          <w:p w14:paraId="3A564CB4" w14:textId="1B5CA477" w:rsidR="00DF7212" w:rsidRPr="00565E6E" w:rsidRDefault="00FB0EE8" w:rsidP="00B47D1D">
            <w:pPr>
              <w:spacing w:after="240"/>
              <w:rPr>
                <w:sz w:val="22"/>
                <w:szCs w:val="22"/>
                <w:lang w:eastAsia="en-GB"/>
              </w:rPr>
            </w:pPr>
            <w:r w:rsidRPr="00BA429D">
              <w:rPr>
                <w:lang w:eastAsia="en-GB"/>
              </w:rPr>
              <w:lastRenderedPageBreak/>
              <w:t>November 2022</w:t>
            </w:r>
          </w:p>
        </w:tc>
        <w:tc>
          <w:tcPr>
            <w:tcW w:w="7031" w:type="dxa"/>
          </w:tcPr>
          <w:p w14:paraId="1BC95C80" w14:textId="13048EF6" w:rsidR="00DF7212" w:rsidRPr="00565E6E" w:rsidRDefault="00FB0EE8" w:rsidP="00B47D1D">
            <w:pPr>
              <w:spacing w:after="240"/>
              <w:rPr>
                <w:sz w:val="22"/>
                <w:szCs w:val="22"/>
                <w:lang w:eastAsia="en-GB"/>
              </w:rPr>
            </w:pPr>
            <w:r w:rsidRPr="00BA429D">
              <w:rPr>
                <w:lang w:eastAsia="en-GB"/>
              </w:rPr>
              <w:t>INC 1</w:t>
            </w:r>
          </w:p>
        </w:tc>
      </w:tr>
      <w:tr w:rsidR="00DF7212" w:rsidRPr="00BA429D" w14:paraId="6F56889D" w14:textId="77777777" w:rsidTr="00565E6E">
        <w:tc>
          <w:tcPr>
            <w:tcW w:w="1975" w:type="dxa"/>
          </w:tcPr>
          <w:p w14:paraId="515D0888" w14:textId="0C80EDA0" w:rsidR="00DF7212" w:rsidRPr="00565E6E" w:rsidRDefault="00780ADF" w:rsidP="00B47D1D">
            <w:pPr>
              <w:spacing w:after="240"/>
              <w:rPr>
                <w:sz w:val="22"/>
                <w:szCs w:val="22"/>
                <w:lang w:eastAsia="en-GB"/>
              </w:rPr>
            </w:pPr>
            <w:r w:rsidRPr="00BA429D">
              <w:rPr>
                <w:lang w:eastAsia="en-GB"/>
              </w:rPr>
              <w:t>April 202</w:t>
            </w:r>
            <w:r w:rsidR="00D27F8E" w:rsidRPr="00BA429D">
              <w:rPr>
                <w:lang w:eastAsia="en-GB"/>
              </w:rPr>
              <w:t>3</w:t>
            </w:r>
          </w:p>
        </w:tc>
        <w:tc>
          <w:tcPr>
            <w:tcW w:w="7031" w:type="dxa"/>
          </w:tcPr>
          <w:p w14:paraId="1B1560FB" w14:textId="4597D675" w:rsidR="00DF7212" w:rsidRPr="00565E6E" w:rsidRDefault="003755B3" w:rsidP="00B47D1D">
            <w:pPr>
              <w:spacing w:after="240"/>
              <w:rPr>
                <w:sz w:val="22"/>
                <w:szCs w:val="22"/>
                <w:lang w:eastAsia="en-GB"/>
              </w:rPr>
            </w:pPr>
            <w:r>
              <w:rPr>
                <w:lang w:eastAsia="en-GB"/>
              </w:rPr>
              <w:t xml:space="preserve">UNEP report </w:t>
            </w:r>
            <w:r w:rsidR="00B268B1">
              <w:rPr>
                <w:lang w:eastAsia="en-GB"/>
              </w:rPr>
              <w:t>1 due</w:t>
            </w:r>
          </w:p>
          <w:p w14:paraId="791D2D0F" w14:textId="135D01FB" w:rsidR="004D2082" w:rsidRPr="00565E6E" w:rsidRDefault="004D2082" w:rsidP="00B47D1D">
            <w:pPr>
              <w:spacing w:after="240"/>
              <w:rPr>
                <w:sz w:val="22"/>
                <w:szCs w:val="22"/>
                <w:lang w:eastAsia="en-GB"/>
              </w:rPr>
            </w:pPr>
            <w:r w:rsidRPr="00BA429D">
              <w:rPr>
                <w:lang w:eastAsia="en-GB"/>
              </w:rPr>
              <w:t>2023 funds dispersed</w:t>
            </w:r>
            <w:r w:rsidR="00BA429D">
              <w:rPr>
                <w:sz w:val="22"/>
                <w:szCs w:val="22"/>
                <w:lang w:eastAsia="en-GB"/>
              </w:rPr>
              <w:t xml:space="preserve"> (£800,000)</w:t>
            </w:r>
          </w:p>
        </w:tc>
      </w:tr>
      <w:tr w:rsidR="00DF7212" w:rsidRPr="00BA429D" w14:paraId="7C43ED3A" w14:textId="77777777" w:rsidTr="00565E6E">
        <w:tc>
          <w:tcPr>
            <w:tcW w:w="1975" w:type="dxa"/>
          </w:tcPr>
          <w:p w14:paraId="65C3EC17" w14:textId="3F62D092" w:rsidR="00DF7212" w:rsidRPr="00565E6E" w:rsidRDefault="00F14CAA" w:rsidP="00B47D1D">
            <w:pPr>
              <w:spacing w:after="240"/>
              <w:rPr>
                <w:sz w:val="22"/>
                <w:szCs w:val="22"/>
                <w:lang w:eastAsia="en-GB"/>
              </w:rPr>
            </w:pPr>
            <w:r w:rsidRPr="00BA429D">
              <w:rPr>
                <w:lang w:eastAsia="en-GB"/>
              </w:rPr>
              <w:t>May 202</w:t>
            </w:r>
            <w:r w:rsidR="00D27F8E" w:rsidRPr="00BA429D">
              <w:rPr>
                <w:lang w:eastAsia="en-GB"/>
              </w:rPr>
              <w:t>3</w:t>
            </w:r>
          </w:p>
        </w:tc>
        <w:tc>
          <w:tcPr>
            <w:tcW w:w="7031" w:type="dxa"/>
          </w:tcPr>
          <w:p w14:paraId="28450E57" w14:textId="2517562F" w:rsidR="00DF7212" w:rsidRPr="00565E6E" w:rsidRDefault="00F14CAA" w:rsidP="00B47D1D">
            <w:pPr>
              <w:spacing w:after="240"/>
              <w:rPr>
                <w:sz w:val="22"/>
                <w:szCs w:val="22"/>
                <w:lang w:eastAsia="en-GB"/>
              </w:rPr>
            </w:pPr>
            <w:r w:rsidRPr="00BA429D">
              <w:rPr>
                <w:lang w:eastAsia="en-GB"/>
              </w:rPr>
              <w:t>INC 2</w:t>
            </w:r>
          </w:p>
        </w:tc>
      </w:tr>
      <w:tr w:rsidR="00DF7212" w:rsidRPr="00BA429D" w14:paraId="35C3F9A6" w14:textId="77777777" w:rsidTr="00565E6E">
        <w:tc>
          <w:tcPr>
            <w:tcW w:w="1975" w:type="dxa"/>
          </w:tcPr>
          <w:p w14:paraId="54F0D12A" w14:textId="2324F725" w:rsidR="00DF7212" w:rsidRPr="00565E6E" w:rsidRDefault="000464C0" w:rsidP="00B47D1D">
            <w:pPr>
              <w:spacing w:after="240"/>
              <w:rPr>
                <w:sz w:val="22"/>
                <w:szCs w:val="22"/>
                <w:lang w:eastAsia="en-GB"/>
              </w:rPr>
            </w:pPr>
            <w:r w:rsidRPr="00BA429D">
              <w:rPr>
                <w:lang w:eastAsia="en-GB"/>
              </w:rPr>
              <w:t>October</w:t>
            </w:r>
            <w:r w:rsidR="00D27F8E" w:rsidRPr="00BA429D">
              <w:rPr>
                <w:lang w:eastAsia="en-GB"/>
              </w:rPr>
              <w:t xml:space="preserve"> 2023</w:t>
            </w:r>
          </w:p>
        </w:tc>
        <w:tc>
          <w:tcPr>
            <w:tcW w:w="7031" w:type="dxa"/>
          </w:tcPr>
          <w:p w14:paraId="7225B2CD" w14:textId="77777777" w:rsidR="00DF7212" w:rsidRPr="00565E6E" w:rsidRDefault="00D27F8E" w:rsidP="00B47D1D">
            <w:pPr>
              <w:spacing w:after="240"/>
              <w:rPr>
                <w:sz w:val="22"/>
                <w:szCs w:val="22"/>
                <w:lang w:eastAsia="en-GB"/>
              </w:rPr>
            </w:pPr>
            <w:r w:rsidRPr="00BA429D">
              <w:rPr>
                <w:lang w:eastAsia="en-GB"/>
              </w:rPr>
              <w:t>UNEP Secretariat share Information Document outlining programme of work and budget</w:t>
            </w:r>
          </w:p>
          <w:p w14:paraId="35952548" w14:textId="78389225" w:rsidR="00B77A4B" w:rsidRPr="00565E6E" w:rsidRDefault="00B77A4B" w:rsidP="00B47D1D">
            <w:pPr>
              <w:spacing w:after="240"/>
              <w:rPr>
                <w:sz w:val="22"/>
                <w:szCs w:val="22"/>
                <w:lang w:eastAsia="en-GB"/>
              </w:rPr>
            </w:pPr>
          </w:p>
        </w:tc>
      </w:tr>
      <w:tr w:rsidR="00DF7212" w:rsidRPr="00BA429D" w14:paraId="21C78293" w14:textId="77777777" w:rsidTr="00565E6E">
        <w:tc>
          <w:tcPr>
            <w:tcW w:w="1975" w:type="dxa"/>
          </w:tcPr>
          <w:p w14:paraId="3A4D1B83" w14:textId="54C94B5F" w:rsidR="00DF7212" w:rsidRPr="00565E6E" w:rsidRDefault="008A4552" w:rsidP="00B47D1D">
            <w:pPr>
              <w:spacing w:after="240"/>
              <w:rPr>
                <w:sz w:val="22"/>
                <w:szCs w:val="22"/>
                <w:lang w:eastAsia="en-GB"/>
              </w:rPr>
            </w:pPr>
            <w:r w:rsidRPr="00BA429D">
              <w:rPr>
                <w:lang w:eastAsia="en-GB"/>
              </w:rPr>
              <w:t>November 2023</w:t>
            </w:r>
          </w:p>
        </w:tc>
        <w:tc>
          <w:tcPr>
            <w:tcW w:w="7031" w:type="dxa"/>
          </w:tcPr>
          <w:p w14:paraId="59927377" w14:textId="3C62A18C" w:rsidR="00DF7212" w:rsidRPr="00565E6E" w:rsidRDefault="001955AA" w:rsidP="00B47D1D">
            <w:pPr>
              <w:spacing w:after="240"/>
              <w:rPr>
                <w:sz w:val="22"/>
                <w:szCs w:val="22"/>
                <w:lang w:eastAsia="en-GB"/>
              </w:rPr>
            </w:pPr>
            <w:r>
              <w:rPr>
                <w:lang w:eastAsia="en-GB"/>
              </w:rPr>
              <w:t>UNEP Secretariat share Expenditure reporting with Bureau</w:t>
            </w:r>
          </w:p>
          <w:p w14:paraId="3B2551FF" w14:textId="4EE36B9A" w:rsidR="00B77A4B" w:rsidRPr="00565E6E" w:rsidRDefault="00B77A4B" w:rsidP="00B47D1D">
            <w:pPr>
              <w:spacing w:after="240"/>
              <w:rPr>
                <w:sz w:val="22"/>
                <w:szCs w:val="22"/>
                <w:lang w:eastAsia="en-GB"/>
              </w:rPr>
            </w:pPr>
            <w:r w:rsidRPr="00BA429D">
              <w:rPr>
                <w:lang w:eastAsia="en-GB"/>
              </w:rPr>
              <w:t xml:space="preserve">INC </w:t>
            </w:r>
            <w:r w:rsidR="00E46EB1" w:rsidRPr="00BA429D">
              <w:rPr>
                <w:lang w:eastAsia="en-GB"/>
              </w:rPr>
              <w:t>3</w:t>
            </w:r>
          </w:p>
        </w:tc>
      </w:tr>
      <w:tr w:rsidR="00DF7212" w:rsidRPr="00BA429D" w14:paraId="5CED4CD8" w14:textId="77777777" w:rsidTr="00565E6E">
        <w:tc>
          <w:tcPr>
            <w:tcW w:w="1975" w:type="dxa"/>
          </w:tcPr>
          <w:p w14:paraId="7DE8FA32" w14:textId="3CC52399" w:rsidR="00DF7212" w:rsidRPr="00565E6E" w:rsidRDefault="004D2082" w:rsidP="00B47D1D">
            <w:pPr>
              <w:spacing w:after="240"/>
              <w:rPr>
                <w:sz w:val="22"/>
                <w:szCs w:val="22"/>
                <w:lang w:eastAsia="en-GB"/>
              </w:rPr>
            </w:pPr>
            <w:r w:rsidRPr="00BA429D">
              <w:rPr>
                <w:lang w:eastAsia="en-GB"/>
              </w:rPr>
              <w:t>April 2024</w:t>
            </w:r>
          </w:p>
        </w:tc>
        <w:tc>
          <w:tcPr>
            <w:tcW w:w="7031" w:type="dxa"/>
          </w:tcPr>
          <w:p w14:paraId="0F2412EB" w14:textId="78B4C5D6" w:rsidR="00DF7212" w:rsidRPr="00565E6E" w:rsidRDefault="00B268B1" w:rsidP="00B47D1D">
            <w:pPr>
              <w:spacing w:after="240"/>
              <w:rPr>
                <w:sz w:val="22"/>
                <w:szCs w:val="22"/>
                <w:lang w:eastAsia="en-GB"/>
              </w:rPr>
            </w:pPr>
            <w:r>
              <w:rPr>
                <w:lang w:eastAsia="en-GB"/>
              </w:rPr>
              <w:t>UNEP report 2 due</w:t>
            </w:r>
          </w:p>
          <w:p w14:paraId="5F2F06C1" w14:textId="08993742" w:rsidR="00EA7A3A" w:rsidRPr="00565E6E" w:rsidRDefault="00EA7A3A" w:rsidP="00B47D1D">
            <w:pPr>
              <w:spacing w:after="240"/>
              <w:rPr>
                <w:sz w:val="22"/>
                <w:szCs w:val="22"/>
                <w:lang w:eastAsia="en-GB"/>
              </w:rPr>
            </w:pPr>
            <w:r w:rsidRPr="00BA429D">
              <w:rPr>
                <w:lang w:eastAsia="en-GB"/>
              </w:rPr>
              <w:t>2024 funds dispersed</w:t>
            </w:r>
            <w:r w:rsidR="00BA429D">
              <w:rPr>
                <w:sz w:val="22"/>
                <w:szCs w:val="22"/>
                <w:lang w:eastAsia="en-GB"/>
              </w:rPr>
              <w:t xml:space="preserve"> (£800,000)</w:t>
            </w:r>
          </w:p>
          <w:p w14:paraId="6DD3443A" w14:textId="34BEA962" w:rsidR="00E46EB1" w:rsidRPr="00565E6E" w:rsidRDefault="00E46EB1" w:rsidP="00B47D1D">
            <w:pPr>
              <w:spacing w:after="240"/>
              <w:rPr>
                <w:sz w:val="22"/>
                <w:szCs w:val="22"/>
                <w:lang w:eastAsia="en-GB"/>
              </w:rPr>
            </w:pPr>
            <w:r w:rsidRPr="00BA429D">
              <w:rPr>
                <w:lang w:eastAsia="en-GB"/>
              </w:rPr>
              <w:t>INC 4</w:t>
            </w:r>
          </w:p>
        </w:tc>
      </w:tr>
      <w:tr w:rsidR="00EA7A3A" w:rsidRPr="00BA429D" w14:paraId="0348DDE1" w14:textId="77777777" w:rsidTr="00565E6E">
        <w:tc>
          <w:tcPr>
            <w:tcW w:w="1975" w:type="dxa"/>
          </w:tcPr>
          <w:p w14:paraId="116C88F1" w14:textId="51B65DE1" w:rsidR="00EA7A3A" w:rsidRPr="00565E6E" w:rsidRDefault="00B12D8A" w:rsidP="00B47D1D">
            <w:pPr>
              <w:spacing w:after="240"/>
              <w:rPr>
                <w:sz w:val="22"/>
                <w:szCs w:val="22"/>
                <w:lang w:eastAsia="en-GB"/>
              </w:rPr>
            </w:pPr>
            <w:r w:rsidRPr="00BA429D">
              <w:rPr>
                <w:lang w:eastAsia="en-GB"/>
              </w:rPr>
              <w:t>October 2024</w:t>
            </w:r>
          </w:p>
        </w:tc>
        <w:tc>
          <w:tcPr>
            <w:tcW w:w="7031" w:type="dxa"/>
          </w:tcPr>
          <w:p w14:paraId="0BCE4565" w14:textId="03DB0E4F" w:rsidR="00EA7A3A" w:rsidRPr="00565E6E" w:rsidRDefault="00B12D8A" w:rsidP="00B12D8A">
            <w:pPr>
              <w:spacing w:after="240"/>
              <w:rPr>
                <w:sz w:val="22"/>
                <w:szCs w:val="22"/>
                <w:lang w:eastAsia="en-GB"/>
              </w:rPr>
            </w:pPr>
            <w:r w:rsidRPr="00BA429D">
              <w:rPr>
                <w:lang w:eastAsia="en-GB"/>
              </w:rPr>
              <w:t>UNEP Secretariat share Information Document outlining programme of work and budget</w:t>
            </w:r>
          </w:p>
        </w:tc>
      </w:tr>
      <w:tr w:rsidR="00B12D8A" w:rsidRPr="00BA429D" w14:paraId="0CA4F7DE" w14:textId="77777777" w:rsidTr="00565E6E">
        <w:trPr>
          <w:trHeight w:val="623"/>
        </w:trPr>
        <w:tc>
          <w:tcPr>
            <w:tcW w:w="1975" w:type="dxa"/>
          </w:tcPr>
          <w:p w14:paraId="27FFC40B" w14:textId="0AE67366" w:rsidR="00B12D8A" w:rsidRPr="00565E6E" w:rsidRDefault="00B12D8A" w:rsidP="00B47D1D">
            <w:pPr>
              <w:spacing w:after="240"/>
              <w:rPr>
                <w:sz w:val="22"/>
                <w:szCs w:val="22"/>
                <w:lang w:eastAsia="en-GB"/>
              </w:rPr>
            </w:pPr>
            <w:r w:rsidRPr="00BA429D">
              <w:rPr>
                <w:lang w:eastAsia="en-GB"/>
              </w:rPr>
              <w:t>December 2024</w:t>
            </w:r>
          </w:p>
        </w:tc>
        <w:tc>
          <w:tcPr>
            <w:tcW w:w="7031" w:type="dxa"/>
          </w:tcPr>
          <w:p w14:paraId="4732EAE5" w14:textId="77777777" w:rsidR="001955AA" w:rsidRDefault="001955AA" w:rsidP="00B12D8A">
            <w:pPr>
              <w:spacing w:after="240"/>
              <w:rPr>
                <w:lang w:eastAsia="en-GB"/>
              </w:rPr>
            </w:pPr>
            <w:r w:rsidRPr="001955AA">
              <w:rPr>
                <w:lang w:eastAsia="en-GB"/>
              </w:rPr>
              <w:t>UNEP Secretariat share Expenditure reporting with Bureau</w:t>
            </w:r>
          </w:p>
          <w:p w14:paraId="1A10AC0C" w14:textId="72F708EC" w:rsidR="00FC51AD" w:rsidRPr="00565E6E" w:rsidRDefault="00FC51AD" w:rsidP="00B12D8A">
            <w:pPr>
              <w:spacing w:after="240"/>
              <w:rPr>
                <w:sz w:val="22"/>
                <w:szCs w:val="22"/>
                <w:lang w:eastAsia="en-GB"/>
              </w:rPr>
            </w:pPr>
            <w:r w:rsidRPr="00BA429D">
              <w:rPr>
                <w:lang w:eastAsia="en-GB"/>
              </w:rPr>
              <w:t>INC 5</w:t>
            </w:r>
          </w:p>
        </w:tc>
      </w:tr>
      <w:tr w:rsidR="00B268B1" w:rsidRPr="00BA429D" w14:paraId="6BF4310B" w14:textId="77777777" w:rsidTr="00565E6E">
        <w:trPr>
          <w:trHeight w:val="623"/>
        </w:trPr>
        <w:tc>
          <w:tcPr>
            <w:tcW w:w="1975" w:type="dxa"/>
          </w:tcPr>
          <w:p w14:paraId="318C43B9" w14:textId="71D86668" w:rsidR="00B268B1" w:rsidRPr="00BA429D" w:rsidRDefault="00B268B1" w:rsidP="00B47D1D">
            <w:pPr>
              <w:spacing w:after="240"/>
              <w:rPr>
                <w:lang w:eastAsia="en-GB"/>
              </w:rPr>
            </w:pPr>
            <w:r>
              <w:rPr>
                <w:lang w:eastAsia="en-GB"/>
              </w:rPr>
              <w:t>April 2025</w:t>
            </w:r>
          </w:p>
        </w:tc>
        <w:tc>
          <w:tcPr>
            <w:tcW w:w="7031" w:type="dxa"/>
          </w:tcPr>
          <w:p w14:paraId="6D0ECDA5" w14:textId="46CAA440" w:rsidR="00B268B1" w:rsidRPr="001955AA" w:rsidRDefault="00B268B1" w:rsidP="00B12D8A">
            <w:pPr>
              <w:spacing w:after="240"/>
              <w:rPr>
                <w:lang w:eastAsia="en-GB"/>
              </w:rPr>
            </w:pPr>
            <w:r>
              <w:rPr>
                <w:lang w:eastAsia="en-GB"/>
              </w:rPr>
              <w:t>UNEP report 3 due</w:t>
            </w:r>
          </w:p>
        </w:tc>
      </w:tr>
    </w:tbl>
    <w:p w14:paraId="434FF3AA" w14:textId="77777777" w:rsidR="005568FF" w:rsidRPr="007A0C92" w:rsidRDefault="005568FF" w:rsidP="00B47D1D">
      <w:pPr>
        <w:spacing w:after="240"/>
        <w:rPr>
          <w:lang w:eastAsia="en-GB"/>
        </w:rPr>
      </w:pPr>
    </w:p>
    <w:p w14:paraId="774DBCD7" w14:textId="318541CC" w:rsidR="004216CF" w:rsidRPr="00217F59" w:rsidRDefault="004216CF" w:rsidP="00214816">
      <w:pPr>
        <w:pStyle w:val="Heading2"/>
        <w:numPr>
          <w:ilvl w:val="1"/>
          <w:numId w:val="39"/>
        </w:numPr>
      </w:pPr>
      <w:bookmarkStart w:id="51" w:name="_Toc121224128"/>
      <w:r w:rsidRPr="00217F59">
        <w:t>Monitoring</w:t>
      </w:r>
      <w:r w:rsidR="007034B1" w:rsidRPr="00217F59">
        <w:t>, E</w:t>
      </w:r>
      <w:r w:rsidR="009102B4">
        <w:t>v</w:t>
      </w:r>
      <w:r w:rsidR="007034B1" w:rsidRPr="00217F59">
        <w:t>aluation and Learning</w:t>
      </w:r>
      <w:r w:rsidR="009E3B73">
        <w:t xml:space="preserve"> (MEL)</w:t>
      </w:r>
      <w:bookmarkEnd w:id="51"/>
    </w:p>
    <w:p w14:paraId="785910E7" w14:textId="36EEC43C" w:rsidR="00DA3FFF" w:rsidRDefault="00504A39" w:rsidP="00613ABF">
      <w:pPr>
        <w:spacing w:after="240"/>
        <w:rPr>
          <w:rFonts w:eastAsia="Times New Roman" w:cstheme="minorHAnsi"/>
          <w:lang w:eastAsia="en-GB"/>
        </w:rPr>
      </w:pPr>
      <w:r>
        <w:rPr>
          <w:rFonts w:eastAsia="Times New Roman" w:cstheme="minorHAnsi"/>
          <w:lang w:eastAsia="en-GB"/>
        </w:rPr>
        <w:t xml:space="preserve">Monitoring and evaluation </w:t>
      </w:r>
      <w:r w:rsidR="009A6D0C">
        <w:rPr>
          <w:rFonts w:eastAsia="Times New Roman" w:cstheme="minorHAnsi"/>
          <w:lang w:eastAsia="en-GB"/>
        </w:rPr>
        <w:t xml:space="preserve">(M&amp;E) </w:t>
      </w:r>
      <w:r>
        <w:rPr>
          <w:rFonts w:eastAsia="Times New Roman" w:cstheme="minorHAnsi"/>
          <w:lang w:eastAsia="en-GB"/>
        </w:rPr>
        <w:t xml:space="preserve">underpin our understanding of </w:t>
      </w:r>
      <w:r w:rsidR="009102B4">
        <w:rPr>
          <w:rFonts w:eastAsia="Times New Roman" w:cstheme="minorHAnsi"/>
          <w:lang w:eastAsia="en-GB"/>
        </w:rPr>
        <w:t>whether Tide Turners and the INC programme</w:t>
      </w:r>
      <w:r w:rsidR="00DA3FFF">
        <w:rPr>
          <w:rFonts w:eastAsia="Times New Roman" w:cstheme="minorHAnsi"/>
          <w:lang w:eastAsia="en-GB"/>
        </w:rPr>
        <w:t>s</w:t>
      </w:r>
      <w:r w:rsidR="009102B4">
        <w:rPr>
          <w:rFonts w:eastAsia="Times New Roman" w:cstheme="minorHAnsi"/>
          <w:lang w:eastAsia="en-GB"/>
        </w:rPr>
        <w:t xml:space="preserve"> are</w:t>
      </w:r>
      <w:r w:rsidR="00DA3FFF">
        <w:rPr>
          <w:rFonts w:eastAsia="Times New Roman" w:cstheme="minorHAnsi"/>
          <w:lang w:eastAsia="en-GB"/>
        </w:rPr>
        <w:t xml:space="preserve">: </w:t>
      </w:r>
      <w:r w:rsidR="009102B4">
        <w:rPr>
          <w:rFonts w:eastAsia="Times New Roman" w:cstheme="minorHAnsi"/>
          <w:lang w:eastAsia="en-GB"/>
        </w:rPr>
        <w:t>delivered efficiently</w:t>
      </w:r>
      <w:r w:rsidR="00DA3FFF">
        <w:rPr>
          <w:rFonts w:eastAsia="Times New Roman" w:cstheme="minorHAnsi"/>
          <w:lang w:eastAsia="en-GB"/>
        </w:rPr>
        <w:t xml:space="preserve">; </w:t>
      </w:r>
      <w:r>
        <w:rPr>
          <w:rFonts w:eastAsia="Times New Roman" w:cstheme="minorHAnsi"/>
          <w:lang w:eastAsia="en-GB"/>
        </w:rPr>
        <w:t>prov</w:t>
      </w:r>
      <w:r w:rsidR="00DA3FFF">
        <w:rPr>
          <w:rFonts w:eastAsia="Times New Roman" w:cstheme="minorHAnsi"/>
          <w:lang w:eastAsia="en-GB"/>
        </w:rPr>
        <w:t>e</w:t>
      </w:r>
      <w:r>
        <w:rPr>
          <w:rFonts w:eastAsia="Times New Roman" w:cstheme="minorHAnsi"/>
          <w:lang w:eastAsia="en-GB"/>
        </w:rPr>
        <w:t xml:space="preserve"> </w:t>
      </w:r>
      <w:r w:rsidR="009102B4">
        <w:rPr>
          <w:rFonts w:eastAsia="Times New Roman" w:cstheme="minorHAnsi"/>
          <w:lang w:eastAsia="en-GB"/>
        </w:rPr>
        <w:t>effective</w:t>
      </w:r>
      <w:r w:rsidR="00DA3FFF">
        <w:rPr>
          <w:rFonts w:eastAsia="Times New Roman" w:cstheme="minorHAnsi"/>
          <w:lang w:eastAsia="en-GB"/>
        </w:rPr>
        <w:t>;</w:t>
      </w:r>
      <w:r w:rsidR="009102B4">
        <w:rPr>
          <w:rFonts w:eastAsia="Times New Roman" w:cstheme="minorHAnsi"/>
          <w:lang w:eastAsia="en-GB"/>
        </w:rPr>
        <w:t xml:space="preserve"> and provide value for money</w:t>
      </w:r>
      <w:r w:rsidR="009A6D0C">
        <w:rPr>
          <w:rFonts w:eastAsia="Times New Roman" w:cstheme="minorHAnsi"/>
          <w:lang w:eastAsia="en-GB"/>
        </w:rPr>
        <w:t xml:space="preserve"> (VfM)</w:t>
      </w:r>
      <w:r>
        <w:rPr>
          <w:rFonts w:eastAsia="Times New Roman" w:cstheme="minorHAnsi"/>
          <w:lang w:eastAsia="en-GB"/>
        </w:rPr>
        <w:t>. Programme monitoring</w:t>
      </w:r>
      <w:r w:rsidR="00DA3FFF">
        <w:rPr>
          <w:rFonts w:eastAsia="Times New Roman" w:cstheme="minorHAnsi"/>
          <w:lang w:eastAsia="en-GB"/>
        </w:rPr>
        <w:t xml:space="preserve"> </w:t>
      </w:r>
      <w:r>
        <w:rPr>
          <w:rFonts w:eastAsia="Times New Roman" w:cstheme="minorHAnsi"/>
          <w:lang w:eastAsia="en-GB"/>
        </w:rPr>
        <w:t>will be built from the Theor</w:t>
      </w:r>
      <w:r w:rsidR="00DA3FFF">
        <w:rPr>
          <w:rFonts w:eastAsia="Times New Roman" w:cstheme="minorHAnsi"/>
          <w:lang w:eastAsia="en-GB"/>
        </w:rPr>
        <w:t>ies</w:t>
      </w:r>
      <w:r>
        <w:rPr>
          <w:rFonts w:eastAsia="Times New Roman" w:cstheme="minorHAnsi"/>
          <w:lang w:eastAsia="en-GB"/>
        </w:rPr>
        <w:t xml:space="preserve"> of Change </w:t>
      </w:r>
      <w:r w:rsidR="00DA3FFF">
        <w:rPr>
          <w:rFonts w:eastAsia="Times New Roman" w:cstheme="minorHAnsi"/>
          <w:lang w:eastAsia="en-GB"/>
        </w:rPr>
        <w:t xml:space="preserve">(ToCs) </w:t>
      </w:r>
      <w:r>
        <w:rPr>
          <w:rFonts w:eastAsia="Times New Roman" w:cstheme="minorHAnsi"/>
          <w:lang w:eastAsia="en-GB"/>
        </w:rPr>
        <w:t xml:space="preserve">and </w:t>
      </w:r>
      <w:r w:rsidR="00395D15">
        <w:rPr>
          <w:rFonts w:eastAsia="Times New Roman" w:cstheme="minorHAnsi"/>
          <w:lang w:eastAsia="en-GB"/>
        </w:rPr>
        <w:t>log frames</w:t>
      </w:r>
      <w:r w:rsidR="00DA3FFF">
        <w:rPr>
          <w:rFonts w:eastAsia="Times New Roman" w:cstheme="minorHAnsi"/>
          <w:lang w:eastAsia="en-GB"/>
        </w:rPr>
        <w:t xml:space="preserve"> (see below)</w:t>
      </w:r>
      <w:r w:rsidR="00BC1042">
        <w:rPr>
          <w:rFonts w:eastAsia="Times New Roman" w:cstheme="minorHAnsi"/>
          <w:lang w:eastAsia="en-GB"/>
        </w:rPr>
        <w:t xml:space="preserve"> and – together with annual reviews – </w:t>
      </w:r>
      <w:r w:rsidR="00DA3FFF">
        <w:rPr>
          <w:rFonts w:eastAsia="Times New Roman" w:cstheme="minorHAnsi"/>
          <w:lang w:eastAsia="en-GB"/>
        </w:rPr>
        <w:t xml:space="preserve">will inform interim and final evaluations. The ToCs and </w:t>
      </w:r>
      <w:r w:rsidR="00395D15">
        <w:rPr>
          <w:rFonts w:eastAsia="Times New Roman" w:cstheme="minorHAnsi"/>
          <w:lang w:eastAsia="en-GB"/>
        </w:rPr>
        <w:t>log frames</w:t>
      </w:r>
      <w:r w:rsidR="00DA3FFF">
        <w:rPr>
          <w:rFonts w:eastAsia="Times New Roman" w:cstheme="minorHAnsi"/>
          <w:lang w:eastAsia="en-GB"/>
        </w:rPr>
        <w:t xml:space="preserve"> are shaped by the </w:t>
      </w:r>
      <w:r w:rsidR="00EB1BF1">
        <w:rPr>
          <w:rFonts w:eastAsia="Times New Roman" w:cstheme="minorHAnsi"/>
          <w:lang w:eastAsia="en-GB"/>
        </w:rPr>
        <w:t xml:space="preserve">outline </w:t>
      </w:r>
      <w:r w:rsidR="00DA3FFF">
        <w:rPr>
          <w:rFonts w:eastAsia="Times New Roman" w:cstheme="minorHAnsi"/>
          <w:lang w:eastAsia="en-GB"/>
        </w:rPr>
        <w:t xml:space="preserve">BPF Monitoring, Evaluation and Learning (MEL) Strategy, with Tide Turners and INC Key Performance Indicators (KPIs) feeding-into Fund/ Portfolio level indicators and reporting. </w:t>
      </w:r>
      <w:r w:rsidR="00EB1BF1">
        <w:rPr>
          <w:rFonts w:eastAsia="Times New Roman" w:cstheme="minorHAnsi"/>
          <w:lang w:eastAsia="en-GB"/>
        </w:rPr>
        <w:t>A full BPF MEL Delivery Plan will set reporting milestones and opportunities to share lessons learnt.</w:t>
      </w:r>
    </w:p>
    <w:p w14:paraId="19A6EC6C" w14:textId="14ABF53A" w:rsidR="009E3B73" w:rsidRDefault="009E3B73" w:rsidP="00613ABF">
      <w:pPr>
        <w:spacing w:after="240"/>
        <w:rPr>
          <w:rFonts w:cstheme="minorHAnsi"/>
          <w:iCs/>
          <w:lang w:eastAsia="en-GB"/>
        </w:rPr>
      </w:pPr>
      <w:r>
        <w:rPr>
          <w:rFonts w:cstheme="minorHAnsi"/>
          <w:iCs/>
          <w:lang w:eastAsia="en-GB"/>
        </w:rPr>
        <w:t xml:space="preserve">Responsibility for MEL is shared between the Defra programme management team </w:t>
      </w:r>
      <w:r w:rsidR="00EB1BF1">
        <w:rPr>
          <w:rFonts w:cstheme="minorHAnsi"/>
          <w:iCs/>
          <w:lang w:eastAsia="en-GB"/>
        </w:rPr>
        <w:t>(</w:t>
      </w:r>
      <w:r>
        <w:rPr>
          <w:rFonts w:cstheme="minorHAnsi"/>
          <w:iCs/>
          <w:lang w:eastAsia="en-GB"/>
        </w:rPr>
        <w:t xml:space="preserve">including </w:t>
      </w:r>
      <w:r w:rsidR="00EB1BF1">
        <w:rPr>
          <w:rFonts w:cstheme="minorHAnsi"/>
          <w:iCs/>
          <w:lang w:eastAsia="en-GB"/>
        </w:rPr>
        <w:t xml:space="preserve">support from the BPF MEL Advisor) </w:t>
      </w:r>
      <w:r>
        <w:rPr>
          <w:rFonts w:cstheme="minorHAnsi"/>
          <w:iCs/>
          <w:lang w:eastAsia="en-GB"/>
        </w:rPr>
        <w:t xml:space="preserve">and the </w:t>
      </w:r>
      <w:r w:rsidR="00DA3FFF">
        <w:rPr>
          <w:rFonts w:cstheme="minorHAnsi"/>
          <w:iCs/>
          <w:lang w:eastAsia="en-GB"/>
        </w:rPr>
        <w:t>Tide Turners and INC teams</w:t>
      </w:r>
      <w:r>
        <w:rPr>
          <w:rFonts w:cstheme="minorHAnsi"/>
          <w:iCs/>
          <w:lang w:eastAsia="en-GB"/>
        </w:rPr>
        <w:t xml:space="preserve">. </w:t>
      </w:r>
      <w:r w:rsidR="009A6D0C">
        <w:rPr>
          <w:rFonts w:cstheme="minorHAnsi"/>
          <w:iCs/>
          <w:lang w:eastAsia="en-GB"/>
        </w:rPr>
        <w:t>T</w:t>
      </w:r>
      <w:r w:rsidR="00EB1BF1">
        <w:rPr>
          <w:rFonts w:cstheme="minorHAnsi"/>
          <w:iCs/>
          <w:lang w:eastAsia="en-GB"/>
        </w:rPr>
        <w:t xml:space="preserve">he Tide Turners ToC and </w:t>
      </w:r>
      <w:r w:rsidR="00395D15">
        <w:rPr>
          <w:rFonts w:cstheme="minorHAnsi"/>
          <w:iCs/>
          <w:lang w:eastAsia="en-GB"/>
        </w:rPr>
        <w:t>log frame</w:t>
      </w:r>
      <w:r w:rsidR="00EB1BF1">
        <w:rPr>
          <w:rFonts w:cstheme="minorHAnsi"/>
          <w:iCs/>
          <w:lang w:eastAsia="en-GB"/>
        </w:rPr>
        <w:t xml:space="preserve"> have been reviewed by the Defra team, with additional KPIs suggested. M&amp;E for the INC programme is </w:t>
      </w:r>
      <w:r w:rsidR="009A6D0C">
        <w:rPr>
          <w:rFonts w:cstheme="minorHAnsi"/>
          <w:iCs/>
          <w:lang w:eastAsia="en-GB"/>
        </w:rPr>
        <w:t>being developed</w:t>
      </w:r>
      <w:r w:rsidR="00EB1BF1">
        <w:rPr>
          <w:rFonts w:cstheme="minorHAnsi"/>
          <w:iCs/>
          <w:lang w:eastAsia="en-GB"/>
        </w:rPr>
        <w:t xml:space="preserve"> (specifically data collection and analysis methods, </w:t>
      </w:r>
      <w:r w:rsidR="009A6D0C">
        <w:rPr>
          <w:rFonts w:cstheme="minorHAnsi"/>
          <w:iCs/>
          <w:lang w:eastAsia="en-GB"/>
        </w:rPr>
        <w:t>plus</w:t>
      </w:r>
      <w:r w:rsidR="00EB1BF1">
        <w:rPr>
          <w:rFonts w:cstheme="minorHAnsi"/>
          <w:iCs/>
          <w:lang w:eastAsia="en-GB"/>
        </w:rPr>
        <w:t xml:space="preserve"> reporting arrangements). </w:t>
      </w:r>
      <w:r w:rsidR="009A6D0C">
        <w:rPr>
          <w:rFonts w:cstheme="minorHAnsi"/>
          <w:iCs/>
          <w:lang w:eastAsia="en-GB"/>
        </w:rPr>
        <w:t>The</w:t>
      </w:r>
      <w:r w:rsidR="00EB1BF1">
        <w:rPr>
          <w:rFonts w:cstheme="minorHAnsi"/>
          <w:iCs/>
          <w:lang w:eastAsia="en-GB"/>
        </w:rPr>
        <w:t xml:space="preserve"> </w:t>
      </w:r>
      <w:r w:rsidR="009A6D0C">
        <w:rPr>
          <w:rFonts w:cstheme="minorHAnsi"/>
          <w:iCs/>
          <w:lang w:eastAsia="en-GB"/>
        </w:rPr>
        <w:t xml:space="preserve">INC </w:t>
      </w:r>
      <w:r w:rsidR="00EB1BF1">
        <w:rPr>
          <w:rFonts w:cstheme="minorHAnsi"/>
          <w:iCs/>
          <w:lang w:eastAsia="en-GB"/>
        </w:rPr>
        <w:t xml:space="preserve">indicators below are indicative, with a full </w:t>
      </w:r>
      <w:r w:rsidR="009A6D0C">
        <w:rPr>
          <w:rFonts w:cstheme="minorHAnsi"/>
          <w:iCs/>
          <w:lang w:eastAsia="en-GB"/>
        </w:rPr>
        <w:t xml:space="preserve">ToC, </w:t>
      </w:r>
      <w:r w:rsidR="00395D15">
        <w:rPr>
          <w:rFonts w:cstheme="minorHAnsi"/>
          <w:iCs/>
          <w:lang w:eastAsia="en-GB"/>
        </w:rPr>
        <w:t>log frame</w:t>
      </w:r>
      <w:r w:rsidR="00EB1BF1">
        <w:rPr>
          <w:rFonts w:cstheme="minorHAnsi"/>
          <w:iCs/>
          <w:lang w:eastAsia="en-GB"/>
        </w:rPr>
        <w:t xml:space="preserve"> </w:t>
      </w:r>
      <w:r w:rsidR="009A6D0C">
        <w:rPr>
          <w:rFonts w:cstheme="minorHAnsi"/>
          <w:iCs/>
          <w:lang w:eastAsia="en-GB"/>
        </w:rPr>
        <w:t>and learning plans to follow</w:t>
      </w:r>
      <w:r w:rsidR="003A77EA">
        <w:rPr>
          <w:rFonts w:cstheme="minorHAnsi"/>
          <w:iCs/>
          <w:lang w:eastAsia="en-GB"/>
        </w:rPr>
        <w:t>.</w:t>
      </w:r>
      <w:r w:rsidR="00BC1042">
        <w:rPr>
          <w:rFonts w:cstheme="minorHAnsi"/>
          <w:iCs/>
          <w:lang w:eastAsia="en-GB"/>
        </w:rPr>
        <w:t xml:space="preserve"> Defra will lead the annual reviews into </w:t>
      </w:r>
      <w:r w:rsidR="00524626">
        <w:rPr>
          <w:rFonts w:cstheme="minorHAnsi"/>
          <w:iCs/>
          <w:lang w:eastAsia="en-GB"/>
        </w:rPr>
        <w:t>both</w:t>
      </w:r>
      <w:r w:rsidR="00BC1042">
        <w:rPr>
          <w:rFonts w:cstheme="minorHAnsi"/>
          <w:iCs/>
          <w:lang w:eastAsia="en-GB"/>
        </w:rPr>
        <w:t xml:space="preserve"> programmes.</w:t>
      </w:r>
    </w:p>
    <w:p w14:paraId="263FBFE5" w14:textId="23CFC2E5" w:rsidR="00C25C78" w:rsidRPr="00401AE4" w:rsidRDefault="00C25C78" w:rsidP="00C25C78">
      <w:pPr>
        <w:spacing w:after="240"/>
        <w:rPr>
          <w:rFonts w:cstheme="minorHAnsi"/>
          <w:iCs/>
          <w:lang w:eastAsia="en-GB"/>
        </w:rPr>
      </w:pPr>
      <w:r>
        <w:rPr>
          <w:rFonts w:cstheme="minorHAnsi"/>
          <w:iCs/>
          <w:lang w:eastAsia="en-GB"/>
        </w:rPr>
        <w:lastRenderedPageBreak/>
        <w:t>To provide adequate oversight for the VfM and impact of this contribution to the INC component, we will agree a framework with UNEP to ensure they provide a reasonable level of evidence to support our monitoring and evaluation activities. Given the nascency of the INC Secretariat, these conversations will take place beyond the timelines of this business case.</w:t>
      </w:r>
    </w:p>
    <w:p w14:paraId="33CA21B1" w14:textId="246E31F3" w:rsidR="00C25C78" w:rsidRDefault="00C25C78" w:rsidP="00BA429D">
      <w:pPr>
        <w:rPr>
          <w:lang w:val="en-US"/>
        </w:rPr>
      </w:pPr>
      <w:r>
        <w:rPr>
          <w:rFonts w:cstheme="minorHAnsi"/>
          <w:color w:val="000000"/>
        </w:rPr>
        <w:t xml:space="preserve">We have proposed a MEL outline which will complement the </w:t>
      </w:r>
      <w:r w:rsidRPr="00401AE4">
        <w:rPr>
          <w:rFonts w:cstheme="minorHAnsi"/>
          <w:color w:val="000000"/>
        </w:rPr>
        <w:t>qualitative and quantitative framework for collecting evaluative data</w:t>
      </w:r>
      <w:r>
        <w:rPr>
          <w:rFonts w:cstheme="minorHAnsi"/>
          <w:color w:val="000000"/>
        </w:rPr>
        <w:t xml:space="preserve"> designed by the Secretariat</w:t>
      </w:r>
      <w:r w:rsidRPr="00401AE4">
        <w:rPr>
          <w:rFonts w:cstheme="minorHAnsi"/>
          <w:color w:val="000000"/>
        </w:rPr>
        <w:t>. In addition to reporting on the number of delegates or countries that were in participation, the Secretariat will collect qualitative case studies and seek information from post-INC meeting feedback.</w:t>
      </w:r>
      <w:r w:rsidR="00BA429D">
        <w:rPr>
          <w:rFonts w:cstheme="minorHAnsi"/>
          <w:color w:val="000000"/>
        </w:rPr>
        <w:t xml:space="preserve"> </w:t>
      </w:r>
      <w:r w:rsidR="00BA429D">
        <w:rPr>
          <w:lang w:val="en-US"/>
        </w:rPr>
        <w:t xml:space="preserve">UNEP has a </w:t>
      </w:r>
      <w:r w:rsidR="005F159E">
        <w:rPr>
          <w:lang w:val="en-US"/>
        </w:rPr>
        <w:t>fully budgeted</w:t>
      </w:r>
      <w:r w:rsidR="00BA429D">
        <w:rPr>
          <w:lang w:val="en-US"/>
        </w:rPr>
        <w:t xml:space="preserve"> independent evaluation office and its main role is to provide evaluative evidence on the effectiveness and efficiency of the implementation and delivery of UNEP; identify challenges in the implementation; and provide lessons and recommendations to guide the future strategic direction of the organisation and improve programme formulation and implementation. </w:t>
      </w:r>
    </w:p>
    <w:p w14:paraId="586D0FD2" w14:textId="77777777" w:rsidR="00BA429D" w:rsidRPr="00565E6E" w:rsidRDefault="00BA429D" w:rsidP="00565E6E">
      <w:pPr>
        <w:rPr>
          <w:lang w:val="en-US"/>
        </w:rPr>
      </w:pPr>
    </w:p>
    <w:p w14:paraId="1CD62122" w14:textId="3121386E" w:rsidR="005F159E" w:rsidRDefault="003A77EA" w:rsidP="00C77A2B">
      <w:pPr>
        <w:spacing w:after="240"/>
        <w:rPr>
          <w:rFonts w:cstheme="minorHAnsi"/>
          <w:iCs/>
          <w:lang w:eastAsia="en-GB"/>
        </w:rPr>
      </w:pPr>
      <w:r w:rsidRPr="00E9635A">
        <w:rPr>
          <w:rFonts w:cstheme="minorHAnsi"/>
          <w:iCs/>
          <w:lang w:eastAsia="en-GB"/>
        </w:rPr>
        <w:t xml:space="preserve">MEL costs </w:t>
      </w:r>
      <w:r w:rsidR="001E0877" w:rsidRPr="00E9635A">
        <w:rPr>
          <w:rFonts w:cstheme="minorHAnsi"/>
          <w:iCs/>
          <w:lang w:eastAsia="en-GB"/>
        </w:rPr>
        <w:t xml:space="preserve">will be </w:t>
      </w:r>
      <w:r w:rsidR="004F1D69">
        <w:rPr>
          <w:rFonts w:cstheme="minorHAnsi"/>
          <w:iCs/>
          <w:lang w:eastAsia="en-GB"/>
        </w:rPr>
        <w:t>integrated</w:t>
      </w:r>
      <w:r w:rsidR="00E9635A" w:rsidRPr="00E9635A">
        <w:rPr>
          <w:rFonts w:cstheme="minorHAnsi"/>
          <w:iCs/>
          <w:lang w:eastAsia="en-GB"/>
        </w:rPr>
        <w:t xml:space="preserve"> into programme delivery</w:t>
      </w:r>
      <w:r w:rsidR="004F1D69">
        <w:rPr>
          <w:rFonts w:cstheme="minorHAnsi"/>
          <w:iCs/>
          <w:lang w:eastAsia="en-GB"/>
        </w:rPr>
        <w:t xml:space="preserve"> costs</w:t>
      </w:r>
      <w:r w:rsidR="00D46721">
        <w:rPr>
          <w:rFonts w:cstheme="minorHAnsi"/>
          <w:iCs/>
          <w:lang w:eastAsia="en-GB"/>
        </w:rPr>
        <w:t xml:space="preserve">. </w:t>
      </w:r>
      <w:r w:rsidRPr="00E9635A">
        <w:rPr>
          <w:rFonts w:cstheme="minorHAnsi"/>
          <w:iCs/>
          <w:lang w:eastAsia="en-GB"/>
        </w:rPr>
        <w:t>If the programme</w:t>
      </w:r>
      <w:r>
        <w:rPr>
          <w:rFonts w:cstheme="minorHAnsi"/>
          <w:iCs/>
          <w:lang w:eastAsia="en-GB"/>
        </w:rPr>
        <w:t xml:space="preserve"> fails to demonstrate good VfM, we may draw on the exit clauses detailed in the commercial agreement to claw back funds or reduce the funding allocation.</w:t>
      </w:r>
    </w:p>
    <w:p w14:paraId="7C0866D5" w14:textId="77777777" w:rsidR="005F159E" w:rsidRPr="008D1358" w:rsidRDefault="005F159E" w:rsidP="005F159E">
      <w:pPr>
        <w:pStyle w:val="Heading3"/>
        <w:ind w:left="0" w:firstLine="0"/>
        <w:rPr>
          <w:b/>
        </w:rPr>
      </w:pPr>
      <w:r w:rsidRPr="008D1358">
        <w:rPr>
          <w:b/>
        </w:rPr>
        <w:t xml:space="preserve">Tide </w:t>
      </w:r>
      <w:r w:rsidRPr="008D1358">
        <w:rPr>
          <w:b/>
          <w:bCs/>
        </w:rPr>
        <w:t>TURNERS</w:t>
      </w:r>
      <w:r w:rsidRPr="008D1358">
        <w:rPr>
          <w:b/>
        </w:rPr>
        <w:t xml:space="preserve"> Theory of change</w:t>
      </w:r>
    </w:p>
    <w:p w14:paraId="695DF53C" w14:textId="1B5D1897" w:rsidR="005F159E" w:rsidRDefault="005F159E" w:rsidP="005F159E">
      <w:pPr>
        <w:spacing w:after="240"/>
      </w:pPr>
      <w:r>
        <w:rPr>
          <w:noProof/>
          <w:color w:val="FF0000"/>
          <w:sz w:val="20"/>
          <w:szCs w:val="20"/>
        </w:rPr>
        <w:drawing>
          <wp:inline distT="114300" distB="114300" distL="114300" distR="114300" wp14:anchorId="04611EBF" wp14:editId="1CE531D2">
            <wp:extent cx="5731510" cy="3226714"/>
            <wp:effectExtent l="0" t="0" r="254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7"/>
                    <a:srcRect/>
                    <a:stretch>
                      <a:fillRect/>
                    </a:stretch>
                  </pic:blipFill>
                  <pic:spPr>
                    <a:xfrm>
                      <a:off x="0" y="0"/>
                      <a:ext cx="5731510" cy="3226714"/>
                    </a:xfrm>
                    <a:prstGeom prst="rect">
                      <a:avLst/>
                    </a:prstGeom>
                    <a:ln/>
                  </pic:spPr>
                </pic:pic>
              </a:graphicData>
            </a:graphic>
          </wp:inline>
        </w:drawing>
      </w:r>
      <w:r>
        <w:t xml:space="preserve"> </w:t>
      </w:r>
    </w:p>
    <w:p w14:paraId="5495E260" w14:textId="77777777" w:rsidR="005F159E" w:rsidRDefault="005F159E" w:rsidP="005F159E">
      <w:pPr>
        <w:spacing w:after="240"/>
      </w:pPr>
      <w:r>
        <w:t>A series of activities and outputs feed into t</w:t>
      </w:r>
      <w:r w:rsidRPr="008676DA">
        <w:t>he direct</w:t>
      </w:r>
      <w:r>
        <w:t>/ short term</w:t>
      </w:r>
      <w:r w:rsidRPr="008676DA">
        <w:t xml:space="preserve"> outcome of the </w:t>
      </w:r>
      <w:r>
        <w:t xml:space="preserve">Tide Turners </w:t>
      </w:r>
      <w:r w:rsidRPr="008676DA">
        <w:t>programme</w:t>
      </w:r>
      <w:r>
        <w:t>:</w:t>
      </w:r>
      <w:r w:rsidRPr="008676DA">
        <w:t xml:space="preserve"> the training youth organisations deliver to educate young people on plastic pollution and how they can address it in their communities. </w:t>
      </w:r>
      <w:r>
        <w:t>This outcome in turn contributes to wider programme and intermediate/ medium to long term outcomes of decreased use of single-use plastic, reduced marine plastic litter and increased waste management in the countries and communities targeted through the programme.</w:t>
      </w:r>
    </w:p>
    <w:p w14:paraId="151A6614" w14:textId="77777777" w:rsidR="005F159E" w:rsidRPr="008D1358" w:rsidRDefault="005F159E" w:rsidP="005F159E">
      <w:pPr>
        <w:pStyle w:val="Heading3"/>
        <w:rPr>
          <w:b/>
        </w:rPr>
      </w:pPr>
      <w:r w:rsidRPr="008D1358">
        <w:rPr>
          <w:b/>
        </w:rPr>
        <w:t>Tide Turners Logframe</w:t>
      </w:r>
    </w:p>
    <w:p w14:paraId="30CAC1A4" w14:textId="77777777" w:rsidR="005F159E" w:rsidRDefault="005F159E" w:rsidP="005F159E">
      <w:pPr>
        <w:spacing w:after="240"/>
        <w:rPr>
          <w:color w:val="201F1E"/>
        </w:rPr>
      </w:pPr>
      <w:r w:rsidRPr="00684143">
        <w:rPr>
          <w:color w:val="201F1E"/>
        </w:rPr>
        <w:t xml:space="preserve">The Tide Turners programme </w:t>
      </w:r>
      <w:r>
        <w:rPr>
          <w:color w:val="201F1E"/>
        </w:rPr>
        <w:t xml:space="preserve">log frame </w:t>
      </w:r>
      <w:r w:rsidRPr="00684143">
        <w:rPr>
          <w:color w:val="201F1E"/>
        </w:rPr>
        <w:t xml:space="preserve">is presented </w:t>
      </w:r>
      <w:r>
        <w:rPr>
          <w:color w:val="201F1E"/>
        </w:rPr>
        <w:t>below</w:t>
      </w:r>
      <w:r w:rsidRPr="00684143">
        <w:rPr>
          <w:color w:val="201F1E"/>
        </w:rPr>
        <w:t xml:space="preserve">. The </w:t>
      </w:r>
      <w:r>
        <w:rPr>
          <w:color w:val="201F1E"/>
        </w:rPr>
        <w:t>log frame</w:t>
      </w:r>
      <w:r w:rsidRPr="00684143">
        <w:rPr>
          <w:color w:val="201F1E"/>
        </w:rPr>
        <w:t xml:space="preserve"> </w:t>
      </w:r>
      <w:r>
        <w:rPr>
          <w:color w:val="201F1E"/>
        </w:rPr>
        <w:t xml:space="preserve">has been developed through discussions with the Tide Turners team and </w:t>
      </w:r>
      <w:r w:rsidRPr="00684143">
        <w:rPr>
          <w:color w:val="201F1E"/>
        </w:rPr>
        <w:t xml:space="preserve">focuses on the work </w:t>
      </w:r>
      <w:r>
        <w:rPr>
          <w:color w:val="201F1E"/>
        </w:rPr>
        <w:t>resulting from and/ or directly influenced by the programme. The short-term outcome targets have mostly been set; a priority in the coming months will be to agree the output and medium/ long term outcome indicators.</w:t>
      </w:r>
    </w:p>
    <w:p w14:paraId="053D63CA" w14:textId="77777777" w:rsidR="00C77A2B" w:rsidRDefault="00C77A2B" w:rsidP="00C77A2B">
      <w:pPr>
        <w:spacing w:after="240"/>
        <w:rPr>
          <w:rFonts w:cstheme="minorHAnsi"/>
          <w:iCs/>
          <w:lang w:eastAsia="en-GB"/>
        </w:rPr>
        <w:sectPr w:rsidR="00C77A2B" w:rsidSect="00C44D9D">
          <w:type w:val="continuous"/>
          <w:pgSz w:w="11906" w:h="16838"/>
          <w:pgMar w:top="1440" w:right="1440" w:bottom="1440" w:left="1440" w:header="709" w:footer="709" w:gutter="0"/>
          <w:cols w:space="708"/>
          <w:docGrid w:linePitch="360"/>
        </w:sectPr>
      </w:pPr>
    </w:p>
    <w:p w14:paraId="30F61E92" w14:textId="11462D15" w:rsidR="00524626" w:rsidRPr="008D1358" w:rsidRDefault="0023713C" w:rsidP="00524626">
      <w:pPr>
        <w:pStyle w:val="Heading3"/>
        <w:rPr>
          <w:b/>
          <w:bCs/>
        </w:rPr>
      </w:pPr>
      <w:r>
        <w:rPr>
          <w:b/>
          <w:bCs/>
        </w:rPr>
        <w:lastRenderedPageBreak/>
        <w:t>CHIPP (</w:t>
      </w:r>
      <w:r w:rsidR="00524626" w:rsidRPr="008D1358">
        <w:rPr>
          <w:b/>
          <w:bCs/>
        </w:rPr>
        <w:t>TIDE TURNERS</w:t>
      </w:r>
      <w:r>
        <w:rPr>
          <w:b/>
          <w:bCs/>
        </w:rPr>
        <w:t>)</w:t>
      </w:r>
      <w:r w:rsidR="00524626" w:rsidRPr="008D1358">
        <w:rPr>
          <w:b/>
          <w:bCs/>
        </w:rPr>
        <w:t xml:space="preserve"> LOG FRAME</w:t>
      </w:r>
    </w:p>
    <w:p w14:paraId="1C792774" w14:textId="77777777" w:rsidR="00524626" w:rsidRPr="00524626" w:rsidRDefault="00524626" w:rsidP="00524626">
      <w:pPr>
        <w:rPr>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8"/>
      </w:tblGrid>
      <w:tr w:rsidR="00524626" w:rsidRPr="00C22B03" w14:paraId="194BB95B" w14:textId="77777777" w:rsidTr="008423E0">
        <w:trPr>
          <w:trHeight w:val="334"/>
        </w:trPr>
        <w:tc>
          <w:tcPr>
            <w:tcW w:w="5000" w:type="pct"/>
            <w:shd w:val="clear" w:color="000000" w:fill="808080"/>
            <w:noWrap/>
            <w:vAlign w:val="center"/>
            <w:hideMark/>
          </w:tcPr>
          <w:p w14:paraId="6C08665C" w14:textId="77777777" w:rsidR="00524626" w:rsidRPr="00C22B03" w:rsidRDefault="00524626" w:rsidP="008423E0">
            <w:pPr>
              <w:jc w:val="left"/>
              <w:rPr>
                <w:rFonts w:ascii="Calibri" w:eastAsia="Times New Roman" w:hAnsi="Calibri" w:cs="Calibri"/>
                <w:b/>
                <w:bCs/>
                <w:color w:val="FFFFFF"/>
                <w:lang w:eastAsia="en-GB"/>
              </w:rPr>
            </w:pPr>
            <w:r w:rsidRPr="00C22B03">
              <w:rPr>
                <w:rFonts w:ascii="Calibri" w:eastAsia="Times New Roman" w:hAnsi="Calibri" w:cs="Calibri"/>
                <w:b/>
                <w:bCs/>
                <w:color w:val="FFFFFF"/>
                <w:lang w:eastAsia="en-GB"/>
              </w:rPr>
              <w:t>Impacts (Global indicators contributing to) </w:t>
            </w:r>
          </w:p>
        </w:tc>
      </w:tr>
      <w:tr w:rsidR="00524626" w:rsidRPr="00C22B03" w14:paraId="29D5BD8B" w14:textId="77777777" w:rsidTr="008423E0">
        <w:trPr>
          <w:trHeight w:val="2025"/>
        </w:trPr>
        <w:tc>
          <w:tcPr>
            <w:tcW w:w="5000" w:type="pct"/>
            <w:shd w:val="clear" w:color="auto" w:fill="auto"/>
            <w:vAlign w:val="center"/>
            <w:hideMark/>
          </w:tcPr>
          <w:p w14:paraId="09129B20" w14:textId="77777777" w:rsidR="00524626" w:rsidRPr="00C22B03" w:rsidRDefault="00524626" w:rsidP="008423E0">
            <w:pPr>
              <w:jc w:val="left"/>
              <w:rPr>
                <w:rFonts w:ascii="Calibri" w:eastAsia="Times New Roman" w:hAnsi="Calibri" w:cs="Calibri"/>
                <w:b/>
                <w:bCs/>
                <w:color w:val="000000"/>
                <w:lang w:eastAsia="en-GB"/>
              </w:rPr>
            </w:pPr>
            <w:r w:rsidRPr="00C22B03">
              <w:rPr>
                <w:rFonts w:ascii="Calibri" w:eastAsia="Times New Roman" w:hAnsi="Calibri" w:cs="Calibri"/>
                <w:b/>
                <w:bCs/>
                <w:color w:val="000000"/>
                <w:lang w:eastAsia="en-GB"/>
              </w:rPr>
              <w:t>&gt; SDG 4: Quality education, Target 4.7: By 2030, ensure that all learners acquire the knowledge and skills needed to promote sustainable development.</w:t>
            </w:r>
            <w:r w:rsidRPr="00C22B03">
              <w:rPr>
                <w:rFonts w:ascii="Calibri" w:eastAsia="Times New Roman" w:hAnsi="Calibri" w:cs="Calibri"/>
                <w:b/>
                <w:bCs/>
                <w:color w:val="000000"/>
                <w:lang w:eastAsia="en-GB"/>
              </w:rPr>
              <w:br/>
              <w:t>&gt; SDG 11: Sustainable cities and communities, Target 11.6: By 2030, reduce the adverse per capita environmental impact of cities, including by paying special attention to air quality and municipal and other waste management.</w:t>
            </w:r>
            <w:r w:rsidRPr="00C22B03">
              <w:rPr>
                <w:rFonts w:ascii="Calibri" w:eastAsia="Times New Roman" w:hAnsi="Calibri" w:cs="Calibri"/>
                <w:b/>
                <w:bCs/>
                <w:color w:val="000000"/>
                <w:lang w:eastAsia="en-GB"/>
              </w:rPr>
              <w:br/>
              <w:t>&gt; SDG 12: Responsible consumption and production, Target 12.5: By 2030, substantially reduce waste generation through prevention, reduction, recycling and reuse</w:t>
            </w:r>
            <w:r w:rsidRPr="00C22B03">
              <w:rPr>
                <w:rFonts w:ascii="Calibri" w:eastAsia="Times New Roman" w:hAnsi="Calibri" w:cs="Calibri"/>
                <w:b/>
                <w:bCs/>
                <w:color w:val="000000"/>
                <w:lang w:eastAsia="en-GB"/>
              </w:rPr>
              <w:br/>
              <w:t>&gt; SDG 13: Climate action, Target 13.3. Improve education, awareness-raising and human and institutional capacity on climate change mitigation, adaptation, impact reduction and early warning</w:t>
            </w:r>
            <w:r w:rsidRPr="00C22B03">
              <w:rPr>
                <w:rFonts w:ascii="Calibri" w:eastAsia="Times New Roman" w:hAnsi="Calibri" w:cs="Calibri"/>
                <w:b/>
                <w:bCs/>
                <w:color w:val="000000"/>
                <w:lang w:eastAsia="en-GB"/>
              </w:rPr>
              <w:br/>
              <w:t>&gt; SDG 14: Life below water (protection of the seas and oceans), targets 14.1 and 14.2</w:t>
            </w:r>
          </w:p>
        </w:tc>
      </w:tr>
    </w:tbl>
    <w:p w14:paraId="6CFF9483" w14:textId="2FA7A2E2" w:rsidR="00524626" w:rsidRDefault="00524626" w:rsidP="00524626">
      <w:pPr>
        <w:rPr>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7"/>
        <w:gridCol w:w="2813"/>
        <w:gridCol w:w="4318"/>
        <w:gridCol w:w="1560"/>
      </w:tblGrid>
      <w:tr w:rsidR="00A956BD" w:rsidRPr="00C22B03" w14:paraId="20F35BF5" w14:textId="77777777" w:rsidTr="00A956BD">
        <w:trPr>
          <w:trHeight w:val="580"/>
          <w:tblHeader/>
        </w:trPr>
        <w:tc>
          <w:tcPr>
            <w:tcW w:w="2176" w:type="pct"/>
            <w:shd w:val="clear" w:color="auto" w:fill="auto"/>
            <w:vAlign w:val="center"/>
            <w:hideMark/>
          </w:tcPr>
          <w:p w14:paraId="2B0546DB" w14:textId="77777777" w:rsidR="00524626" w:rsidRPr="00704DEA" w:rsidRDefault="00524626" w:rsidP="008423E0">
            <w:pPr>
              <w:jc w:val="center"/>
              <w:rPr>
                <w:rFonts w:eastAsia="Times New Roman" w:cstheme="minorHAnsi"/>
                <w:b/>
                <w:color w:val="000000"/>
                <w:sz w:val="20"/>
                <w:szCs w:val="20"/>
                <w:lang w:eastAsia="en-GB"/>
              </w:rPr>
            </w:pPr>
            <w:r w:rsidRPr="00704DEA">
              <w:rPr>
                <w:rFonts w:eastAsia="Times New Roman" w:cstheme="minorHAnsi"/>
                <w:b/>
                <w:color w:val="000000"/>
                <w:sz w:val="20"/>
                <w:szCs w:val="20"/>
                <w:lang w:eastAsia="en-GB"/>
              </w:rPr>
              <w:t>Indicators/ KPIs</w:t>
            </w:r>
          </w:p>
        </w:tc>
        <w:tc>
          <w:tcPr>
            <w:tcW w:w="914" w:type="pct"/>
            <w:shd w:val="clear" w:color="auto" w:fill="auto"/>
            <w:vAlign w:val="center"/>
            <w:hideMark/>
          </w:tcPr>
          <w:p w14:paraId="047C082B" w14:textId="77777777" w:rsidR="00524626" w:rsidRPr="00704DEA" w:rsidRDefault="00524626" w:rsidP="008423E0">
            <w:pPr>
              <w:jc w:val="center"/>
              <w:rPr>
                <w:rFonts w:eastAsia="Times New Roman" w:cstheme="minorHAnsi"/>
                <w:b/>
                <w:color w:val="000000"/>
                <w:sz w:val="20"/>
                <w:szCs w:val="20"/>
                <w:lang w:eastAsia="en-GB"/>
              </w:rPr>
            </w:pPr>
            <w:r w:rsidRPr="00704DEA">
              <w:rPr>
                <w:rFonts w:eastAsia="Times New Roman" w:cstheme="minorHAnsi"/>
                <w:b/>
                <w:color w:val="000000"/>
                <w:sz w:val="20"/>
                <w:szCs w:val="20"/>
                <w:lang w:eastAsia="en-GB"/>
              </w:rPr>
              <w:t>Target %/no. and/or date</w:t>
            </w:r>
          </w:p>
        </w:tc>
        <w:tc>
          <w:tcPr>
            <w:tcW w:w="1403" w:type="pct"/>
            <w:shd w:val="clear" w:color="auto" w:fill="auto"/>
            <w:vAlign w:val="center"/>
            <w:hideMark/>
          </w:tcPr>
          <w:p w14:paraId="25520D79" w14:textId="77777777" w:rsidR="00524626" w:rsidRPr="00704DEA" w:rsidRDefault="00524626" w:rsidP="00524626">
            <w:pPr>
              <w:jc w:val="center"/>
              <w:rPr>
                <w:rFonts w:eastAsia="Times New Roman" w:cstheme="minorHAnsi"/>
                <w:b/>
                <w:color w:val="000000"/>
                <w:sz w:val="20"/>
                <w:szCs w:val="20"/>
                <w:lang w:eastAsia="en-GB"/>
              </w:rPr>
            </w:pPr>
            <w:r w:rsidRPr="00704DEA">
              <w:rPr>
                <w:rFonts w:eastAsia="Times New Roman" w:cstheme="minorHAnsi"/>
                <w:b/>
                <w:color w:val="000000"/>
                <w:sz w:val="20"/>
                <w:szCs w:val="20"/>
                <w:lang w:eastAsia="en-GB"/>
              </w:rPr>
              <w:t>Methodology</w:t>
            </w:r>
          </w:p>
        </w:tc>
        <w:tc>
          <w:tcPr>
            <w:tcW w:w="508" w:type="pct"/>
            <w:shd w:val="clear" w:color="auto" w:fill="auto"/>
            <w:vAlign w:val="center"/>
            <w:hideMark/>
          </w:tcPr>
          <w:p w14:paraId="57DBA91B" w14:textId="77777777" w:rsidR="00524626" w:rsidRPr="00704DEA" w:rsidRDefault="00524626" w:rsidP="00524626">
            <w:pPr>
              <w:jc w:val="center"/>
              <w:rPr>
                <w:rFonts w:eastAsia="Times New Roman" w:cstheme="minorHAnsi"/>
                <w:b/>
                <w:color w:val="000000"/>
                <w:sz w:val="20"/>
                <w:szCs w:val="20"/>
                <w:lang w:eastAsia="en-GB"/>
              </w:rPr>
            </w:pPr>
            <w:r w:rsidRPr="00704DEA">
              <w:rPr>
                <w:rFonts w:eastAsia="Times New Roman" w:cstheme="minorHAnsi"/>
                <w:b/>
                <w:color w:val="000000"/>
                <w:sz w:val="20"/>
                <w:szCs w:val="20"/>
                <w:lang w:eastAsia="en-GB"/>
              </w:rPr>
              <w:t>Frequency of data collection</w:t>
            </w:r>
          </w:p>
        </w:tc>
      </w:tr>
      <w:tr w:rsidR="00524626" w:rsidRPr="00C22B03" w14:paraId="46139043" w14:textId="77777777" w:rsidTr="00524626">
        <w:trPr>
          <w:trHeight w:val="290"/>
        </w:trPr>
        <w:tc>
          <w:tcPr>
            <w:tcW w:w="5000" w:type="pct"/>
            <w:gridSpan w:val="4"/>
            <w:shd w:val="clear" w:color="000000" w:fill="808080"/>
            <w:noWrap/>
            <w:vAlign w:val="center"/>
            <w:hideMark/>
          </w:tcPr>
          <w:p w14:paraId="30339623" w14:textId="77777777" w:rsidR="00524626" w:rsidRPr="00704DEA" w:rsidRDefault="00524626" w:rsidP="00524626">
            <w:pPr>
              <w:jc w:val="center"/>
              <w:rPr>
                <w:rFonts w:eastAsia="Times New Roman" w:cstheme="minorHAnsi"/>
                <w:b/>
                <w:color w:val="FFFFFF"/>
                <w:sz w:val="20"/>
                <w:szCs w:val="20"/>
                <w:lang w:eastAsia="en-GB"/>
              </w:rPr>
            </w:pPr>
            <w:r w:rsidRPr="00704DEA">
              <w:rPr>
                <w:rFonts w:eastAsia="Times New Roman" w:cstheme="minorHAnsi"/>
                <w:b/>
                <w:color w:val="FFFFFF"/>
                <w:sz w:val="20"/>
                <w:szCs w:val="20"/>
                <w:lang w:eastAsia="en-GB"/>
              </w:rPr>
              <w:t>Long term outcome: decreased use of single-use plastic, less plastic dumped into oceans and watersheds and increased waste management in target communities</w:t>
            </w:r>
          </w:p>
        </w:tc>
      </w:tr>
      <w:tr w:rsidR="00A956BD" w:rsidRPr="00C22B03" w14:paraId="2F4B1437" w14:textId="77777777" w:rsidTr="00A956BD">
        <w:trPr>
          <w:trHeight w:val="580"/>
        </w:trPr>
        <w:tc>
          <w:tcPr>
            <w:tcW w:w="2176" w:type="pct"/>
            <w:shd w:val="clear" w:color="auto" w:fill="auto"/>
            <w:vAlign w:val="center"/>
            <w:hideMark/>
          </w:tcPr>
          <w:p w14:paraId="7792221E" w14:textId="77777777" w:rsidR="00524626" w:rsidRPr="00704DEA" w:rsidRDefault="00524626" w:rsidP="008423E0">
            <w:pPr>
              <w:jc w:val="left"/>
              <w:rPr>
                <w:rFonts w:eastAsia="Times New Roman" w:cstheme="minorHAnsi"/>
                <w:color w:val="000000"/>
                <w:sz w:val="20"/>
                <w:szCs w:val="20"/>
                <w:lang w:eastAsia="en-GB"/>
              </w:rPr>
            </w:pPr>
            <w:r w:rsidRPr="00704DEA">
              <w:rPr>
                <w:rFonts w:eastAsia="Times New Roman" w:cstheme="minorHAnsi"/>
                <w:color w:val="000000"/>
                <w:sz w:val="20"/>
                <w:szCs w:val="20"/>
                <w:lang w:eastAsia="en-GB"/>
              </w:rPr>
              <w:t>3 training on skills-based training on circular economy / waste management that can increase alternative livelihood outcomes</w:t>
            </w:r>
          </w:p>
        </w:tc>
        <w:tc>
          <w:tcPr>
            <w:tcW w:w="914" w:type="pct"/>
            <w:shd w:val="clear" w:color="auto" w:fill="auto"/>
            <w:vAlign w:val="center"/>
            <w:hideMark/>
          </w:tcPr>
          <w:p w14:paraId="3C33D98D" w14:textId="77777777" w:rsidR="00524626" w:rsidRPr="00704DEA" w:rsidRDefault="00524626" w:rsidP="008423E0">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Target no. TBC / Q4 2025</w:t>
            </w:r>
          </w:p>
        </w:tc>
        <w:tc>
          <w:tcPr>
            <w:tcW w:w="1403" w:type="pct"/>
            <w:shd w:val="clear" w:color="auto" w:fill="auto"/>
            <w:noWrap/>
            <w:vAlign w:val="center"/>
            <w:hideMark/>
          </w:tcPr>
          <w:p w14:paraId="2C2DCB6B" w14:textId="77777777" w:rsidR="00524626" w:rsidRPr="00704DEA" w:rsidRDefault="00524626" w:rsidP="00524626">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c>
          <w:tcPr>
            <w:tcW w:w="508" w:type="pct"/>
            <w:shd w:val="clear" w:color="auto" w:fill="auto"/>
            <w:noWrap/>
            <w:vAlign w:val="center"/>
            <w:hideMark/>
          </w:tcPr>
          <w:p w14:paraId="73E18F80" w14:textId="77777777" w:rsidR="00524626" w:rsidRPr="00704DEA" w:rsidRDefault="00524626" w:rsidP="00524626">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r>
      <w:tr w:rsidR="00A956BD" w:rsidRPr="00C22B03" w14:paraId="48F389A8" w14:textId="77777777" w:rsidTr="00A956BD">
        <w:trPr>
          <w:trHeight w:val="290"/>
        </w:trPr>
        <w:tc>
          <w:tcPr>
            <w:tcW w:w="4492" w:type="pct"/>
            <w:gridSpan w:val="3"/>
            <w:shd w:val="clear" w:color="000000" w:fill="808080"/>
            <w:noWrap/>
            <w:vAlign w:val="center"/>
            <w:hideMark/>
          </w:tcPr>
          <w:p w14:paraId="6E535F6A" w14:textId="15A38C7D" w:rsidR="00524626" w:rsidRPr="00704DEA" w:rsidRDefault="00524626" w:rsidP="00524626">
            <w:pPr>
              <w:jc w:val="center"/>
              <w:rPr>
                <w:rFonts w:eastAsia="Times New Roman" w:cstheme="minorHAnsi"/>
                <w:b/>
                <w:color w:val="FFFFFF"/>
                <w:sz w:val="20"/>
                <w:szCs w:val="20"/>
                <w:lang w:eastAsia="en-GB"/>
              </w:rPr>
            </w:pPr>
            <w:r w:rsidRPr="00704DEA">
              <w:rPr>
                <w:rFonts w:eastAsia="Times New Roman" w:cstheme="minorHAnsi"/>
                <w:b/>
                <w:color w:val="FFFFFF"/>
                <w:sz w:val="20"/>
                <w:szCs w:val="20"/>
                <w:lang w:eastAsia="en-GB"/>
              </w:rPr>
              <w:t>Project/Medium Term Outcome: Sustainable use of plastics increased and increased capacity to influence change among youth in target countries.</w:t>
            </w:r>
          </w:p>
        </w:tc>
        <w:tc>
          <w:tcPr>
            <w:tcW w:w="508" w:type="pct"/>
            <w:shd w:val="clear" w:color="000000" w:fill="808080"/>
            <w:noWrap/>
            <w:vAlign w:val="center"/>
            <w:hideMark/>
          </w:tcPr>
          <w:p w14:paraId="0F8052C2" w14:textId="228F06E6" w:rsidR="00524626" w:rsidRPr="00704DEA" w:rsidRDefault="00524626" w:rsidP="00524626">
            <w:pPr>
              <w:jc w:val="center"/>
              <w:rPr>
                <w:rFonts w:eastAsia="Times New Roman" w:cstheme="minorHAnsi"/>
                <w:color w:val="FFFFFF"/>
                <w:sz w:val="20"/>
                <w:szCs w:val="20"/>
                <w:lang w:eastAsia="en-GB"/>
              </w:rPr>
            </w:pPr>
          </w:p>
        </w:tc>
      </w:tr>
      <w:tr w:rsidR="00A956BD" w:rsidRPr="00C22B03" w14:paraId="4ED975C1" w14:textId="77777777" w:rsidTr="00704DEA">
        <w:trPr>
          <w:trHeight w:val="709"/>
        </w:trPr>
        <w:tc>
          <w:tcPr>
            <w:tcW w:w="2176" w:type="pct"/>
            <w:shd w:val="clear" w:color="auto" w:fill="auto"/>
            <w:vAlign w:val="center"/>
            <w:hideMark/>
          </w:tcPr>
          <w:p w14:paraId="41F4E02D" w14:textId="77777777" w:rsidR="00A956BD" w:rsidRPr="00704DEA" w:rsidRDefault="00A956BD" w:rsidP="008423E0">
            <w:pPr>
              <w:jc w:val="left"/>
              <w:rPr>
                <w:rFonts w:eastAsia="Times New Roman" w:cstheme="minorHAnsi"/>
                <w:color w:val="000000"/>
                <w:sz w:val="20"/>
                <w:szCs w:val="20"/>
                <w:lang w:eastAsia="en-GB"/>
              </w:rPr>
            </w:pPr>
            <w:r w:rsidRPr="00704DEA">
              <w:rPr>
                <w:rFonts w:eastAsia="Times New Roman" w:cstheme="minorHAnsi"/>
                <w:color w:val="000000"/>
                <w:sz w:val="20"/>
                <w:szCs w:val="20"/>
                <w:lang w:eastAsia="en-GB"/>
              </w:rPr>
              <w:t xml:space="preserve">% of youth reporting better understanding on single-use plastic and pollution after taking part in the training. </w:t>
            </w:r>
          </w:p>
        </w:tc>
        <w:tc>
          <w:tcPr>
            <w:tcW w:w="914" w:type="pct"/>
            <w:shd w:val="clear" w:color="auto" w:fill="auto"/>
            <w:vAlign w:val="center"/>
            <w:hideMark/>
          </w:tcPr>
          <w:p w14:paraId="6A48F8A2" w14:textId="77777777" w:rsidR="00A956BD" w:rsidRPr="00704DEA" w:rsidRDefault="00A956BD" w:rsidP="008423E0">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c>
          <w:tcPr>
            <w:tcW w:w="1403" w:type="pct"/>
            <w:vMerge w:val="restart"/>
            <w:shd w:val="clear" w:color="auto" w:fill="auto"/>
            <w:vAlign w:val="center"/>
            <w:hideMark/>
          </w:tcPr>
          <w:p w14:paraId="0C775A56" w14:textId="4A5FD5C5" w:rsidR="00A956BD" w:rsidRPr="00704DEA" w:rsidRDefault="00A956BD" w:rsidP="00A956BD">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Baseline and Endline surveys conducted to assess the knowledge and behaviour change among youth who have taken part in the programme</w:t>
            </w:r>
          </w:p>
        </w:tc>
        <w:tc>
          <w:tcPr>
            <w:tcW w:w="508" w:type="pct"/>
            <w:shd w:val="clear" w:color="auto" w:fill="auto"/>
            <w:vAlign w:val="center"/>
            <w:hideMark/>
          </w:tcPr>
          <w:p w14:paraId="59D155E7" w14:textId="77777777" w:rsidR="00A956BD" w:rsidRPr="00704DEA" w:rsidRDefault="00A956BD" w:rsidP="00524626">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Baseline Q1 2024/ Endline Q2 2025</w:t>
            </w:r>
          </w:p>
        </w:tc>
      </w:tr>
      <w:tr w:rsidR="00A956BD" w:rsidRPr="00C22B03" w14:paraId="02379D46" w14:textId="77777777" w:rsidTr="00704DEA">
        <w:trPr>
          <w:trHeight w:val="536"/>
        </w:trPr>
        <w:tc>
          <w:tcPr>
            <w:tcW w:w="2176" w:type="pct"/>
            <w:shd w:val="clear" w:color="auto" w:fill="auto"/>
            <w:vAlign w:val="center"/>
            <w:hideMark/>
          </w:tcPr>
          <w:p w14:paraId="07874A1A" w14:textId="77777777" w:rsidR="00A956BD" w:rsidRPr="00704DEA" w:rsidRDefault="00A956BD" w:rsidP="008423E0">
            <w:pPr>
              <w:jc w:val="left"/>
              <w:rPr>
                <w:rFonts w:eastAsia="Times New Roman" w:cstheme="minorHAnsi"/>
                <w:color w:val="000000"/>
                <w:sz w:val="20"/>
                <w:szCs w:val="20"/>
                <w:lang w:eastAsia="en-GB"/>
              </w:rPr>
            </w:pPr>
            <w:r w:rsidRPr="00704DEA">
              <w:rPr>
                <w:rFonts w:eastAsia="Times New Roman" w:cstheme="minorHAnsi"/>
                <w:color w:val="000000"/>
                <w:sz w:val="20"/>
                <w:szCs w:val="20"/>
                <w:lang w:eastAsia="en-GB"/>
              </w:rPr>
              <w:t>% of youth reporting change in the use of single-use plastic after taking part in the training.</w:t>
            </w:r>
          </w:p>
        </w:tc>
        <w:tc>
          <w:tcPr>
            <w:tcW w:w="914" w:type="pct"/>
            <w:shd w:val="clear" w:color="auto" w:fill="auto"/>
            <w:vAlign w:val="center"/>
            <w:hideMark/>
          </w:tcPr>
          <w:p w14:paraId="6C328AE1" w14:textId="77777777" w:rsidR="00A956BD" w:rsidRPr="00704DEA" w:rsidRDefault="00A956BD" w:rsidP="008423E0">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c>
          <w:tcPr>
            <w:tcW w:w="1403" w:type="pct"/>
            <w:vMerge/>
            <w:shd w:val="clear" w:color="auto" w:fill="auto"/>
            <w:vAlign w:val="center"/>
            <w:hideMark/>
          </w:tcPr>
          <w:p w14:paraId="6A06C5DC" w14:textId="090D0CE7" w:rsidR="00A956BD" w:rsidRPr="00704DEA" w:rsidRDefault="00A956BD" w:rsidP="00524626">
            <w:pPr>
              <w:jc w:val="center"/>
              <w:rPr>
                <w:rFonts w:eastAsia="Times New Roman" w:cstheme="minorHAnsi"/>
                <w:color w:val="000000"/>
                <w:sz w:val="20"/>
                <w:szCs w:val="20"/>
                <w:lang w:eastAsia="en-GB"/>
              </w:rPr>
            </w:pPr>
          </w:p>
        </w:tc>
        <w:tc>
          <w:tcPr>
            <w:tcW w:w="508" w:type="pct"/>
            <w:shd w:val="clear" w:color="auto" w:fill="auto"/>
            <w:vAlign w:val="center"/>
            <w:hideMark/>
          </w:tcPr>
          <w:p w14:paraId="20E166F6" w14:textId="77777777" w:rsidR="00A956BD" w:rsidRPr="00704DEA" w:rsidRDefault="00A956BD" w:rsidP="00524626">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Baseline Q1 2024/ Endline Q2 2025</w:t>
            </w:r>
          </w:p>
        </w:tc>
      </w:tr>
      <w:tr w:rsidR="00A956BD" w:rsidRPr="00C22B03" w14:paraId="605E225F" w14:textId="77777777" w:rsidTr="00704DEA">
        <w:trPr>
          <w:trHeight w:val="78"/>
        </w:trPr>
        <w:tc>
          <w:tcPr>
            <w:tcW w:w="2176" w:type="pct"/>
            <w:shd w:val="clear" w:color="auto" w:fill="auto"/>
            <w:vAlign w:val="center"/>
            <w:hideMark/>
          </w:tcPr>
          <w:p w14:paraId="2A9938DC" w14:textId="77777777" w:rsidR="00524626" w:rsidRPr="00704DEA" w:rsidRDefault="00524626" w:rsidP="008423E0">
            <w:pPr>
              <w:jc w:val="left"/>
              <w:rPr>
                <w:rFonts w:eastAsia="Times New Roman" w:cstheme="minorHAnsi"/>
                <w:color w:val="000000"/>
                <w:sz w:val="20"/>
                <w:szCs w:val="20"/>
                <w:lang w:eastAsia="en-GB"/>
              </w:rPr>
            </w:pPr>
            <w:r w:rsidRPr="00704DEA">
              <w:rPr>
                <w:rFonts w:eastAsia="Times New Roman" w:cstheme="minorHAnsi"/>
                <w:color w:val="000000"/>
                <w:sz w:val="20"/>
                <w:szCs w:val="20"/>
                <w:lang w:eastAsia="en-GB"/>
              </w:rPr>
              <w:t xml:space="preserve">% of youth reporting change in capabilities to execute advocacy projects.  </w:t>
            </w:r>
          </w:p>
        </w:tc>
        <w:tc>
          <w:tcPr>
            <w:tcW w:w="914" w:type="pct"/>
            <w:shd w:val="clear" w:color="auto" w:fill="auto"/>
            <w:vAlign w:val="center"/>
            <w:hideMark/>
          </w:tcPr>
          <w:p w14:paraId="53270CC4" w14:textId="77777777" w:rsidR="00524626" w:rsidRPr="00704DEA" w:rsidRDefault="00524626" w:rsidP="008423E0">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c>
          <w:tcPr>
            <w:tcW w:w="1403" w:type="pct"/>
            <w:shd w:val="clear" w:color="auto" w:fill="auto"/>
            <w:vAlign w:val="center"/>
            <w:hideMark/>
          </w:tcPr>
          <w:p w14:paraId="1C219891" w14:textId="77777777" w:rsidR="00524626" w:rsidRPr="00704DEA" w:rsidRDefault="00524626" w:rsidP="00524626">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Baseline and Endline surveys conducted to assess the increased capabilities of young people to impact change</w:t>
            </w:r>
          </w:p>
        </w:tc>
        <w:tc>
          <w:tcPr>
            <w:tcW w:w="508" w:type="pct"/>
            <w:shd w:val="clear" w:color="auto" w:fill="auto"/>
            <w:vAlign w:val="center"/>
            <w:hideMark/>
          </w:tcPr>
          <w:p w14:paraId="4FE6B297" w14:textId="77777777" w:rsidR="00524626" w:rsidRPr="00704DEA" w:rsidRDefault="00524626" w:rsidP="00524626">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Baseline Q1 2024/ Endline Q2 2025</w:t>
            </w:r>
          </w:p>
        </w:tc>
      </w:tr>
      <w:tr w:rsidR="00A956BD" w:rsidRPr="00C22B03" w14:paraId="1610973C" w14:textId="77777777" w:rsidTr="00A956BD">
        <w:trPr>
          <w:trHeight w:val="290"/>
        </w:trPr>
        <w:tc>
          <w:tcPr>
            <w:tcW w:w="2176" w:type="pct"/>
            <w:shd w:val="clear" w:color="auto" w:fill="auto"/>
            <w:vAlign w:val="center"/>
            <w:hideMark/>
          </w:tcPr>
          <w:p w14:paraId="16597659" w14:textId="77777777" w:rsidR="00A956BD" w:rsidRPr="00704DEA" w:rsidRDefault="00A956BD" w:rsidP="008423E0">
            <w:pPr>
              <w:jc w:val="left"/>
              <w:rPr>
                <w:rFonts w:eastAsia="Times New Roman" w:cstheme="minorHAnsi"/>
                <w:color w:val="000000"/>
                <w:sz w:val="20"/>
                <w:szCs w:val="20"/>
                <w:lang w:eastAsia="en-GB"/>
              </w:rPr>
            </w:pPr>
            <w:r w:rsidRPr="00704DEA">
              <w:rPr>
                <w:rFonts w:eastAsia="Times New Roman" w:cstheme="minorHAnsi"/>
                <w:color w:val="000000"/>
                <w:sz w:val="20"/>
                <w:szCs w:val="20"/>
                <w:lang w:eastAsia="en-GB"/>
              </w:rPr>
              <w:t>Number of events with Tide Turners youth voices presented</w:t>
            </w:r>
          </w:p>
        </w:tc>
        <w:tc>
          <w:tcPr>
            <w:tcW w:w="914" w:type="pct"/>
            <w:shd w:val="clear" w:color="auto" w:fill="auto"/>
            <w:vAlign w:val="center"/>
            <w:hideMark/>
          </w:tcPr>
          <w:p w14:paraId="011DF406" w14:textId="77777777" w:rsidR="00A956BD" w:rsidRPr="00704DEA" w:rsidRDefault="00A956BD" w:rsidP="008423E0">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c>
          <w:tcPr>
            <w:tcW w:w="1403" w:type="pct"/>
            <w:vMerge w:val="restart"/>
            <w:shd w:val="clear" w:color="auto" w:fill="auto"/>
            <w:noWrap/>
            <w:vAlign w:val="center"/>
            <w:hideMark/>
          </w:tcPr>
          <w:p w14:paraId="75274CCA" w14:textId="6885169E" w:rsidR="00A956BD" w:rsidRPr="00704DEA" w:rsidRDefault="00A956BD" w:rsidP="00A956BD">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Management Information</w:t>
            </w:r>
          </w:p>
        </w:tc>
        <w:tc>
          <w:tcPr>
            <w:tcW w:w="508" w:type="pct"/>
            <w:shd w:val="clear" w:color="auto" w:fill="auto"/>
            <w:noWrap/>
            <w:vAlign w:val="center"/>
            <w:hideMark/>
          </w:tcPr>
          <w:p w14:paraId="7FB9CD94" w14:textId="77777777" w:rsidR="00A956BD" w:rsidRPr="00704DEA" w:rsidRDefault="00A956BD" w:rsidP="00524626">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r>
      <w:tr w:rsidR="00A956BD" w:rsidRPr="00C22B03" w14:paraId="1CB29D9E" w14:textId="77777777" w:rsidTr="00A956BD">
        <w:trPr>
          <w:trHeight w:val="580"/>
        </w:trPr>
        <w:tc>
          <w:tcPr>
            <w:tcW w:w="2176" w:type="pct"/>
            <w:shd w:val="clear" w:color="auto" w:fill="auto"/>
            <w:vAlign w:val="center"/>
            <w:hideMark/>
          </w:tcPr>
          <w:p w14:paraId="1586A500" w14:textId="77777777" w:rsidR="00A956BD" w:rsidRPr="00704DEA" w:rsidRDefault="00A956BD" w:rsidP="008423E0">
            <w:pPr>
              <w:jc w:val="left"/>
              <w:rPr>
                <w:rFonts w:eastAsia="Times New Roman" w:cstheme="minorHAnsi"/>
                <w:color w:val="000000"/>
                <w:sz w:val="20"/>
                <w:szCs w:val="20"/>
                <w:lang w:eastAsia="en-GB"/>
              </w:rPr>
            </w:pPr>
            <w:r w:rsidRPr="00704DEA">
              <w:rPr>
                <w:rFonts w:eastAsia="Times New Roman" w:cstheme="minorHAnsi"/>
                <w:color w:val="000000"/>
                <w:sz w:val="20"/>
                <w:szCs w:val="20"/>
                <w:lang w:eastAsia="en-GB"/>
              </w:rPr>
              <w:t xml:space="preserve">Number of community projects/advocacy campaigns executed by young people in target countries. </w:t>
            </w:r>
          </w:p>
        </w:tc>
        <w:tc>
          <w:tcPr>
            <w:tcW w:w="914" w:type="pct"/>
            <w:shd w:val="clear" w:color="auto" w:fill="auto"/>
            <w:vAlign w:val="center"/>
            <w:hideMark/>
          </w:tcPr>
          <w:p w14:paraId="6974C06C" w14:textId="77777777" w:rsidR="00A956BD" w:rsidRPr="00704DEA" w:rsidRDefault="00A956BD" w:rsidP="008423E0">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c>
          <w:tcPr>
            <w:tcW w:w="1403" w:type="pct"/>
            <w:vMerge/>
            <w:shd w:val="clear" w:color="auto" w:fill="auto"/>
            <w:noWrap/>
            <w:vAlign w:val="center"/>
            <w:hideMark/>
          </w:tcPr>
          <w:p w14:paraId="3F06DDC1" w14:textId="77ACFFA6" w:rsidR="00A956BD" w:rsidRPr="00704DEA" w:rsidRDefault="00A956BD" w:rsidP="00524626">
            <w:pPr>
              <w:jc w:val="center"/>
              <w:rPr>
                <w:rFonts w:eastAsia="Times New Roman" w:cstheme="minorHAnsi"/>
                <w:color w:val="000000"/>
                <w:sz w:val="20"/>
                <w:szCs w:val="20"/>
                <w:lang w:eastAsia="en-GB"/>
              </w:rPr>
            </w:pPr>
          </w:p>
        </w:tc>
        <w:tc>
          <w:tcPr>
            <w:tcW w:w="508" w:type="pct"/>
            <w:shd w:val="clear" w:color="auto" w:fill="auto"/>
            <w:noWrap/>
            <w:vAlign w:val="center"/>
            <w:hideMark/>
          </w:tcPr>
          <w:p w14:paraId="05760BE2" w14:textId="77777777" w:rsidR="00A956BD" w:rsidRPr="00704DEA" w:rsidRDefault="00A956BD" w:rsidP="00524626">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r>
      <w:tr w:rsidR="00A956BD" w:rsidRPr="00C22B03" w14:paraId="1EF1F7BE" w14:textId="77777777" w:rsidTr="00A956BD">
        <w:trPr>
          <w:trHeight w:val="290"/>
        </w:trPr>
        <w:tc>
          <w:tcPr>
            <w:tcW w:w="2176" w:type="pct"/>
            <w:shd w:val="clear" w:color="auto" w:fill="auto"/>
            <w:vAlign w:val="center"/>
            <w:hideMark/>
          </w:tcPr>
          <w:p w14:paraId="0B5578F0" w14:textId="77777777" w:rsidR="00A956BD" w:rsidRPr="00704DEA" w:rsidRDefault="00A956BD" w:rsidP="008423E0">
            <w:pPr>
              <w:jc w:val="left"/>
              <w:rPr>
                <w:rFonts w:eastAsia="Times New Roman" w:cstheme="minorHAnsi"/>
                <w:color w:val="000000"/>
                <w:sz w:val="20"/>
                <w:szCs w:val="20"/>
                <w:lang w:eastAsia="en-GB"/>
              </w:rPr>
            </w:pPr>
            <w:r w:rsidRPr="00704DEA">
              <w:rPr>
                <w:rFonts w:eastAsia="Times New Roman" w:cstheme="minorHAnsi"/>
                <w:color w:val="000000"/>
                <w:sz w:val="20"/>
                <w:szCs w:val="20"/>
                <w:lang w:eastAsia="en-GB"/>
              </w:rPr>
              <w:t>Roundtable discussion with youth and policymakers organised</w:t>
            </w:r>
          </w:p>
        </w:tc>
        <w:tc>
          <w:tcPr>
            <w:tcW w:w="914" w:type="pct"/>
            <w:shd w:val="clear" w:color="auto" w:fill="auto"/>
            <w:vAlign w:val="center"/>
            <w:hideMark/>
          </w:tcPr>
          <w:p w14:paraId="690D4E0D" w14:textId="77777777" w:rsidR="00A956BD" w:rsidRPr="00704DEA" w:rsidRDefault="00A956BD" w:rsidP="008423E0">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 xml:space="preserve">Q4 2023 </w:t>
            </w:r>
          </w:p>
        </w:tc>
        <w:tc>
          <w:tcPr>
            <w:tcW w:w="1403" w:type="pct"/>
            <w:vMerge/>
            <w:shd w:val="clear" w:color="auto" w:fill="auto"/>
            <w:noWrap/>
            <w:vAlign w:val="center"/>
            <w:hideMark/>
          </w:tcPr>
          <w:p w14:paraId="3E7831C6" w14:textId="07C96F6E" w:rsidR="00A956BD" w:rsidRPr="00704DEA" w:rsidRDefault="00A956BD" w:rsidP="00524626">
            <w:pPr>
              <w:jc w:val="center"/>
              <w:rPr>
                <w:rFonts w:eastAsia="Times New Roman" w:cstheme="minorHAnsi"/>
                <w:color w:val="000000"/>
                <w:sz w:val="20"/>
                <w:szCs w:val="20"/>
                <w:lang w:eastAsia="en-GB"/>
              </w:rPr>
            </w:pPr>
          </w:p>
        </w:tc>
        <w:tc>
          <w:tcPr>
            <w:tcW w:w="508" w:type="pct"/>
            <w:shd w:val="clear" w:color="auto" w:fill="auto"/>
            <w:noWrap/>
            <w:vAlign w:val="center"/>
            <w:hideMark/>
          </w:tcPr>
          <w:p w14:paraId="241A45BC" w14:textId="77777777" w:rsidR="00A956BD" w:rsidRPr="00704DEA" w:rsidRDefault="00A956BD" w:rsidP="00524626">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r>
      <w:tr w:rsidR="00A956BD" w:rsidRPr="00C22B03" w14:paraId="69E3929B" w14:textId="77777777" w:rsidTr="00A956BD">
        <w:trPr>
          <w:trHeight w:val="580"/>
        </w:trPr>
        <w:tc>
          <w:tcPr>
            <w:tcW w:w="2176" w:type="pct"/>
            <w:shd w:val="clear" w:color="auto" w:fill="auto"/>
            <w:vAlign w:val="center"/>
            <w:hideMark/>
          </w:tcPr>
          <w:p w14:paraId="43BA0193" w14:textId="77777777" w:rsidR="00A956BD" w:rsidRPr="00704DEA" w:rsidRDefault="00A956BD" w:rsidP="008423E0">
            <w:pPr>
              <w:jc w:val="left"/>
              <w:rPr>
                <w:rFonts w:eastAsia="Times New Roman" w:cstheme="minorHAnsi"/>
                <w:color w:val="000000"/>
                <w:sz w:val="20"/>
                <w:szCs w:val="20"/>
                <w:lang w:eastAsia="en-GB"/>
              </w:rPr>
            </w:pPr>
            <w:r w:rsidRPr="00704DEA">
              <w:rPr>
                <w:rFonts w:eastAsia="Times New Roman" w:cstheme="minorHAnsi"/>
                <w:color w:val="000000"/>
                <w:sz w:val="20"/>
                <w:szCs w:val="20"/>
                <w:lang w:eastAsia="en-GB"/>
              </w:rPr>
              <w:t xml:space="preserve">Number of stakeholder discussions among youth and key governments facilitated. </w:t>
            </w:r>
          </w:p>
        </w:tc>
        <w:tc>
          <w:tcPr>
            <w:tcW w:w="914" w:type="pct"/>
            <w:shd w:val="clear" w:color="auto" w:fill="auto"/>
            <w:vAlign w:val="center"/>
            <w:hideMark/>
          </w:tcPr>
          <w:p w14:paraId="51DB3E2A" w14:textId="77777777" w:rsidR="00A956BD" w:rsidRPr="00704DEA" w:rsidRDefault="00A956BD" w:rsidP="008423E0">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c>
          <w:tcPr>
            <w:tcW w:w="1403" w:type="pct"/>
            <w:vMerge w:val="restart"/>
            <w:shd w:val="clear" w:color="auto" w:fill="auto"/>
            <w:noWrap/>
            <w:vAlign w:val="center"/>
            <w:hideMark/>
          </w:tcPr>
          <w:p w14:paraId="62ECC253" w14:textId="383515B3" w:rsidR="00A956BD" w:rsidRPr="00704DEA" w:rsidRDefault="00A956BD" w:rsidP="00A956BD">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Management Information</w:t>
            </w:r>
          </w:p>
        </w:tc>
        <w:tc>
          <w:tcPr>
            <w:tcW w:w="508" w:type="pct"/>
            <w:shd w:val="clear" w:color="auto" w:fill="auto"/>
            <w:noWrap/>
            <w:vAlign w:val="center"/>
            <w:hideMark/>
          </w:tcPr>
          <w:p w14:paraId="2FE7C7AA" w14:textId="77777777" w:rsidR="00A956BD" w:rsidRPr="00704DEA" w:rsidRDefault="00A956BD" w:rsidP="00524626">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r>
      <w:tr w:rsidR="00A956BD" w:rsidRPr="00C22B03" w14:paraId="72A2539E" w14:textId="77777777" w:rsidTr="00A956BD">
        <w:trPr>
          <w:trHeight w:val="580"/>
        </w:trPr>
        <w:tc>
          <w:tcPr>
            <w:tcW w:w="2176" w:type="pct"/>
            <w:shd w:val="clear" w:color="auto" w:fill="auto"/>
            <w:vAlign w:val="center"/>
            <w:hideMark/>
          </w:tcPr>
          <w:p w14:paraId="5A7C39F2" w14:textId="77777777" w:rsidR="00A956BD" w:rsidRPr="00704DEA" w:rsidRDefault="00A956BD" w:rsidP="008423E0">
            <w:pPr>
              <w:jc w:val="left"/>
              <w:rPr>
                <w:rFonts w:eastAsia="Times New Roman" w:cstheme="minorHAnsi"/>
                <w:color w:val="000000"/>
                <w:sz w:val="20"/>
                <w:szCs w:val="20"/>
                <w:lang w:eastAsia="en-GB"/>
              </w:rPr>
            </w:pPr>
            <w:r w:rsidRPr="00704DEA">
              <w:rPr>
                <w:rFonts w:eastAsia="Times New Roman" w:cstheme="minorHAnsi"/>
                <w:color w:val="000000"/>
                <w:sz w:val="20"/>
                <w:szCs w:val="20"/>
                <w:lang w:eastAsia="en-GB"/>
              </w:rPr>
              <w:t xml:space="preserve">Number of success stories on the programme shared through communication channels. </w:t>
            </w:r>
          </w:p>
        </w:tc>
        <w:tc>
          <w:tcPr>
            <w:tcW w:w="914" w:type="pct"/>
            <w:shd w:val="clear" w:color="auto" w:fill="auto"/>
            <w:vAlign w:val="center"/>
            <w:hideMark/>
          </w:tcPr>
          <w:p w14:paraId="6AC7D97F" w14:textId="77777777" w:rsidR="00A956BD" w:rsidRPr="00704DEA" w:rsidRDefault="00A956BD" w:rsidP="008423E0">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c>
          <w:tcPr>
            <w:tcW w:w="1403" w:type="pct"/>
            <w:vMerge/>
            <w:shd w:val="clear" w:color="auto" w:fill="auto"/>
            <w:noWrap/>
            <w:vAlign w:val="center"/>
            <w:hideMark/>
          </w:tcPr>
          <w:p w14:paraId="0FEFBC26" w14:textId="04BF262C" w:rsidR="00A956BD" w:rsidRPr="00704DEA" w:rsidRDefault="00A956BD" w:rsidP="00524626">
            <w:pPr>
              <w:jc w:val="center"/>
              <w:rPr>
                <w:rFonts w:eastAsia="Times New Roman" w:cstheme="minorHAnsi"/>
                <w:color w:val="000000"/>
                <w:sz w:val="20"/>
                <w:szCs w:val="20"/>
                <w:lang w:eastAsia="en-GB"/>
              </w:rPr>
            </w:pPr>
          </w:p>
        </w:tc>
        <w:tc>
          <w:tcPr>
            <w:tcW w:w="508" w:type="pct"/>
            <w:shd w:val="clear" w:color="auto" w:fill="auto"/>
            <w:noWrap/>
            <w:vAlign w:val="center"/>
            <w:hideMark/>
          </w:tcPr>
          <w:p w14:paraId="7B11BD91" w14:textId="77777777" w:rsidR="00A956BD" w:rsidRPr="00704DEA" w:rsidRDefault="00A956BD" w:rsidP="00524626">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r>
      <w:tr w:rsidR="00A956BD" w:rsidRPr="00C22B03" w14:paraId="74D8F08C" w14:textId="77777777" w:rsidTr="00A956BD">
        <w:trPr>
          <w:trHeight w:val="522"/>
        </w:trPr>
        <w:tc>
          <w:tcPr>
            <w:tcW w:w="2176" w:type="pct"/>
            <w:shd w:val="clear" w:color="auto" w:fill="auto"/>
            <w:vAlign w:val="center"/>
            <w:hideMark/>
          </w:tcPr>
          <w:p w14:paraId="586EBC9F" w14:textId="77777777" w:rsidR="00A956BD" w:rsidRPr="00704DEA" w:rsidRDefault="00A956BD" w:rsidP="008423E0">
            <w:pPr>
              <w:jc w:val="left"/>
              <w:rPr>
                <w:rFonts w:eastAsia="Times New Roman" w:cstheme="minorHAnsi"/>
                <w:color w:val="000000"/>
                <w:sz w:val="20"/>
                <w:szCs w:val="20"/>
                <w:lang w:eastAsia="en-GB"/>
              </w:rPr>
            </w:pPr>
            <w:r w:rsidRPr="00704DEA">
              <w:rPr>
                <w:rFonts w:eastAsia="Times New Roman" w:cstheme="minorHAnsi"/>
                <w:color w:val="000000"/>
                <w:sz w:val="20"/>
                <w:szCs w:val="20"/>
                <w:lang w:eastAsia="en-GB"/>
              </w:rPr>
              <w:lastRenderedPageBreak/>
              <w:t>Number of schools/ universities/clubs utilising the Tide Turners curricula</w:t>
            </w:r>
          </w:p>
        </w:tc>
        <w:tc>
          <w:tcPr>
            <w:tcW w:w="914" w:type="pct"/>
            <w:shd w:val="clear" w:color="auto" w:fill="auto"/>
            <w:vAlign w:val="center"/>
            <w:hideMark/>
          </w:tcPr>
          <w:p w14:paraId="2B471314" w14:textId="77777777" w:rsidR="00A956BD" w:rsidRPr="00704DEA" w:rsidRDefault="00A956BD" w:rsidP="008423E0">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c>
          <w:tcPr>
            <w:tcW w:w="1403" w:type="pct"/>
            <w:vMerge/>
            <w:shd w:val="clear" w:color="auto" w:fill="auto"/>
            <w:noWrap/>
            <w:vAlign w:val="center"/>
            <w:hideMark/>
          </w:tcPr>
          <w:p w14:paraId="60B3AEA5" w14:textId="28005775" w:rsidR="00A956BD" w:rsidRPr="00704DEA" w:rsidRDefault="00A956BD" w:rsidP="00524626">
            <w:pPr>
              <w:jc w:val="center"/>
              <w:rPr>
                <w:rFonts w:eastAsia="Times New Roman" w:cstheme="minorHAnsi"/>
                <w:color w:val="000000"/>
                <w:sz w:val="20"/>
                <w:szCs w:val="20"/>
                <w:lang w:eastAsia="en-GB"/>
              </w:rPr>
            </w:pPr>
          </w:p>
        </w:tc>
        <w:tc>
          <w:tcPr>
            <w:tcW w:w="508" w:type="pct"/>
            <w:shd w:val="clear" w:color="auto" w:fill="auto"/>
            <w:noWrap/>
            <w:vAlign w:val="center"/>
            <w:hideMark/>
          </w:tcPr>
          <w:p w14:paraId="683FDB9C" w14:textId="77777777" w:rsidR="00A956BD" w:rsidRPr="00704DEA" w:rsidRDefault="00A956BD" w:rsidP="00524626">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r>
      <w:tr w:rsidR="00524626" w:rsidRPr="00C22B03" w14:paraId="63E140EF" w14:textId="77777777" w:rsidTr="00A956BD">
        <w:trPr>
          <w:trHeight w:val="290"/>
        </w:trPr>
        <w:tc>
          <w:tcPr>
            <w:tcW w:w="3090" w:type="pct"/>
            <w:gridSpan w:val="2"/>
            <w:shd w:val="clear" w:color="000000" w:fill="808080"/>
            <w:noWrap/>
            <w:vAlign w:val="center"/>
            <w:hideMark/>
          </w:tcPr>
          <w:p w14:paraId="419114E2" w14:textId="77777777" w:rsidR="00524626" w:rsidRPr="00704DEA" w:rsidRDefault="00524626" w:rsidP="008423E0">
            <w:pPr>
              <w:jc w:val="left"/>
              <w:rPr>
                <w:rFonts w:eastAsia="Times New Roman" w:cstheme="minorHAnsi"/>
                <w:b/>
                <w:color w:val="FFFFFF"/>
                <w:sz w:val="20"/>
                <w:szCs w:val="20"/>
                <w:lang w:eastAsia="en-GB"/>
              </w:rPr>
            </w:pPr>
            <w:r w:rsidRPr="00704DEA">
              <w:rPr>
                <w:rFonts w:eastAsia="Times New Roman" w:cstheme="minorHAnsi"/>
                <w:b/>
                <w:color w:val="FFFFFF"/>
                <w:sz w:val="20"/>
                <w:szCs w:val="20"/>
                <w:lang w:eastAsia="en-GB"/>
              </w:rPr>
              <w:t>Direct/ Short term Outcome: Youth organisations deliver training for young people in target countries</w:t>
            </w:r>
          </w:p>
        </w:tc>
        <w:tc>
          <w:tcPr>
            <w:tcW w:w="1403" w:type="pct"/>
            <w:shd w:val="clear" w:color="000000" w:fill="808080"/>
            <w:noWrap/>
            <w:vAlign w:val="center"/>
            <w:hideMark/>
          </w:tcPr>
          <w:p w14:paraId="75DAFCD6" w14:textId="3E5146FD" w:rsidR="00524626" w:rsidRPr="00704DEA" w:rsidRDefault="00524626" w:rsidP="00524626">
            <w:pPr>
              <w:jc w:val="center"/>
              <w:rPr>
                <w:rFonts w:eastAsia="Times New Roman" w:cstheme="minorHAnsi"/>
                <w:color w:val="FFFFFF"/>
                <w:sz w:val="20"/>
                <w:szCs w:val="20"/>
                <w:lang w:eastAsia="en-GB"/>
              </w:rPr>
            </w:pPr>
          </w:p>
        </w:tc>
        <w:tc>
          <w:tcPr>
            <w:tcW w:w="508" w:type="pct"/>
            <w:shd w:val="clear" w:color="000000" w:fill="808080"/>
            <w:noWrap/>
            <w:vAlign w:val="center"/>
            <w:hideMark/>
          </w:tcPr>
          <w:p w14:paraId="6D229CAB" w14:textId="64087414" w:rsidR="00524626" w:rsidRPr="00704DEA" w:rsidRDefault="00524626" w:rsidP="00524626">
            <w:pPr>
              <w:jc w:val="center"/>
              <w:rPr>
                <w:rFonts w:eastAsia="Times New Roman" w:cstheme="minorHAnsi"/>
                <w:color w:val="FFFFFF"/>
                <w:sz w:val="20"/>
                <w:szCs w:val="20"/>
                <w:lang w:eastAsia="en-GB"/>
              </w:rPr>
            </w:pPr>
          </w:p>
        </w:tc>
      </w:tr>
      <w:tr w:rsidR="00A956BD" w:rsidRPr="00C22B03" w14:paraId="464FAF6F" w14:textId="77777777" w:rsidTr="00A956BD">
        <w:trPr>
          <w:trHeight w:val="290"/>
        </w:trPr>
        <w:tc>
          <w:tcPr>
            <w:tcW w:w="2176" w:type="pct"/>
            <w:shd w:val="clear" w:color="auto" w:fill="auto"/>
            <w:vAlign w:val="center"/>
            <w:hideMark/>
          </w:tcPr>
          <w:p w14:paraId="5384F18E" w14:textId="77777777" w:rsidR="00A956BD" w:rsidRPr="00704DEA" w:rsidRDefault="00A956BD" w:rsidP="008423E0">
            <w:pPr>
              <w:jc w:val="left"/>
              <w:rPr>
                <w:rFonts w:eastAsia="Times New Roman" w:cstheme="minorHAnsi"/>
                <w:color w:val="000000"/>
                <w:sz w:val="20"/>
                <w:szCs w:val="20"/>
                <w:lang w:eastAsia="en-GB"/>
              </w:rPr>
            </w:pPr>
            <w:r w:rsidRPr="00704DEA">
              <w:rPr>
                <w:rFonts w:eastAsia="Times New Roman" w:cstheme="minorHAnsi"/>
                <w:color w:val="000000"/>
                <w:sz w:val="20"/>
                <w:szCs w:val="20"/>
                <w:lang w:eastAsia="en-GB"/>
              </w:rPr>
              <w:t xml:space="preserve">Tide Turners App developed and launched by Q4 2022 </w:t>
            </w:r>
          </w:p>
        </w:tc>
        <w:tc>
          <w:tcPr>
            <w:tcW w:w="914" w:type="pct"/>
            <w:shd w:val="clear" w:color="auto" w:fill="auto"/>
            <w:vAlign w:val="center"/>
            <w:hideMark/>
          </w:tcPr>
          <w:p w14:paraId="2E33C188" w14:textId="77777777" w:rsidR="00A956BD" w:rsidRPr="00704DEA" w:rsidRDefault="00A956BD" w:rsidP="008423E0">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Q4 2022</w:t>
            </w:r>
          </w:p>
        </w:tc>
        <w:tc>
          <w:tcPr>
            <w:tcW w:w="1403" w:type="pct"/>
            <w:vMerge w:val="restart"/>
            <w:shd w:val="clear" w:color="auto" w:fill="auto"/>
            <w:noWrap/>
            <w:vAlign w:val="center"/>
            <w:hideMark/>
          </w:tcPr>
          <w:p w14:paraId="12945C4B" w14:textId="590D36E3" w:rsidR="00A956BD" w:rsidRPr="00704DEA" w:rsidRDefault="00A956BD" w:rsidP="00A956BD">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Management Information</w:t>
            </w:r>
          </w:p>
        </w:tc>
        <w:tc>
          <w:tcPr>
            <w:tcW w:w="508" w:type="pct"/>
            <w:shd w:val="clear" w:color="auto" w:fill="auto"/>
            <w:noWrap/>
            <w:vAlign w:val="center"/>
            <w:hideMark/>
          </w:tcPr>
          <w:p w14:paraId="60A57393" w14:textId="77777777" w:rsidR="00A956BD" w:rsidRPr="00704DEA" w:rsidRDefault="00A956BD" w:rsidP="00524626">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r>
      <w:tr w:rsidR="00A956BD" w:rsidRPr="00C22B03" w14:paraId="216E9F2F" w14:textId="77777777" w:rsidTr="00704DEA">
        <w:trPr>
          <w:trHeight w:val="422"/>
        </w:trPr>
        <w:tc>
          <w:tcPr>
            <w:tcW w:w="2176" w:type="pct"/>
            <w:shd w:val="clear" w:color="auto" w:fill="auto"/>
            <w:vAlign w:val="center"/>
            <w:hideMark/>
          </w:tcPr>
          <w:p w14:paraId="7A0A17C7" w14:textId="77777777" w:rsidR="00A956BD" w:rsidRPr="00704DEA" w:rsidRDefault="00A956BD" w:rsidP="008423E0">
            <w:pPr>
              <w:jc w:val="left"/>
              <w:rPr>
                <w:rFonts w:eastAsia="Times New Roman" w:cstheme="minorHAnsi"/>
                <w:color w:val="000000"/>
                <w:sz w:val="20"/>
                <w:szCs w:val="20"/>
                <w:lang w:eastAsia="en-GB"/>
              </w:rPr>
            </w:pPr>
            <w:r w:rsidRPr="00704DEA">
              <w:rPr>
                <w:rFonts w:eastAsia="Times New Roman" w:cstheme="minorHAnsi"/>
                <w:color w:val="000000"/>
                <w:sz w:val="20"/>
                <w:szCs w:val="20"/>
                <w:lang w:eastAsia="en-GB"/>
              </w:rPr>
              <w:t xml:space="preserve">Numbers of young people reached within the programme (Levels 1, 2, 3 and Advocacy Level).  </w:t>
            </w:r>
          </w:p>
        </w:tc>
        <w:tc>
          <w:tcPr>
            <w:tcW w:w="914" w:type="pct"/>
            <w:shd w:val="clear" w:color="auto" w:fill="auto"/>
            <w:vAlign w:val="center"/>
            <w:hideMark/>
          </w:tcPr>
          <w:p w14:paraId="703F210E" w14:textId="77777777" w:rsidR="00A956BD" w:rsidRPr="00704DEA" w:rsidRDefault="00A956BD" w:rsidP="008423E0">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20,000-125,000 young people reached (minimum of 50% girls/young women) by Q4 2024</w:t>
            </w:r>
          </w:p>
        </w:tc>
        <w:tc>
          <w:tcPr>
            <w:tcW w:w="1403" w:type="pct"/>
            <w:vMerge/>
            <w:shd w:val="clear" w:color="auto" w:fill="auto"/>
            <w:noWrap/>
            <w:vAlign w:val="center"/>
            <w:hideMark/>
          </w:tcPr>
          <w:p w14:paraId="40E4085A" w14:textId="4DA16AB3" w:rsidR="00A956BD" w:rsidRPr="00704DEA" w:rsidRDefault="00A956BD" w:rsidP="00524626">
            <w:pPr>
              <w:jc w:val="center"/>
              <w:rPr>
                <w:rFonts w:eastAsia="Times New Roman" w:cstheme="minorHAnsi"/>
                <w:color w:val="000000"/>
                <w:sz w:val="20"/>
                <w:szCs w:val="20"/>
                <w:lang w:eastAsia="en-GB"/>
              </w:rPr>
            </w:pPr>
          </w:p>
        </w:tc>
        <w:tc>
          <w:tcPr>
            <w:tcW w:w="508" w:type="pct"/>
            <w:shd w:val="clear" w:color="auto" w:fill="auto"/>
            <w:noWrap/>
            <w:vAlign w:val="center"/>
            <w:hideMark/>
          </w:tcPr>
          <w:p w14:paraId="07213EB0" w14:textId="77777777" w:rsidR="00A956BD" w:rsidRPr="00704DEA" w:rsidRDefault="00A956BD" w:rsidP="00524626">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r>
      <w:tr w:rsidR="00A956BD" w:rsidRPr="00C22B03" w14:paraId="003AD3CF" w14:textId="77777777" w:rsidTr="00A956BD">
        <w:trPr>
          <w:trHeight w:val="580"/>
        </w:trPr>
        <w:tc>
          <w:tcPr>
            <w:tcW w:w="2176" w:type="pct"/>
            <w:shd w:val="clear" w:color="auto" w:fill="auto"/>
            <w:vAlign w:val="center"/>
            <w:hideMark/>
          </w:tcPr>
          <w:p w14:paraId="2BDD9F39" w14:textId="77777777" w:rsidR="00A956BD" w:rsidRPr="00704DEA" w:rsidRDefault="00A956BD" w:rsidP="008423E0">
            <w:pPr>
              <w:jc w:val="left"/>
              <w:rPr>
                <w:rFonts w:eastAsia="Times New Roman" w:cstheme="minorHAnsi"/>
                <w:color w:val="000000"/>
                <w:sz w:val="20"/>
                <w:szCs w:val="20"/>
                <w:lang w:eastAsia="en-GB"/>
              </w:rPr>
            </w:pPr>
            <w:r w:rsidRPr="00704DEA">
              <w:rPr>
                <w:rFonts w:eastAsia="Times New Roman" w:cstheme="minorHAnsi"/>
                <w:color w:val="000000"/>
                <w:sz w:val="20"/>
                <w:szCs w:val="20"/>
                <w:lang w:eastAsia="en-GB"/>
              </w:rPr>
              <w:t xml:space="preserve">Numbers of young people reached within the programme (Levels 1, 2, 3 and Advocacy Level).  </w:t>
            </w:r>
          </w:p>
        </w:tc>
        <w:tc>
          <w:tcPr>
            <w:tcW w:w="914" w:type="pct"/>
            <w:shd w:val="clear" w:color="auto" w:fill="auto"/>
            <w:vAlign w:val="center"/>
            <w:hideMark/>
          </w:tcPr>
          <w:p w14:paraId="70321CAE" w14:textId="77777777" w:rsidR="00A956BD" w:rsidRPr="00704DEA" w:rsidRDefault="00A956BD" w:rsidP="008423E0">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 xml:space="preserve">30-700 Advocacy champions trained by Q4 2023 </w:t>
            </w:r>
          </w:p>
        </w:tc>
        <w:tc>
          <w:tcPr>
            <w:tcW w:w="1403" w:type="pct"/>
            <w:vMerge/>
            <w:shd w:val="clear" w:color="auto" w:fill="auto"/>
            <w:noWrap/>
            <w:vAlign w:val="center"/>
            <w:hideMark/>
          </w:tcPr>
          <w:p w14:paraId="4D832A48" w14:textId="1F1D8B06" w:rsidR="00A956BD" w:rsidRPr="00704DEA" w:rsidRDefault="00A956BD" w:rsidP="00524626">
            <w:pPr>
              <w:jc w:val="center"/>
              <w:rPr>
                <w:rFonts w:eastAsia="Times New Roman" w:cstheme="minorHAnsi"/>
                <w:color w:val="000000"/>
                <w:sz w:val="20"/>
                <w:szCs w:val="20"/>
                <w:lang w:eastAsia="en-GB"/>
              </w:rPr>
            </w:pPr>
          </w:p>
        </w:tc>
        <w:tc>
          <w:tcPr>
            <w:tcW w:w="508" w:type="pct"/>
            <w:shd w:val="clear" w:color="auto" w:fill="auto"/>
            <w:noWrap/>
            <w:vAlign w:val="center"/>
            <w:hideMark/>
          </w:tcPr>
          <w:p w14:paraId="3BF9FBBA" w14:textId="77777777" w:rsidR="00A956BD" w:rsidRPr="00704DEA" w:rsidRDefault="00A956BD" w:rsidP="00524626">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r>
      <w:tr w:rsidR="00A956BD" w:rsidRPr="00C22B03" w14:paraId="65E8A5D1" w14:textId="77777777" w:rsidTr="00A956BD">
        <w:trPr>
          <w:trHeight w:val="580"/>
        </w:trPr>
        <w:tc>
          <w:tcPr>
            <w:tcW w:w="2176" w:type="pct"/>
            <w:shd w:val="clear" w:color="auto" w:fill="auto"/>
            <w:vAlign w:val="center"/>
            <w:hideMark/>
          </w:tcPr>
          <w:p w14:paraId="6BDC5961" w14:textId="77777777" w:rsidR="00A956BD" w:rsidRPr="00704DEA" w:rsidRDefault="00A956BD" w:rsidP="008423E0">
            <w:pPr>
              <w:jc w:val="left"/>
              <w:rPr>
                <w:rFonts w:eastAsia="Times New Roman" w:cstheme="minorHAnsi"/>
                <w:color w:val="000000"/>
                <w:sz w:val="20"/>
                <w:szCs w:val="20"/>
                <w:lang w:eastAsia="en-GB"/>
              </w:rPr>
            </w:pPr>
            <w:r w:rsidRPr="00704DEA">
              <w:rPr>
                <w:rFonts w:eastAsia="Times New Roman" w:cstheme="minorHAnsi"/>
                <w:color w:val="000000"/>
                <w:sz w:val="20"/>
                <w:szCs w:val="20"/>
                <w:lang w:eastAsia="en-GB"/>
              </w:rPr>
              <w:t>Number of countries in which the programme is implemented.</w:t>
            </w:r>
          </w:p>
        </w:tc>
        <w:tc>
          <w:tcPr>
            <w:tcW w:w="914" w:type="pct"/>
            <w:shd w:val="clear" w:color="auto" w:fill="auto"/>
            <w:vAlign w:val="center"/>
            <w:hideMark/>
          </w:tcPr>
          <w:p w14:paraId="7F5DCC61" w14:textId="77777777" w:rsidR="00A956BD" w:rsidRPr="00704DEA" w:rsidRDefault="00A956BD" w:rsidP="008423E0">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Programme implemented in 10-25 countries by Q4 2023</w:t>
            </w:r>
          </w:p>
        </w:tc>
        <w:tc>
          <w:tcPr>
            <w:tcW w:w="1403" w:type="pct"/>
            <w:vMerge/>
            <w:shd w:val="clear" w:color="auto" w:fill="auto"/>
            <w:noWrap/>
            <w:vAlign w:val="center"/>
            <w:hideMark/>
          </w:tcPr>
          <w:p w14:paraId="4C76B447" w14:textId="3C6885A7" w:rsidR="00A956BD" w:rsidRPr="00704DEA" w:rsidRDefault="00A956BD" w:rsidP="00524626">
            <w:pPr>
              <w:jc w:val="center"/>
              <w:rPr>
                <w:rFonts w:eastAsia="Times New Roman" w:cstheme="minorHAnsi"/>
                <w:color w:val="000000"/>
                <w:sz w:val="20"/>
                <w:szCs w:val="20"/>
                <w:lang w:eastAsia="en-GB"/>
              </w:rPr>
            </w:pPr>
          </w:p>
        </w:tc>
        <w:tc>
          <w:tcPr>
            <w:tcW w:w="508" w:type="pct"/>
            <w:shd w:val="clear" w:color="auto" w:fill="auto"/>
            <w:noWrap/>
            <w:vAlign w:val="center"/>
            <w:hideMark/>
          </w:tcPr>
          <w:p w14:paraId="00EED832" w14:textId="77777777" w:rsidR="00A956BD" w:rsidRPr="00704DEA" w:rsidRDefault="00A956BD" w:rsidP="00524626">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r>
      <w:tr w:rsidR="00A956BD" w:rsidRPr="00C22B03" w14:paraId="100FCC72" w14:textId="77777777" w:rsidTr="00A956BD">
        <w:trPr>
          <w:trHeight w:val="290"/>
        </w:trPr>
        <w:tc>
          <w:tcPr>
            <w:tcW w:w="2176" w:type="pct"/>
            <w:shd w:val="clear" w:color="000000" w:fill="808080"/>
            <w:noWrap/>
            <w:vAlign w:val="center"/>
            <w:hideMark/>
          </w:tcPr>
          <w:p w14:paraId="292E30D9" w14:textId="77777777" w:rsidR="00524626" w:rsidRPr="00704DEA" w:rsidRDefault="00524626" w:rsidP="008423E0">
            <w:pPr>
              <w:jc w:val="left"/>
              <w:rPr>
                <w:rFonts w:eastAsia="Times New Roman" w:cstheme="minorHAnsi"/>
                <w:b/>
                <w:color w:val="FFFFFF"/>
                <w:sz w:val="20"/>
                <w:szCs w:val="20"/>
                <w:lang w:eastAsia="en-GB"/>
              </w:rPr>
            </w:pPr>
            <w:r w:rsidRPr="00704DEA">
              <w:rPr>
                <w:rFonts w:eastAsia="Times New Roman" w:cstheme="minorHAnsi"/>
                <w:b/>
                <w:color w:val="FFFFFF"/>
                <w:sz w:val="20"/>
                <w:szCs w:val="20"/>
                <w:lang w:eastAsia="en-GB"/>
              </w:rPr>
              <w:t>Outputs</w:t>
            </w:r>
          </w:p>
        </w:tc>
        <w:tc>
          <w:tcPr>
            <w:tcW w:w="914" w:type="pct"/>
            <w:shd w:val="clear" w:color="000000" w:fill="808080"/>
            <w:vAlign w:val="center"/>
            <w:hideMark/>
          </w:tcPr>
          <w:p w14:paraId="6C14C5AD" w14:textId="77777777" w:rsidR="00524626" w:rsidRPr="00704DEA" w:rsidRDefault="00524626" w:rsidP="008423E0">
            <w:pPr>
              <w:jc w:val="center"/>
              <w:rPr>
                <w:rFonts w:eastAsia="Times New Roman" w:cstheme="minorHAnsi"/>
                <w:color w:val="FFFFFF"/>
                <w:sz w:val="20"/>
                <w:szCs w:val="20"/>
                <w:lang w:eastAsia="en-GB"/>
              </w:rPr>
            </w:pPr>
            <w:r w:rsidRPr="00704DEA">
              <w:rPr>
                <w:rFonts w:eastAsia="Times New Roman" w:cstheme="minorHAnsi"/>
                <w:color w:val="FFFFFF"/>
                <w:sz w:val="20"/>
                <w:szCs w:val="20"/>
                <w:lang w:eastAsia="en-GB"/>
              </w:rPr>
              <w:t> </w:t>
            </w:r>
          </w:p>
        </w:tc>
        <w:tc>
          <w:tcPr>
            <w:tcW w:w="1403" w:type="pct"/>
            <w:shd w:val="clear" w:color="000000" w:fill="808080"/>
            <w:vAlign w:val="center"/>
            <w:hideMark/>
          </w:tcPr>
          <w:p w14:paraId="73F07DAC" w14:textId="4F1D3EDC" w:rsidR="00524626" w:rsidRPr="00704DEA" w:rsidRDefault="00524626" w:rsidP="00524626">
            <w:pPr>
              <w:jc w:val="center"/>
              <w:rPr>
                <w:rFonts w:eastAsia="Times New Roman" w:cstheme="minorHAnsi"/>
                <w:color w:val="FFFFFF"/>
                <w:sz w:val="20"/>
                <w:szCs w:val="20"/>
                <w:lang w:eastAsia="en-GB"/>
              </w:rPr>
            </w:pPr>
          </w:p>
        </w:tc>
        <w:tc>
          <w:tcPr>
            <w:tcW w:w="508" w:type="pct"/>
            <w:shd w:val="clear" w:color="000000" w:fill="808080"/>
            <w:vAlign w:val="center"/>
            <w:hideMark/>
          </w:tcPr>
          <w:p w14:paraId="6C122B30" w14:textId="335A0AE4" w:rsidR="00524626" w:rsidRPr="00704DEA" w:rsidRDefault="00524626" w:rsidP="00524626">
            <w:pPr>
              <w:jc w:val="center"/>
              <w:rPr>
                <w:rFonts w:eastAsia="Times New Roman" w:cstheme="minorHAnsi"/>
                <w:color w:val="FFFFFF"/>
                <w:sz w:val="20"/>
                <w:szCs w:val="20"/>
                <w:lang w:eastAsia="en-GB"/>
              </w:rPr>
            </w:pPr>
          </w:p>
        </w:tc>
      </w:tr>
      <w:tr w:rsidR="00A956BD" w:rsidRPr="00C22B03" w14:paraId="7CF2C170" w14:textId="77777777" w:rsidTr="00A956BD">
        <w:trPr>
          <w:trHeight w:val="580"/>
        </w:trPr>
        <w:tc>
          <w:tcPr>
            <w:tcW w:w="2176" w:type="pct"/>
            <w:shd w:val="clear" w:color="auto" w:fill="auto"/>
            <w:vAlign w:val="center"/>
            <w:hideMark/>
          </w:tcPr>
          <w:p w14:paraId="4922FC91" w14:textId="77777777" w:rsidR="00A956BD" w:rsidRPr="00704DEA" w:rsidRDefault="00A956BD" w:rsidP="008423E0">
            <w:pPr>
              <w:jc w:val="left"/>
              <w:rPr>
                <w:rFonts w:eastAsia="Times New Roman" w:cstheme="minorHAnsi"/>
                <w:color w:val="000000"/>
                <w:sz w:val="20"/>
                <w:szCs w:val="20"/>
                <w:lang w:eastAsia="en-GB"/>
              </w:rPr>
            </w:pPr>
            <w:r w:rsidRPr="00704DEA">
              <w:rPr>
                <w:rFonts w:eastAsia="Times New Roman" w:cstheme="minorHAnsi"/>
                <w:color w:val="000000"/>
                <w:sz w:val="20"/>
                <w:szCs w:val="20"/>
                <w:lang w:eastAsia="en-GB"/>
              </w:rPr>
              <w:t xml:space="preserve">Increased awareness of the Tide Turners programme among youth, youth organisations and governments. </w:t>
            </w:r>
          </w:p>
        </w:tc>
        <w:tc>
          <w:tcPr>
            <w:tcW w:w="914" w:type="pct"/>
            <w:shd w:val="clear" w:color="auto" w:fill="auto"/>
            <w:vAlign w:val="center"/>
            <w:hideMark/>
          </w:tcPr>
          <w:p w14:paraId="5E4027A2" w14:textId="77777777" w:rsidR="00A956BD" w:rsidRPr="00704DEA" w:rsidRDefault="00A956BD" w:rsidP="008423E0">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c>
          <w:tcPr>
            <w:tcW w:w="1403" w:type="pct"/>
            <w:vMerge w:val="restart"/>
            <w:shd w:val="clear" w:color="auto" w:fill="auto"/>
            <w:noWrap/>
            <w:vAlign w:val="center"/>
            <w:hideMark/>
          </w:tcPr>
          <w:p w14:paraId="5E3D4D56" w14:textId="719FC9E9" w:rsidR="00A956BD" w:rsidRPr="00704DEA" w:rsidRDefault="00A956BD" w:rsidP="00A956BD">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Method TBC – likely baseline/ endline surveys</w:t>
            </w:r>
          </w:p>
        </w:tc>
        <w:tc>
          <w:tcPr>
            <w:tcW w:w="508" w:type="pct"/>
            <w:shd w:val="clear" w:color="auto" w:fill="auto"/>
            <w:noWrap/>
            <w:vAlign w:val="center"/>
            <w:hideMark/>
          </w:tcPr>
          <w:p w14:paraId="70CCD420" w14:textId="77777777" w:rsidR="00A956BD" w:rsidRPr="00704DEA" w:rsidRDefault="00A956BD" w:rsidP="00524626">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r>
      <w:tr w:rsidR="00A956BD" w:rsidRPr="00C22B03" w14:paraId="2E1905CF" w14:textId="77777777" w:rsidTr="00A956BD">
        <w:trPr>
          <w:trHeight w:val="290"/>
        </w:trPr>
        <w:tc>
          <w:tcPr>
            <w:tcW w:w="2176" w:type="pct"/>
            <w:shd w:val="clear" w:color="auto" w:fill="auto"/>
            <w:vAlign w:val="center"/>
            <w:hideMark/>
          </w:tcPr>
          <w:p w14:paraId="07F3E299" w14:textId="77777777" w:rsidR="00A956BD" w:rsidRPr="00704DEA" w:rsidRDefault="00A956BD" w:rsidP="00A956BD">
            <w:pPr>
              <w:jc w:val="left"/>
              <w:rPr>
                <w:rFonts w:eastAsia="Times New Roman" w:cstheme="minorHAnsi"/>
                <w:color w:val="000000"/>
                <w:sz w:val="20"/>
                <w:szCs w:val="20"/>
                <w:lang w:eastAsia="en-GB"/>
              </w:rPr>
            </w:pPr>
            <w:r w:rsidRPr="00704DEA">
              <w:rPr>
                <w:rFonts w:eastAsia="Times New Roman" w:cstheme="minorHAnsi"/>
                <w:color w:val="000000"/>
                <w:sz w:val="20"/>
                <w:szCs w:val="20"/>
                <w:lang w:eastAsia="en-GB"/>
              </w:rPr>
              <w:t xml:space="preserve">Increased capabilities among youth organisations to conduct training. </w:t>
            </w:r>
          </w:p>
        </w:tc>
        <w:tc>
          <w:tcPr>
            <w:tcW w:w="914" w:type="pct"/>
            <w:shd w:val="clear" w:color="auto" w:fill="auto"/>
            <w:vAlign w:val="center"/>
            <w:hideMark/>
          </w:tcPr>
          <w:p w14:paraId="3248B344" w14:textId="77777777" w:rsidR="00A956BD" w:rsidRPr="00704DEA" w:rsidRDefault="00A956BD" w:rsidP="00A956BD">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c>
          <w:tcPr>
            <w:tcW w:w="1403" w:type="pct"/>
            <w:vMerge/>
            <w:shd w:val="clear" w:color="auto" w:fill="auto"/>
            <w:noWrap/>
            <w:hideMark/>
          </w:tcPr>
          <w:p w14:paraId="2A120D93" w14:textId="030FF941" w:rsidR="00A956BD" w:rsidRPr="00704DEA" w:rsidRDefault="00A956BD" w:rsidP="00A956BD">
            <w:pPr>
              <w:jc w:val="center"/>
              <w:rPr>
                <w:rFonts w:eastAsia="Times New Roman" w:cstheme="minorHAnsi"/>
                <w:color w:val="000000"/>
                <w:sz w:val="20"/>
                <w:szCs w:val="20"/>
                <w:lang w:eastAsia="en-GB"/>
              </w:rPr>
            </w:pPr>
          </w:p>
        </w:tc>
        <w:tc>
          <w:tcPr>
            <w:tcW w:w="508" w:type="pct"/>
            <w:shd w:val="clear" w:color="auto" w:fill="auto"/>
            <w:noWrap/>
            <w:vAlign w:val="center"/>
            <w:hideMark/>
          </w:tcPr>
          <w:p w14:paraId="119F7A06" w14:textId="77777777" w:rsidR="00A956BD" w:rsidRPr="00704DEA" w:rsidRDefault="00A956BD" w:rsidP="00A956BD">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r>
      <w:tr w:rsidR="00A956BD" w:rsidRPr="00C22B03" w14:paraId="5F16B5E2" w14:textId="77777777" w:rsidTr="00A956BD">
        <w:trPr>
          <w:trHeight w:val="580"/>
        </w:trPr>
        <w:tc>
          <w:tcPr>
            <w:tcW w:w="2176" w:type="pct"/>
            <w:shd w:val="clear" w:color="auto" w:fill="auto"/>
            <w:vAlign w:val="center"/>
            <w:hideMark/>
          </w:tcPr>
          <w:p w14:paraId="11009092" w14:textId="77777777" w:rsidR="00A956BD" w:rsidRPr="00704DEA" w:rsidRDefault="00A956BD" w:rsidP="00A956BD">
            <w:pPr>
              <w:jc w:val="left"/>
              <w:rPr>
                <w:rFonts w:eastAsia="Times New Roman" w:cstheme="minorHAnsi"/>
                <w:color w:val="000000"/>
                <w:sz w:val="20"/>
                <w:szCs w:val="20"/>
                <w:lang w:eastAsia="en-GB"/>
              </w:rPr>
            </w:pPr>
            <w:r w:rsidRPr="00704DEA">
              <w:rPr>
                <w:rFonts w:eastAsia="Times New Roman" w:cstheme="minorHAnsi"/>
                <w:color w:val="000000"/>
                <w:sz w:val="20"/>
                <w:szCs w:val="20"/>
                <w:lang w:eastAsia="en-GB"/>
              </w:rPr>
              <w:t xml:space="preserve">Increased technical capabilities among youth organisations to reach beneficiaries. </w:t>
            </w:r>
          </w:p>
        </w:tc>
        <w:tc>
          <w:tcPr>
            <w:tcW w:w="914" w:type="pct"/>
            <w:shd w:val="clear" w:color="auto" w:fill="auto"/>
            <w:vAlign w:val="center"/>
            <w:hideMark/>
          </w:tcPr>
          <w:p w14:paraId="5DB6F79F" w14:textId="77777777" w:rsidR="00A956BD" w:rsidRPr="00704DEA" w:rsidRDefault="00A956BD" w:rsidP="00A956BD">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c>
          <w:tcPr>
            <w:tcW w:w="1403" w:type="pct"/>
            <w:vMerge/>
            <w:shd w:val="clear" w:color="auto" w:fill="auto"/>
            <w:noWrap/>
            <w:hideMark/>
          </w:tcPr>
          <w:p w14:paraId="4F466CA5" w14:textId="55934F9B" w:rsidR="00A956BD" w:rsidRPr="00704DEA" w:rsidRDefault="00A956BD" w:rsidP="00A956BD">
            <w:pPr>
              <w:jc w:val="center"/>
              <w:rPr>
                <w:rFonts w:eastAsia="Times New Roman" w:cstheme="minorHAnsi"/>
                <w:color w:val="000000"/>
                <w:sz w:val="20"/>
                <w:szCs w:val="20"/>
                <w:lang w:eastAsia="en-GB"/>
              </w:rPr>
            </w:pPr>
          </w:p>
        </w:tc>
        <w:tc>
          <w:tcPr>
            <w:tcW w:w="508" w:type="pct"/>
            <w:shd w:val="clear" w:color="auto" w:fill="auto"/>
            <w:noWrap/>
            <w:vAlign w:val="center"/>
            <w:hideMark/>
          </w:tcPr>
          <w:p w14:paraId="5BC2E6A2" w14:textId="77777777" w:rsidR="00A956BD" w:rsidRPr="00704DEA" w:rsidRDefault="00A956BD" w:rsidP="00A956BD">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r>
      <w:tr w:rsidR="00A956BD" w:rsidRPr="00C22B03" w14:paraId="614CC1F6" w14:textId="77777777" w:rsidTr="00A956BD">
        <w:trPr>
          <w:trHeight w:val="580"/>
        </w:trPr>
        <w:tc>
          <w:tcPr>
            <w:tcW w:w="2176" w:type="pct"/>
            <w:shd w:val="clear" w:color="auto" w:fill="auto"/>
            <w:vAlign w:val="center"/>
            <w:hideMark/>
          </w:tcPr>
          <w:p w14:paraId="054C8190" w14:textId="77777777" w:rsidR="00A956BD" w:rsidRPr="00704DEA" w:rsidRDefault="00A956BD" w:rsidP="00A956BD">
            <w:pPr>
              <w:jc w:val="left"/>
              <w:rPr>
                <w:rFonts w:eastAsia="Times New Roman" w:cstheme="minorHAnsi"/>
                <w:color w:val="000000"/>
                <w:sz w:val="20"/>
                <w:szCs w:val="20"/>
                <w:lang w:eastAsia="en-GB"/>
              </w:rPr>
            </w:pPr>
            <w:r w:rsidRPr="00704DEA">
              <w:rPr>
                <w:rFonts w:eastAsia="Times New Roman" w:cstheme="minorHAnsi"/>
                <w:color w:val="000000"/>
                <w:sz w:val="20"/>
                <w:szCs w:val="20"/>
                <w:lang w:eastAsia="en-GB"/>
              </w:rPr>
              <w:t xml:space="preserve">Increased knowledge among governments on how to meaningfully engage with young people through reports conducted. </w:t>
            </w:r>
          </w:p>
        </w:tc>
        <w:tc>
          <w:tcPr>
            <w:tcW w:w="914" w:type="pct"/>
            <w:shd w:val="clear" w:color="auto" w:fill="auto"/>
            <w:vAlign w:val="center"/>
            <w:hideMark/>
          </w:tcPr>
          <w:p w14:paraId="63131859" w14:textId="77777777" w:rsidR="00A956BD" w:rsidRPr="00704DEA" w:rsidRDefault="00A956BD" w:rsidP="00A956BD">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c>
          <w:tcPr>
            <w:tcW w:w="1403" w:type="pct"/>
            <w:vMerge/>
            <w:shd w:val="clear" w:color="auto" w:fill="auto"/>
            <w:noWrap/>
            <w:hideMark/>
          </w:tcPr>
          <w:p w14:paraId="6E9A0085" w14:textId="21183EF1" w:rsidR="00A956BD" w:rsidRPr="00704DEA" w:rsidRDefault="00A956BD" w:rsidP="00A956BD">
            <w:pPr>
              <w:jc w:val="center"/>
              <w:rPr>
                <w:rFonts w:eastAsia="Times New Roman" w:cstheme="minorHAnsi"/>
                <w:color w:val="000000"/>
                <w:sz w:val="20"/>
                <w:szCs w:val="20"/>
                <w:lang w:eastAsia="en-GB"/>
              </w:rPr>
            </w:pPr>
          </w:p>
        </w:tc>
        <w:tc>
          <w:tcPr>
            <w:tcW w:w="508" w:type="pct"/>
            <w:shd w:val="clear" w:color="auto" w:fill="auto"/>
            <w:noWrap/>
            <w:vAlign w:val="center"/>
            <w:hideMark/>
          </w:tcPr>
          <w:p w14:paraId="2512E7A1" w14:textId="77777777" w:rsidR="00A956BD" w:rsidRPr="00704DEA" w:rsidRDefault="00A956BD" w:rsidP="00A956BD">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r>
      <w:tr w:rsidR="00A956BD" w:rsidRPr="00C22B03" w14:paraId="208297EF" w14:textId="77777777" w:rsidTr="00A956BD">
        <w:trPr>
          <w:trHeight w:val="580"/>
        </w:trPr>
        <w:tc>
          <w:tcPr>
            <w:tcW w:w="2176" w:type="pct"/>
            <w:shd w:val="clear" w:color="auto" w:fill="auto"/>
            <w:vAlign w:val="center"/>
            <w:hideMark/>
          </w:tcPr>
          <w:p w14:paraId="58B9D63A" w14:textId="77777777" w:rsidR="00A956BD" w:rsidRPr="00704DEA" w:rsidRDefault="00A956BD" w:rsidP="00A956BD">
            <w:pPr>
              <w:jc w:val="left"/>
              <w:rPr>
                <w:rFonts w:eastAsia="Times New Roman" w:cstheme="minorHAnsi"/>
                <w:color w:val="000000"/>
                <w:sz w:val="20"/>
                <w:szCs w:val="20"/>
                <w:lang w:eastAsia="en-GB"/>
              </w:rPr>
            </w:pPr>
            <w:r w:rsidRPr="00704DEA">
              <w:rPr>
                <w:rFonts w:eastAsia="Times New Roman" w:cstheme="minorHAnsi"/>
                <w:color w:val="000000"/>
                <w:sz w:val="20"/>
                <w:szCs w:val="20"/>
                <w:lang w:eastAsia="en-GB"/>
              </w:rPr>
              <w:t xml:space="preserve">Increased knowledge among youth networks on how to meaningfully engage with the government and decision-making process. </w:t>
            </w:r>
          </w:p>
        </w:tc>
        <w:tc>
          <w:tcPr>
            <w:tcW w:w="914" w:type="pct"/>
            <w:shd w:val="clear" w:color="auto" w:fill="auto"/>
            <w:vAlign w:val="center"/>
            <w:hideMark/>
          </w:tcPr>
          <w:p w14:paraId="6C5C636E" w14:textId="77777777" w:rsidR="00A956BD" w:rsidRPr="00704DEA" w:rsidRDefault="00A956BD" w:rsidP="00A956BD">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c>
          <w:tcPr>
            <w:tcW w:w="1403" w:type="pct"/>
            <w:vMerge/>
            <w:shd w:val="clear" w:color="auto" w:fill="auto"/>
            <w:noWrap/>
            <w:hideMark/>
          </w:tcPr>
          <w:p w14:paraId="2F5F7689" w14:textId="2C692C3C" w:rsidR="00A956BD" w:rsidRPr="00704DEA" w:rsidRDefault="00A956BD" w:rsidP="00A956BD">
            <w:pPr>
              <w:jc w:val="center"/>
              <w:rPr>
                <w:rFonts w:eastAsia="Times New Roman" w:cstheme="minorHAnsi"/>
                <w:color w:val="000000"/>
                <w:sz w:val="20"/>
                <w:szCs w:val="20"/>
                <w:lang w:eastAsia="en-GB"/>
              </w:rPr>
            </w:pPr>
          </w:p>
        </w:tc>
        <w:tc>
          <w:tcPr>
            <w:tcW w:w="508" w:type="pct"/>
            <w:shd w:val="clear" w:color="auto" w:fill="auto"/>
            <w:noWrap/>
            <w:vAlign w:val="center"/>
            <w:hideMark/>
          </w:tcPr>
          <w:p w14:paraId="7C533E1B" w14:textId="77777777" w:rsidR="00A956BD" w:rsidRPr="00704DEA" w:rsidRDefault="00A956BD" w:rsidP="00A956BD">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r>
      <w:tr w:rsidR="00A956BD" w:rsidRPr="00C22B03" w14:paraId="3F51AA21" w14:textId="77777777" w:rsidTr="00A956BD">
        <w:trPr>
          <w:trHeight w:val="290"/>
        </w:trPr>
        <w:tc>
          <w:tcPr>
            <w:tcW w:w="2176" w:type="pct"/>
            <w:shd w:val="clear" w:color="auto" w:fill="auto"/>
            <w:vAlign w:val="center"/>
            <w:hideMark/>
          </w:tcPr>
          <w:p w14:paraId="4D0B64B2" w14:textId="77777777" w:rsidR="00524626" w:rsidRPr="00704DEA" w:rsidRDefault="00524626" w:rsidP="008423E0">
            <w:pPr>
              <w:jc w:val="left"/>
              <w:rPr>
                <w:rFonts w:eastAsia="Times New Roman" w:cstheme="minorHAnsi"/>
                <w:color w:val="000000"/>
                <w:sz w:val="20"/>
                <w:szCs w:val="20"/>
                <w:lang w:eastAsia="en-GB"/>
              </w:rPr>
            </w:pPr>
            <w:r w:rsidRPr="00704DEA">
              <w:rPr>
                <w:rFonts w:eastAsia="Times New Roman" w:cstheme="minorHAnsi"/>
                <w:color w:val="000000"/>
                <w:sz w:val="20"/>
                <w:szCs w:val="20"/>
                <w:lang w:eastAsia="en-GB"/>
              </w:rPr>
              <w:t xml:space="preserve">Increased interaction among the project beneficiaries. </w:t>
            </w:r>
          </w:p>
        </w:tc>
        <w:tc>
          <w:tcPr>
            <w:tcW w:w="914" w:type="pct"/>
            <w:shd w:val="clear" w:color="auto" w:fill="auto"/>
            <w:vAlign w:val="center"/>
            <w:hideMark/>
          </w:tcPr>
          <w:p w14:paraId="4922D555" w14:textId="77777777" w:rsidR="00524626" w:rsidRPr="00704DEA" w:rsidRDefault="00524626" w:rsidP="008423E0">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c>
          <w:tcPr>
            <w:tcW w:w="1403" w:type="pct"/>
            <w:shd w:val="clear" w:color="auto" w:fill="auto"/>
            <w:noWrap/>
            <w:vAlign w:val="center"/>
            <w:hideMark/>
          </w:tcPr>
          <w:p w14:paraId="585F0175" w14:textId="0E1D38B9" w:rsidR="00524626" w:rsidRPr="00704DEA" w:rsidRDefault="00A956BD" w:rsidP="00524626">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Method TBC</w:t>
            </w:r>
          </w:p>
        </w:tc>
        <w:tc>
          <w:tcPr>
            <w:tcW w:w="508" w:type="pct"/>
            <w:shd w:val="clear" w:color="auto" w:fill="auto"/>
            <w:noWrap/>
            <w:vAlign w:val="center"/>
            <w:hideMark/>
          </w:tcPr>
          <w:p w14:paraId="4FC7CEB4" w14:textId="77777777" w:rsidR="00524626" w:rsidRPr="00704DEA" w:rsidRDefault="00524626" w:rsidP="00524626">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r>
      <w:tr w:rsidR="00A956BD" w:rsidRPr="00C22B03" w14:paraId="5A221780" w14:textId="77777777" w:rsidTr="00A956BD">
        <w:trPr>
          <w:trHeight w:val="290"/>
        </w:trPr>
        <w:tc>
          <w:tcPr>
            <w:tcW w:w="2176" w:type="pct"/>
            <w:shd w:val="clear" w:color="auto" w:fill="auto"/>
            <w:vAlign w:val="center"/>
            <w:hideMark/>
          </w:tcPr>
          <w:p w14:paraId="3AF88C8E" w14:textId="77777777" w:rsidR="00524626" w:rsidRPr="00704DEA" w:rsidRDefault="00524626" w:rsidP="008423E0">
            <w:pPr>
              <w:jc w:val="left"/>
              <w:rPr>
                <w:rFonts w:eastAsia="Times New Roman" w:cstheme="minorHAnsi"/>
                <w:color w:val="000000"/>
                <w:sz w:val="20"/>
                <w:szCs w:val="20"/>
                <w:lang w:eastAsia="en-GB"/>
              </w:rPr>
            </w:pPr>
            <w:r w:rsidRPr="00704DEA">
              <w:rPr>
                <w:rFonts w:eastAsia="Times New Roman" w:cstheme="minorHAnsi"/>
                <w:color w:val="000000"/>
                <w:sz w:val="20"/>
                <w:szCs w:val="20"/>
                <w:lang w:eastAsia="en-GB"/>
              </w:rPr>
              <w:t>Number of training sessions organised by partner organisations.</w:t>
            </w:r>
          </w:p>
        </w:tc>
        <w:tc>
          <w:tcPr>
            <w:tcW w:w="914" w:type="pct"/>
            <w:shd w:val="clear" w:color="auto" w:fill="auto"/>
            <w:vAlign w:val="center"/>
            <w:hideMark/>
          </w:tcPr>
          <w:p w14:paraId="6C34F1E2" w14:textId="77777777" w:rsidR="00524626" w:rsidRPr="00704DEA" w:rsidRDefault="00524626" w:rsidP="008423E0">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c>
          <w:tcPr>
            <w:tcW w:w="1403" w:type="pct"/>
            <w:shd w:val="clear" w:color="auto" w:fill="auto"/>
            <w:noWrap/>
            <w:vAlign w:val="center"/>
            <w:hideMark/>
          </w:tcPr>
          <w:p w14:paraId="46306430" w14:textId="5C2C7866" w:rsidR="00524626" w:rsidRPr="00704DEA" w:rsidRDefault="00A956BD" w:rsidP="00524626">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Management Information</w:t>
            </w:r>
          </w:p>
        </w:tc>
        <w:tc>
          <w:tcPr>
            <w:tcW w:w="508" w:type="pct"/>
            <w:shd w:val="clear" w:color="auto" w:fill="auto"/>
            <w:noWrap/>
            <w:vAlign w:val="center"/>
            <w:hideMark/>
          </w:tcPr>
          <w:p w14:paraId="49804D4B" w14:textId="77777777" w:rsidR="00524626" w:rsidRPr="00704DEA" w:rsidRDefault="00524626" w:rsidP="00524626">
            <w:pPr>
              <w:jc w:val="center"/>
              <w:rPr>
                <w:rFonts w:eastAsia="Times New Roman" w:cstheme="minorHAnsi"/>
                <w:color w:val="000000"/>
                <w:sz w:val="20"/>
                <w:szCs w:val="20"/>
                <w:lang w:eastAsia="en-GB"/>
              </w:rPr>
            </w:pPr>
            <w:r w:rsidRPr="00704DEA">
              <w:rPr>
                <w:rFonts w:eastAsia="Times New Roman" w:cstheme="minorHAnsi"/>
                <w:color w:val="000000"/>
                <w:sz w:val="20"/>
                <w:szCs w:val="20"/>
                <w:lang w:eastAsia="en-GB"/>
              </w:rPr>
              <w:t>TBC</w:t>
            </w:r>
          </w:p>
        </w:tc>
      </w:tr>
    </w:tbl>
    <w:p w14:paraId="0C7C5A0E" w14:textId="77777777" w:rsidR="0023713C" w:rsidRDefault="0023713C" w:rsidP="0023713C">
      <w:pPr>
        <w:rPr>
          <w:lang w:eastAsia="en-GB"/>
        </w:rPr>
      </w:pPr>
    </w:p>
    <w:p w14:paraId="664EEFEB" w14:textId="2371B524" w:rsidR="0023713C" w:rsidRDefault="0023713C" w:rsidP="0023713C">
      <w:pPr>
        <w:rPr>
          <w:lang w:eastAsia="en-GB"/>
        </w:rPr>
      </w:pPr>
      <w:r>
        <w:rPr>
          <w:lang w:eastAsia="en-GB"/>
        </w:rPr>
        <w:t xml:space="preserve">This logframe will be developed beyond the approval of this business case. We will consider how the indicators and assumptions for the INC piece (following page) fit in, and how they contribute to shared outcomes on inclusivity in tackling plastic pollution. </w:t>
      </w:r>
    </w:p>
    <w:p w14:paraId="0D63306B" w14:textId="77777777" w:rsidR="0023713C" w:rsidRDefault="0023713C" w:rsidP="0023713C">
      <w:pPr>
        <w:rPr>
          <w:lang w:eastAsia="en-GB"/>
        </w:rPr>
      </w:pPr>
    </w:p>
    <w:p w14:paraId="68EC80DC" w14:textId="7D56FE35" w:rsidR="0023713C" w:rsidRPr="0023713C" w:rsidRDefault="0023713C" w:rsidP="0023713C">
      <w:pPr>
        <w:rPr>
          <w:lang w:eastAsia="en-GB"/>
        </w:rPr>
        <w:sectPr w:rsidR="0023713C" w:rsidRPr="0023713C" w:rsidSect="00B97779">
          <w:pgSz w:w="16838" w:h="11906" w:orient="landscape"/>
          <w:pgMar w:top="720" w:right="720" w:bottom="720" w:left="720" w:header="709" w:footer="709" w:gutter="0"/>
          <w:cols w:space="708"/>
          <w:docGrid w:linePitch="360"/>
        </w:sectPr>
      </w:pPr>
    </w:p>
    <w:p w14:paraId="16FC4BC0" w14:textId="77777777" w:rsidR="00EB693F" w:rsidRPr="00602815" w:rsidRDefault="00B47D1D" w:rsidP="00613ABF">
      <w:pPr>
        <w:widowControl w:val="0"/>
        <w:pBdr>
          <w:top w:val="nil"/>
          <w:left w:val="nil"/>
          <w:bottom w:val="nil"/>
          <w:right w:val="nil"/>
          <w:between w:val="nil"/>
        </w:pBdr>
        <w:rPr>
          <w:b/>
          <w:color w:val="201F1E"/>
          <w:sz w:val="20"/>
          <w:szCs w:val="20"/>
        </w:rPr>
      </w:pPr>
      <w:r w:rsidRPr="008D1358">
        <w:rPr>
          <w:b/>
          <w:bCs/>
        </w:rPr>
        <w:lastRenderedPageBreak/>
        <w:t xml:space="preserve">INC </w:t>
      </w:r>
      <w:r w:rsidR="00C25C78" w:rsidRPr="008D1358">
        <w:rPr>
          <w:b/>
          <w:bCs/>
        </w:rPr>
        <w:t>proposed Theory of Change</w:t>
      </w:r>
    </w:p>
    <w:p w14:paraId="11E02D3B" w14:textId="41BE2AD1" w:rsidR="00B47D1D" w:rsidRPr="008D1358" w:rsidRDefault="005F159E" w:rsidP="00B47D1D">
      <w:pPr>
        <w:pStyle w:val="Heading3"/>
        <w:rPr>
          <w:b/>
        </w:rPr>
      </w:pPr>
      <w:r>
        <w:rPr>
          <w:rFonts w:cstheme="minorHAnsi"/>
          <w:iCs/>
          <w:noProof/>
        </w:rPr>
        <w:drawing>
          <wp:anchor distT="0" distB="0" distL="114300" distR="114300" simplePos="0" relativeHeight="251658244" behindDoc="0" locked="0" layoutInCell="1" allowOverlap="1" wp14:anchorId="34CB8931" wp14:editId="11313919">
            <wp:simplePos x="0" y="0"/>
            <wp:positionH relativeFrom="margin">
              <wp:posOffset>-228600</wp:posOffset>
            </wp:positionH>
            <wp:positionV relativeFrom="paragraph">
              <wp:posOffset>141605</wp:posOffset>
            </wp:positionV>
            <wp:extent cx="6506767" cy="370332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506767" cy="3703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AA6D66" w14:textId="5C8DA9F6" w:rsidR="00C25C78" w:rsidRDefault="00C25C78" w:rsidP="00B47D1D">
      <w:pPr>
        <w:spacing w:after="240"/>
        <w:rPr>
          <w:rFonts w:cstheme="minorHAnsi"/>
          <w:iCs/>
          <w:lang w:eastAsia="en-GB"/>
        </w:rPr>
      </w:pPr>
    </w:p>
    <w:p w14:paraId="15651E9E" w14:textId="52A0F240" w:rsidR="002D650B" w:rsidRDefault="002D650B" w:rsidP="00B47D1D">
      <w:pPr>
        <w:spacing w:after="240"/>
        <w:rPr>
          <w:rFonts w:cstheme="minorHAnsi"/>
          <w:iCs/>
          <w:lang w:eastAsia="en-GB"/>
        </w:rPr>
      </w:pPr>
    </w:p>
    <w:p w14:paraId="037A6C7A" w14:textId="23D8AA18" w:rsidR="002D650B" w:rsidRDefault="002D650B" w:rsidP="00B47D1D">
      <w:pPr>
        <w:spacing w:after="240"/>
        <w:rPr>
          <w:rFonts w:cstheme="minorHAnsi"/>
          <w:iCs/>
          <w:lang w:eastAsia="en-GB"/>
        </w:rPr>
      </w:pPr>
    </w:p>
    <w:p w14:paraId="4A021B15" w14:textId="4DD5CF97" w:rsidR="002D650B" w:rsidRDefault="002D650B" w:rsidP="00B47D1D">
      <w:pPr>
        <w:spacing w:after="240"/>
        <w:rPr>
          <w:rFonts w:cstheme="minorHAnsi"/>
          <w:iCs/>
          <w:lang w:eastAsia="en-GB"/>
        </w:rPr>
      </w:pPr>
    </w:p>
    <w:p w14:paraId="1E89C154" w14:textId="25CA7574" w:rsidR="002D650B" w:rsidRDefault="002D650B" w:rsidP="00B47D1D">
      <w:pPr>
        <w:spacing w:after="240"/>
        <w:rPr>
          <w:rFonts w:cstheme="minorHAnsi"/>
          <w:iCs/>
          <w:lang w:eastAsia="en-GB"/>
        </w:rPr>
      </w:pPr>
    </w:p>
    <w:p w14:paraId="6308B6FC" w14:textId="6060C533" w:rsidR="002D650B" w:rsidRDefault="002D650B" w:rsidP="00B47D1D">
      <w:pPr>
        <w:spacing w:after="240"/>
        <w:rPr>
          <w:rFonts w:cstheme="minorHAnsi"/>
          <w:iCs/>
          <w:lang w:eastAsia="en-GB"/>
        </w:rPr>
      </w:pPr>
    </w:p>
    <w:p w14:paraId="7B7A25B1" w14:textId="1804F449" w:rsidR="002D650B" w:rsidRDefault="002D650B" w:rsidP="00B47D1D">
      <w:pPr>
        <w:spacing w:after="240"/>
        <w:rPr>
          <w:rFonts w:cstheme="minorHAnsi"/>
          <w:iCs/>
          <w:lang w:eastAsia="en-GB"/>
        </w:rPr>
      </w:pPr>
    </w:p>
    <w:p w14:paraId="111C4719" w14:textId="04E054DD" w:rsidR="002D650B" w:rsidRDefault="002D650B" w:rsidP="00B47D1D">
      <w:pPr>
        <w:spacing w:after="240"/>
        <w:rPr>
          <w:rFonts w:cstheme="minorHAnsi"/>
          <w:iCs/>
          <w:lang w:eastAsia="en-GB"/>
        </w:rPr>
      </w:pPr>
    </w:p>
    <w:p w14:paraId="2D246067" w14:textId="0838059D" w:rsidR="002D650B" w:rsidRDefault="002D650B" w:rsidP="00B47D1D">
      <w:pPr>
        <w:spacing w:after="240"/>
        <w:rPr>
          <w:rFonts w:cstheme="minorHAnsi"/>
          <w:iCs/>
          <w:lang w:eastAsia="en-GB"/>
        </w:rPr>
      </w:pPr>
    </w:p>
    <w:p w14:paraId="683C06CA" w14:textId="61DD5A68" w:rsidR="002D650B" w:rsidRDefault="002D650B" w:rsidP="00B47D1D">
      <w:pPr>
        <w:spacing w:after="240"/>
        <w:rPr>
          <w:rFonts w:cstheme="minorHAnsi"/>
          <w:iCs/>
          <w:lang w:eastAsia="en-GB"/>
        </w:rPr>
      </w:pPr>
    </w:p>
    <w:p w14:paraId="03E23E9F" w14:textId="77777777" w:rsidR="0009222C" w:rsidRDefault="0009222C" w:rsidP="00B47D1D">
      <w:pPr>
        <w:spacing w:after="240"/>
        <w:rPr>
          <w:rFonts w:cstheme="minorHAnsi"/>
          <w:lang w:eastAsia="en-GB"/>
        </w:rPr>
      </w:pPr>
    </w:p>
    <w:p w14:paraId="05B9682E" w14:textId="77777777" w:rsidR="00F54378" w:rsidRDefault="00F54378" w:rsidP="00B47D1D">
      <w:pPr>
        <w:spacing w:after="240"/>
        <w:rPr>
          <w:rFonts w:cstheme="minorHAnsi"/>
          <w:lang w:eastAsia="en-GB"/>
        </w:rPr>
      </w:pPr>
    </w:p>
    <w:p w14:paraId="12B2B26B" w14:textId="6ED760BE" w:rsidR="00C13BA9" w:rsidRDefault="00F54378" w:rsidP="00B47D1D">
      <w:pPr>
        <w:spacing w:after="240"/>
        <w:rPr>
          <w:rFonts w:cstheme="minorHAnsi"/>
          <w:lang w:eastAsia="en-GB"/>
        </w:rPr>
      </w:pPr>
      <w:r>
        <w:rPr>
          <w:rFonts w:cstheme="minorHAnsi"/>
          <w:lang w:eastAsia="en-GB"/>
        </w:rPr>
        <w:t xml:space="preserve">Note: This is an indicative Theory of Change to represent how Defra foresees their funding outcome pathways. This is </w:t>
      </w:r>
      <w:r w:rsidRPr="00F54378">
        <w:rPr>
          <w:rFonts w:cstheme="minorHAnsi"/>
          <w:u w:val="single"/>
          <w:lang w:eastAsia="en-GB"/>
        </w:rPr>
        <w:t>not</w:t>
      </w:r>
      <w:r>
        <w:rPr>
          <w:rFonts w:cstheme="minorHAnsi"/>
          <w:lang w:eastAsia="en-GB"/>
        </w:rPr>
        <w:t xml:space="preserve"> an official UNEP product.</w:t>
      </w:r>
    </w:p>
    <w:p w14:paraId="0B7C15FC" w14:textId="54D2B410" w:rsidR="00C25C78" w:rsidRPr="008D1358" w:rsidRDefault="00C25C78" w:rsidP="00C25C78">
      <w:pPr>
        <w:pStyle w:val="Heading3"/>
        <w:rPr>
          <w:b/>
        </w:rPr>
      </w:pPr>
      <w:r w:rsidRPr="008D1358">
        <w:rPr>
          <w:b/>
        </w:rPr>
        <w:t>INC proposed indicators of success</w:t>
      </w:r>
    </w:p>
    <w:p w14:paraId="7B587C43" w14:textId="39A66FD6" w:rsidR="00401AE4" w:rsidRDefault="00401AE4" w:rsidP="005C25BE">
      <w:pPr>
        <w:pStyle w:val="ListParagraph"/>
        <w:numPr>
          <w:ilvl w:val="0"/>
          <w:numId w:val="28"/>
        </w:numPr>
        <w:spacing w:after="240"/>
        <w:rPr>
          <w:rFonts w:cstheme="minorHAnsi"/>
          <w:iCs/>
          <w:lang w:eastAsia="en-GB"/>
        </w:rPr>
      </w:pPr>
      <w:r>
        <w:rPr>
          <w:rFonts w:cstheme="minorHAnsi"/>
          <w:iCs/>
          <w:lang w:eastAsia="en-GB"/>
        </w:rPr>
        <w:t>Number of ODA-eligible delegates supported to:</w:t>
      </w:r>
    </w:p>
    <w:p w14:paraId="411D26D4" w14:textId="53E56FD8" w:rsidR="00401AE4" w:rsidRDefault="00401AE4" w:rsidP="005C25BE">
      <w:pPr>
        <w:pStyle w:val="ListParagraph"/>
        <w:numPr>
          <w:ilvl w:val="1"/>
          <w:numId w:val="28"/>
        </w:numPr>
        <w:spacing w:after="240"/>
        <w:rPr>
          <w:rFonts w:cstheme="minorHAnsi"/>
          <w:iCs/>
          <w:lang w:eastAsia="en-GB"/>
        </w:rPr>
      </w:pPr>
      <w:r>
        <w:rPr>
          <w:rFonts w:cstheme="minorHAnsi"/>
          <w:iCs/>
          <w:lang w:eastAsia="en-GB"/>
        </w:rPr>
        <w:t>Attend INC meetings</w:t>
      </w:r>
    </w:p>
    <w:p w14:paraId="24009C8B" w14:textId="09279E84" w:rsidR="00401AE4" w:rsidRDefault="00401AE4" w:rsidP="005C25BE">
      <w:pPr>
        <w:pStyle w:val="ListParagraph"/>
        <w:numPr>
          <w:ilvl w:val="1"/>
          <w:numId w:val="28"/>
        </w:numPr>
        <w:spacing w:after="240"/>
        <w:rPr>
          <w:rFonts w:cstheme="minorHAnsi"/>
          <w:iCs/>
          <w:lang w:eastAsia="en-GB"/>
        </w:rPr>
      </w:pPr>
      <w:r>
        <w:rPr>
          <w:rFonts w:cstheme="minorHAnsi"/>
          <w:iCs/>
          <w:lang w:eastAsia="en-GB"/>
        </w:rPr>
        <w:t>Attend intersessional regional meetings</w:t>
      </w:r>
    </w:p>
    <w:p w14:paraId="5AD4B10C" w14:textId="34D36BE9" w:rsidR="00401AE4" w:rsidRDefault="00401AE4" w:rsidP="005C25BE">
      <w:pPr>
        <w:pStyle w:val="ListParagraph"/>
        <w:numPr>
          <w:ilvl w:val="1"/>
          <w:numId w:val="28"/>
        </w:numPr>
        <w:spacing w:after="240"/>
        <w:rPr>
          <w:rFonts w:cstheme="minorHAnsi"/>
          <w:iCs/>
          <w:lang w:eastAsia="en-GB"/>
        </w:rPr>
      </w:pPr>
      <w:r>
        <w:rPr>
          <w:rFonts w:cstheme="minorHAnsi"/>
          <w:iCs/>
          <w:lang w:eastAsia="en-GB"/>
        </w:rPr>
        <w:t>Participate in leadership capacity building in the context of the negotiations</w:t>
      </w:r>
    </w:p>
    <w:p w14:paraId="2DDF9AB8" w14:textId="13E12B24" w:rsidR="00401AE4" w:rsidRPr="00401AE4" w:rsidRDefault="00401AE4" w:rsidP="00401AE4">
      <w:pPr>
        <w:pStyle w:val="ListParagraph"/>
        <w:spacing w:after="240"/>
        <w:rPr>
          <w:rFonts w:cstheme="minorHAnsi"/>
          <w:iCs/>
          <w:lang w:eastAsia="en-GB"/>
        </w:rPr>
      </w:pPr>
      <w:r w:rsidRPr="00401AE4">
        <w:rPr>
          <w:rFonts w:cstheme="minorHAnsi"/>
          <w:iCs/>
          <w:lang w:eastAsia="en-GB"/>
        </w:rPr>
        <w:t>Disaggregated by:</w:t>
      </w:r>
    </w:p>
    <w:p w14:paraId="026494C8" w14:textId="1F6B09C1" w:rsidR="00401AE4" w:rsidRDefault="00401AE4" w:rsidP="005C25BE">
      <w:pPr>
        <w:pStyle w:val="ListParagraph"/>
        <w:numPr>
          <w:ilvl w:val="0"/>
          <w:numId w:val="29"/>
        </w:numPr>
        <w:spacing w:after="240"/>
        <w:rPr>
          <w:rFonts w:cstheme="minorHAnsi"/>
          <w:iCs/>
          <w:lang w:eastAsia="en-GB"/>
        </w:rPr>
      </w:pPr>
      <w:r>
        <w:rPr>
          <w:rFonts w:cstheme="minorHAnsi"/>
          <w:iCs/>
          <w:lang w:eastAsia="en-GB"/>
        </w:rPr>
        <w:t>Gender</w:t>
      </w:r>
    </w:p>
    <w:p w14:paraId="6861F944" w14:textId="100C5B3F" w:rsidR="00401AE4" w:rsidRDefault="00401AE4" w:rsidP="005C25BE">
      <w:pPr>
        <w:pStyle w:val="ListParagraph"/>
        <w:numPr>
          <w:ilvl w:val="0"/>
          <w:numId w:val="29"/>
        </w:numPr>
        <w:spacing w:after="240"/>
        <w:rPr>
          <w:rFonts w:cstheme="minorHAnsi"/>
          <w:iCs/>
          <w:lang w:eastAsia="en-GB"/>
        </w:rPr>
      </w:pPr>
      <w:r>
        <w:rPr>
          <w:rFonts w:cstheme="minorHAnsi"/>
          <w:iCs/>
          <w:lang w:eastAsia="en-GB"/>
        </w:rPr>
        <w:t>Country represented</w:t>
      </w:r>
    </w:p>
    <w:p w14:paraId="4515384F" w14:textId="2299C781" w:rsidR="00401AE4" w:rsidRPr="00401AE4" w:rsidRDefault="00401AE4" w:rsidP="005C25BE">
      <w:pPr>
        <w:pStyle w:val="ListParagraph"/>
        <w:numPr>
          <w:ilvl w:val="0"/>
          <w:numId w:val="29"/>
        </w:numPr>
        <w:spacing w:after="240"/>
        <w:rPr>
          <w:rFonts w:cstheme="minorHAnsi"/>
          <w:iCs/>
          <w:lang w:eastAsia="en-GB"/>
        </w:rPr>
      </w:pPr>
      <w:r>
        <w:rPr>
          <w:rFonts w:cstheme="minorHAnsi"/>
          <w:iCs/>
          <w:lang w:eastAsia="en-GB"/>
        </w:rPr>
        <w:t>Type of meeting and meeting outcome</w:t>
      </w:r>
    </w:p>
    <w:p w14:paraId="61C08A32" w14:textId="5C2D900E" w:rsidR="00B47D1D" w:rsidRDefault="00AB64F2" w:rsidP="005C25BE">
      <w:pPr>
        <w:pStyle w:val="ListParagraph"/>
        <w:numPr>
          <w:ilvl w:val="0"/>
          <w:numId w:val="28"/>
        </w:numPr>
        <w:spacing w:after="240"/>
        <w:rPr>
          <w:rFonts w:cstheme="minorHAnsi"/>
          <w:lang w:eastAsia="en-GB"/>
        </w:rPr>
      </w:pPr>
      <w:r>
        <w:rPr>
          <w:rFonts w:cstheme="minorHAnsi"/>
          <w:iCs/>
          <w:lang w:eastAsia="en-GB"/>
        </w:rPr>
        <w:t>Surveys</w:t>
      </w:r>
      <w:r w:rsidR="0094254C" w:rsidRPr="0094254C">
        <w:rPr>
          <w:rFonts w:cstheme="minorHAnsi"/>
          <w:iCs/>
          <w:lang w:eastAsia="en-GB"/>
        </w:rPr>
        <w:t xml:space="preserve"> </w:t>
      </w:r>
      <w:r>
        <w:rPr>
          <w:rFonts w:cstheme="minorHAnsi"/>
          <w:iCs/>
          <w:lang w:eastAsia="en-GB"/>
        </w:rPr>
        <w:t xml:space="preserve">and/or key informant interviews </w:t>
      </w:r>
      <w:r w:rsidR="0094254C">
        <w:rPr>
          <w:rFonts w:cstheme="minorHAnsi"/>
          <w:iCs/>
          <w:lang w:eastAsia="en-GB"/>
        </w:rPr>
        <w:t>issued to supported delegates following INC or intersessional meetings to:</w:t>
      </w:r>
    </w:p>
    <w:p w14:paraId="292F531B" w14:textId="406F2430" w:rsidR="0094254C" w:rsidRDefault="0094254C" w:rsidP="005C25BE">
      <w:pPr>
        <w:pStyle w:val="ListParagraph"/>
        <w:numPr>
          <w:ilvl w:val="1"/>
          <w:numId w:val="28"/>
        </w:numPr>
        <w:spacing w:after="240"/>
        <w:rPr>
          <w:rFonts w:cstheme="minorHAnsi"/>
          <w:iCs/>
          <w:lang w:eastAsia="en-GB"/>
        </w:rPr>
      </w:pPr>
      <w:r>
        <w:rPr>
          <w:rFonts w:cstheme="minorHAnsi"/>
          <w:iCs/>
          <w:lang w:eastAsia="en-GB"/>
        </w:rPr>
        <w:t>Identify role played in the meeting(s)</w:t>
      </w:r>
    </w:p>
    <w:p w14:paraId="02CC2C51" w14:textId="50BAA877" w:rsidR="0094254C" w:rsidRDefault="0094254C" w:rsidP="005C25BE">
      <w:pPr>
        <w:pStyle w:val="ListParagraph"/>
        <w:numPr>
          <w:ilvl w:val="1"/>
          <w:numId w:val="28"/>
        </w:numPr>
        <w:spacing w:after="240"/>
        <w:rPr>
          <w:rFonts w:cstheme="minorHAnsi"/>
          <w:iCs/>
          <w:lang w:eastAsia="en-GB"/>
        </w:rPr>
      </w:pPr>
      <w:r>
        <w:rPr>
          <w:rFonts w:cstheme="minorHAnsi"/>
          <w:iCs/>
          <w:lang w:eastAsia="en-GB"/>
        </w:rPr>
        <w:t>Overall reflections on the running of the meeting(s)</w:t>
      </w:r>
    </w:p>
    <w:p w14:paraId="23DDC096" w14:textId="16D0ED12" w:rsidR="0094254C" w:rsidRDefault="0094254C" w:rsidP="005C25BE">
      <w:pPr>
        <w:pStyle w:val="ListParagraph"/>
        <w:numPr>
          <w:ilvl w:val="1"/>
          <w:numId w:val="28"/>
        </w:numPr>
        <w:spacing w:after="240"/>
        <w:rPr>
          <w:rFonts w:cstheme="minorHAnsi"/>
          <w:iCs/>
          <w:lang w:eastAsia="en-GB"/>
        </w:rPr>
      </w:pPr>
      <w:r>
        <w:rPr>
          <w:rFonts w:cstheme="minorHAnsi"/>
          <w:iCs/>
          <w:lang w:eastAsia="en-GB"/>
        </w:rPr>
        <w:t>Comments on the outcome(s) of the meetings(s)</w:t>
      </w:r>
    </w:p>
    <w:p w14:paraId="54C5908F" w14:textId="33649CA9" w:rsidR="00B47D1D" w:rsidRPr="006446E2" w:rsidRDefault="0094254C" w:rsidP="005C25BE">
      <w:pPr>
        <w:pStyle w:val="ListParagraph"/>
        <w:numPr>
          <w:ilvl w:val="1"/>
          <w:numId w:val="28"/>
        </w:numPr>
        <w:spacing w:after="240"/>
        <w:rPr>
          <w:rFonts w:cstheme="minorHAnsi"/>
          <w:lang w:eastAsia="en-GB"/>
        </w:rPr>
      </w:pPr>
      <w:r>
        <w:rPr>
          <w:rFonts w:cstheme="minorHAnsi"/>
          <w:iCs/>
          <w:lang w:eastAsia="en-GB"/>
        </w:rPr>
        <w:t>Miscellaneous feedback</w:t>
      </w:r>
    </w:p>
    <w:p w14:paraId="4A261F4A" w14:textId="50E48C4D" w:rsidR="004216CF" w:rsidRPr="00217F59" w:rsidRDefault="000865C8" w:rsidP="00214816">
      <w:pPr>
        <w:pStyle w:val="Heading2"/>
        <w:numPr>
          <w:ilvl w:val="1"/>
          <w:numId w:val="39"/>
        </w:numPr>
      </w:pPr>
      <w:bookmarkStart w:id="52" w:name="_Toc121224129"/>
      <w:r w:rsidRPr="00217F59">
        <w:t>What are the key risks and how will they be managed?</w:t>
      </w:r>
      <w:bookmarkEnd w:id="52"/>
      <w:r w:rsidR="004216CF" w:rsidRPr="00217F59">
        <w:t xml:space="preserve"> </w:t>
      </w:r>
    </w:p>
    <w:p w14:paraId="66C5E038" w14:textId="6E4441E4" w:rsidR="00B07CA3" w:rsidRPr="00B07CA3" w:rsidRDefault="00B07CA3" w:rsidP="00613ABF">
      <w:pPr>
        <w:pStyle w:val="BodyText"/>
        <w:spacing w:after="240"/>
        <w:rPr>
          <w:rFonts w:ascii="Calibri" w:hAnsi="Calibri" w:cs="Calibri"/>
          <w:i/>
          <w:iCs/>
        </w:rPr>
      </w:pPr>
      <w:bookmarkStart w:id="53" w:name="_Hlk66372352"/>
      <w:bookmarkStart w:id="54" w:name="_Hlk70689079"/>
      <w:r w:rsidRPr="00B07CA3">
        <w:rPr>
          <w:rFonts w:ascii="Calibri" w:hAnsi="Calibri" w:cs="Calibri"/>
        </w:rPr>
        <w:t xml:space="preserve">UNEP </w:t>
      </w:r>
      <w:r w:rsidR="000509A1">
        <w:rPr>
          <w:rFonts w:ascii="Calibri" w:hAnsi="Calibri" w:cs="Calibri"/>
        </w:rPr>
        <w:t>has</w:t>
      </w:r>
      <w:r w:rsidR="000509A1" w:rsidRPr="00B07CA3">
        <w:rPr>
          <w:rFonts w:ascii="Calibri" w:hAnsi="Calibri" w:cs="Calibri"/>
        </w:rPr>
        <w:t xml:space="preserve"> </w:t>
      </w:r>
      <w:r w:rsidRPr="00B07CA3">
        <w:rPr>
          <w:rFonts w:ascii="Calibri" w:hAnsi="Calibri" w:cs="Calibri"/>
        </w:rPr>
        <w:t xml:space="preserve">controls in place to manage programme-level risk </w:t>
      </w:r>
      <w:r w:rsidRPr="005B091F">
        <w:rPr>
          <w:rFonts w:ascii="Calibri" w:hAnsi="Calibri" w:cs="Calibri"/>
        </w:rPr>
        <w:t>(</w:t>
      </w:r>
      <w:r w:rsidR="00453BE5" w:rsidRPr="005B091F">
        <w:rPr>
          <w:rFonts w:ascii="Calibri" w:hAnsi="Calibri" w:cs="Calibri"/>
        </w:rPr>
        <w:t xml:space="preserve">please see </w:t>
      </w:r>
      <w:r w:rsidR="005B091F" w:rsidRPr="005B091F">
        <w:rPr>
          <w:rFonts w:ascii="Calibri" w:hAnsi="Calibri" w:cs="Calibri"/>
          <w:b/>
          <w:bCs/>
        </w:rPr>
        <w:t>Section 2.</w:t>
      </w:r>
      <w:r w:rsidR="005B091F">
        <w:rPr>
          <w:rFonts w:ascii="Calibri" w:hAnsi="Calibri" w:cs="Calibri"/>
          <w:b/>
          <w:bCs/>
        </w:rPr>
        <w:t>8</w:t>
      </w:r>
      <w:r w:rsidRPr="005B091F">
        <w:rPr>
          <w:rFonts w:ascii="Calibri" w:hAnsi="Calibri" w:cs="Calibri"/>
        </w:rPr>
        <w:t>)</w:t>
      </w:r>
      <w:r w:rsidRPr="00B07CA3">
        <w:rPr>
          <w:rFonts w:ascii="Calibri" w:hAnsi="Calibri" w:cs="Calibri"/>
        </w:rPr>
        <w:t xml:space="preserve"> which will be reviewed throughout the investment</w:t>
      </w:r>
      <w:bookmarkEnd w:id="53"/>
      <w:r w:rsidRPr="00B07CA3">
        <w:rPr>
          <w:rFonts w:ascii="Calibri" w:hAnsi="Calibri" w:cs="Calibri"/>
        </w:rPr>
        <w:t xml:space="preserve"> by </w:t>
      </w:r>
      <w:r>
        <w:rPr>
          <w:rFonts w:ascii="Calibri" w:hAnsi="Calibri" w:cs="Calibri"/>
        </w:rPr>
        <w:t>UNEP</w:t>
      </w:r>
      <w:r w:rsidRPr="00B07CA3">
        <w:rPr>
          <w:rFonts w:ascii="Calibri" w:hAnsi="Calibri" w:cs="Calibri"/>
        </w:rPr>
        <w:t xml:space="preserve"> and Defra. As per </w:t>
      </w:r>
      <w:r w:rsidR="00582E59" w:rsidRPr="00582E59">
        <w:rPr>
          <w:rFonts w:ascii="Calibri" w:hAnsi="Calibri" w:cs="Calibri"/>
          <w:b/>
          <w:bCs/>
        </w:rPr>
        <w:t>S</w:t>
      </w:r>
      <w:r w:rsidRPr="00582E59">
        <w:rPr>
          <w:rFonts w:ascii="Calibri" w:hAnsi="Calibri" w:cs="Calibri"/>
          <w:b/>
          <w:bCs/>
        </w:rPr>
        <w:t>ection</w:t>
      </w:r>
      <w:r w:rsidRPr="00582E59">
        <w:rPr>
          <w:rFonts w:ascii="Calibri" w:hAnsi="Calibri" w:cs="Calibri"/>
          <w:b/>
        </w:rPr>
        <w:t xml:space="preserve"> 6.1</w:t>
      </w:r>
      <w:r w:rsidRPr="00B07CA3">
        <w:rPr>
          <w:rFonts w:ascii="Calibri" w:hAnsi="Calibri" w:cs="Calibri"/>
        </w:rPr>
        <w:t xml:space="preserve">, the programme manager will undertake regular meetings with the delivery partners to assess progress, issues and to understand how risks have changed since the previous meeting. It is the responsibility of </w:t>
      </w:r>
      <w:r>
        <w:rPr>
          <w:rFonts w:ascii="Calibri" w:hAnsi="Calibri" w:cs="Calibri"/>
        </w:rPr>
        <w:t>UNEP</w:t>
      </w:r>
      <w:r w:rsidRPr="00B07CA3">
        <w:rPr>
          <w:rFonts w:ascii="Calibri" w:hAnsi="Calibri" w:cs="Calibri"/>
        </w:rPr>
        <w:t xml:space="preserve"> to flag </w:t>
      </w:r>
      <w:r w:rsidRPr="00B07CA3">
        <w:rPr>
          <w:rFonts w:ascii="Calibri" w:hAnsi="Calibri" w:cs="Calibri"/>
        </w:rPr>
        <w:lastRenderedPageBreak/>
        <w:t xml:space="preserve">any risks to Defra, which may follow in escalation to the BPF Programme Board and/or programme SRO. </w:t>
      </w:r>
      <w:r w:rsidR="00B7352F" w:rsidRPr="00B7352F">
        <w:rPr>
          <w:rFonts w:ascii="Calibri" w:hAnsi="Calibri" w:cs="Calibri"/>
        </w:rPr>
        <w:t>At each quarterly meeting Defra will revisit the risk register with UNEP and update as and when required.</w:t>
      </w:r>
    </w:p>
    <w:p w14:paraId="5037B1DA" w14:textId="3DCF41E5" w:rsidR="00B07CA3" w:rsidRPr="00B07CA3" w:rsidRDefault="00B07CA3" w:rsidP="00613ABF">
      <w:pPr>
        <w:pStyle w:val="BodyText"/>
        <w:spacing w:after="240"/>
        <w:rPr>
          <w:rFonts w:ascii="Calibri" w:hAnsi="Calibri" w:cs="Calibri"/>
          <w:i/>
          <w:iCs/>
        </w:rPr>
      </w:pPr>
      <w:r w:rsidRPr="00B07CA3">
        <w:rPr>
          <w:rFonts w:ascii="Calibri" w:hAnsi="Calibri" w:cs="Calibri"/>
        </w:rPr>
        <w:t xml:space="preserve">The </w:t>
      </w:r>
      <w:r w:rsidRPr="00DA6FAF">
        <w:rPr>
          <w:rFonts w:ascii="Calibri" w:hAnsi="Calibri" w:cs="Calibri"/>
        </w:rPr>
        <w:t>programme manager</w:t>
      </w:r>
      <w:r w:rsidRPr="00B07CA3">
        <w:rPr>
          <w:rFonts w:ascii="Calibri" w:hAnsi="Calibri" w:cs="Calibri"/>
        </w:rPr>
        <w:t xml:space="preserve"> is responsible for keeping a risk register relevant to Defra management of the programme</w:t>
      </w:r>
      <w:r w:rsidR="005D729F">
        <w:rPr>
          <w:rFonts w:ascii="Calibri" w:hAnsi="Calibri" w:cs="Calibri"/>
        </w:rPr>
        <w:t xml:space="preserve">. </w:t>
      </w:r>
      <w:r w:rsidRPr="00B07CA3">
        <w:rPr>
          <w:rFonts w:ascii="Calibri" w:hAnsi="Calibri" w:cs="Calibri"/>
        </w:rPr>
        <w:t xml:space="preserve">These will be reviewed in preparation for each meeting of the </w:t>
      </w:r>
      <w:r w:rsidRPr="00A56DB2">
        <w:rPr>
          <w:rFonts w:ascii="Calibri" w:hAnsi="Calibri" w:cs="Calibri"/>
          <w:b/>
        </w:rPr>
        <w:t>BPF Programme Board</w:t>
      </w:r>
      <w:r w:rsidRPr="00B07CA3">
        <w:rPr>
          <w:rFonts w:ascii="Calibri" w:hAnsi="Calibri" w:cs="Calibri"/>
        </w:rPr>
        <w:t xml:space="preserve"> (once per month) and escalated if necessary. This forms part of a wider BPF project portfolio management process.</w:t>
      </w:r>
    </w:p>
    <w:p w14:paraId="6A9FE2DC" w14:textId="7B51A274" w:rsidR="00DE6F7E" w:rsidRPr="006E3786" w:rsidRDefault="00B07CA3" w:rsidP="00613ABF">
      <w:pPr>
        <w:pStyle w:val="BodyText"/>
        <w:spacing w:after="240"/>
        <w:rPr>
          <w:rFonts w:ascii="Calibri" w:hAnsi="Calibri" w:cs="Calibri"/>
          <w:b/>
          <w:sz w:val="20"/>
          <w:szCs w:val="20"/>
        </w:rPr>
      </w:pPr>
      <w:r w:rsidRPr="006E3786">
        <w:rPr>
          <w:rFonts w:ascii="Calibri" w:hAnsi="Calibri" w:cs="Calibri"/>
        </w:rPr>
        <w:t xml:space="preserve">A </w:t>
      </w:r>
      <w:r w:rsidRPr="00A56DB2">
        <w:rPr>
          <w:rFonts w:ascii="Calibri" w:hAnsi="Calibri" w:cs="Calibri"/>
          <w:b/>
        </w:rPr>
        <w:t>Risk Potential Assessment (RPA)</w:t>
      </w:r>
      <w:r w:rsidRPr="006E3786">
        <w:rPr>
          <w:rFonts w:ascii="Calibri" w:hAnsi="Calibri" w:cs="Calibri"/>
        </w:rPr>
        <w:t xml:space="preserve"> has been completed</w:t>
      </w:r>
      <w:bookmarkEnd w:id="54"/>
      <w:r w:rsidR="00780DB0">
        <w:rPr>
          <w:rFonts w:ascii="Calibri" w:hAnsi="Calibri" w:cs="Calibri"/>
        </w:rPr>
        <w:t>. The risk is low.</w:t>
      </w:r>
    </w:p>
    <w:p w14:paraId="30643313" w14:textId="3EF7A927" w:rsidR="000865C8" w:rsidRPr="00217F59" w:rsidRDefault="000865C8" w:rsidP="00214816">
      <w:pPr>
        <w:pStyle w:val="Heading2"/>
        <w:numPr>
          <w:ilvl w:val="1"/>
          <w:numId w:val="39"/>
        </w:numPr>
      </w:pPr>
      <w:bookmarkStart w:id="55" w:name="_Toc121224130"/>
      <w:r w:rsidRPr="00217F59">
        <w:t>Avoiding fraud and corruption</w:t>
      </w:r>
      <w:bookmarkEnd w:id="55"/>
    </w:p>
    <w:p w14:paraId="4D92D818" w14:textId="66128E58" w:rsidR="009F291A" w:rsidRDefault="009F291A" w:rsidP="00613ABF">
      <w:pPr>
        <w:pStyle w:val="NoSpacing"/>
        <w:spacing w:after="240"/>
        <w:jc w:val="both"/>
        <w:rPr>
          <w:rFonts w:cstheme="minorHAnsi"/>
          <w:sz w:val="22"/>
          <w:szCs w:val="22"/>
        </w:rPr>
      </w:pPr>
      <w:r w:rsidRPr="003A4533">
        <w:rPr>
          <w:rFonts w:cstheme="minorHAnsi"/>
          <w:sz w:val="22"/>
          <w:szCs w:val="22"/>
        </w:rPr>
        <w:t xml:space="preserve">In line with ODA guidance, Defra expects all organisations to have a zero-tolerance approach to fraud and corruption; acting immediately if it is found, working with authorities to bring perpetrators to account and pursuing aggressive loss recovery approaches. The work of </w:t>
      </w:r>
      <w:r>
        <w:rPr>
          <w:rFonts w:cstheme="minorHAnsi"/>
          <w:sz w:val="22"/>
          <w:szCs w:val="22"/>
        </w:rPr>
        <w:t>UNEP</w:t>
      </w:r>
      <w:r w:rsidRPr="003A4533">
        <w:rPr>
          <w:rFonts w:cstheme="minorHAnsi"/>
          <w:sz w:val="22"/>
          <w:szCs w:val="22"/>
        </w:rPr>
        <w:t xml:space="preserve"> is governed by </w:t>
      </w:r>
      <w:r>
        <w:rPr>
          <w:rFonts w:cstheme="minorHAnsi"/>
          <w:sz w:val="22"/>
          <w:szCs w:val="22"/>
        </w:rPr>
        <w:t xml:space="preserve">anti-fraud and anti-corruption guidance, which can be accessed </w:t>
      </w:r>
      <w:hyperlink r:id="rId29" w:history="1">
        <w:r w:rsidRPr="004303C4">
          <w:rPr>
            <w:rStyle w:val="Hyperlink"/>
            <w:rFonts w:cstheme="minorHAnsi"/>
            <w:sz w:val="22"/>
            <w:szCs w:val="22"/>
          </w:rPr>
          <w:t>here</w:t>
        </w:r>
      </w:hyperlink>
      <w:r>
        <w:rPr>
          <w:rFonts w:cstheme="minorHAnsi"/>
          <w:sz w:val="22"/>
          <w:szCs w:val="22"/>
        </w:rPr>
        <w:t>.</w:t>
      </w:r>
      <w:r w:rsidRPr="003A4533">
        <w:rPr>
          <w:rFonts w:cstheme="minorHAnsi"/>
          <w:sz w:val="22"/>
          <w:szCs w:val="22"/>
        </w:rPr>
        <w:t xml:space="preserve"> </w:t>
      </w:r>
    </w:p>
    <w:p w14:paraId="01F12433" w14:textId="6AA4D4FC" w:rsidR="00547722" w:rsidRPr="00217F59" w:rsidRDefault="00547722" w:rsidP="00214816">
      <w:pPr>
        <w:pStyle w:val="Heading2"/>
        <w:numPr>
          <w:ilvl w:val="1"/>
          <w:numId w:val="39"/>
        </w:numPr>
      </w:pPr>
      <w:bookmarkStart w:id="56" w:name="_Toc121224131"/>
      <w:r w:rsidRPr="00217F59">
        <w:t>T</w:t>
      </w:r>
      <w:r w:rsidR="00A6161C">
        <w:t>ransparency</w:t>
      </w:r>
      <w:bookmarkEnd w:id="56"/>
    </w:p>
    <w:p w14:paraId="49E992E4" w14:textId="2AC682DE" w:rsidR="00547722" w:rsidRPr="00217F59" w:rsidRDefault="00547722" w:rsidP="00613ABF">
      <w:pPr>
        <w:spacing w:after="240"/>
        <w:rPr>
          <w:rFonts w:cstheme="minorHAnsi"/>
          <w:lang w:eastAsia="en-GB"/>
        </w:rPr>
      </w:pPr>
      <w:r w:rsidRPr="00BD39C8">
        <w:rPr>
          <w:rFonts w:cstheme="minorHAnsi"/>
          <w:lang w:eastAsia="en-GB"/>
        </w:rPr>
        <w:t xml:space="preserve">Defra requires all its partners to meet the </w:t>
      </w:r>
      <w:r w:rsidRPr="00BD39C8">
        <w:rPr>
          <w:rFonts w:cstheme="minorHAnsi"/>
          <w:i/>
          <w:lang w:eastAsia="en-GB"/>
        </w:rPr>
        <w:t>International Aid Transparency Initiative (IATI) standard</w:t>
      </w:r>
      <w:r w:rsidRPr="00217F59">
        <w:rPr>
          <w:rFonts w:cstheme="minorHAnsi"/>
          <w:lang w:eastAsia="en-GB"/>
        </w:rPr>
        <w:t xml:space="preserve"> that aims to ensure that organisations publish information to ‘improve the coordination, accountability and effectiveness to maximise their impact on the world's poorest and most vulnerable people’. This includes information on the organisation, funds, and planned activities. This intervention will generate significant outputs including log frames, annual reviews, </w:t>
      </w:r>
      <w:r w:rsidR="004E0A82" w:rsidRPr="00217F59">
        <w:rPr>
          <w:rFonts w:cstheme="minorHAnsi"/>
          <w:lang w:eastAsia="en-GB"/>
        </w:rPr>
        <w:t>programme/</w:t>
      </w:r>
      <w:r w:rsidRPr="00217F59">
        <w:rPr>
          <w:rFonts w:cstheme="minorHAnsi"/>
          <w:lang w:eastAsia="en-GB"/>
        </w:rPr>
        <w:t>project proposals and technical reports which will be of interest to other countries and stakeholders. All outputs should be published on IATI, free to users whenever possible. Most agencies are now following this standard.</w:t>
      </w:r>
      <w:r w:rsidR="00A56DB2">
        <w:rPr>
          <w:rFonts w:cstheme="minorHAnsi"/>
          <w:lang w:eastAsia="en-GB"/>
        </w:rPr>
        <w:t xml:space="preserve"> </w:t>
      </w:r>
      <w:r w:rsidRPr="00217F59">
        <w:rPr>
          <w:rFonts w:cstheme="minorHAnsi"/>
          <w:lang w:eastAsia="en-GB"/>
        </w:rPr>
        <w:t>Defra also uploads relevant programme outputs to the UK Development Tracker</w:t>
      </w:r>
      <w:r w:rsidR="006D473A">
        <w:rPr>
          <w:rFonts w:cstheme="minorHAnsi"/>
          <w:lang w:eastAsia="en-GB"/>
        </w:rPr>
        <w:t>.</w:t>
      </w:r>
    </w:p>
    <w:p w14:paraId="5DCABF17" w14:textId="23C453B7" w:rsidR="009F291A" w:rsidRPr="00217F59" w:rsidRDefault="009F291A" w:rsidP="00214816">
      <w:pPr>
        <w:pStyle w:val="Heading2"/>
        <w:numPr>
          <w:ilvl w:val="1"/>
          <w:numId w:val="39"/>
        </w:numPr>
      </w:pPr>
      <w:bookmarkStart w:id="57" w:name="_Toc121224132"/>
      <w:r w:rsidRPr="00217F59">
        <w:t>Safeguarding</w:t>
      </w:r>
      <w:bookmarkEnd w:id="57"/>
    </w:p>
    <w:p w14:paraId="36A9BB9C" w14:textId="44E9C927" w:rsidR="00022C98" w:rsidRPr="00022C98" w:rsidRDefault="006D473A" w:rsidP="00E20142">
      <w:pPr>
        <w:spacing w:after="240"/>
        <w:rPr>
          <w:rFonts w:cstheme="minorHAnsi"/>
        </w:rPr>
      </w:pPr>
      <w:r>
        <w:rPr>
          <w:rFonts w:cstheme="minorHAnsi"/>
        </w:rPr>
        <w:t>Safeguarding is a priority for Defra and UK ODA.</w:t>
      </w:r>
      <w:r w:rsidR="00916578">
        <w:rPr>
          <w:rFonts w:cstheme="minorHAnsi"/>
        </w:rPr>
        <w:t xml:space="preserve"> </w:t>
      </w:r>
      <w:r w:rsidR="00022C98" w:rsidRPr="00022C98">
        <w:rPr>
          <w:rFonts w:cstheme="minorHAnsi"/>
        </w:rPr>
        <w:t>Defra believes that everyone involved in delivering ODA funded projects, regardless of age, gender identity, disability, sexual orientation, religion, ethnic origin or any other protected characteristic has the right to be protected from all forms of harm, abuse, neglect and exploitation. Defra will not tolerate abuse and/or exploitation by staff or associated personnel involved in Defra-funded ODA projects. This policy will address safeguarding in the context of sexual exploitation and abuse and sexual harassment. Teams are also expected to consider wider social, economic and environmental safeguarding beyond the scope of this document during project design and implementation and to monitor and evaluate safeguarding throughout the delivery stage.</w:t>
      </w:r>
    </w:p>
    <w:p w14:paraId="55D9813C" w14:textId="77777777" w:rsidR="00A56DB2" w:rsidRDefault="00022C98" w:rsidP="00E20142">
      <w:pPr>
        <w:spacing w:after="240"/>
        <w:rPr>
          <w:rFonts w:cstheme="minorHAnsi"/>
        </w:rPr>
      </w:pPr>
      <w:r w:rsidRPr="00022C98">
        <w:rPr>
          <w:rFonts w:cstheme="minorHAnsi"/>
        </w:rPr>
        <w:t xml:space="preserve">It is a mandatory responsibility of the delivery partner or organisation that is delivering an ODA funded project, to have appropriate and proportionate safeguarding policies and procedures and it is the responsibility of the SRO within Defra to seek assurance that these are in place. A delivery partner/organisation’s safeguarding policy should clearly set out policies that seek to prevent and address sexual exploitation, abuse and sexual harassment and have clear behavioural expectations of all staff and associated personnel that apply in all countries in which aid work is being </w:t>
      </w:r>
      <w:r w:rsidR="004A6A2F" w:rsidRPr="00022C98">
        <w:rPr>
          <w:rFonts w:cstheme="minorHAnsi"/>
        </w:rPr>
        <w:t>delivered.</w:t>
      </w:r>
      <w:r w:rsidR="00F57684">
        <w:rPr>
          <w:rFonts w:cstheme="minorHAnsi"/>
        </w:rPr>
        <w:t xml:space="preserve"> </w:t>
      </w:r>
      <w:r w:rsidRPr="00022C98">
        <w:rPr>
          <w:rFonts w:cstheme="minorHAnsi"/>
        </w:rPr>
        <w:t>Defra expects all partners and organisations delivering ODA funded projects to commit to addressing safeguarding throughout their work, through the safeguarding cycle of identify, prevent, report, respond and learn.</w:t>
      </w:r>
      <w:r w:rsidR="0014771A">
        <w:rPr>
          <w:rFonts w:cstheme="minorHAnsi"/>
        </w:rPr>
        <w:t xml:space="preserve"> </w:t>
      </w:r>
    </w:p>
    <w:p w14:paraId="56C782BC" w14:textId="4A395D9F" w:rsidR="008D1358" w:rsidRDefault="00246447" w:rsidP="00E20142">
      <w:pPr>
        <w:spacing w:after="240"/>
        <w:rPr>
          <w:rFonts w:cstheme="minorHAnsi"/>
        </w:rPr>
      </w:pPr>
      <w:r>
        <w:rPr>
          <w:rFonts w:cstheme="minorHAnsi"/>
        </w:rPr>
        <w:t xml:space="preserve">Please see </w:t>
      </w:r>
      <w:r w:rsidRPr="00A5047F">
        <w:rPr>
          <w:rFonts w:cstheme="minorHAnsi"/>
          <w:b/>
          <w:bCs/>
        </w:rPr>
        <w:t>Section 2.6</w:t>
      </w:r>
      <w:r>
        <w:rPr>
          <w:rFonts w:cstheme="minorHAnsi"/>
        </w:rPr>
        <w:t xml:space="preserve"> for more details on UNEP and UN safeguarding approaches.</w:t>
      </w:r>
      <w:r w:rsidR="005F159E">
        <w:rPr>
          <w:rFonts w:cstheme="minorHAnsi"/>
        </w:rPr>
        <w:br w:type="page"/>
      </w:r>
    </w:p>
    <w:p w14:paraId="2993953C" w14:textId="5E131A1B" w:rsidR="00F47E59" w:rsidRDefault="00F9019C" w:rsidP="00214816">
      <w:pPr>
        <w:pStyle w:val="Heading1"/>
        <w:numPr>
          <w:ilvl w:val="0"/>
          <w:numId w:val="39"/>
        </w:numPr>
        <w:spacing w:after="240" w:line="240" w:lineRule="auto"/>
      </w:pPr>
      <w:bookmarkStart w:id="58" w:name="_Toc121224133"/>
      <w:r w:rsidRPr="00217F59">
        <w:lastRenderedPageBreak/>
        <w:t>Appendi</w:t>
      </w:r>
      <w:r w:rsidR="00993755">
        <w:t>ces</w:t>
      </w:r>
      <w:bookmarkEnd w:id="58"/>
    </w:p>
    <w:p w14:paraId="4938E030" w14:textId="3DD47BBC" w:rsidR="005E130E" w:rsidRPr="00217F59" w:rsidRDefault="00F9019C" w:rsidP="00214816">
      <w:pPr>
        <w:pStyle w:val="Heading2"/>
        <w:numPr>
          <w:ilvl w:val="1"/>
          <w:numId w:val="39"/>
        </w:numPr>
      </w:pPr>
      <w:bookmarkStart w:id="59" w:name="_Toc121224134"/>
      <w:r w:rsidRPr="00217F59">
        <w:t xml:space="preserve">Appendix 1: </w:t>
      </w:r>
      <w:r w:rsidR="00F43BAA">
        <w:t>D</w:t>
      </w:r>
      <w:r w:rsidR="004D154F" w:rsidRPr="00F47E59">
        <w:t>etail</w:t>
      </w:r>
      <w:r w:rsidR="004D154F" w:rsidRPr="00AA4B4B">
        <w:t xml:space="preserve"> </w:t>
      </w:r>
      <w:r w:rsidR="004D154F">
        <w:t>on</w:t>
      </w:r>
      <w:r w:rsidR="004D154F" w:rsidRPr="00AA4B4B">
        <w:t xml:space="preserve"> </w:t>
      </w:r>
      <w:r w:rsidR="004D154F">
        <w:t>Blue Planet Fund and UK/Defra outcomes</w:t>
      </w:r>
      <w:bookmarkEnd w:id="59"/>
    </w:p>
    <w:p w14:paraId="330CDBAD" w14:textId="71158741" w:rsidR="00CB7B5A" w:rsidRDefault="00CB7B5A" w:rsidP="00CB7B5A">
      <w:pPr>
        <w:rPr>
          <w:rFonts w:cstheme="minorHAnsi"/>
          <w:szCs w:val="20"/>
        </w:rPr>
      </w:pPr>
      <w:r w:rsidRPr="00432660">
        <w:rPr>
          <w:rFonts w:cstheme="minorHAnsi"/>
          <w:szCs w:val="20"/>
        </w:rPr>
        <w:t>Identifying we are now at a pivotal moment, the 2019 Conservative Manifesto formally committed to “</w:t>
      </w:r>
      <w:r w:rsidRPr="00432660">
        <w:rPr>
          <w:rFonts w:cstheme="minorHAnsi"/>
          <w:i/>
          <w:szCs w:val="20"/>
        </w:rPr>
        <w:t>establish a new £500 million Blue Planet Fund to help protect our oceans from plastic pollution, warming sea temperatures and overfishing</w:t>
      </w:r>
      <w:r w:rsidRPr="00432660">
        <w:rPr>
          <w:rFonts w:cstheme="minorHAnsi"/>
          <w:szCs w:val="20"/>
        </w:rPr>
        <w:t>”</w:t>
      </w:r>
      <w:r w:rsidRPr="00432660">
        <w:rPr>
          <w:rStyle w:val="FootnoteReference"/>
          <w:rFonts w:cstheme="minorHAnsi"/>
          <w:szCs w:val="20"/>
        </w:rPr>
        <w:footnoteReference w:id="37"/>
      </w:r>
      <w:r w:rsidRPr="00432660">
        <w:rPr>
          <w:rFonts w:cstheme="minorHAnsi"/>
          <w:szCs w:val="20"/>
        </w:rPr>
        <w:t>. Reflecting the value of the ocean to the development agenda, the Conservative Party earlier stated that this would be “resourced from the International Aid budget”.</w:t>
      </w:r>
      <w:r w:rsidRPr="00432660">
        <w:rPr>
          <w:rStyle w:val="FootnoteReference"/>
          <w:rFonts w:cstheme="minorHAnsi"/>
          <w:szCs w:val="20"/>
        </w:rPr>
        <w:footnoteReference w:id="38"/>
      </w:r>
    </w:p>
    <w:p w14:paraId="61F2C30B" w14:textId="77777777" w:rsidR="00CB7B5A" w:rsidRPr="00432660" w:rsidRDefault="00CB7B5A" w:rsidP="00CB7B5A">
      <w:pPr>
        <w:rPr>
          <w:rFonts w:cstheme="minorHAnsi"/>
          <w:szCs w:val="20"/>
        </w:rPr>
      </w:pPr>
    </w:p>
    <w:p w14:paraId="0F544222" w14:textId="6784EE66" w:rsidR="00CB7B5A" w:rsidRDefault="00CB7B5A" w:rsidP="00CB7B5A">
      <w:pPr>
        <w:rPr>
          <w:rFonts w:cstheme="minorHAnsi"/>
          <w:i/>
        </w:rPr>
      </w:pPr>
      <w:r w:rsidRPr="00432660">
        <w:rPr>
          <w:rFonts w:cstheme="minorHAnsi"/>
        </w:rPr>
        <w:t>Recognising the indivisible link between ocean health and its effect on poverty alleviation and the sustainable development prospects of the world’s most disadvantaged communities, the Blue Planet Fund (BPF) will ‘</w:t>
      </w:r>
      <w:r w:rsidRPr="00432660">
        <w:rPr>
          <w:rFonts w:cstheme="minorHAnsi"/>
          <w:i/>
        </w:rPr>
        <w:t>protect and enhance marine ecosystems through the sustainable management of ocean resources, to reduce poverty in developing countries’.</w:t>
      </w:r>
    </w:p>
    <w:p w14:paraId="5812C650" w14:textId="77777777" w:rsidR="00CB7B5A" w:rsidRPr="00432660" w:rsidRDefault="00CB7B5A" w:rsidP="00CB7B5A">
      <w:pPr>
        <w:rPr>
          <w:rFonts w:cstheme="minorHAnsi"/>
        </w:rPr>
      </w:pPr>
    </w:p>
    <w:p w14:paraId="2E79D45D" w14:textId="13EFE6DC" w:rsidR="00CB7B5A" w:rsidRPr="00432660" w:rsidRDefault="00CB7B5A" w:rsidP="00CB7B5A">
      <w:pPr>
        <w:rPr>
          <w:rFonts w:cstheme="minorHAnsi"/>
          <w:szCs w:val="20"/>
        </w:rPr>
      </w:pPr>
      <w:r w:rsidRPr="00432660">
        <w:rPr>
          <w:rFonts w:cstheme="minorHAnsi"/>
          <w:szCs w:val="20"/>
        </w:rPr>
        <w:t>A specific outcome has been agreed under each theme:</w:t>
      </w:r>
    </w:p>
    <w:p w14:paraId="12D4CE9A" w14:textId="77777777" w:rsidR="00CB7B5A" w:rsidRPr="0021136F" w:rsidRDefault="00CB7B5A" w:rsidP="005C25BE">
      <w:pPr>
        <w:pStyle w:val="ListParagraph"/>
        <w:numPr>
          <w:ilvl w:val="0"/>
          <w:numId w:val="30"/>
        </w:numPr>
        <w:spacing w:after="160" w:line="240" w:lineRule="auto"/>
        <w:rPr>
          <w:rFonts w:asciiTheme="minorHAnsi" w:hAnsiTheme="minorHAnsi" w:cstheme="minorHAnsi"/>
          <w:b/>
          <w:szCs w:val="20"/>
        </w:rPr>
      </w:pPr>
      <w:r w:rsidRPr="0021136F">
        <w:rPr>
          <w:rFonts w:asciiTheme="minorHAnsi" w:hAnsiTheme="minorHAnsi" w:cstheme="minorHAnsi"/>
          <w:b/>
          <w:szCs w:val="20"/>
        </w:rPr>
        <w:t>Biodiversity</w:t>
      </w:r>
    </w:p>
    <w:p w14:paraId="5EAC8013" w14:textId="0CEFB0E7" w:rsidR="00CB7B5A" w:rsidRPr="00432660" w:rsidRDefault="00CB7B5A" w:rsidP="00CB7B5A">
      <w:pPr>
        <w:pStyle w:val="ListParagraph"/>
        <w:rPr>
          <w:rFonts w:asciiTheme="minorHAnsi" w:hAnsiTheme="minorHAnsi" w:cstheme="minorHAnsi"/>
          <w:i/>
        </w:rPr>
      </w:pPr>
      <w:r w:rsidRPr="00432660">
        <w:rPr>
          <w:rFonts w:asciiTheme="minorHAnsi" w:hAnsiTheme="minorHAnsi" w:cstheme="minorHAnsi"/>
          <w:i/>
        </w:rPr>
        <w:t xml:space="preserve">Improved </w:t>
      </w:r>
      <w:r w:rsidRPr="0021136F">
        <w:rPr>
          <w:rFonts w:asciiTheme="minorHAnsi" w:hAnsiTheme="minorHAnsi" w:cstheme="minorHAnsi"/>
          <w:i/>
        </w:rPr>
        <w:t>marine biodiversity</w:t>
      </w:r>
      <w:r w:rsidRPr="00432660">
        <w:rPr>
          <w:rFonts w:asciiTheme="minorHAnsi" w:hAnsiTheme="minorHAnsi" w:cstheme="minorHAnsi"/>
          <w:i/>
        </w:rPr>
        <w:t xml:space="preserve"> and livelihoods by protecting and enhancing marine ecosystems, reducing pressures and increasing resilience, and enabling sustainable and equitable access to, and use of, these resources.</w:t>
      </w:r>
    </w:p>
    <w:p w14:paraId="1ABA525D" w14:textId="77777777" w:rsidR="00CB7B5A" w:rsidRPr="0021136F" w:rsidRDefault="00CB7B5A" w:rsidP="005C25BE">
      <w:pPr>
        <w:pStyle w:val="ListParagraph"/>
        <w:numPr>
          <w:ilvl w:val="0"/>
          <w:numId w:val="30"/>
        </w:numPr>
        <w:spacing w:after="160" w:line="240" w:lineRule="auto"/>
        <w:rPr>
          <w:rFonts w:asciiTheme="minorHAnsi" w:hAnsiTheme="minorHAnsi" w:cstheme="minorHAnsi"/>
          <w:b/>
          <w:szCs w:val="20"/>
        </w:rPr>
      </w:pPr>
      <w:r w:rsidRPr="0021136F">
        <w:rPr>
          <w:rFonts w:asciiTheme="minorHAnsi" w:hAnsiTheme="minorHAnsi" w:cstheme="minorHAnsi"/>
          <w:b/>
          <w:szCs w:val="20"/>
        </w:rPr>
        <w:t>Climate change</w:t>
      </w:r>
    </w:p>
    <w:p w14:paraId="235137EA" w14:textId="264EEAA5" w:rsidR="00CB7B5A" w:rsidRPr="00432660" w:rsidRDefault="00CB7B5A" w:rsidP="00CB7B5A">
      <w:pPr>
        <w:pStyle w:val="ListParagraph"/>
        <w:rPr>
          <w:rFonts w:asciiTheme="minorHAnsi" w:hAnsiTheme="minorHAnsi" w:cstheme="minorHAnsi"/>
          <w:i/>
        </w:rPr>
      </w:pPr>
      <w:r w:rsidRPr="00432660">
        <w:rPr>
          <w:rFonts w:asciiTheme="minorHAnsi" w:hAnsiTheme="minorHAnsi" w:cstheme="minorHAnsi"/>
          <w:i/>
        </w:rPr>
        <w:t xml:space="preserve">Improved resilience, adaptation to and mitigation of </w:t>
      </w:r>
      <w:r w:rsidRPr="0021136F">
        <w:rPr>
          <w:rFonts w:asciiTheme="minorHAnsi" w:hAnsiTheme="minorHAnsi" w:cstheme="minorHAnsi"/>
          <w:i/>
        </w:rPr>
        <w:t>climate change</w:t>
      </w:r>
      <w:r w:rsidRPr="00432660">
        <w:rPr>
          <w:rFonts w:asciiTheme="minorHAnsi" w:hAnsiTheme="minorHAnsi" w:cstheme="minorHAnsi"/>
          <w:i/>
        </w:rPr>
        <w:t>, particularly through enabling and investing in inclusive nature-based solutions.</w:t>
      </w:r>
    </w:p>
    <w:p w14:paraId="7DDADEF3" w14:textId="77777777" w:rsidR="00CB7B5A" w:rsidRPr="0021136F" w:rsidRDefault="00CB7B5A" w:rsidP="005C25BE">
      <w:pPr>
        <w:pStyle w:val="ListParagraph"/>
        <w:numPr>
          <w:ilvl w:val="0"/>
          <w:numId w:val="30"/>
        </w:numPr>
        <w:spacing w:after="160" w:line="240" w:lineRule="auto"/>
        <w:rPr>
          <w:rFonts w:asciiTheme="minorHAnsi" w:hAnsiTheme="minorHAnsi" w:cstheme="minorHAnsi"/>
          <w:b/>
          <w:szCs w:val="20"/>
        </w:rPr>
      </w:pPr>
      <w:r w:rsidRPr="0021136F">
        <w:rPr>
          <w:rFonts w:asciiTheme="minorHAnsi" w:hAnsiTheme="minorHAnsi" w:cstheme="minorHAnsi"/>
          <w:b/>
          <w:szCs w:val="20"/>
        </w:rPr>
        <w:t>Marine pollution</w:t>
      </w:r>
    </w:p>
    <w:p w14:paraId="5AFD2B76" w14:textId="3EEE0DD8" w:rsidR="00CB7B5A" w:rsidRPr="00432660" w:rsidRDefault="00CB7B5A" w:rsidP="00CB7B5A">
      <w:pPr>
        <w:pStyle w:val="ListParagraph"/>
        <w:rPr>
          <w:rFonts w:asciiTheme="minorHAnsi" w:hAnsiTheme="minorHAnsi" w:cstheme="minorHAnsi"/>
          <w:i/>
        </w:rPr>
      </w:pPr>
      <w:r w:rsidRPr="0021136F">
        <w:rPr>
          <w:rFonts w:asciiTheme="minorHAnsi" w:hAnsiTheme="minorHAnsi" w:cstheme="minorHAnsi"/>
          <w:i/>
        </w:rPr>
        <w:t>Marine pollution</w:t>
      </w:r>
      <w:r w:rsidRPr="00432660">
        <w:rPr>
          <w:rFonts w:asciiTheme="minorHAnsi" w:hAnsiTheme="minorHAnsi" w:cstheme="minorHAnsi"/>
          <w:i/>
        </w:rPr>
        <w:t xml:space="preserve"> reduced through action on land-based and sea-based sources that also contributes to improved livelihoods and healthier environments.</w:t>
      </w:r>
    </w:p>
    <w:p w14:paraId="3D792DED" w14:textId="77777777" w:rsidR="00CB7B5A" w:rsidRPr="0021136F" w:rsidRDefault="00CB7B5A" w:rsidP="005C25BE">
      <w:pPr>
        <w:pStyle w:val="ListParagraph"/>
        <w:numPr>
          <w:ilvl w:val="0"/>
          <w:numId w:val="30"/>
        </w:numPr>
        <w:spacing w:after="160" w:line="240" w:lineRule="auto"/>
        <w:rPr>
          <w:rFonts w:asciiTheme="minorHAnsi" w:hAnsiTheme="minorHAnsi" w:cstheme="minorHAnsi"/>
          <w:b/>
          <w:szCs w:val="20"/>
        </w:rPr>
      </w:pPr>
      <w:r w:rsidRPr="0021136F">
        <w:rPr>
          <w:rFonts w:asciiTheme="minorHAnsi" w:hAnsiTheme="minorHAnsi" w:cstheme="minorHAnsi"/>
          <w:b/>
          <w:szCs w:val="20"/>
        </w:rPr>
        <w:t>Sustainable Seafood</w:t>
      </w:r>
    </w:p>
    <w:p w14:paraId="526BA0C7" w14:textId="71D39C2B" w:rsidR="00CB7B5A" w:rsidRPr="00432660" w:rsidRDefault="00CB7B5A" w:rsidP="00432660">
      <w:pPr>
        <w:pStyle w:val="ListParagraph"/>
        <w:rPr>
          <w:rFonts w:ascii="Arial" w:hAnsi="Arial" w:cs="Arial"/>
          <w:i/>
          <w:sz w:val="24"/>
          <w:szCs w:val="24"/>
        </w:rPr>
      </w:pPr>
      <w:r w:rsidRPr="0021136F">
        <w:rPr>
          <w:rFonts w:asciiTheme="minorHAnsi" w:hAnsiTheme="minorHAnsi" w:cstheme="minorHAnsi"/>
          <w:i/>
        </w:rPr>
        <w:t>Seafood</w:t>
      </w:r>
      <w:r w:rsidRPr="00432660">
        <w:rPr>
          <w:rFonts w:asciiTheme="minorHAnsi" w:hAnsiTheme="minorHAnsi" w:cstheme="minorHAnsi"/>
          <w:i/>
        </w:rPr>
        <w:t xml:space="preserve"> produced and distributed in ways which support healthy ecosystems, do not overexploit marine stocks, provide sustainable inclusive and equitable livelihoods and enhance resilience to climate and socioeconomic shocks</w:t>
      </w:r>
    </w:p>
    <w:p w14:paraId="175D687B" w14:textId="1BE7F05F" w:rsidR="0004355E" w:rsidRDefault="00996596" w:rsidP="00613ABF">
      <w:pPr>
        <w:pStyle w:val="NormalWeb"/>
        <w:spacing w:after="240" w:afterAutospacing="0"/>
        <w:jc w:val="both"/>
        <w:rPr>
          <w:rFonts w:asciiTheme="minorHAnsi" w:hAnsiTheme="minorHAnsi" w:cstheme="minorHAnsi"/>
          <w:sz w:val="22"/>
          <w:szCs w:val="22"/>
          <w:shd w:val="clear" w:color="auto" w:fill="FFFFFF"/>
        </w:rPr>
      </w:pPr>
      <w:r w:rsidRPr="00217F59">
        <w:rPr>
          <w:rFonts w:asciiTheme="minorHAnsi" w:hAnsiTheme="minorHAnsi" w:cstheme="minorHAnsi"/>
          <w:sz w:val="22"/>
          <w:szCs w:val="22"/>
        </w:rPr>
        <w:t>Through the £500 million Blue Planet Fund</w:t>
      </w:r>
      <w:r>
        <w:rPr>
          <w:rFonts w:asciiTheme="minorHAnsi" w:hAnsiTheme="minorHAnsi" w:cstheme="minorHAnsi"/>
          <w:sz w:val="22"/>
          <w:szCs w:val="22"/>
        </w:rPr>
        <w:t>,</w:t>
      </w:r>
      <w:r w:rsidRPr="00217F59">
        <w:rPr>
          <w:rFonts w:asciiTheme="minorHAnsi" w:hAnsiTheme="minorHAnsi" w:cstheme="minorHAnsi"/>
          <w:sz w:val="22"/>
          <w:szCs w:val="22"/>
        </w:rPr>
        <w:t xml:space="preserve"> the UK </w:t>
      </w:r>
      <w:r>
        <w:rPr>
          <w:rFonts w:asciiTheme="minorHAnsi" w:hAnsiTheme="minorHAnsi" w:cstheme="minorHAnsi"/>
          <w:sz w:val="22"/>
          <w:szCs w:val="22"/>
        </w:rPr>
        <w:t xml:space="preserve">supports the Global Plastic Action Partnership alongside the Government of Canada and several corporate partners. </w:t>
      </w:r>
      <w:r w:rsidRPr="00217F59">
        <w:rPr>
          <w:rFonts w:asciiTheme="minorHAnsi" w:hAnsiTheme="minorHAnsi" w:cstheme="minorHAnsi"/>
          <w:color w:val="201F1E"/>
          <w:sz w:val="22"/>
          <w:szCs w:val="22"/>
          <w:shd w:val="clear" w:color="auto" w:fill="FFFFFF"/>
        </w:rPr>
        <w:t>GPAP brings together </w:t>
      </w:r>
      <w:r w:rsidRPr="00217F59">
        <w:rPr>
          <w:rFonts w:asciiTheme="minorHAnsi" w:hAnsiTheme="minorHAnsi" w:cstheme="minorHAnsi"/>
          <w:color w:val="000000"/>
          <w:sz w:val="22"/>
          <w:szCs w:val="22"/>
          <w:shd w:val="clear" w:color="auto" w:fill="FFFFFF"/>
        </w:rPr>
        <w:t>world leaders, decision-makers</w:t>
      </w:r>
      <w:r w:rsidR="000A7A9B" w:rsidRPr="00217F59">
        <w:rPr>
          <w:rFonts w:asciiTheme="minorHAnsi" w:hAnsiTheme="minorHAnsi" w:cstheme="minorHAnsi"/>
          <w:color w:val="000000"/>
          <w:sz w:val="22"/>
          <w:szCs w:val="22"/>
          <w:shd w:val="clear" w:color="auto" w:fill="FFFFFF"/>
        </w:rPr>
        <w:t>,</w:t>
      </w:r>
      <w:r w:rsidRPr="00217F59">
        <w:rPr>
          <w:rFonts w:asciiTheme="minorHAnsi" w:hAnsiTheme="minorHAnsi" w:cstheme="minorHAnsi"/>
          <w:color w:val="000000"/>
          <w:sz w:val="22"/>
          <w:szCs w:val="22"/>
          <w:shd w:val="clear" w:color="auto" w:fill="FFFFFF"/>
        </w:rPr>
        <w:t xml:space="preserve"> and industry </w:t>
      </w:r>
      <w:r w:rsidRPr="00217F59">
        <w:rPr>
          <w:rFonts w:asciiTheme="minorHAnsi" w:hAnsiTheme="minorHAnsi" w:cstheme="minorHAnsi"/>
          <w:color w:val="201F1E"/>
          <w:sz w:val="22"/>
          <w:szCs w:val="22"/>
          <w:shd w:val="clear" w:color="auto" w:fill="FFFFFF"/>
        </w:rPr>
        <w:t>to take collaborative action on tackling plastic pollution in developing countries</w:t>
      </w:r>
      <w:r>
        <w:rPr>
          <w:rFonts w:asciiTheme="minorHAnsi" w:hAnsiTheme="minorHAnsi" w:cstheme="minorHAnsi"/>
          <w:color w:val="201F1E"/>
          <w:sz w:val="22"/>
          <w:szCs w:val="22"/>
          <w:shd w:val="clear" w:color="auto" w:fill="FFFFFF"/>
        </w:rPr>
        <w:t>, so far (correct at time of business case approval) having</w:t>
      </w:r>
      <w:r w:rsidRPr="00217F59">
        <w:rPr>
          <w:rFonts w:asciiTheme="minorHAnsi" w:hAnsiTheme="minorHAnsi" w:cstheme="minorHAnsi"/>
          <w:color w:val="201F1E"/>
          <w:sz w:val="22"/>
          <w:szCs w:val="22"/>
          <w:shd w:val="clear" w:color="auto" w:fill="FFFFFF"/>
        </w:rPr>
        <w:t xml:space="preserve"> established partnerships in Indonesia, Ghana</w:t>
      </w:r>
      <w:r>
        <w:rPr>
          <w:rFonts w:asciiTheme="minorHAnsi" w:hAnsiTheme="minorHAnsi" w:cstheme="minorHAnsi"/>
          <w:color w:val="201F1E"/>
          <w:sz w:val="22"/>
          <w:szCs w:val="22"/>
          <w:shd w:val="clear" w:color="auto" w:fill="FFFFFF"/>
        </w:rPr>
        <w:t xml:space="preserve">, </w:t>
      </w:r>
      <w:r w:rsidRPr="00217F59">
        <w:rPr>
          <w:rFonts w:asciiTheme="minorHAnsi" w:hAnsiTheme="minorHAnsi" w:cstheme="minorHAnsi"/>
          <w:color w:val="201F1E"/>
          <w:sz w:val="22"/>
          <w:szCs w:val="22"/>
          <w:shd w:val="clear" w:color="auto" w:fill="FFFFFF"/>
        </w:rPr>
        <w:t xml:space="preserve">Vietnam, </w:t>
      </w:r>
      <w:r>
        <w:rPr>
          <w:rFonts w:asciiTheme="minorHAnsi" w:hAnsiTheme="minorHAnsi" w:cstheme="minorHAnsi"/>
          <w:color w:val="201F1E"/>
          <w:sz w:val="22"/>
          <w:szCs w:val="22"/>
          <w:shd w:val="clear" w:color="auto" w:fill="FFFFFF"/>
        </w:rPr>
        <w:t xml:space="preserve">Nigeria, Pakistan and the Indian state of Maharashtra. Furthermore, </w:t>
      </w:r>
      <w:r w:rsidRPr="00217F59">
        <w:rPr>
          <w:rFonts w:asciiTheme="minorHAnsi" w:hAnsiTheme="minorHAnsi" w:cstheme="minorHAnsi"/>
          <w:sz w:val="22"/>
          <w:szCs w:val="22"/>
          <w:shd w:val="clear" w:color="auto" w:fill="FFFFFF"/>
        </w:rPr>
        <w:t xml:space="preserve">the </w:t>
      </w:r>
      <w:r>
        <w:rPr>
          <w:rFonts w:asciiTheme="minorHAnsi" w:hAnsiTheme="minorHAnsi" w:cstheme="minorHAnsi"/>
          <w:sz w:val="22"/>
          <w:szCs w:val="22"/>
          <w:shd w:val="clear" w:color="auto" w:fill="FFFFFF"/>
        </w:rPr>
        <w:t xml:space="preserve">UK’s bilateral technical assistance facility – the </w:t>
      </w:r>
      <w:r w:rsidRPr="00217F59">
        <w:rPr>
          <w:rFonts w:asciiTheme="minorHAnsi" w:hAnsiTheme="minorHAnsi" w:cstheme="minorHAnsi"/>
          <w:sz w:val="22"/>
          <w:szCs w:val="22"/>
          <w:shd w:val="clear" w:color="auto" w:fill="FFFFFF"/>
        </w:rPr>
        <w:t>Ocean Country Partnership Programme (OCPP)</w:t>
      </w:r>
      <w:r>
        <w:rPr>
          <w:rFonts w:asciiTheme="minorHAnsi" w:hAnsiTheme="minorHAnsi" w:cstheme="minorHAnsi"/>
          <w:sz w:val="22"/>
          <w:szCs w:val="22"/>
          <w:shd w:val="clear" w:color="auto" w:fill="FFFFFF"/>
        </w:rPr>
        <w:t xml:space="preserve"> –</w:t>
      </w:r>
      <w:r w:rsidRPr="00217F59">
        <w:rPr>
          <w:rFonts w:asciiTheme="minorHAnsi" w:hAnsiTheme="minorHAnsi" w:cstheme="minorHAnsi"/>
          <w:sz w:val="22"/>
          <w:szCs w:val="22"/>
          <w:shd w:val="clear" w:color="auto" w:fill="FFFFFF"/>
        </w:rPr>
        <w:t>build</w:t>
      </w:r>
      <w:r>
        <w:rPr>
          <w:rFonts w:asciiTheme="minorHAnsi" w:hAnsiTheme="minorHAnsi" w:cstheme="minorHAnsi"/>
          <w:sz w:val="22"/>
          <w:szCs w:val="22"/>
          <w:shd w:val="clear" w:color="auto" w:fill="FFFFFF"/>
        </w:rPr>
        <w:t>s</w:t>
      </w:r>
      <w:r w:rsidRPr="00217F59">
        <w:rPr>
          <w:rFonts w:asciiTheme="minorHAnsi" w:hAnsiTheme="minorHAnsi" w:cstheme="minorHAnsi"/>
          <w:sz w:val="22"/>
          <w:szCs w:val="22"/>
          <w:shd w:val="clear" w:color="auto" w:fill="FFFFFF"/>
        </w:rPr>
        <w:t xml:space="preserve"> on </w:t>
      </w:r>
      <w:r>
        <w:rPr>
          <w:rFonts w:asciiTheme="minorHAnsi" w:hAnsiTheme="minorHAnsi" w:cstheme="minorHAnsi"/>
          <w:sz w:val="22"/>
          <w:szCs w:val="22"/>
          <w:shd w:val="clear" w:color="auto" w:fill="FFFFFF"/>
        </w:rPr>
        <w:t xml:space="preserve">successful </w:t>
      </w:r>
      <w:r w:rsidRPr="00217F59">
        <w:rPr>
          <w:rFonts w:asciiTheme="minorHAnsi" w:hAnsiTheme="minorHAnsi" w:cstheme="minorHAnsi"/>
          <w:sz w:val="22"/>
          <w:szCs w:val="22"/>
          <w:shd w:val="clear" w:color="auto" w:fill="FFFFFF"/>
        </w:rPr>
        <w:t>UK O</w:t>
      </w:r>
      <w:r>
        <w:rPr>
          <w:rFonts w:asciiTheme="minorHAnsi" w:hAnsiTheme="minorHAnsi" w:cstheme="minorHAnsi"/>
          <w:sz w:val="22"/>
          <w:szCs w:val="22"/>
          <w:shd w:val="clear" w:color="auto" w:fill="FFFFFF"/>
        </w:rPr>
        <w:t xml:space="preserve">fficial </w:t>
      </w:r>
      <w:r w:rsidRPr="00217F59">
        <w:rPr>
          <w:rFonts w:asciiTheme="minorHAnsi" w:hAnsiTheme="minorHAnsi" w:cstheme="minorHAnsi"/>
          <w:sz w:val="22"/>
          <w:szCs w:val="22"/>
          <w:shd w:val="clear" w:color="auto" w:fill="FFFFFF"/>
        </w:rPr>
        <w:t>D</w:t>
      </w:r>
      <w:r>
        <w:rPr>
          <w:rFonts w:asciiTheme="minorHAnsi" w:hAnsiTheme="minorHAnsi" w:cstheme="minorHAnsi"/>
          <w:sz w:val="22"/>
          <w:szCs w:val="22"/>
          <w:shd w:val="clear" w:color="auto" w:fill="FFFFFF"/>
        </w:rPr>
        <w:t xml:space="preserve">evelopment </w:t>
      </w:r>
      <w:r w:rsidRPr="00217F59">
        <w:rPr>
          <w:rFonts w:asciiTheme="minorHAnsi" w:hAnsiTheme="minorHAnsi" w:cstheme="minorHAnsi"/>
          <w:sz w:val="22"/>
          <w:szCs w:val="22"/>
          <w:shd w:val="clear" w:color="auto" w:fill="FFFFFF"/>
        </w:rPr>
        <w:t>A</w:t>
      </w:r>
      <w:r>
        <w:rPr>
          <w:rFonts w:asciiTheme="minorHAnsi" w:hAnsiTheme="minorHAnsi" w:cstheme="minorHAnsi"/>
          <w:sz w:val="22"/>
          <w:szCs w:val="22"/>
          <w:shd w:val="clear" w:color="auto" w:fill="FFFFFF"/>
        </w:rPr>
        <w:t>ssistance (ODA)</w:t>
      </w:r>
      <w:r w:rsidRPr="00217F59">
        <w:rPr>
          <w:rFonts w:asciiTheme="minorHAnsi" w:hAnsiTheme="minorHAnsi" w:cstheme="minorHAnsi"/>
          <w:sz w:val="22"/>
          <w:szCs w:val="22"/>
          <w:shd w:val="clear" w:color="auto" w:fill="FFFFFF"/>
        </w:rPr>
        <w:t xml:space="preserve"> programming and partnership work, including the Commonwealth Litter Programme (CLiP), to tackle marine pollution at its source and build scientific capacity in ODA-eligible partner countries.</w:t>
      </w:r>
    </w:p>
    <w:p w14:paraId="11E7443F" w14:textId="77777777" w:rsidR="00D63502" w:rsidRDefault="00D63502" w:rsidP="00613ABF">
      <w:pPr>
        <w:pStyle w:val="NormalWeb"/>
        <w:spacing w:after="240" w:afterAutospacing="0"/>
        <w:jc w:val="both"/>
        <w:rPr>
          <w:rFonts w:asciiTheme="minorHAnsi" w:hAnsiTheme="minorHAnsi" w:cstheme="minorHAnsi"/>
          <w:sz w:val="22"/>
          <w:szCs w:val="22"/>
          <w:shd w:val="clear" w:color="auto" w:fill="FFFFFF"/>
        </w:rPr>
      </w:pPr>
    </w:p>
    <w:p w14:paraId="41CDAA66" w14:textId="77777777" w:rsidR="00D63502" w:rsidRPr="00996596" w:rsidRDefault="00D63502" w:rsidP="00613ABF">
      <w:pPr>
        <w:pStyle w:val="NormalWeb"/>
        <w:spacing w:after="240" w:afterAutospacing="0"/>
        <w:jc w:val="both"/>
        <w:rPr>
          <w:rFonts w:asciiTheme="minorHAnsi" w:hAnsiTheme="minorHAnsi" w:cstheme="minorHAnsi"/>
          <w:sz w:val="22"/>
          <w:szCs w:val="22"/>
          <w:shd w:val="clear" w:color="auto" w:fill="FFFFFF"/>
        </w:rPr>
      </w:pPr>
    </w:p>
    <w:p w14:paraId="74C60750" w14:textId="572357BB" w:rsidR="00EA6165" w:rsidRDefault="00F9019C" w:rsidP="00214816">
      <w:pPr>
        <w:pStyle w:val="Heading2"/>
        <w:numPr>
          <w:ilvl w:val="1"/>
          <w:numId w:val="39"/>
        </w:numPr>
      </w:pPr>
      <w:bookmarkStart w:id="60" w:name="_Toc121224135"/>
      <w:r>
        <w:lastRenderedPageBreak/>
        <w:t xml:space="preserve">Appendix 2: </w:t>
      </w:r>
      <w:r w:rsidR="00D63502">
        <w:t xml:space="preserve">Further Detail on the Appraisal </w:t>
      </w:r>
      <w:r w:rsidR="006E33AB">
        <w:t>C</w:t>
      </w:r>
      <w:r w:rsidR="00D63502">
        <w:t>ase</w:t>
      </w:r>
      <w:bookmarkEnd w:id="60"/>
    </w:p>
    <w:p w14:paraId="6F52B1C3" w14:textId="1BC0FAB0" w:rsidR="00393805" w:rsidRPr="00D63502" w:rsidRDefault="00393805" w:rsidP="00393805">
      <w:pPr>
        <w:pStyle w:val="Heading3"/>
        <w:rPr>
          <w:b/>
          <w:bCs/>
        </w:rPr>
      </w:pPr>
      <w:r w:rsidRPr="00D63502">
        <w:rPr>
          <w:b/>
          <w:bCs/>
        </w:rPr>
        <w:t>Assessment of Tide Turners to date</w:t>
      </w:r>
    </w:p>
    <w:p w14:paraId="3B09F069" w14:textId="77777777" w:rsidR="00EA62FA" w:rsidRDefault="00EA6165" w:rsidP="00E20142">
      <w:pPr>
        <w:shd w:val="clear" w:color="auto" w:fill="FFFFFF"/>
        <w:spacing w:after="240"/>
        <w:rPr>
          <w:rFonts w:eastAsia="Times New Roman" w:cstheme="minorHAnsi"/>
          <w:b/>
          <w:bCs/>
          <w:lang w:eastAsia="en-GB"/>
        </w:rPr>
      </w:pPr>
      <w:r w:rsidRPr="008870F1">
        <w:rPr>
          <w:rFonts w:eastAsia="Times New Roman" w:cstheme="minorHAnsi"/>
          <w:b/>
          <w:bCs/>
          <w:lang w:eastAsia="en-GB"/>
        </w:rPr>
        <w:t>Leveraged</w:t>
      </w:r>
      <w:r w:rsidR="00EA62FA">
        <w:rPr>
          <w:rFonts w:eastAsia="Times New Roman" w:cstheme="minorHAnsi"/>
          <w:b/>
          <w:bCs/>
          <w:lang w:eastAsia="en-GB"/>
        </w:rPr>
        <w:t xml:space="preserve"> </w:t>
      </w:r>
      <w:r w:rsidRPr="008870F1">
        <w:rPr>
          <w:rFonts w:eastAsia="Times New Roman" w:cstheme="minorHAnsi"/>
          <w:b/>
          <w:bCs/>
          <w:lang w:eastAsia="en-GB"/>
        </w:rPr>
        <w:t>finance</w:t>
      </w:r>
    </w:p>
    <w:p w14:paraId="09A24963" w14:textId="0758B4FB" w:rsidR="00582E59" w:rsidRPr="00F54378" w:rsidRDefault="00EA6165" w:rsidP="00E20142">
      <w:pPr>
        <w:shd w:val="clear" w:color="auto" w:fill="FFFFFF"/>
        <w:spacing w:after="240"/>
        <w:rPr>
          <w:rFonts w:eastAsiaTheme="minorEastAsia" w:cs="Calibri"/>
          <w:b/>
          <w:u w:val="single"/>
        </w:rPr>
      </w:pPr>
      <w:r w:rsidRPr="008870F1">
        <w:rPr>
          <w:highlight w:val="white"/>
        </w:rPr>
        <w:t>Following the UK’s £1.3m investment and the successful delivery of the UK funded Tide Turners Plastic Challenge programme, several other donors have also invested in the programme</w:t>
      </w:r>
      <w:r>
        <w:rPr>
          <w:highlight w:val="white"/>
        </w:rPr>
        <w:t xml:space="preserve"> between 2019 and 2022</w:t>
      </w:r>
      <w:r w:rsidRPr="008870F1">
        <w:rPr>
          <w:highlight w:val="white"/>
        </w:rPr>
        <w:t xml:space="preserve">. </w:t>
      </w:r>
    </w:p>
    <w:p w14:paraId="23EB153E" w14:textId="1B551869" w:rsidR="00EA6165" w:rsidRDefault="00EA6165" w:rsidP="00613ABF">
      <w:pPr>
        <w:spacing w:after="240"/>
        <w:rPr>
          <w:rFonts w:eastAsia="Times New Roman" w:cstheme="minorHAnsi"/>
          <w:lang w:eastAsia="en-GB"/>
        </w:rPr>
      </w:pPr>
      <w:r>
        <w:rPr>
          <w:rFonts w:eastAsia="Times New Roman" w:cstheme="minorHAnsi"/>
          <w:lang w:eastAsia="en-GB"/>
        </w:rPr>
        <w:t xml:space="preserve">Based on discussions with the Tide Turners team and the information in table </w:t>
      </w:r>
      <w:r w:rsidR="00D30141">
        <w:rPr>
          <w:rFonts w:eastAsia="Times New Roman" w:cstheme="minorHAnsi"/>
          <w:lang w:eastAsia="en-GB"/>
        </w:rPr>
        <w:t>A1</w:t>
      </w:r>
      <w:r>
        <w:rPr>
          <w:rFonts w:eastAsia="Times New Roman" w:cstheme="minorHAnsi"/>
          <w:lang w:eastAsia="en-GB"/>
        </w:rPr>
        <w:t xml:space="preserve"> we can derive an indicative estimate of the leveraged-finance ratio as 0.75 (£1.3m / £0.98m). This ratio could be lower if the investors would have made the investment anyway, in the absence of the UK investment. However, this ratio could be higher if further investments are made in the future which haven’t yet been accounted for. Given the uncertainty, this estimated leveraged-finance ratio should be interpreted as indicative only.</w:t>
      </w:r>
    </w:p>
    <w:p w14:paraId="0C9ABB2D" w14:textId="6E813BDB" w:rsidR="00EA6165" w:rsidRDefault="00EA6165" w:rsidP="00613ABF">
      <w:pPr>
        <w:spacing w:after="240"/>
        <w:rPr>
          <w:rFonts w:eastAsia="Times New Roman" w:cstheme="minorHAnsi"/>
          <w:lang w:eastAsia="en-GB"/>
        </w:rPr>
      </w:pPr>
      <w:r>
        <w:rPr>
          <w:rFonts w:eastAsia="Times New Roman" w:cstheme="minorHAnsi"/>
          <w:lang w:eastAsia="en-GB"/>
        </w:rPr>
        <w:t xml:space="preserve">The impact of the UK’s investment (and the mobilised finance associated with it) has had a significant impact. The specific outcomes are captured in </w:t>
      </w:r>
      <w:r w:rsidR="00A37597">
        <w:rPr>
          <w:rFonts w:eastAsia="Times New Roman" w:cstheme="minorHAnsi"/>
          <w:b/>
          <w:bCs/>
          <w:lang w:eastAsia="en-GB"/>
        </w:rPr>
        <w:t xml:space="preserve">Table </w:t>
      </w:r>
      <w:r w:rsidR="00AE4830">
        <w:rPr>
          <w:rFonts w:eastAsia="Times New Roman" w:cstheme="minorHAnsi"/>
          <w:b/>
          <w:bCs/>
          <w:lang w:eastAsia="en-GB"/>
        </w:rPr>
        <w:t>A2</w:t>
      </w:r>
      <w:r>
        <w:rPr>
          <w:rFonts w:eastAsia="Times New Roman" w:cstheme="minorHAnsi"/>
          <w:lang w:eastAsia="en-GB"/>
        </w:rPr>
        <w:t xml:space="preserve"> </w:t>
      </w:r>
      <w:r w:rsidRPr="00732B9C">
        <w:rPr>
          <w:rFonts w:eastAsia="Times New Roman" w:cstheme="minorHAnsi"/>
          <w:b/>
          <w:lang w:eastAsia="en-GB"/>
        </w:rPr>
        <w:t>below.</w:t>
      </w:r>
    </w:p>
    <w:p w14:paraId="270B640C" w14:textId="66BA11EB" w:rsidR="00EA6165" w:rsidRPr="008B0A1F" w:rsidRDefault="00A37597" w:rsidP="00613ABF">
      <w:pPr>
        <w:pStyle w:val="Caption"/>
        <w:spacing w:after="240" w:line="240" w:lineRule="auto"/>
        <w:rPr>
          <w:rFonts w:eastAsia="Times New Roman"/>
          <w:u w:val="single"/>
          <w:lang w:eastAsia="en-GB"/>
        </w:rPr>
      </w:pPr>
      <w:r w:rsidRPr="008B0A1F">
        <w:rPr>
          <w:rFonts w:eastAsia="Times New Roman"/>
          <w:b/>
          <w:u w:val="single"/>
          <w:lang w:eastAsia="en-GB"/>
        </w:rPr>
        <w:t xml:space="preserve">Table </w:t>
      </w:r>
      <w:r w:rsidR="004243A5" w:rsidRPr="008B0A1F">
        <w:rPr>
          <w:rFonts w:eastAsia="Times New Roman"/>
          <w:b/>
          <w:bCs w:val="0"/>
          <w:u w:val="single"/>
          <w:lang w:eastAsia="en-GB"/>
        </w:rPr>
        <w:t>A2</w:t>
      </w:r>
      <w:r w:rsidR="00EA4D94" w:rsidRPr="008B0A1F">
        <w:rPr>
          <w:rFonts w:eastAsia="Times New Roman"/>
          <w:b/>
          <w:u w:val="single"/>
          <w:lang w:eastAsia="en-GB"/>
        </w:rPr>
        <w:t>:</w:t>
      </w:r>
      <w:r w:rsidR="00EA6165" w:rsidRPr="008B0A1F">
        <w:rPr>
          <w:rFonts w:eastAsia="Times New Roman"/>
          <w:u w:val="single"/>
          <w:lang w:eastAsia="en-GB"/>
        </w:rPr>
        <w:t xml:space="preserve"> </w:t>
      </w:r>
      <w:r w:rsidR="00EA6165" w:rsidRPr="008B0A1F">
        <w:rPr>
          <w:rFonts w:eastAsia="Times New Roman"/>
          <w:b/>
          <w:u w:val="single"/>
          <w:lang w:eastAsia="en-GB"/>
        </w:rPr>
        <w:t>Outcomes as a result of the UK investment</w:t>
      </w:r>
    </w:p>
    <w:tbl>
      <w:tblPr>
        <w:tblStyle w:val="TableGrid"/>
        <w:tblW w:w="5000" w:type="pct"/>
        <w:tblLayout w:type="fixed"/>
        <w:tblLook w:val="04A0" w:firstRow="1" w:lastRow="0" w:firstColumn="1" w:lastColumn="0" w:noHBand="0" w:noVBand="1"/>
      </w:tblPr>
      <w:tblGrid>
        <w:gridCol w:w="2426"/>
        <w:gridCol w:w="1331"/>
        <w:gridCol w:w="5249"/>
      </w:tblGrid>
      <w:tr w:rsidR="00EA6165" w:rsidRPr="008870F1" w14:paraId="7D776CD3" w14:textId="77777777" w:rsidTr="00565E6E">
        <w:tc>
          <w:tcPr>
            <w:tcW w:w="1347" w:type="pct"/>
          </w:tcPr>
          <w:p w14:paraId="7B09EAC3" w14:textId="77777777" w:rsidR="00EA6165" w:rsidRPr="00A679AB" w:rsidRDefault="00EA6165" w:rsidP="00613ABF">
            <w:pPr>
              <w:rPr>
                <w:rFonts w:eastAsia="Times New Roman" w:cstheme="minorHAnsi"/>
                <w:lang w:eastAsia="en-GB"/>
              </w:rPr>
            </w:pPr>
            <w:r w:rsidRPr="00A679AB">
              <w:rPr>
                <w:rFonts w:eastAsia="Times New Roman" w:cstheme="minorHAnsi"/>
                <w:lang w:eastAsia="en-GB"/>
              </w:rPr>
              <w:t>Indicator</w:t>
            </w:r>
          </w:p>
        </w:tc>
        <w:tc>
          <w:tcPr>
            <w:tcW w:w="739" w:type="pct"/>
          </w:tcPr>
          <w:p w14:paraId="468022D7" w14:textId="77777777" w:rsidR="00EA6165" w:rsidRPr="00A679AB" w:rsidRDefault="00EA6165" w:rsidP="00613ABF">
            <w:pPr>
              <w:rPr>
                <w:rFonts w:eastAsia="Times New Roman" w:cstheme="minorHAnsi"/>
                <w:lang w:eastAsia="en-GB"/>
              </w:rPr>
            </w:pPr>
            <w:r w:rsidRPr="00A679AB">
              <w:rPr>
                <w:rFonts w:eastAsia="Times New Roman" w:cstheme="minorHAnsi"/>
                <w:lang w:eastAsia="en-GB"/>
              </w:rPr>
              <w:t>Result</w:t>
            </w:r>
          </w:p>
        </w:tc>
        <w:tc>
          <w:tcPr>
            <w:tcW w:w="2914" w:type="pct"/>
          </w:tcPr>
          <w:p w14:paraId="3CC57071" w14:textId="77777777" w:rsidR="00EA6165" w:rsidRPr="00A679AB" w:rsidRDefault="00EA6165" w:rsidP="00613ABF">
            <w:pPr>
              <w:rPr>
                <w:rFonts w:eastAsia="Times New Roman" w:cstheme="minorHAnsi"/>
                <w:lang w:eastAsia="en-GB"/>
              </w:rPr>
            </w:pPr>
            <w:r w:rsidRPr="00A679AB">
              <w:rPr>
                <w:rFonts w:eastAsia="Times New Roman" w:cstheme="minorHAnsi"/>
                <w:lang w:eastAsia="en-GB"/>
              </w:rPr>
              <w:t>Description</w:t>
            </w:r>
          </w:p>
        </w:tc>
      </w:tr>
      <w:tr w:rsidR="00EA6165" w:rsidRPr="008870F1" w14:paraId="58B63391" w14:textId="77777777" w:rsidTr="00565E6E">
        <w:tc>
          <w:tcPr>
            <w:tcW w:w="5000" w:type="pct"/>
            <w:gridSpan w:val="3"/>
            <w:shd w:val="clear" w:color="auto" w:fill="C5E0B3" w:themeFill="accent6" w:themeFillTint="66"/>
          </w:tcPr>
          <w:p w14:paraId="6996C952" w14:textId="77777777" w:rsidR="00EA6165" w:rsidRPr="00A679AB" w:rsidRDefault="00EA6165" w:rsidP="00613ABF">
            <w:pPr>
              <w:jc w:val="center"/>
              <w:rPr>
                <w:rFonts w:cstheme="minorHAnsi"/>
                <w:b/>
              </w:rPr>
            </w:pPr>
            <w:r w:rsidRPr="00A679AB">
              <w:rPr>
                <w:rFonts w:eastAsia="Times New Roman" w:cstheme="minorHAnsi"/>
                <w:b/>
                <w:lang w:eastAsia="en-GB"/>
              </w:rPr>
              <w:t>REACH</w:t>
            </w:r>
          </w:p>
        </w:tc>
      </w:tr>
      <w:tr w:rsidR="00EA6165" w:rsidRPr="008870F1" w14:paraId="1BBF1504" w14:textId="77777777" w:rsidTr="00565E6E">
        <w:tc>
          <w:tcPr>
            <w:tcW w:w="1347" w:type="pct"/>
          </w:tcPr>
          <w:p w14:paraId="60E52747" w14:textId="0FF3E54C" w:rsidR="00EA6165" w:rsidRPr="00A679AB" w:rsidRDefault="00EA6165" w:rsidP="00613ABF">
            <w:pPr>
              <w:jc w:val="left"/>
              <w:rPr>
                <w:rFonts w:eastAsia="Times New Roman" w:cstheme="minorHAnsi"/>
                <w:b/>
                <w:lang w:eastAsia="en-GB"/>
              </w:rPr>
            </w:pPr>
            <w:r w:rsidRPr="00A679AB">
              <w:rPr>
                <w:rFonts w:eastAsia="Times New Roman" w:cstheme="minorHAnsi"/>
                <w:b/>
                <w:lang w:eastAsia="en-GB"/>
              </w:rPr>
              <w:t>LEVEL 4:</w:t>
            </w:r>
            <w:r w:rsidRPr="00A679AB">
              <w:rPr>
                <w:rFonts w:cstheme="minorHAnsi"/>
                <w:b/>
              </w:rPr>
              <w:t xml:space="preserve"> </w:t>
            </w:r>
            <w:r w:rsidR="009C3E69" w:rsidRPr="000354B5">
              <w:rPr>
                <w:rFonts w:cstheme="minorHAnsi"/>
              </w:rPr>
              <w:t>Training and l</w:t>
            </w:r>
            <w:r w:rsidRPr="009C3E69">
              <w:rPr>
                <w:rFonts w:cstheme="minorHAnsi"/>
              </w:rPr>
              <w:t>ive advocacy (wave</w:t>
            </w:r>
            <w:r w:rsidRPr="00A679AB">
              <w:rPr>
                <w:rFonts w:cstheme="minorHAnsi"/>
              </w:rPr>
              <w:t xml:space="preserve"> makers)</w:t>
            </w:r>
          </w:p>
        </w:tc>
        <w:tc>
          <w:tcPr>
            <w:tcW w:w="739" w:type="pct"/>
          </w:tcPr>
          <w:p w14:paraId="5220B452" w14:textId="77777777" w:rsidR="00EA6165" w:rsidRPr="00A679AB" w:rsidRDefault="00EA6165" w:rsidP="00613ABF">
            <w:pPr>
              <w:jc w:val="left"/>
              <w:rPr>
                <w:rFonts w:eastAsia="Times New Roman" w:cstheme="minorHAnsi"/>
                <w:lang w:eastAsia="en-GB"/>
              </w:rPr>
            </w:pPr>
            <w:r w:rsidRPr="00A679AB">
              <w:rPr>
                <w:rFonts w:eastAsia="Times New Roman" w:cstheme="minorHAnsi"/>
                <w:lang w:eastAsia="en-GB"/>
              </w:rPr>
              <w:t>2,927 youth trained</w:t>
            </w:r>
          </w:p>
        </w:tc>
        <w:tc>
          <w:tcPr>
            <w:tcW w:w="2914" w:type="pct"/>
          </w:tcPr>
          <w:p w14:paraId="4BB28C59" w14:textId="77777777" w:rsidR="00EA6165" w:rsidRPr="00A679AB" w:rsidRDefault="00EA6165" w:rsidP="00613ABF">
            <w:pPr>
              <w:jc w:val="left"/>
              <w:rPr>
                <w:rFonts w:cstheme="minorHAnsi"/>
              </w:rPr>
            </w:pPr>
            <w:r w:rsidRPr="00A679AB">
              <w:rPr>
                <w:rFonts w:cstheme="minorHAnsi"/>
                <w:shd w:val="clear" w:color="auto" w:fill="FFFFFF"/>
              </w:rPr>
              <w:t>The Wave Makers level involves two weeks of intensive advocacy training with each participant training four of their peers to join them within the two weeks, and thereafter being inspired to continue their peer-to-peer training.</w:t>
            </w:r>
          </w:p>
        </w:tc>
      </w:tr>
      <w:tr w:rsidR="00EA6165" w:rsidRPr="008870F1" w14:paraId="2B3B2071" w14:textId="77777777" w:rsidTr="00565E6E">
        <w:tc>
          <w:tcPr>
            <w:tcW w:w="1347" w:type="pct"/>
          </w:tcPr>
          <w:p w14:paraId="0C95F666" w14:textId="77777777" w:rsidR="00EA6165" w:rsidRPr="00A679AB" w:rsidRDefault="00EA6165" w:rsidP="00613ABF">
            <w:pPr>
              <w:jc w:val="left"/>
              <w:rPr>
                <w:rFonts w:eastAsia="Times New Roman" w:cstheme="minorHAnsi"/>
                <w:lang w:eastAsia="en-GB"/>
              </w:rPr>
            </w:pPr>
            <w:r w:rsidRPr="00A679AB">
              <w:rPr>
                <w:rFonts w:eastAsia="Times New Roman" w:cstheme="minorHAnsi"/>
                <w:b/>
                <w:lang w:eastAsia="en-GB"/>
              </w:rPr>
              <w:t>TOTAL (LEVELS 1-4)</w:t>
            </w:r>
            <w:r w:rsidRPr="00A679AB">
              <w:rPr>
                <w:rFonts w:eastAsia="Times New Roman" w:cstheme="minorHAnsi"/>
                <w:b/>
                <w:lang w:eastAsia="en-GB"/>
              </w:rPr>
              <w:br/>
            </w:r>
            <w:r w:rsidRPr="00A679AB">
              <w:rPr>
                <w:rFonts w:eastAsia="Times New Roman" w:cstheme="minorHAnsi"/>
                <w:lang w:eastAsia="en-GB"/>
              </w:rPr>
              <w:t>Number of people reached (</w:t>
            </w:r>
            <w:r w:rsidRPr="00A679AB">
              <w:rPr>
                <w:rFonts w:cstheme="minorHAnsi"/>
              </w:rPr>
              <w:t>people supported to participate in one of Tide Turner’s programmes</w:t>
            </w:r>
            <w:r w:rsidRPr="00A679AB">
              <w:rPr>
                <w:rStyle w:val="FootnoteReference"/>
                <w:rFonts w:cstheme="minorHAnsi"/>
              </w:rPr>
              <w:footnoteReference w:id="39"/>
            </w:r>
            <w:r w:rsidRPr="00A679AB">
              <w:rPr>
                <w:rFonts w:cstheme="minorHAnsi"/>
              </w:rPr>
              <w:t>)</w:t>
            </w:r>
          </w:p>
        </w:tc>
        <w:tc>
          <w:tcPr>
            <w:tcW w:w="739" w:type="pct"/>
          </w:tcPr>
          <w:p w14:paraId="701A6684" w14:textId="77777777" w:rsidR="00EA6165" w:rsidRPr="00A679AB" w:rsidRDefault="00EA6165" w:rsidP="00613ABF">
            <w:pPr>
              <w:rPr>
                <w:rFonts w:eastAsia="Times New Roman" w:cstheme="minorHAnsi"/>
                <w:lang w:eastAsia="en-GB"/>
              </w:rPr>
            </w:pPr>
            <w:r w:rsidRPr="00A679AB">
              <w:rPr>
                <w:rFonts w:eastAsia="Times New Roman" w:cstheme="minorHAnsi"/>
                <w:lang w:eastAsia="en-GB"/>
              </w:rPr>
              <w:t>500,000 (468,000 since Feb 2019)</w:t>
            </w:r>
          </w:p>
        </w:tc>
        <w:tc>
          <w:tcPr>
            <w:tcW w:w="2914" w:type="pct"/>
          </w:tcPr>
          <w:p w14:paraId="3FDBD063" w14:textId="77777777" w:rsidR="00EA6165" w:rsidRPr="00A679AB" w:rsidRDefault="00EA6165" w:rsidP="00613ABF">
            <w:pPr>
              <w:jc w:val="left"/>
              <w:rPr>
                <w:rFonts w:cstheme="minorHAnsi"/>
              </w:rPr>
            </w:pPr>
            <w:r w:rsidRPr="00A679AB">
              <w:rPr>
                <w:rFonts w:cstheme="minorHAnsi"/>
              </w:rPr>
              <w:t xml:space="preserve">Despite the </w:t>
            </w:r>
            <w:r w:rsidRPr="00A679AB">
              <w:rPr>
                <w:rFonts w:cstheme="minorHAnsi"/>
                <w:b/>
              </w:rPr>
              <w:t>Covid-19 pandemic</w:t>
            </w:r>
            <w:r w:rsidRPr="00A679AB">
              <w:rPr>
                <w:rFonts w:cstheme="minorHAnsi"/>
              </w:rPr>
              <w:t xml:space="preserve"> having a significant impact during the first 3 years of the programme, UNEP were still able to reach </w:t>
            </w:r>
            <w:r w:rsidRPr="00A679AB">
              <w:rPr>
                <w:rFonts w:eastAsia="Times New Roman" w:cstheme="minorHAnsi"/>
                <w:lang w:eastAsia="en-GB"/>
              </w:rPr>
              <w:t>468</w:t>
            </w:r>
            <w:r w:rsidRPr="00A679AB">
              <w:rPr>
                <w:rFonts w:cstheme="minorHAnsi"/>
              </w:rPr>
              <w:t>,000 people.</w:t>
            </w:r>
          </w:p>
          <w:p w14:paraId="6ED6384F" w14:textId="77777777" w:rsidR="00EA6165" w:rsidRPr="00A679AB" w:rsidRDefault="00EA6165" w:rsidP="00613ABF">
            <w:pPr>
              <w:rPr>
                <w:rFonts w:eastAsia="Times New Roman" w:cstheme="minorHAnsi"/>
                <w:lang w:eastAsia="en-GB"/>
              </w:rPr>
            </w:pPr>
          </w:p>
        </w:tc>
      </w:tr>
      <w:tr w:rsidR="00EA6165" w:rsidRPr="008870F1" w14:paraId="3B3ACC7A" w14:textId="77777777" w:rsidTr="00565E6E">
        <w:tc>
          <w:tcPr>
            <w:tcW w:w="1347" w:type="pct"/>
          </w:tcPr>
          <w:p w14:paraId="16585EB4" w14:textId="77777777" w:rsidR="00EA6165" w:rsidRPr="00A679AB" w:rsidRDefault="00EA6165" w:rsidP="00613ABF">
            <w:pPr>
              <w:jc w:val="left"/>
              <w:rPr>
                <w:rFonts w:eastAsia="Times New Roman" w:cstheme="minorHAnsi"/>
                <w:b/>
                <w:lang w:eastAsia="en-GB"/>
              </w:rPr>
            </w:pPr>
            <w:r w:rsidRPr="00A679AB">
              <w:rPr>
                <w:rFonts w:eastAsia="Times New Roman" w:cstheme="minorHAnsi"/>
                <w:b/>
                <w:lang w:eastAsia="en-GB"/>
              </w:rPr>
              <w:t>Number of countries reached</w:t>
            </w:r>
          </w:p>
        </w:tc>
        <w:tc>
          <w:tcPr>
            <w:tcW w:w="739" w:type="pct"/>
          </w:tcPr>
          <w:p w14:paraId="5735D616" w14:textId="77777777" w:rsidR="00EA6165" w:rsidRPr="00A679AB" w:rsidRDefault="00EA6165" w:rsidP="00613ABF">
            <w:pPr>
              <w:jc w:val="left"/>
              <w:rPr>
                <w:rFonts w:eastAsia="Times New Roman" w:cstheme="minorHAnsi"/>
                <w:lang w:eastAsia="en-GB"/>
              </w:rPr>
            </w:pPr>
            <w:r w:rsidRPr="00A679AB">
              <w:rPr>
                <w:rFonts w:eastAsia="Times New Roman" w:cstheme="minorHAnsi"/>
                <w:lang w:eastAsia="en-GB"/>
              </w:rPr>
              <w:t>35 (since Feb 2019)</w:t>
            </w:r>
          </w:p>
        </w:tc>
        <w:tc>
          <w:tcPr>
            <w:tcW w:w="2914" w:type="pct"/>
          </w:tcPr>
          <w:p w14:paraId="4762FAC2" w14:textId="77777777" w:rsidR="00EA6165" w:rsidRPr="00A679AB" w:rsidRDefault="00EA6165" w:rsidP="00613ABF">
            <w:pPr>
              <w:rPr>
                <w:rFonts w:cstheme="minorHAnsi"/>
              </w:rPr>
            </w:pPr>
            <w:r w:rsidRPr="00A679AB">
              <w:rPr>
                <w:rFonts w:cstheme="minorHAnsi"/>
                <w:lang w:eastAsia="en-GB"/>
              </w:rPr>
              <w:t>Antigua and Barbuda, Barbados, Abu Dhabi, Algeria, Antigua &amp; Barbados, Bangladesh, Belize, Benin, Bhutan, Burkina Faso, Côte d’Ivoire, Cameroon, Eswatini, Gambia, Ghana, India, Indonesia, Kenya, Liberia, Madagascar, Mauritius, Malaysia, Nigeria, Pakistan, Philippines, Rwanda, Saint Lucia, Senegal, Sierra Leone, South Africa, South Sudan, Uganda, Tanzania, Thailand, Zambia and Zimbabwe.</w:t>
            </w:r>
          </w:p>
        </w:tc>
      </w:tr>
      <w:tr w:rsidR="00EA6165" w:rsidRPr="008870F1" w14:paraId="32E0F4CF" w14:textId="77777777" w:rsidTr="00565E6E">
        <w:tc>
          <w:tcPr>
            <w:tcW w:w="5000" w:type="pct"/>
            <w:gridSpan w:val="3"/>
            <w:shd w:val="clear" w:color="auto" w:fill="C5E0B3" w:themeFill="accent6" w:themeFillTint="66"/>
            <w:vAlign w:val="center"/>
          </w:tcPr>
          <w:p w14:paraId="59C342A7" w14:textId="77777777" w:rsidR="00EA6165" w:rsidRPr="00A679AB" w:rsidRDefault="00EA6165" w:rsidP="00613ABF">
            <w:pPr>
              <w:jc w:val="center"/>
              <w:rPr>
                <w:rFonts w:eastAsia="Times New Roman" w:cstheme="minorHAnsi"/>
                <w:b/>
                <w:lang w:eastAsia="en-GB"/>
              </w:rPr>
            </w:pPr>
            <w:r w:rsidRPr="00A679AB">
              <w:rPr>
                <w:rFonts w:eastAsia="Times New Roman" w:cstheme="minorHAnsi"/>
                <w:b/>
                <w:lang w:eastAsia="en-GB"/>
              </w:rPr>
              <w:t>YOUTH SUMMITS ORGANISED</w:t>
            </w:r>
          </w:p>
        </w:tc>
      </w:tr>
      <w:tr w:rsidR="00EA6165" w:rsidRPr="008870F1" w14:paraId="344F753B" w14:textId="77777777" w:rsidTr="00565E6E">
        <w:tc>
          <w:tcPr>
            <w:tcW w:w="1347" w:type="pct"/>
          </w:tcPr>
          <w:p w14:paraId="7B1C7180" w14:textId="77777777" w:rsidR="00EA6165" w:rsidRPr="00A679AB" w:rsidRDefault="00EA6165" w:rsidP="00613ABF">
            <w:pPr>
              <w:jc w:val="left"/>
              <w:rPr>
                <w:rFonts w:eastAsia="Times New Roman" w:cstheme="minorHAnsi"/>
                <w:b/>
                <w:lang w:eastAsia="en-GB"/>
              </w:rPr>
            </w:pPr>
            <w:r w:rsidRPr="00A679AB">
              <w:rPr>
                <w:rFonts w:eastAsia="Times New Roman" w:cstheme="minorHAnsi"/>
                <w:b/>
                <w:lang w:eastAsia="en-GB"/>
              </w:rPr>
              <w:t>Number of youth summits organised</w:t>
            </w:r>
          </w:p>
        </w:tc>
        <w:tc>
          <w:tcPr>
            <w:tcW w:w="739" w:type="pct"/>
          </w:tcPr>
          <w:p w14:paraId="0D3B4692" w14:textId="77777777" w:rsidR="00EA6165" w:rsidRPr="00A679AB" w:rsidRDefault="00EA6165" w:rsidP="00613ABF">
            <w:pPr>
              <w:rPr>
                <w:rFonts w:eastAsia="Times New Roman" w:cstheme="minorHAnsi"/>
                <w:lang w:eastAsia="en-GB"/>
              </w:rPr>
            </w:pPr>
            <w:r w:rsidRPr="00A679AB">
              <w:rPr>
                <w:rFonts w:eastAsia="Times New Roman" w:cstheme="minorHAnsi"/>
                <w:lang w:eastAsia="en-GB"/>
              </w:rPr>
              <w:t>5</w:t>
            </w:r>
          </w:p>
        </w:tc>
        <w:tc>
          <w:tcPr>
            <w:tcW w:w="2914" w:type="pct"/>
          </w:tcPr>
          <w:p w14:paraId="360F0750" w14:textId="77777777" w:rsidR="00EA6165" w:rsidRPr="00A679AB" w:rsidRDefault="00EA6165" w:rsidP="00613ABF">
            <w:pPr>
              <w:widowControl w:val="0"/>
              <w:jc w:val="left"/>
              <w:rPr>
                <w:rFonts w:cstheme="minorHAnsi"/>
              </w:rPr>
            </w:pPr>
            <w:r w:rsidRPr="00A679AB">
              <w:rPr>
                <w:rFonts w:cstheme="minorHAnsi"/>
              </w:rPr>
              <w:t xml:space="preserve">The youth summits described below attracted over 3000 individuals across the three events: </w:t>
            </w:r>
            <w:r w:rsidRPr="00A679AB">
              <w:rPr>
                <w:rFonts w:cstheme="minorHAnsi"/>
              </w:rPr>
              <w:br/>
            </w:r>
            <w:r w:rsidRPr="00A679AB">
              <w:rPr>
                <w:rFonts w:cstheme="minorHAnsi"/>
                <w:b/>
              </w:rPr>
              <w:t>Campfire dialogue:</w:t>
            </w:r>
            <w:r w:rsidRPr="00A679AB">
              <w:rPr>
                <w:rFonts w:cstheme="minorHAnsi"/>
              </w:rPr>
              <w:t xml:space="preserve"> This was hosted with the Minister for Environment for the UK, Lord Goldsmith, and the UNEP Director of Ecosystem Division, to celebrate the Tide Turner journey of Girl Guides and Scouts in Kenya. </w:t>
            </w:r>
          </w:p>
          <w:p w14:paraId="79984B58" w14:textId="77777777" w:rsidR="00EA6165" w:rsidRPr="00A679AB" w:rsidRDefault="00EA6165" w:rsidP="00613ABF">
            <w:pPr>
              <w:widowControl w:val="0"/>
              <w:jc w:val="left"/>
              <w:rPr>
                <w:rFonts w:cstheme="minorHAnsi"/>
              </w:rPr>
            </w:pPr>
            <w:r w:rsidRPr="00A679AB">
              <w:rPr>
                <w:rFonts w:cstheme="minorHAnsi"/>
                <w:b/>
              </w:rPr>
              <w:t>Our Oceans, Our Future</w:t>
            </w:r>
            <w:r w:rsidRPr="00A679AB">
              <w:rPr>
                <w:rFonts w:cstheme="minorHAnsi"/>
              </w:rPr>
              <w:t xml:space="preserve">: A youth dialogue on plastics with UNEP ED Inger Andersen in advance of UN Environment Assembly 5.2. The event was a dialogue between UNEP ED </w:t>
            </w:r>
            <w:r w:rsidRPr="00A679AB">
              <w:rPr>
                <w:rFonts w:cstheme="minorHAnsi"/>
              </w:rPr>
              <w:lastRenderedPageBreak/>
              <w:t xml:space="preserve">Ms. Inger Andersen and six young Tide Turners Plastic Challenge champions for them to share perspectives on why action on plastic pollution matters to them, and to celebrate the leadership they have shown. </w:t>
            </w:r>
          </w:p>
          <w:p w14:paraId="628F7384" w14:textId="77777777" w:rsidR="00EA6165" w:rsidRPr="00A679AB" w:rsidRDefault="00EA6165" w:rsidP="00613ABF">
            <w:pPr>
              <w:widowControl w:val="0"/>
              <w:jc w:val="left"/>
              <w:rPr>
                <w:rFonts w:cstheme="minorHAnsi"/>
              </w:rPr>
            </w:pPr>
            <w:r w:rsidRPr="00A679AB">
              <w:rPr>
                <w:rFonts w:cstheme="minorHAnsi"/>
                <w:b/>
              </w:rPr>
              <w:t>Indian National Youth Summit</w:t>
            </w:r>
            <w:r w:rsidRPr="00A679AB">
              <w:rPr>
                <w:rFonts w:cstheme="minorHAnsi"/>
              </w:rPr>
              <w:t xml:space="preserve">: WWF and CEE India hosted the TTC National Youth Summit that attracted 1686 participants. The Summit was attended by Government officials, the representative of the British High Commission, UNEP, celebrities like Día Mirza, Dr Sonam Wangchuk. </w:t>
            </w:r>
          </w:p>
        </w:tc>
      </w:tr>
    </w:tbl>
    <w:p w14:paraId="67512FF3" w14:textId="77777777" w:rsidR="00EA6165" w:rsidRPr="008B0A1F" w:rsidRDefault="00EA6165" w:rsidP="00613ABF">
      <w:pPr>
        <w:spacing w:after="240"/>
        <w:jc w:val="left"/>
        <w:rPr>
          <w:rFonts w:cstheme="minorHAnsi"/>
          <w:b/>
          <w:u w:val="single"/>
        </w:rPr>
      </w:pPr>
      <w:r w:rsidRPr="00217F59">
        <w:rPr>
          <w:rFonts w:cstheme="minorHAnsi"/>
          <w:b/>
          <w:bCs/>
          <w:shd w:val="clear" w:color="auto" w:fill="FFFFFF"/>
        </w:rPr>
        <w:lastRenderedPageBreak/>
        <w:br/>
      </w:r>
      <w:r w:rsidRPr="008B0A1F">
        <w:rPr>
          <w:rFonts w:cstheme="minorHAnsi"/>
          <w:b/>
          <w:u w:val="single"/>
          <w:shd w:val="clear" w:color="auto" w:fill="FFFFFF"/>
        </w:rPr>
        <w:t>Delivery partner work</w:t>
      </w:r>
      <w:r w:rsidRPr="008B0A1F">
        <w:rPr>
          <w:rFonts w:cstheme="minorHAnsi"/>
          <w:b/>
          <w:u w:val="single"/>
        </w:rPr>
        <w:t xml:space="preserve"> highlights: Example Key Outcomes by Country</w:t>
      </w:r>
    </w:p>
    <w:p w14:paraId="30A95D1D" w14:textId="77777777" w:rsidR="00EA6165" w:rsidRDefault="00EA6165" w:rsidP="00613ABF">
      <w:pPr>
        <w:spacing w:after="240"/>
        <w:rPr>
          <w:b/>
          <w:color w:val="FF0000"/>
          <w:sz w:val="20"/>
          <w:szCs w:val="20"/>
        </w:rPr>
      </w:pPr>
      <w:r w:rsidRPr="00DA7948">
        <w:rPr>
          <w:rFonts w:cstheme="minorHAnsi"/>
        </w:rPr>
        <w:t xml:space="preserve">To date, Tide Turners have successfully increased awareness and educated young people on the challenges and solutions related to the production and pollution impacts of single-use plastics. </w:t>
      </w:r>
    </w:p>
    <w:p w14:paraId="09095DA9" w14:textId="5604A014" w:rsidR="009C3E69" w:rsidRDefault="00EA6165" w:rsidP="00613ABF">
      <w:pPr>
        <w:spacing w:after="240"/>
        <w:jc w:val="left"/>
        <w:rPr>
          <w:rFonts w:cstheme="minorHAnsi"/>
        </w:rPr>
      </w:pPr>
      <w:r w:rsidRPr="00DA7948">
        <w:rPr>
          <w:rFonts w:cstheme="minorHAnsi"/>
        </w:rPr>
        <w:t>Specific examples</w:t>
      </w:r>
      <w:r>
        <w:rPr>
          <w:rFonts w:cstheme="minorHAnsi"/>
        </w:rPr>
        <w:t xml:space="preserve"> for actions taken in certain countries</w:t>
      </w:r>
      <w:r w:rsidRPr="00DA7948">
        <w:rPr>
          <w:rFonts w:cstheme="minorHAnsi"/>
        </w:rPr>
        <w:t xml:space="preserve"> are described </w:t>
      </w:r>
      <w:r w:rsidR="00AE4830">
        <w:rPr>
          <w:rFonts w:cstheme="minorHAnsi"/>
        </w:rPr>
        <w:t xml:space="preserve">in </w:t>
      </w:r>
      <w:r w:rsidR="00AE4830">
        <w:rPr>
          <w:rFonts w:cstheme="minorHAnsi"/>
          <w:b/>
          <w:bCs/>
        </w:rPr>
        <w:t xml:space="preserve">Table A3 </w:t>
      </w:r>
      <w:r w:rsidRPr="00AC53C9">
        <w:rPr>
          <w:rFonts w:cstheme="minorHAnsi"/>
          <w:b/>
          <w:bCs/>
        </w:rPr>
        <w:t>below.</w:t>
      </w:r>
    </w:p>
    <w:p w14:paraId="6C65E139" w14:textId="7E1A693C" w:rsidR="00EA6165" w:rsidRPr="008B0A1F" w:rsidRDefault="009C3E69" w:rsidP="00613ABF">
      <w:pPr>
        <w:spacing w:after="240"/>
        <w:jc w:val="left"/>
        <w:rPr>
          <w:rFonts w:cstheme="minorHAnsi"/>
          <w:b/>
          <w:u w:val="single"/>
        </w:rPr>
      </w:pPr>
      <w:r w:rsidRPr="008B0A1F">
        <w:rPr>
          <w:rFonts w:eastAsia="Times New Roman"/>
          <w:b/>
          <w:color w:val="008938"/>
          <w:u w:val="single"/>
          <w:lang w:eastAsia="en-GB"/>
        </w:rPr>
        <w:t xml:space="preserve">Table </w:t>
      </w:r>
      <w:r w:rsidR="004243A5" w:rsidRPr="008B0A1F">
        <w:rPr>
          <w:rFonts w:eastAsia="Times New Roman"/>
          <w:b/>
          <w:bCs/>
          <w:color w:val="008938"/>
          <w:u w:val="single"/>
          <w:lang w:eastAsia="en-GB"/>
        </w:rPr>
        <w:t>A3</w:t>
      </w:r>
      <w:r w:rsidRPr="008B0A1F">
        <w:rPr>
          <w:rFonts w:eastAsia="Times New Roman"/>
          <w:b/>
          <w:color w:val="008938"/>
          <w:u w:val="single"/>
          <w:lang w:eastAsia="en-GB"/>
        </w:rPr>
        <w:t>: Outcomes as a result of the UK investment</w:t>
      </w: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336"/>
        <w:gridCol w:w="7670"/>
      </w:tblGrid>
      <w:tr w:rsidR="00EA6165" w:rsidRPr="00805248" w14:paraId="51A7AD94" w14:textId="77777777" w:rsidTr="00565E6E">
        <w:trPr>
          <w:trHeight w:val="3"/>
        </w:trPr>
        <w:tc>
          <w:tcPr>
            <w:tcW w:w="742" w:type="pct"/>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1B7E30AF" w14:textId="77777777" w:rsidR="00EA6165" w:rsidRPr="00217F59" w:rsidRDefault="00EA6165" w:rsidP="00613ABF">
            <w:pPr>
              <w:spacing w:after="120"/>
              <w:jc w:val="left"/>
              <w:rPr>
                <w:rFonts w:cstheme="minorHAnsi"/>
                <w:b/>
                <w:sz w:val="20"/>
                <w:szCs w:val="20"/>
              </w:rPr>
            </w:pPr>
            <w:r w:rsidRPr="00217F59">
              <w:rPr>
                <w:rFonts w:cstheme="minorHAnsi"/>
                <w:b/>
                <w:sz w:val="20"/>
                <w:szCs w:val="20"/>
              </w:rPr>
              <w:t>Country</w:t>
            </w:r>
          </w:p>
        </w:tc>
        <w:tc>
          <w:tcPr>
            <w:tcW w:w="4258" w:type="pct"/>
            <w:tcBorders>
              <w:top w:val="single" w:sz="8" w:space="0" w:color="000000"/>
              <w:left w:val="nil"/>
              <w:bottom w:val="single" w:sz="8" w:space="0" w:color="000000"/>
              <w:right w:val="single" w:sz="8" w:space="0" w:color="000000"/>
            </w:tcBorders>
            <w:shd w:val="clear" w:color="auto" w:fill="B4C6E7"/>
            <w:tcMar>
              <w:top w:w="100" w:type="dxa"/>
              <w:left w:w="100" w:type="dxa"/>
              <w:bottom w:w="100" w:type="dxa"/>
              <w:right w:w="100" w:type="dxa"/>
            </w:tcMar>
          </w:tcPr>
          <w:p w14:paraId="531E6F7B" w14:textId="77777777" w:rsidR="00EA6165" w:rsidRPr="00217F59" w:rsidRDefault="00EA6165" w:rsidP="00613ABF">
            <w:pPr>
              <w:spacing w:after="120"/>
              <w:jc w:val="left"/>
              <w:rPr>
                <w:rFonts w:cstheme="minorHAnsi"/>
                <w:sz w:val="20"/>
                <w:szCs w:val="20"/>
              </w:rPr>
            </w:pPr>
            <w:r w:rsidRPr="00217F59">
              <w:rPr>
                <w:rFonts w:cstheme="minorHAnsi"/>
                <w:sz w:val="20"/>
                <w:szCs w:val="20"/>
              </w:rPr>
              <w:t>Significant Outcome delivered with support of the Tide Turners</w:t>
            </w:r>
          </w:p>
        </w:tc>
      </w:tr>
      <w:tr w:rsidR="00EA6165" w:rsidRPr="00805248" w14:paraId="723D7615" w14:textId="77777777" w:rsidTr="00565E6E">
        <w:trPr>
          <w:trHeight w:val="3"/>
        </w:trPr>
        <w:tc>
          <w:tcPr>
            <w:tcW w:w="742"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BAF630" w14:textId="77777777" w:rsidR="00EA6165" w:rsidRPr="00217F59" w:rsidRDefault="00EA6165" w:rsidP="00613ABF">
            <w:pPr>
              <w:spacing w:after="120"/>
              <w:jc w:val="left"/>
              <w:rPr>
                <w:rFonts w:cstheme="minorHAnsi"/>
                <w:sz w:val="20"/>
                <w:szCs w:val="20"/>
              </w:rPr>
            </w:pPr>
            <w:r w:rsidRPr="00217F59">
              <w:rPr>
                <w:rFonts w:cstheme="minorHAnsi"/>
                <w:sz w:val="20"/>
                <w:szCs w:val="20"/>
              </w:rPr>
              <w:t>Uganda</w:t>
            </w:r>
          </w:p>
        </w:tc>
        <w:tc>
          <w:tcPr>
            <w:tcW w:w="4258" w:type="pct"/>
            <w:tcBorders>
              <w:top w:val="nil"/>
              <w:left w:val="nil"/>
              <w:bottom w:val="single" w:sz="8" w:space="0" w:color="000000"/>
              <w:right w:val="single" w:sz="8" w:space="0" w:color="000000"/>
            </w:tcBorders>
            <w:tcMar>
              <w:top w:w="100" w:type="dxa"/>
              <w:left w:w="100" w:type="dxa"/>
              <w:bottom w:w="100" w:type="dxa"/>
              <w:right w:w="100" w:type="dxa"/>
            </w:tcMar>
          </w:tcPr>
          <w:p w14:paraId="278346BD" w14:textId="77777777" w:rsidR="00EA6165" w:rsidRPr="00217F59" w:rsidRDefault="00EA6165" w:rsidP="00613ABF">
            <w:pPr>
              <w:spacing w:after="120"/>
              <w:jc w:val="left"/>
              <w:rPr>
                <w:rFonts w:cstheme="minorHAnsi"/>
                <w:sz w:val="20"/>
                <w:szCs w:val="20"/>
              </w:rPr>
            </w:pPr>
            <w:r w:rsidRPr="00217F59">
              <w:rPr>
                <w:rFonts w:cstheme="minorHAnsi"/>
                <w:sz w:val="20"/>
                <w:szCs w:val="20"/>
              </w:rPr>
              <w:t xml:space="preserve">Reduced plastic pollution, increased community involvement in reducing plastic pollution and introducing new </w:t>
            </w:r>
            <w:r w:rsidRPr="006155F6">
              <w:rPr>
                <w:rFonts w:cstheme="minorHAnsi"/>
                <w:sz w:val="20"/>
                <w:szCs w:val="20"/>
              </w:rPr>
              <w:t>legislation</w:t>
            </w:r>
            <w:r w:rsidRPr="00217F59">
              <w:rPr>
                <w:rFonts w:cstheme="minorHAnsi"/>
                <w:sz w:val="20"/>
                <w:szCs w:val="20"/>
              </w:rPr>
              <w:t>.</w:t>
            </w:r>
          </w:p>
        </w:tc>
      </w:tr>
      <w:tr w:rsidR="00EA6165" w:rsidRPr="00805248" w14:paraId="59072776" w14:textId="77777777" w:rsidTr="00565E6E">
        <w:trPr>
          <w:trHeight w:val="3"/>
        </w:trPr>
        <w:tc>
          <w:tcPr>
            <w:tcW w:w="742"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E7F106" w14:textId="77777777" w:rsidR="00EA6165" w:rsidRPr="00217F59" w:rsidRDefault="00EA6165" w:rsidP="00613ABF">
            <w:pPr>
              <w:spacing w:after="120"/>
              <w:jc w:val="left"/>
              <w:rPr>
                <w:rFonts w:cstheme="minorHAnsi"/>
                <w:sz w:val="20"/>
                <w:szCs w:val="20"/>
              </w:rPr>
            </w:pPr>
            <w:r w:rsidRPr="00217F59">
              <w:rPr>
                <w:rFonts w:cstheme="minorHAnsi"/>
                <w:sz w:val="20"/>
                <w:szCs w:val="20"/>
              </w:rPr>
              <w:t xml:space="preserve">  India</w:t>
            </w:r>
          </w:p>
        </w:tc>
        <w:tc>
          <w:tcPr>
            <w:tcW w:w="4258" w:type="pct"/>
            <w:tcBorders>
              <w:top w:val="nil"/>
              <w:left w:val="nil"/>
              <w:bottom w:val="single" w:sz="8" w:space="0" w:color="000000"/>
              <w:right w:val="single" w:sz="8" w:space="0" w:color="000000"/>
            </w:tcBorders>
            <w:tcMar>
              <w:top w:w="100" w:type="dxa"/>
              <w:left w:w="100" w:type="dxa"/>
              <w:bottom w:w="100" w:type="dxa"/>
              <w:right w:w="100" w:type="dxa"/>
            </w:tcMar>
          </w:tcPr>
          <w:p w14:paraId="6F165482" w14:textId="77777777" w:rsidR="00EA6165" w:rsidRPr="00217F59" w:rsidRDefault="00EA6165" w:rsidP="00613ABF">
            <w:pPr>
              <w:spacing w:after="120"/>
              <w:jc w:val="left"/>
              <w:rPr>
                <w:rFonts w:cstheme="minorHAnsi"/>
                <w:sz w:val="20"/>
                <w:szCs w:val="20"/>
              </w:rPr>
            </w:pPr>
            <w:r w:rsidRPr="00217F59">
              <w:rPr>
                <w:sz w:val="20"/>
                <w:szCs w:val="20"/>
              </w:rPr>
              <w:t>India has seen the strongest uptake of Tide Turners. Indian states across the whole of India have rolled out 100,000 EcoClubs schools. India has now r</w:t>
            </w:r>
            <w:r w:rsidRPr="00217F59">
              <w:rPr>
                <w:rFonts w:cstheme="minorHAnsi"/>
                <w:sz w:val="20"/>
                <w:szCs w:val="20"/>
              </w:rPr>
              <w:t>eached 1,000 Advocacy Champions at grassroots level.</w:t>
            </w:r>
          </w:p>
          <w:p w14:paraId="46B4FD8E" w14:textId="77777777" w:rsidR="00EA6165" w:rsidRPr="00217F59" w:rsidRDefault="00EA6165" w:rsidP="00613ABF">
            <w:pPr>
              <w:spacing w:after="120"/>
              <w:rPr>
                <w:rFonts w:cstheme="minorHAnsi"/>
                <w:sz w:val="20"/>
                <w:szCs w:val="20"/>
              </w:rPr>
            </w:pPr>
            <w:r w:rsidRPr="00217F59">
              <w:rPr>
                <w:rFonts w:cstheme="minorHAnsi"/>
                <w:i/>
                <w:sz w:val="20"/>
                <w:szCs w:val="20"/>
                <w:shd w:val="clear" w:color="auto" w:fill="FFFFFF"/>
              </w:rPr>
              <w:t xml:space="preserve">World Wildlife Fund (WWF): </w:t>
            </w:r>
            <w:r w:rsidRPr="00217F59">
              <w:rPr>
                <w:rFonts w:cstheme="minorHAnsi"/>
                <w:sz w:val="20"/>
                <w:szCs w:val="20"/>
              </w:rPr>
              <w:t xml:space="preserve">Whilst working in India with WWF, </w:t>
            </w:r>
            <w:r>
              <w:rPr>
                <w:rFonts w:cstheme="minorHAnsi"/>
                <w:sz w:val="20"/>
                <w:szCs w:val="20"/>
              </w:rPr>
              <w:t>Tide Turners</w:t>
            </w:r>
            <w:r w:rsidRPr="00217F59">
              <w:rPr>
                <w:rFonts w:cstheme="minorHAnsi"/>
                <w:sz w:val="20"/>
                <w:szCs w:val="20"/>
              </w:rPr>
              <w:t xml:space="preserve"> adapted and revised the tide turners plastic challenge toolkit to make it suitable for the Indian population and conducted leadership workshops for over 1,600 young environment leaders. This phase witnessed participation from 25,400 youth from select universities within a period of four months and an outreach of over 10 million people through key partners.</w:t>
            </w:r>
          </w:p>
          <w:p w14:paraId="28701404" w14:textId="77777777" w:rsidR="00EA6165" w:rsidRPr="00217F59" w:rsidRDefault="00EA6165" w:rsidP="00613ABF">
            <w:pPr>
              <w:spacing w:after="120"/>
              <w:jc w:val="left"/>
              <w:rPr>
                <w:rFonts w:cstheme="minorHAnsi"/>
                <w:b/>
                <w:bCs/>
                <w:sz w:val="20"/>
                <w:szCs w:val="20"/>
                <w:shd w:val="clear" w:color="auto" w:fill="FFFFFF"/>
              </w:rPr>
            </w:pPr>
            <w:r w:rsidRPr="00217F59">
              <w:rPr>
                <w:rFonts w:cstheme="minorHAnsi"/>
                <w:i/>
                <w:iCs/>
                <w:sz w:val="20"/>
                <w:szCs w:val="20"/>
                <w:shd w:val="clear" w:color="auto" w:fill="FFFFFF"/>
              </w:rPr>
              <w:t>Centre for Environment Education (CEE)</w:t>
            </w:r>
            <w:r w:rsidRPr="00217F59">
              <w:rPr>
                <w:rFonts w:cstheme="minorHAnsi"/>
                <w:b/>
                <w:bCs/>
                <w:sz w:val="20"/>
                <w:szCs w:val="20"/>
                <w:shd w:val="clear" w:color="auto" w:fill="FFFFFF"/>
              </w:rPr>
              <w:t xml:space="preserve">: </w:t>
            </w:r>
            <w:r w:rsidRPr="00217F59">
              <w:rPr>
                <w:rFonts w:cstheme="minorHAnsi"/>
                <w:sz w:val="20"/>
                <w:szCs w:val="20"/>
                <w:shd w:val="clear" w:color="auto" w:fill="FFFFFF"/>
              </w:rPr>
              <w:t xml:space="preserve">Through their work with the UNEP, CEE reached out to 25,000 youth who took action at individual, institutional and community level to beat plastic pollution. </w:t>
            </w:r>
          </w:p>
          <w:p w14:paraId="6EBCB8B7" w14:textId="77777777" w:rsidR="00EA6165" w:rsidRPr="00217F59" w:rsidRDefault="00EA6165" w:rsidP="00613ABF">
            <w:pPr>
              <w:spacing w:after="120"/>
              <w:rPr>
                <w:rFonts w:cstheme="minorHAnsi"/>
                <w:sz w:val="20"/>
                <w:szCs w:val="20"/>
              </w:rPr>
            </w:pPr>
            <w:r w:rsidRPr="00217F59">
              <w:rPr>
                <w:sz w:val="20"/>
                <w:szCs w:val="20"/>
              </w:rPr>
              <w:t xml:space="preserve">A survey on Indian Tide Turners participants showed that 31% of people reported having more discussions on plastic and 44% practised waste segregation after being on the programme. </w:t>
            </w:r>
            <w:r w:rsidRPr="00217F59">
              <w:rPr>
                <w:b/>
                <w:sz w:val="20"/>
                <w:szCs w:val="20"/>
                <w:u w:val="single"/>
              </w:rPr>
              <w:t xml:space="preserve"> </w:t>
            </w:r>
          </w:p>
        </w:tc>
      </w:tr>
      <w:tr w:rsidR="00EA6165" w:rsidRPr="00805248" w14:paraId="793B85D4" w14:textId="77777777" w:rsidTr="00565E6E">
        <w:trPr>
          <w:trHeight w:val="3"/>
        </w:trPr>
        <w:tc>
          <w:tcPr>
            <w:tcW w:w="742"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81B1C3" w14:textId="77777777" w:rsidR="00EA6165" w:rsidRPr="00217F59" w:rsidRDefault="00EA6165" w:rsidP="00613ABF">
            <w:pPr>
              <w:spacing w:after="120"/>
              <w:jc w:val="left"/>
              <w:rPr>
                <w:rFonts w:cstheme="minorHAnsi"/>
                <w:sz w:val="20"/>
                <w:szCs w:val="20"/>
              </w:rPr>
            </w:pPr>
            <w:r w:rsidRPr="00217F59">
              <w:rPr>
                <w:rFonts w:cstheme="minorHAnsi"/>
                <w:sz w:val="20"/>
                <w:szCs w:val="20"/>
              </w:rPr>
              <w:t xml:space="preserve">  Pakistan</w:t>
            </w:r>
          </w:p>
        </w:tc>
        <w:tc>
          <w:tcPr>
            <w:tcW w:w="4258" w:type="pct"/>
            <w:tcBorders>
              <w:top w:val="nil"/>
              <w:left w:val="nil"/>
              <w:bottom w:val="single" w:sz="8" w:space="0" w:color="000000"/>
              <w:right w:val="single" w:sz="8" w:space="0" w:color="000000"/>
            </w:tcBorders>
            <w:tcMar>
              <w:top w:w="100" w:type="dxa"/>
              <w:left w:w="100" w:type="dxa"/>
              <w:bottom w:w="100" w:type="dxa"/>
              <w:right w:w="100" w:type="dxa"/>
            </w:tcMar>
          </w:tcPr>
          <w:p w14:paraId="448D3BCA" w14:textId="77777777" w:rsidR="00EA6165" w:rsidRPr="00217F59" w:rsidRDefault="00EA6165" w:rsidP="00613ABF">
            <w:pPr>
              <w:spacing w:after="120"/>
              <w:jc w:val="left"/>
              <w:rPr>
                <w:rFonts w:cstheme="minorHAnsi"/>
                <w:sz w:val="20"/>
                <w:szCs w:val="20"/>
              </w:rPr>
            </w:pPr>
            <w:r w:rsidRPr="00217F59">
              <w:rPr>
                <w:rFonts w:cstheme="minorHAnsi"/>
                <w:sz w:val="20"/>
                <w:szCs w:val="20"/>
              </w:rPr>
              <w:t>Advocacy campaigns delivered including: “Say no to plastic”, “Save our planet”, “Stop using disposable plastic materials”. And increased use of reusable items and shopping bags.</w:t>
            </w:r>
          </w:p>
        </w:tc>
      </w:tr>
      <w:tr w:rsidR="00EA6165" w:rsidRPr="00805248" w14:paraId="6D7F5061" w14:textId="77777777" w:rsidTr="00565E6E">
        <w:trPr>
          <w:trHeight w:val="3"/>
        </w:trPr>
        <w:tc>
          <w:tcPr>
            <w:tcW w:w="742"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8A17DD" w14:textId="77777777" w:rsidR="00EA6165" w:rsidRPr="00217F59" w:rsidRDefault="00EA6165" w:rsidP="00613ABF">
            <w:pPr>
              <w:spacing w:after="120"/>
              <w:jc w:val="left"/>
              <w:rPr>
                <w:rFonts w:cstheme="minorHAnsi"/>
                <w:sz w:val="20"/>
                <w:szCs w:val="20"/>
              </w:rPr>
            </w:pPr>
            <w:r w:rsidRPr="00217F59">
              <w:rPr>
                <w:rFonts w:cstheme="minorHAnsi"/>
                <w:sz w:val="20"/>
                <w:szCs w:val="20"/>
              </w:rPr>
              <w:t>Malaysia</w:t>
            </w:r>
          </w:p>
        </w:tc>
        <w:tc>
          <w:tcPr>
            <w:tcW w:w="4258" w:type="pct"/>
            <w:tcBorders>
              <w:top w:val="nil"/>
              <w:left w:val="nil"/>
              <w:bottom w:val="single" w:sz="8" w:space="0" w:color="000000"/>
              <w:right w:val="single" w:sz="8" w:space="0" w:color="000000"/>
            </w:tcBorders>
            <w:tcMar>
              <w:top w:w="100" w:type="dxa"/>
              <w:left w:w="100" w:type="dxa"/>
              <w:bottom w:w="100" w:type="dxa"/>
              <w:right w:w="100" w:type="dxa"/>
            </w:tcMar>
          </w:tcPr>
          <w:p w14:paraId="7BC2713E" w14:textId="77777777" w:rsidR="00EA6165" w:rsidRPr="00217F59" w:rsidRDefault="00EA6165" w:rsidP="00613ABF">
            <w:pPr>
              <w:spacing w:after="120"/>
              <w:jc w:val="left"/>
              <w:rPr>
                <w:rFonts w:cstheme="minorHAnsi"/>
                <w:sz w:val="20"/>
                <w:szCs w:val="20"/>
              </w:rPr>
            </w:pPr>
            <w:r w:rsidRPr="00217F59">
              <w:rPr>
                <w:rFonts w:cstheme="minorHAnsi"/>
                <w:sz w:val="20"/>
                <w:szCs w:val="20"/>
              </w:rPr>
              <w:t>Delivery of the “#Bedrasticsaynotoplastic” campaign</w:t>
            </w:r>
          </w:p>
        </w:tc>
      </w:tr>
      <w:tr w:rsidR="00EA6165" w:rsidRPr="00805248" w14:paraId="2793D820" w14:textId="77777777" w:rsidTr="00565E6E">
        <w:trPr>
          <w:trHeight w:val="3"/>
        </w:trPr>
        <w:tc>
          <w:tcPr>
            <w:tcW w:w="742" w:type="pct"/>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483B98FE" w14:textId="77777777" w:rsidR="00EA6165" w:rsidRPr="00217F59" w:rsidRDefault="00EA6165" w:rsidP="00613ABF">
            <w:pPr>
              <w:spacing w:after="120"/>
              <w:jc w:val="left"/>
              <w:rPr>
                <w:rFonts w:cstheme="minorHAnsi"/>
                <w:sz w:val="20"/>
                <w:szCs w:val="20"/>
              </w:rPr>
            </w:pPr>
            <w:r w:rsidRPr="00217F59">
              <w:rPr>
                <w:rFonts w:cstheme="minorHAnsi"/>
                <w:sz w:val="20"/>
                <w:szCs w:val="20"/>
              </w:rPr>
              <w:t>Madagascar Mpanazava</w:t>
            </w:r>
          </w:p>
        </w:tc>
        <w:tc>
          <w:tcPr>
            <w:tcW w:w="4258" w:type="pct"/>
            <w:tcBorders>
              <w:top w:val="nil"/>
              <w:left w:val="nil"/>
              <w:bottom w:val="single" w:sz="4" w:space="0" w:color="auto"/>
              <w:right w:val="single" w:sz="8" w:space="0" w:color="000000"/>
            </w:tcBorders>
            <w:tcMar>
              <w:top w:w="100" w:type="dxa"/>
              <w:left w:w="100" w:type="dxa"/>
              <w:bottom w:w="100" w:type="dxa"/>
              <w:right w:w="100" w:type="dxa"/>
            </w:tcMar>
          </w:tcPr>
          <w:p w14:paraId="31691693" w14:textId="77777777" w:rsidR="00EA6165" w:rsidRPr="00217F59" w:rsidRDefault="00EA6165" w:rsidP="00613ABF">
            <w:pPr>
              <w:spacing w:after="120"/>
              <w:jc w:val="left"/>
              <w:rPr>
                <w:rFonts w:cstheme="minorHAnsi"/>
                <w:sz w:val="20"/>
                <w:szCs w:val="20"/>
              </w:rPr>
            </w:pPr>
            <w:r w:rsidRPr="00217F59">
              <w:rPr>
                <w:rFonts w:cstheme="minorHAnsi"/>
                <w:sz w:val="20"/>
                <w:szCs w:val="20"/>
              </w:rPr>
              <w:t>Advocated for a law regulating the importation, production and use of plastic in Madagascar.</w:t>
            </w:r>
          </w:p>
        </w:tc>
      </w:tr>
      <w:tr w:rsidR="00EA6165" w:rsidRPr="00805248" w14:paraId="514144B3" w14:textId="77777777" w:rsidTr="00565E6E">
        <w:trPr>
          <w:trHeight w:val="3"/>
        </w:trPr>
        <w:tc>
          <w:tcPr>
            <w:tcW w:w="74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D70B7B" w14:textId="77777777" w:rsidR="00EA6165" w:rsidRPr="00217F59" w:rsidRDefault="00EA6165" w:rsidP="00613ABF">
            <w:pPr>
              <w:spacing w:after="120"/>
              <w:jc w:val="left"/>
              <w:rPr>
                <w:rFonts w:cstheme="minorHAnsi"/>
                <w:sz w:val="20"/>
                <w:szCs w:val="20"/>
              </w:rPr>
            </w:pPr>
            <w:r w:rsidRPr="00217F59">
              <w:rPr>
                <w:rFonts w:cstheme="minorHAnsi"/>
                <w:sz w:val="20"/>
                <w:szCs w:val="20"/>
              </w:rPr>
              <w:t>Madagascar Fanilo</w:t>
            </w:r>
          </w:p>
        </w:tc>
        <w:tc>
          <w:tcPr>
            <w:tcW w:w="425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E04EF0" w14:textId="77777777" w:rsidR="00EA6165" w:rsidRPr="00217F59" w:rsidRDefault="00EA6165" w:rsidP="00613ABF">
            <w:pPr>
              <w:spacing w:after="120"/>
              <w:jc w:val="left"/>
              <w:rPr>
                <w:rFonts w:cstheme="minorHAnsi"/>
                <w:sz w:val="20"/>
                <w:szCs w:val="20"/>
              </w:rPr>
            </w:pPr>
            <w:r w:rsidRPr="00217F59">
              <w:rPr>
                <w:rFonts w:cstheme="minorHAnsi"/>
                <w:sz w:val="20"/>
                <w:szCs w:val="20"/>
              </w:rPr>
              <w:t>Advocacy at the level of the Ministry of the Environment and Industry, to reduce the production of plastic bags and create new degradable tools.</w:t>
            </w:r>
          </w:p>
        </w:tc>
      </w:tr>
      <w:tr w:rsidR="00EA6165" w:rsidRPr="00805248" w14:paraId="5A07F0EC" w14:textId="77777777" w:rsidTr="00565E6E">
        <w:trPr>
          <w:trHeight w:val="3"/>
        </w:trPr>
        <w:tc>
          <w:tcPr>
            <w:tcW w:w="74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F55613" w14:textId="77777777" w:rsidR="00EA6165" w:rsidRPr="00217F59" w:rsidRDefault="00EA6165" w:rsidP="00613ABF">
            <w:pPr>
              <w:spacing w:after="120"/>
              <w:jc w:val="left"/>
              <w:rPr>
                <w:rFonts w:cstheme="minorHAnsi"/>
                <w:sz w:val="20"/>
                <w:szCs w:val="20"/>
              </w:rPr>
            </w:pPr>
            <w:r w:rsidRPr="00217F59">
              <w:rPr>
                <w:rFonts w:cstheme="minorHAnsi"/>
                <w:sz w:val="20"/>
                <w:szCs w:val="20"/>
              </w:rPr>
              <w:t>Kenya</w:t>
            </w:r>
          </w:p>
        </w:tc>
        <w:tc>
          <w:tcPr>
            <w:tcW w:w="425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F408F2" w14:textId="77777777" w:rsidR="00EA6165" w:rsidRPr="00217F59" w:rsidRDefault="00EA6165" w:rsidP="00613ABF">
            <w:pPr>
              <w:spacing w:after="120"/>
              <w:jc w:val="left"/>
              <w:rPr>
                <w:rFonts w:cstheme="minorHAnsi"/>
                <w:sz w:val="20"/>
                <w:szCs w:val="20"/>
              </w:rPr>
            </w:pPr>
            <w:r w:rsidRPr="00217F59">
              <w:rPr>
                <w:rFonts w:cstheme="minorHAnsi"/>
                <w:sz w:val="20"/>
                <w:szCs w:val="20"/>
              </w:rPr>
              <w:t>Engaged the government in enforcing existing laws on plastic use.</w:t>
            </w:r>
          </w:p>
        </w:tc>
      </w:tr>
      <w:tr w:rsidR="00EA6165" w:rsidRPr="006155F6" w14:paraId="12080814" w14:textId="77777777" w:rsidTr="00565E6E">
        <w:trPr>
          <w:trHeight w:val="3"/>
        </w:trPr>
        <w:tc>
          <w:tcPr>
            <w:tcW w:w="742"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B272BC" w14:textId="77777777" w:rsidR="00EA6165" w:rsidRPr="00217F59" w:rsidRDefault="00EA6165" w:rsidP="00613ABF">
            <w:pPr>
              <w:spacing w:after="120"/>
              <w:jc w:val="left"/>
              <w:rPr>
                <w:rFonts w:cstheme="minorHAnsi"/>
                <w:sz w:val="20"/>
                <w:szCs w:val="20"/>
              </w:rPr>
            </w:pPr>
            <w:r w:rsidRPr="00217F59">
              <w:rPr>
                <w:rFonts w:cstheme="minorHAnsi"/>
                <w:sz w:val="20"/>
                <w:szCs w:val="20"/>
              </w:rPr>
              <w:lastRenderedPageBreak/>
              <w:t>Tanzania</w:t>
            </w:r>
          </w:p>
        </w:tc>
        <w:tc>
          <w:tcPr>
            <w:tcW w:w="4258"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1E890CE" w14:textId="77777777" w:rsidR="00EA6165" w:rsidRPr="00217F59" w:rsidRDefault="00EA6165" w:rsidP="00613ABF">
            <w:pPr>
              <w:spacing w:after="120"/>
              <w:rPr>
                <w:sz w:val="20"/>
                <w:szCs w:val="20"/>
              </w:rPr>
            </w:pPr>
            <w:r w:rsidRPr="00217F59">
              <w:rPr>
                <w:sz w:val="20"/>
                <w:szCs w:val="20"/>
              </w:rPr>
              <w:t xml:space="preserve">Following Tide Turners training in Tanzania, the Scouts lobbied the government to introduce a ban on plastic carrier bags. </w:t>
            </w:r>
          </w:p>
        </w:tc>
      </w:tr>
    </w:tbl>
    <w:p w14:paraId="1F510D5C" w14:textId="3066DD96" w:rsidR="00EA6165" w:rsidRPr="004D302D" w:rsidRDefault="00EA6165" w:rsidP="00613ABF">
      <w:pPr>
        <w:spacing w:before="240" w:after="240"/>
        <w:rPr>
          <w:rFonts w:cs="Arial"/>
          <w:szCs w:val="20"/>
        </w:rPr>
      </w:pPr>
      <w:r w:rsidRPr="004D302D">
        <w:rPr>
          <w:rFonts w:cs="Arial"/>
          <w:szCs w:val="20"/>
        </w:rPr>
        <w:t xml:space="preserve">The Blue Planet Fund investment criteria are based on the BPF </w:t>
      </w:r>
      <w:r w:rsidR="008B0A1F">
        <w:rPr>
          <w:rFonts w:cs="Arial"/>
          <w:szCs w:val="20"/>
        </w:rPr>
        <w:t>Theory of Change</w:t>
      </w:r>
      <w:r w:rsidRPr="004D302D">
        <w:rPr>
          <w:rFonts w:cs="Arial"/>
          <w:szCs w:val="20"/>
        </w:rPr>
        <w:t>, the principles and conditions which are important for a project to deliver the greatest benefits for the world’s poorest, the greatest environmental outcomes and prove value for money. The investment criteria draw upon HMG’s Strategic Framework for ODA and aim to help embed its priorities within the BPF’s delivery.</w:t>
      </w:r>
    </w:p>
    <w:p w14:paraId="147BF81A" w14:textId="72E9B0FE" w:rsidR="00EA6165" w:rsidRDefault="00EA6165" w:rsidP="00613ABF">
      <w:pPr>
        <w:spacing w:after="240"/>
        <w:rPr>
          <w:rFonts w:cstheme="minorHAnsi"/>
        </w:rPr>
      </w:pPr>
    </w:p>
    <w:p w14:paraId="0A37FF48" w14:textId="21491C23" w:rsidR="00EA6165" w:rsidRDefault="00EA6165" w:rsidP="00613ABF">
      <w:pPr>
        <w:spacing w:after="240"/>
        <w:jc w:val="center"/>
        <w:rPr>
          <w:rFonts w:cstheme="minorHAnsi"/>
        </w:rPr>
      </w:pPr>
    </w:p>
    <w:p w14:paraId="0CC94049" w14:textId="7DEC5305" w:rsidR="00EA6165" w:rsidRDefault="00EA6165" w:rsidP="00613ABF">
      <w:pPr>
        <w:spacing w:after="240"/>
        <w:jc w:val="center"/>
        <w:rPr>
          <w:rFonts w:cstheme="minorHAnsi"/>
        </w:rPr>
      </w:pPr>
    </w:p>
    <w:p w14:paraId="0B73C056" w14:textId="37B4D7F8" w:rsidR="00EA6165" w:rsidRDefault="00EA6165" w:rsidP="00613ABF">
      <w:pPr>
        <w:spacing w:after="240"/>
        <w:rPr>
          <w:rFonts w:cstheme="minorHAnsi"/>
        </w:rPr>
      </w:pPr>
    </w:p>
    <w:p w14:paraId="2FCE1186" w14:textId="0F82FFA6" w:rsidR="00EA6165" w:rsidRDefault="00EA6165" w:rsidP="00613ABF">
      <w:pPr>
        <w:spacing w:after="240"/>
        <w:rPr>
          <w:rFonts w:cstheme="minorHAnsi"/>
        </w:rPr>
      </w:pPr>
    </w:p>
    <w:p w14:paraId="2F963F19" w14:textId="31FF79F9" w:rsidR="00EA6165" w:rsidRDefault="00EA6165" w:rsidP="00613ABF">
      <w:pPr>
        <w:spacing w:after="240"/>
        <w:rPr>
          <w:rFonts w:cstheme="minorHAnsi"/>
        </w:rPr>
      </w:pPr>
    </w:p>
    <w:p w14:paraId="4E6CE28F" w14:textId="77777777" w:rsidR="00EA6165" w:rsidRDefault="00EA6165" w:rsidP="00214816">
      <w:pPr>
        <w:pStyle w:val="Heading2"/>
        <w:numPr>
          <w:ilvl w:val="1"/>
          <w:numId w:val="39"/>
        </w:numPr>
        <w:sectPr w:rsidR="00EA6165" w:rsidSect="00EA6165">
          <w:pgSz w:w="11906" w:h="16838"/>
          <w:pgMar w:top="1440" w:right="1440" w:bottom="1440" w:left="1440" w:header="709" w:footer="709" w:gutter="0"/>
          <w:cols w:space="708"/>
          <w:docGrid w:linePitch="360"/>
        </w:sectPr>
      </w:pPr>
    </w:p>
    <w:p w14:paraId="73FFA6EA" w14:textId="36F450D6" w:rsidR="00EA6165" w:rsidRPr="00FC2393" w:rsidRDefault="00777846" w:rsidP="00393805">
      <w:pPr>
        <w:pStyle w:val="Heading3"/>
        <w:rPr>
          <w:b/>
        </w:rPr>
      </w:pPr>
      <w:r w:rsidRPr="00FC2393">
        <w:rPr>
          <w:b/>
          <w:bCs/>
        </w:rPr>
        <w:lastRenderedPageBreak/>
        <w:t>Baselin</w:t>
      </w:r>
      <w:r w:rsidR="00393805" w:rsidRPr="00FC2393">
        <w:rPr>
          <w:b/>
          <w:bCs/>
        </w:rPr>
        <w:t>ING</w:t>
      </w:r>
    </w:p>
    <w:p w14:paraId="31B35A31" w14:textId="77777777" w:rsidR="00EA6165" w:rsidRPr="00217F59" w:rsidRDefault="00EA6165" w:rsidP="00613ABF">
      <w:pPr>
        <w:pStyle w:val="NormalWeb"/>
        <w:spacing w:before="0" w:beforeAutospacing="0" w:after="240" w:afterAutospacing="0"/>
        <w:jc w:val="both"/>
        <w:rPr>
          <w:rFonts w:asciiTheme="minorHAnsi" w:hAnsiTheme="minorHAnsi" w:cstheme="minorHAnsi"/>
          <w:sz w:val="22"/>
          <w:szCs w:val="22"/>
        </w:rPr>
      </w:pPr>
      <w:r w:rsidRPr="00217F59">
        <w:rPr>
          <w:rFonts w:asciiTheme="minorHAnsi" w:hAnsiTheme="minorHAnsi" w:cstheme="minorHAnsi"/>
          <w:sz w:val="22"/>
          <w:szCs w:val="22"/>
        </w:rPr>
        <w:t>In a ‘business as usual’ scenario (BAU), modelling suggests there will be an estimated 33 million tonnes of plastic leaking into the ocean every year in 2040</w:t>
      </w:r>
      <w:r w:rsidRPr="00217F59">
        <w:rPr>
          <w:rStyle w:val="FootnoteReference"/>
          <w:rFonts w:asciiTheme="minorHAnsi" w:hAnsiTheme="minorHAnsi" w:cstheme="minorHAnsi"/>
          <w:sz w:val="22"/>
          <w:szCs w:val="22"/>
        </w:rPr>
        <w:footnoteReference w:id="40"/>
      </w:r>
      <w:r w:rsidRPr="00217F59">
        <w:rPr>
          <w:rFonts w:asciiTheme="minorHAnsi" w:hAnsiTheme="minorHAnsi" w:cstheme="minorHAnsi"/>
          <w:sz w:val="22"/>
          <w:szCs w:val="22"/>
        </w:rPr>
        <w:t xml:space="preserve"> (three times more compared to an estimated 11 million metric tonnes in 2016), adding to the estimated 150 million metric tonnes already in the ocean.</w:t>
      </w:r>
      <w:r w:rsidRPr="00217F59">
        <w:rPr>
          <w:rStyle w:val="FootnoteReference"/>
          <w:rFonts w:asciiTheme="minorHAnsi" w:hAnsiTheme="minorHAnsi" w:cstheme="minorHAnsi"/>
          <w:sz w:val="22"/>
          <w:szCs w:val="22"/>
        </w:rPr>
        <w:footnoteReference w:id="41"/>
      </w:r>
      <w:r w:rsidRPr="00217F59">
        <w:rPr>
          <w:rFonts w:asciiTheme="minorHAnsi" w:hAnsiTheme="minorHAnsi" w:cstheme="minorHAnsi"/>
          <w:sz w:val="22"/>
          <w:szCs w:val="22"/>
        </w:rPr>
        <w:t xml:space="preserve"> This is incompatible with the goals of the Paris Agreement: without action, GHG emissions associated with plastic production, use and disposal in 2040 would account of 19% of the total emissions budget if we are to limit global heating to 1.5°C.</w:t>
      </w:r>
      <w:r w:rsidRPr="00217F59">
        <w:rPr>
          <w:rStyle w:val="FootnoteReference"/>
          <w:rFonts w:asciiTheme="minorHAnsi" w:hAnsiTheme="minorHAnsi" w:cstheme="minorHAnsi"/>
          <w:sz w:val="22"/>
          <w:szCs w:val="22"/>
        </w:rPr>
        <w:footnoteReference w:id="42"/>
      </w:r>
      <w:r w:rsidRPr="00217F59">
        <w:rPr>
          <w:rFonts w:asciiTheme="minorHAnsi" w:hAnsiTheme="minorHAnsi" w:cstheme="minorHAnsi"/>
          <w:sz w:val="22"/>
          <w:szCs w:val="22"/>
        </w:rPr>
        <w:t xml:space="preserve"> </w:t>
      </w:r>
    </w:p>
    <w:p w14:paraId="03D1759A" w14:textId="3DA160E8" w:rsidR="00EA6165" w:rsidRDefault="00EA6165" w:rsidP="00613ABF">
      <w:pPr>
        <w:spacing w:after="240"/>
      </w:pPr>
      <w:r w:rsidRPr="00217F59">
        <w:t xml:space="preserve">Coastal zones </w:t>
      </w:r>
      <w:r>
        <w:t xml:space="preserve">currently </w:t>
      </w:r>
      <w:r w:rsidRPr="00217F59">
        <w:t>exhibit higher rates of population growth and urbanisation, with this trend expected to continue in BAU.</w:t>
      </w:r>
      <w:r w:rsidRPr="00217F59">
        <w:rPr>
          <w:rStyle w:val="FootnoteReference"/>
          <w:rFonts w:cstheme="minorHAnsi"/>
        </w:rPr>
        <w:footnoteReference w:id="43"/>
      </w:r>
      <w:r w:rsidRPr="00217F59">
        <w:t xml:space="preserve"> Not only does the development of coastal areas increase anthropogenic pressures on the marine environment through dependence on natural resources and increased pollution, but greater populations are being exposed to existing hazards such as climate change impacts and polluted waterways, leading to poorer quality of livelihoods. </w:t>
      </w:r>
    </w:p>
    <w:p w14:paraId="35838EEE" w14:textId="77777777" w:rsidR="009C3E69" w:rsidRPr="008F42D1" w:rsidRDefault="009C3E69" w:rsidP="00613ABF">
      <w:pPr>
        <w:spacing w:after="240"/>
        <w:rPr>
          <w:rFonts w:cstheme="minorHAnsi"/>
          <w:b/>
          <w:bCs/>
          <w:u w:val="single"/>
        </w:rPr>
      </w:pPr>
      <w:r w:rsidRPr="008F42D1">
        <w:rPr>
          <w:rFonts w:cstheme="minorHAnsi"/>
        </w:rPr>
        <w:t>Plastic pollution is not only an environmental tragedy, it is also economically irresponsible</w:t>
      </w:r>
      <w:r>
        <w:rPr>
          <w:rFonts w:cstheme="minorHAnsi"/>
        </w:rPr>
        <w:t>.</w:t>
      </w:r>
      <w:r w:rsidRPr="008F42D1">
        <w:rPr>
          <w:rFonts w:cstheme="minorHAnsi"/>
          <w:shd w:val="clear" w:color="auto" w:fill="FFFFFF"/>
        </w:rPr>
        <w:t xml:space="preserve"> The economic impact of plastic pollution alone on marine natural capital has been estimated at USD 330 billion loss</w:t>
      </w:r>
      <w:r w:rsidRPr="008F42D1">
        <w:rPr>
          <w:rStyle w:val="FootnoteReference"/>
          <w:rFonts w:cstheme="minorHAnsi"/>
          <w:shd w:val="clear" w:color="auto" w:fill="FFFFFF"/>
        </w:rPr>
        <w:footnoteReference w:id="44"/>
      </w:r>
      <w:r w:rsidRPr="008F42D1">
        <w:rPr>
          <w:rFonts w:cstheme="minorHAnsi"/>
          <w:shd w:val="clear" w:color="auto" w:fill="FFFFFF"/>
        </w:rPr>
        <w:t> to the global economy each year</w:t>
      </w:r>
      <w:r>
        <w:rPr>
          <w:rFonts w:cstheme="minorHAnsi"/>
          <w:shd w:val="clear" w:color="auto" w:fill="FFFFFF"/>
        </w:rPr>
        <w:t>.</w:t>
      </w:r>
      <w:r w:rsidRPr="008F42D1">
        <w:rPr>
          <w:rFonts w:cstheme="minorHAnsi"/>
        </w:rPr>
        <w:t xml:space="preserve"> In </w:t>
      </w:r>
      <w:r>
        <w:rPr>
          <w:rFonts w:cstheme="minorHAnsi"/>
        </w:rPr>
        <w:t>addition</w:t>
      </w:r>
      <w:r w:rsidRPr="008F42D1">
        <w:rPr>
          <w:rFonts w:cstheme="minorHAnsi"/>
        </w:rPr>
        <w:t>, 95% of aggregate plastic packaging value— US$80 billion to US$120 billion a year—is lost to the economy following a short one-use cycle</w:t>
      </w:r>
      <w:r w:rsidRPr="008F42D1">
        <w:rPr>
          <w:rStyle w:val="FootnoteReference"/>
          <w:rFonts w:cstheme="minorHAnsi"/>
        </w:rPr>
        <w:footnoteReference w:id="45"/>
      </w:r>
      <w:r w:rsidRPr="008F42D1">
        <w:rPr>
          <w:rFonts w:cstheme="minorHAnsi"/>
        </w:rPr>
        <w:t>. For each tonne of plastic waste avoided (for example through reduced production of plastic packaging) it is projected that there will be a saving of 2,241 USD.</w:t>
      </w:r>
    </w:p>
    <w:p w14:paraId="15994A13" w14:textId="55CE0133" w:rsidR="00EA6165" w:rsidRPr="00FC2393" w:rsidRDefault="00777846" w:rsidP="00393805">
      <w:pPr>
        <w:pStyle w:val="Heading3"/>
        <w:rPr>
          <w:b/>
        </w:rPr>
      </w:pPr>
      <w:r w:rsidRPr="00FC2393">
        <w:rPr>
          <w:b/>
          <w:bCs/>
        </w:rPr>
        <w:t>Costs</w:t>
      </w:r>
    </w:p>
    <w:p w14:paraId="34BB6610" w14:textId="5A1AACCD" w:rsidR="00EA6165" w:rsidRPr="00DA7948" w:rsidRDefault="00EA4D94" w:rsidP="00613ABF">
      <w:pPr>
        <w:spacing w:after="240"/>
        <w:rPr>
          <w:rFonts w:cstheme="minorHAnsi"/>
        </w:rPr>
      </w:pPr>
      <w:r w:rsidRPr="00EA4D94">
        <w:rPr>
          <w:rFonts w:cstheme="minorHAnsi"/>
          <w:b/>
        </w:rPr>
        <w:t xml:space="preserve">Table </w:t>
      </w:r>
      <w:r w:rsidR="004243A5">
        <w:rPr>
          <w:rFonts w:cstheme="minorHAnsi"/>
          <w:b/>
        </w:rPr>
        <w:t>A4</w:t>
      </w:r>
      <w:r w:rsidRPr="00EA4D94">
        <w:rPr>
          <w:rFonts w:cstheme="minorHAnsi"/>
          <w:b/>
        </w:rPr>
        <w:t xml:space="preserve"> </w:t>
      </w:r>
      <w:r w:rsidR="00AC53C9">
        <w:rPr>
          <w:rFonts w:cstheme="minorHAnsi"/>
          <w:b/>
        </w:rPr>
        <w:t xml:space="preserve">below </w:t>
      </w:r>
      <w:r>
        <w:rPr>
          <w:rFonts w:cstheme="minorHAnsi"/>
          <w:bCs/>
        </w:rPr>
        <w:t>s</w:t>
      </w:r>
      <w:r w:rsidR="00EA6165" w:rsidRPr="00EA4D94">
        <w:rPr>
          <w:rFonts w:cstheme="minorHAnsi"/>
          <w:bCs/>
        </w:rPr>
        <w:t>ummarises</w:t>
      </w:r>
      <w:r w:rsidR="00EA6165" w:rsidRPr="00AE7220">
        <w:rPr>
          <w:rFonts w:cstheme="minorHAnsi"/>
          <w:bCs/>
        </w:rPr>
        <w:t xml:space="preserve"> t</w:t>
      </w:r>
      <w:r w:rsidR="00EA6165">
        <w:rPr>
          <w:rFonts w:cstheme="minorHAnsi"/>
          <w:bCs/>
        </w:rPr>
        <w:t xml:space="preserve">he potential cost streams for each of the shortlisted options. </w:t>
      </w:r>
    </w:p>
    <w:p w14:paraId="14473F45" w14:textId="0129A4CA" w:rsidR="00EA6165" w:rsidRPr="00FC2393" w:rsidRDefault="00EA4D94" w:rsidP="00613ABF">
      <w:pPr>
        <w:pStyle w:val="Caption"/>
        <w:spacing w:after="240" w:line="240" w:lineRule="auto"/>
        <w:rPr>
          <w:rFonts w:asciiTheme="minorHAnsi" w:hAnsiTheme="minorHAnsi" w:cstheme="minorHAnsi"/>
          <w:b/>
          <w:szCs w:val="22"/>
          <w:u w:val="single"/>
          <w:lang w:eastAsia="en-GB"/>
        </w:rPr>
      </w:pPr>
      <w:r w:rsidRPr="00FC2393">
        <w:rPr>
          <w:rFonts w:asciiTheme="minorHAnsi" w:hAnsiTheme="minorHAnsi" w:cstheme="minorHAnsi"/>
          <w:b/>
          <w:szCs w:val="22"/>
          <w:u w:val="single"/>
          <w:lang w:eastAsia="en-GB"/>
        </w:rPr>
        <w:t xml:space="preserve">Table </w:t>
      </w:r>
      <w:r w:rsidR="004243A5" w:rsidRPr="00FC2393">
        <w:rPr>
          <w:rFonts w:asciiTheme="minorHAnsi" w:hAnsiTheme="minorHAnsi" w:cstheme="minorHAnsi"/>
          <w:b/>
          <w:bCs w:val="0"/>
          <w:szCs w:val="22"/>
          <w:u w:val="single"/>
          <w:lang w:eastAsia="en-GB"/>
        </w:rPr>
        <w:t>A4</w:t>
      </w:r>
      <w:r w:rsidRPr="00FC2393">
        <w:rPr>
          <w:rFonts w:asciiTheme="minorHAnsi" w:hAnsiTheme="minorHAnsi" w:cstheme="minorHAnsi"/>
          <w:b/>
          <w:bCs w:val="0"/>
          <w:szCs w:val="22"/>
          <w:u w:val="single"/>
          <w:lang w:eastAsia="en-GB"/>
        </w:rPr>
        <w:t>: P</w:t>
      </w:r>
      <w:r w:rsidR="00EA6165" w:rsidRPr="00FC2393">
        <w:rPr>
          <w:rFonts w:asciiTheme="minorHAnsi" w:hAnsiTheme="minorHAnsi" w:cstheme="minorHAnsi"/>
          <w:b/>
          <w:bCs w:val="0"/>
          <w:szCs w:val="22"/>
          <w:u w:val="single"/>
          <w:lang w:eastAsia="en-GB"/>
        </w:rPr>
        <w:t>roposed</w:t>
      </w:r>
      <w:r w:rsidR="00EA6165" w:rsidRPr="00FC2393">
        <w:rPr>
          <w:rFonts w:asciiTheme="minorHAnsi" w:hAnsiTheme="minorHAnsi" w:cstheme="minorHAnsi"/>
          <w:b/>
          <w:szCs w:val="22"/>
          <w:u w:val="single"/>
          <w:lang w:eastAsia="en-GB"/>
        </w:rPr>
        <w:t xml:space="preserve"> split of the Defra investment by year and programme (preferred option)</w:t>
      </w:r>
    </w:p>
    <w:tbl>
      <w:tblPr>
        <w:tblStyle w:val="TableGrid"/>
        <w:tblW w:w="0" w:type="auto"/>
        <w:tblLook w:val="04A0" w:firstRow="1" w:lastRow="0" w:firstColumn="1" w:lastColumn="0" w:noHBand="0" w:noVBand="1"/>
      </w:tblPr>
      <w:tblGrid>
        <w:gridCol w:w="1196"/>
        <w:gridCol w:w="1364"/>
        <w:gridCol w:w="1312"/>
        <w:gridCol w:w="1312"/>
        <w:gridCol w:w="1312"/>
        <w:gridCol w:w="1296"/>
        <w:gridCol w:w="1214"/>
      </w:tblGrid>
      <w:tr w:rsidR="00EA6165" w:rsidRPr="00732EA8" w14:paraId="4ACA2945" w14:textId="77777777" w:rsidTr="0039362A">
        <w:tc>
          <w:tcPr>
            <w:tcW w:w="1196" w:type="dxa"/>
            <w:tcBorders>
              <w:bottom w:val="single" w:sz="12" w:space="0" w:color="auto"/>
            </w:tcBorders>
          </w:tcPr>
          <w:p w14:paraId="0C52EA2D" w14:textId="77777777" w:rsidR="00EA6165" w:rsidRPr="00732EA8" w:rsidRDefault="00EA6165" w:rsidP="00613ABF">
            <w:pPr>
              <w:jc w:val="left"/>
              <w:rPr>
                <w:rFonts w:cstheme="minorHAnsi"/>
              </w:rPr>
            </w:pPr>
            <w:r w:rsidRPr="00732EA8">
              <w:rPr>
                <w:rFonts w:cstheme="minorHAnsi"/>
              </w:rPr>
              <w:t>Option</w:t>
            </w:r>
          </w:p>
        </w:tc>
        <w:tc>
          <w:tcPr>
            <w:tcW w:w="1364" w:type="dxa"/>
            <w:tcBorders>
              <w:bottom w:val="single" w:sz="12" w:space="0" w:color="auto"/>
            </w:tcBorders>
          </w:tcPr>
          <w:p w14:paraId="63EE64FC" w14:textId="77777777" w:rsidR="00EA6165" w:rsidRPr="00217F59" w:rsidRDefault="00EA6165" w:rsidP="00613ABF">
            <w:pPr>
              <w:jc w:val="left"/>
              <w:rPr>
                <w:rFonts w:cstheme="minorHAnsi"/>
              </w:rPr>
            </w:pPr>
            <w:r w:rsidRPr="00732EA8">
              <w:rPr>
                <w:rFonts w:cstheme="minorHAnsi"/>
              </w:rPr>
              <w:t>Element</w:t>
            </w:r>
          </w:p>
        </w:tc>
        <w:tc>
          <w:tcPr>
            <w:tcW w:w="1312" w:type="dxa"/>
            <w:tcBorders>
              <w:bottom w:val="single" w:sz="12" w:space="0" w:color="auto"/>
            </w:tcBorders>
          </w:tcPr>
          <w:p w14:paraId="4BA510EE" w14:textId="77777777" w:rsidR="00EA6165" w:rsidRPr="00217F59" w:rsidRDefault="00EA6165" w:rsidP="00613ABF">
            <w:pPr>
              <w:jc w:val="left"/>
              <w:rPr>
                <w:rFonts w:cstheme="minorHAnsi"/>
              </w:rPr>
            </w:pPr>
            <w:r w:rsidRPr="00732EA8">
              <w:rPr>
                <w:rFonts w:cstheme="minorHAnsi"/>
              </w:rPr>
              <w:t>22/23</w:t>
            </w:r>
          </w:p>
        </w:tc>
        <w:tc>
          <w:tcPr>
            <w:tcW w:w="1312" w:type="dxa"/>
            <w:tcBorders>
              <w:bottom w:val="single" w:sz="12" w:space="0" w:color="auto"/>
            </w:tcBorders>
          </w:tcPr>
          <w:p w14:paraId="16875E31" w14:textId="77777777" w:rsidR="00EA6165" w:rsidRPr="00217F59" w:rsidRDefault="00EA6165" w:rsidP="00613ABF">
            <w:pPr>
              <w:jc w:val="left"/>
              <w:rPr>
                <w:rFonts w:cstheme="minorHAnsi"/>
              </w:rPr>
            </w:pPr>
            <w:r w:rsidRPr="00732EA8">
              <w:rPr>
                <w:rFonts w:cstheme="minorHAnsi"/>
              </w:rPr>
              <w:t>23/24</w:t>
            </w:r>
          </w:p>
        </w:tc>
        <w:tc>
          <w:tcPr>
            <w:tcW w:w="1312" w:type="dxa"/>
            <w:tcBorders>
              <w:bottom w:val="single" w:sz="12" w:space="0" w:color="auto"/>
            </w:tcBorders>
          </w:tcPr>
          <w:p w14:paraId="62354E92" w14:textId="77777777" w:rsidR="00EA6165" w:rsidRPr="00217F59" w:rsidRDefault="00EA6165" w:rsidP="00613ABF">
            <w:pPr>
              <w:jc w:val="left"/>
              <w:rPr>
                <w:rFonts w:cstheme="minorHAnsi"/>
              </w:rPr>
            </w:pPr>
            <w:r w:rsidRPr="00732EA8">
              <w:rPr>
                <w:rFonts w:cstheme="minorHAnsi"/>
              </w:rPr>
              <w:t>24/25</w:t>
            </w:r>
          </w:p>
        </w:tc>
        <w:tc>
          <w:tcPr>
            <w:tcW w:w="1296" w:type="dxa"/>
            <w:tcBorders>
              <w:bottom w:val="single" w:sz="12" w:space="0" w:color="auto"/>
            </w:tcBorders>
          </w:tcPr>
          <w:p w14:paraId="32142FE6" w14:textId="77777777" w:rsidR="00EA6165" w:rsidRPr="00217F59" w:rsidRDefault="00EA6165" w:rsidP="00613ABF">
            <w:pPr>
              <w:jc w:val="left"/>
              <w:rPr>
                <w:rFonts w:cstheme="minorHAnsi"/>
              </w:rPr>
            </w:pPr>
            <w:r w:rsidRPr="00732EA8">
              <w:rPr>
                <w:rFonts w:cstheme="minorHAnsi"/>
              </w:rPr>
              <w:t>25/26</w:t>
            </w:r>
          </w:p>
        </w:tc>
        <w:tc>
          <w:tcPr>
            <w:tcW w:w="1214" w:type="dxa"/>
            <w:tcBorders>
              <w:bottom w:val="single" w:sz="12" w:space="0" w:color="auto"/>
            </w:tcBorders>
          </w:tcPr>
          <w:p w14:paraId="4B7E63DE" w14:textId="77777777" w:rsidR="00EA6165" w:rsidRPr="00217F59" w:rsidRDefault="00EA6165" w:rsidP="00613ABF">
            <w:pPr>
              <w:jc w:val="left"/>
              <w:rPr>
                <w:rFonts w:cstheme="minorHAnsi"/>
              </w:rPr>
            </w:pPr>
            <w:r w:rsidRPr="00732EA8">
              <w:rPr>
                <w:rFonts w:cstheme="minorHAnsi"/>
              </w:rPr>
              <w:t>Total</w:t>
            </w:r>
          </w:p>
        </w:tc>
      </w:tr>
      <w:tr w:rsidR="00EA6165" w:rsidRPr="00732EA8" w14:paraId="11128E73" w14:textId="77777777" w:rsidTr="0039362A">
        <w:tc>
          <w:tcPr>
            <w:tcW w:w="1196" w:type="dxa"/>
            <w:vMerge w:val="restart"/>
            <w:tcBorders>
              <w:top w:val="single" w:sz="12" w:space="0" w:color="auto"/>
              <w:left w:val="single" w:sz="12" w:space="0" w:color="auto"/>
            </w:tcBorders>
            <w:vAlign w:val="center"/>
          </w:tcPr>
          <w:p w14:paraId="489E0BF1" w14:textId="77777777" w:rsidR="00EA6165" w:rsidRPr="00732EA8" w:rsidRDefault="00EA6165" w:rsidP="00613ABF">
            <w:pPr>
              <w:jc w:val="center"/>
              <w:rPr>
                <w:rFonts w:cstheme="minorHAnsi"/>
              </w:rPr>
            </w:pPr>
            <w:r w:rsidRPr="00732EA8">
              <w:rPr>
                <w:rFonts w:cstheme="minorHAnsi"/>
              </w:rPr>
              <w:t>1B</w:t>
            </w:r>
          </w:p>
        </w:tc>
        <w:tc>
          <w:tcPr>
            <w:tcW w:w="1364" w:type="dxa"/>
            <w:tcBorders>
              <w:top w:val="single" w:sz="12" w:space="0" w:color="auto"/>
            </w:tcBorders>
            <w:shd w:val="clear" w:color="auto" w:fill="E2EFD9" w:themeFill="accent6" w:themeFillTint="33"/>
          </w:tcPr>
          <w:p w14:paraId="723CE827" w14:textId="77777777" w:rsidR="00EA6165" w:rsidRPr="00217F59" w:rsidRDefault="00EA6165" w:rsidP="00613ABF">
            <w:pPr>
              <w:jc w:val="left"/>
              <w:rPr>
                <w:rFonts w:cstheme="minorHAnsi"/>
              </w:rPr>
            </w:pPr>
            <w:r w:rsidRPr="00732EA8">
              <w:rPr>
                <w:rFonts w:cstheme="minorHAnsi"/>
              </w:rPr>
              <w:t>Tide Turners</w:t>
            </w:r>
          </w:p>
        </w:tc>
        <w:tc>
          <w:tcPr>
            <w:tcW w:w="1312" w:type="dxa"/>
            <w:tcBorders>
              <w:top w:val="single" w:sz="12" w:space="0" w:color="auto"/>
            </w:tcBorders>
            <w:shd w:val="clear" w:color="auto" w:fill="E2EFD9" w:themeFill="accent6" w:themeFillTint="33"/>
          </w:tcPr>
          <w:p w14:paraId="25A30493" w14:textId="77777777" w:rsidR="00EA6165" w:rsidRPr="00217F59" w:rsidRDefault="00EA6165" w:rsidP="00613ABF">
            <w:pPr>
              <w:jc w:val="left"/>
              <w:rPr>
                <w:rFonts w:cstheme="minorHAnsi"/>
              </w:rPr>
            </w:pPr>
            <w:r w:rsidRPr="00732EA8">
              <w:rPr>
                <w:rFonts w:cstheme="minorHAnsi"/>
              </w:rPr>
              <w:t>£100k</w:t>
            </w:r>
          </w:p>
        </w:tc>
        <w:tc>
          <w:tcPr>
            <w:tcW w:w="1312" w:type="dxa"/>
            <w:tcBorders>
              <w:top w:val="single" w:sz="12" w:space="0" w:color="auto"/>
            </w:tcBorders>
            <w:shd w:val="clear" w:color="auto" w:fill="E2EFD9" w:themeFill="accent6" w:themeFillTint="33"/>
          </w:tcPr>
          <w:p w14:paraId="79F33E29" w14:textId="77777777" w:rsidR="00EA6165" w:rsidRPr="00217F59" w:rsidRDefault="00EA6165" w:rsidP="00613ABF">
            <w:pPr>
              <w:jc w:val="left"/>
              <w:rPr>
                <w:rFonts w:cstheme="minorHAnsi"/>
              </w:rPr>
            </w:pPr>
            <w:r w:rsidRPr="00732EA8">
              <w:rPr>
                <w:rFonts w:cstheme="minorHAnsi"/>
              </w:rPr>
              <w:t>£500k</w:t>
            </w:r>
          </w:p>
        </w:tc>
        <w:tc>
          <w:tcPr>
            <w:tcW w:w="1312" w:type="dxa"/>
            <w:tcBorders>
              <w:top w:val="single" w:sz="12" w:space="0" w:color="auto"/>
            </w:tcBorders>
            <w:shd w:val="clear" w:color="auto" w:fill="E2EFD9" w:themeFill="accent6" w:themeFillTint="33"/>
          </w:tcPr>
          <w:p w14:paraId="03A4A508" w14:textId="77777777" w:rsidR="00EA6165" w:rsidRPr="00217F59" w:rsidRDefault="00EA6165" w:rsidP="00613ABF">
            <w:pPr>
              <w:jc w:val="left"/>
              <w:rPr>
                <w:rFonts w:cstheme="minorHAnsi"/>
              </w:rPr>
            </w:pPr>
            <w:r w:rsidRPr="00732EA8">
              <w:rPr>
                <w:rFonts w:cstheme="minorHAnsi"/>
              </w:rPr>
              <w:t>£300k</w:t>
            </w:r>
          </w:p>
        </w:tc>
        <w:tc>
          <w:tcPr>
            <w:tcW w:w="1296" w:type="dxa"/>
            <w:tcBorders>
              <w:top w:val="single" w:sz="12" w:space="0" w:color="auto"/>
            </w:tcBorders>
            <w:shd w:val="clear" w:color="auto" w:fill="E2EFD9" w:themeFill="accent6" w:themeFillTint="33"/>
          </w:tcPr>
          <w:p w14:paraId="5E5BDA61" w14:textId="77777777" w:rsidR="00EA6165" w:rsidRPr="00217F59" w:rsidRDefault="00EA6165" w:rsidP="00613ABF">
            <w:pPr>
              <w:jc w:val="left"/>
              <w:rPr>
                <w:rFonts w:cstheme="minorHAnsi"/>
              </w:rPr>
            </w:pPr>
          </w:p>
        </w:tc>
        <w:tc>
          <w:tcPr>
            <w:tcW w:w="1214" w:type="dxa"/>
            <w:tcBorders>
              <w:top w:val="single" w:sz="12" w:space="0" w:color="auto"/>
              <w:right w:val="single" w:sz="12" w:space="0" w:color="auto"/>
            </w:tcBorders>
            <w:shd w:val="clear" w:color="auto" w:fill="E2EFD9" w:themeFill="accent6" w:themeFillTint="33"/>
          </w:tcPr>
          <w:p w14:paraId="04D5971B" w14:textId="77777777" w:rsidR="00EA6165" w:rsidRPr="00217F59" w:rsidRDefault="00EA6165" w:rsidP="00613ABF">
            <w:pPr>
              <w:jc w:val="left"/>
              <w:rPr>
                <w:rFonts w:cstheme="minorHAnsi"/>
                <w:b/>
                <w:bCs/>
              </w:rPr>
            </w:pPr>
            <w:r w:rsidRPr="00732EA8">
              <w:rPr>
                <w:rFonts w:cstheme="minorHAnsi"/>
                <w:b/>
                <w:bCs/>
              </w:rPr>
              <w:t>£0.9m</w:t>
            </w:r>
          </w:p>
        </w:tc>
      </w:tr>
      <w:tr w:rsidR="00EA6165" w:rsidRPr="00732EA8" w14:paraId="5B383F04" w14:textId="77777777" w:rsidTr="0039362A">
        <w:tc>
          <w:tcPr>
            <w:tcW w:w="1196" w:type="dxa"/>
            <w:vMerge/>
            <w:tcBorders>
              <w:left w:val="single" w:sz="12" w:space="0" w:color="auto"/>
            </w:tcBorders>
            <w:vAlign w:val="center"/>
          </w:tcPr>
          <w:p w14:paraId="0FEF88A1" w14:textId="77777777" w:rsidR="00EA6165" w:rsidRPr="00732EA8" w:rsidRDefault="00EA6165" w:rsidP="00613ABF">
            <w:pPr>
              <w:jc w:val="center"/>
              <w:rPr>
                <w:rFonts w:cstheme="minorHAnsi"/>
              </w:rPr>
            </w:pPr>
          </w:p>
        </w:tc>
        <w:tc>
          <w:tcPr>
            <w:tcW w:w="1364" w:type="dxa"/>
            <w:shd w:val="clear" w:color="auto" w:fill="C5E0B3" w:themeFill="accent6" w:themeFillTint="66"/>
          </w:tcPr>
          <w:p w14:paraId="73593A76" w14:textId="77777777" w:rsidR="00EA6165" w:rsidRPr="00217F59" w:rsidRDefault="00EA6165" w:rsidP="00613ABF">
            <w:pPr>
              <w:jc w:val="left"/>
              <w:rPr>
                <w:rFonts w:cstheme="minorHAnsi"/>
              </w:rPr>
            </w:pPr>
            <w:r w:rsidRPr="00732EA8">
              <w:rPr>
                <w:rFonts w:cstheme="minorHAnsi"/>
              </w:rPr>
              <w:t>INC support</w:t>
            </w:r>
          </w:p>
        </w:tc>
        <w:tc>
          <w:tcPr>
            <w:tcW w:w="1312" w:type="dxa"/>
            <w:shd w:val="clear" w:color="auto" w:fill="C5E0B3" w:themeFill="accent6" w:themeFillTint="66"/>
          </w:tcPr>
          <w:p w14:paraId="4124C6FD" w14:textId="77777777" w:rsidR="00EA6165" w:rsidRPr="00217F59" w:rsidRDefault="00EA6165" w:rsidP="00613ABF">
            <w:pPr>
              <w:jc w:val="left"/>
              <w:rPr>
                <w:rFonts w:cstheme="minorHAnsi"/>
              </w:rPr>
            </w:pPr>
            <w:r>
              <w:rPr>
                <w:rFonts w:cstheme="minorHAnsi"/>
              </w:rPr>
              <w:t>£1m</w:t>
            </w:r>
          </w:p>
        </w:tc>
        <w:tc>
          <w:tcPr>
            <w:tcW w:w="1312" w:type="dxa"/>
            <w:shd w:val="clear" w:color="auto" w:fill="C5E0B3" w:themeFill="accent6" w:themeFillTint="66"/>
          </w:tcPr>
          <w:p w14:paraId="3AF2B725" w14:textId="77777777" w:rsidR="00EA6165" w:rsidRPr="00217F59" w:rsidRDefault="00EA6165" w:rsidP="00613ABF">
            <w:pPr>
              <w:jc w:val="left"/>
              <w:rPr>
                <w:rFonts w:cstheme="minorHAnsi"/>
              </w:rPr>
            </w:pPr>
            <w:r>
              <w:rPr>
                <w:rFonts w:cstheme="minorHAnsi"/>
              </w:rPr>
              <w:t>£750k</w:t>
            </w:r>
          </w:p>
        </w:tc>
        <w:tc>
          <w:tcPr>
            <w:tcW w:w="1312" w:type="dxa"/>
            <w:shd w:val="clear" w:color="auto" w:fill="C5E0B3" w:themeFill="accent6" w:themeFillTint="66"/>
          </w:tcPr>
          <w:p w14:paraId="0C68DB1D" w14:textId="77777777" w:rsidR="00EA6165" w:rsidRPr="00217F59" w:rsidRDefault="00EA6165" w:rsidP="00613ABF">
            <w:pPr>
              <w:jc w:val="left"/>
              <w:rPr>
                <w:rFonts w:cstheme="minorHAnsi"/>
              </w:rPr>
            </w:pPr>
            <w:r>
              <w:rPr>
                <w:rFonts w:cstheme="minorHAnsi"/>
              </w:rPr>
              <w:t>£250k</w:t>
            </w:r>
          </w:p>
        </w:tc>
        <w:tc>
          <w:tcPr>
            <w:tcW w:w="1296" w:type="dxa"/>
            <w:shd w:val="clear" w:color="auto" w:fill="C5E0B3" w:themeFill="accent6" w:themeFillTint="66"/>
          </w:tcPr>
          <w:p w14:paraId="2DAAA4C1" w14:textId="77777777" w:rsidR="00EA6165" w:rsidRPr="00217F59" w:rsidRDefault="00EA6165" w:rsidP="00613ABF">
            <w:pPr>
              <w:jc w:val="left"/>
              <w:rPr>
                <w:rFonts w:cstheme="minorHAnsi"/>
              </w:rPr>
            </w:pPr>
          </w:p>
        </w:tc>
        <w:tc>
          <w:tcPr>
            <w:tcW w:w="1214" w:type="dxa"/>
            <w:tcBorders>
              <w:right w:val="single" w:sz="12" w:space="0" w:color="auto"/>
            </w:tcBorders>
            <w:shd w:val="clear" w:color="auto" w:fill="C5E0B3" w:themeFill="accent6" w:themeFillTint="66"/>
          </w:tcPr>
          <w:p w14:paraId="067F42F4" w14:textId="371884AA" w:rsidR="00EA6165" w:rsidRPr="00217F59" w:rsidRDefault="00EA6165" w:rsidP="00613ABF">
            <w:pPr>
              <w:jc w:val="left"/>
              <w:rPr>
                <w:rFonts w:cstheme="minorHAnsi"/>
                <w:b/>
                <w:bCs/>
              </w:rPr>
            </w:pPr>
            <w:r>
              <w:rPr>
                <w:rFonts w:cstheme="minorHAnsi"/>
                <w:b/>
                <w:bCs/>
              </w:rPr>
              <w:t>£2m</w:t>
            </w:r>
          </w:p>
        </w:tc>
      </w:tr>
      <w:tr w:rsidR="00EA6165" w:rsidRPr="00732EA8" w14:paraId="1F9BEADE" w14:textId="77777777" w:rsidTr="0039362A">
        <w:tc>
          <w:tcPr>
            <w:tcW w:w="1196" w:type="dxa"/>
            <w:vMerge/>
            <w:tcBorders>
              <w:left w:val="single" w:sz="12" w:space="0" w:color="auto"/>
              <w:bottom w:val="single" w:sz="12" w:space="0" w:color="auto"/>
            </w:tcBorders>
            <w:vAlign w:val="center"/>
          </w:tcPr>
          <w:p w14:paraId="17D65505" w14:textId="77777777" w:rsidR="00EA6165" w:rsidRPr="00732EA8" w:rsidRDefault="00EA6165" w:rsidP="00613ABF">
            <w:pPr>
              <w:jc w:val="center"/>
              <w:rPr>
                <w:rFonts w:cstheme="minorHAnsi"/>
              </w:rPr>
            </w:pPr>
          </w:p>
        </w:tc>
        <w:tc>
          <w:tcPr>
            <w:tcW w:w="1364" w:type="dxa"/>
            <w:tcBorders>
              <w:bottom w:val="single" w:sz="12" w:space="0" w:color="auto"/>
            </w:tcBorders>
          </w:tcPr>
          <w:p w14:paraId="14886F1F" w14:textId="77777777" w:rsidR="00EA6165" w:rsidRPr="00217F59" w:rsidRDefault="00EA6165" w:rsidP="00613ABF">
            <w:pPr>
              <w:jc w:val="left"/>
              <w:rPr>
                <w:rFonts w:cstheme="minorHAnsi"/>
                <w:b/>
                <w:bCs/>
              </w:rPr>
            </w:pPr>
            <w:r w:rsidRPr="00732EA8">
              <w:rPr>
                <w:rFonts w:cstheme="minorHAnsi"/>
                <w:b/>
                <w:bCs/>
              </w:rPr>
              <w:t>Total</w:t>
            </w:r>
          </w:p>
        </w:tc>
        <w:tc>
          <w:tcPr>
            <w:tcW w:w="1312" w:type="dxa"/>
            <w:tcBorders>
              <w:bottom w:val="single" w:sz="12" w:space="0" w:color="auto"/>
            </w:tcBorders>
          </w:tcPr>
          <w:p w14:paraId="511BA49E" w14:textId="77777777" w:rsidR="00EA6165" w:rsidRPr="00217F59" w:rsidRDefault="00EA6165" w:rsidP="00613ABF">
            <w:pPr>
              <w:jc w:val="left"/>
              <w:rPr>
                <w:rFonts w:cstheme="minorHAnsi"/>
                <w:b/>
                <w:bCs/>
              </w:rPr>
            </w:pPr>
          </w:p>
        </w:tc>
        <w:tc>
          <w:tcPr>
            <w:tcW w:w="1312" w:type="dxa"/>
            <w:tcBorders>
              <w:bottom w:val="single" w:sz="12" w:space="0" w:color="auto"/>
            </w:tcBorders>
          </w:tcPr>
          <w:p w14:paraId="2C872F9F" w14:textId="77777777" w:rsidR="00EA6165" w:rsidRPr="00217F59" w:rsidRDefault="00EA6165" w:rsidP="00613ABF">
            <w:pPr>
              <w:jc w:val="left"/>
              <w:rPr>
                <w:rFonts w:cstheme="minorHAnsi"/>
                <w:b/>
                <w:bCs/>
              </w:rPr>
            </w:pPr>
          </w:p>
        </w:tc>
        <w:tc>
          <w:tcPr>
            <w:tcW w:w="1312" w:type="dxa"/>
            <w:tcBorders>
              <w:bottom w:val="single" w:sz="12" w:space="0" w:color="auto"/>
            </w:tcBorders>
          </w:tcPr>
          <w:p w14:paraId="593AA1A7" w14:textId="77777777" w:rsidR="00EA6165" w:rsidRPr="00217F59" w:rsidRDefault="00EA6165" w:rsidP="00613ABF">
            <w:pPr>
              <w:jc w:val="left"/>
              <w:rPr>
                <w:rFonts w:cstheme="minorHAnsi"/>
                <w:b/>
                <w:bCs/>
              </w:rPr>
            </w:pPr>
          </w:p>
        </w:tc>
        <w:tc>
          <w:tcPr>
            <w:tcW w:w="1296" w:type="dxa"/>
            <w:tcBorders>
              <w:bottom w:val="single" w:sz="12" w:space="0" w:color="auto"/>
            </w:tcBorders>
          </w:tcPr>
          <w:p w14:paraId="39587B08" w14:textId="77777777" w:rsidR="00EA6165" w:rsidRPr="00217F59" w:rsidRDefault="00EA6165" w:rsidP="00613ABF">
            <w:pPr>
              <w:jc w:val="left"/>
              <w:rPr>
                <w:rFonts w:cstheme="minorHAnsi"/>
                <w:b/>
                <w:bCs/>
              </w:rPr>
            </w:pPr>
          </w:p>
        </w:tc>
        <w:tc>
          <w:tcPr>
            <w:tcW w:w="1214" w:type="dxa"/>
            <w:tcBorders>
              <w:bottom w:val="single" w:sz="12" w:space="0" w:color="auto"/>
              <w:right w:val="single" w:sz="12" w:space="0" w:color="auto"/>
            </w:tcBorders>
          </w:tcPr>
          <w:p w14:paraId="1274A2F2" w14:textId="77777777" w:rsidR="00EA6165" w:rsidRPr="00217F59" w:rsidRDefault="00EA6165" w:rsidP="00613ABF">
            <w:pPr>
              <w:jc w:val="left"/>
              <w:rPr>
                <w:rFonts w:cstheme="minorHAnsi"/>
                <w:b/>
                <w:bCs/>
              </w:rPr>
            </w:pPr>
            <w:r>
              <w:rPr>
                <w:rFonts w:cstheme="minorHAnsi"/>
                <w:b/>
                <w:bCs/>
              </w:rPr>
              <w:t>£2.9m</w:t>
            </w:r>
          </w:p>
        </w:tc>
      </w:tr>
      <w:tr w:rsidR="00EA6165" w:rsidRPr="00732EA8" w14:paraId="0ADDE773" w14:textId="77777777" w:rsidTr="0039362A">
        <w:tc>
          <w:tcPr>
            <w:tcW w:w="1196" w:type="dxa"/>
            <w:vMerge w:val="restart"/>
            <w:tcBorders>
              <w:top w:val="single" w:sz="12" w:space="0" w:color="auto"/>
              <w:left w:val="single" w:sz="12" w:space="0" w:color="auto"/>
            </w:tcBorders>
            <w:vAlign w:val="center"/>
          </w:tcPr>
          <w:p w14:paraId="3B8E0F08" w14:textId="77777777" w:rsidR="00EA6165" w:rsidRPr="00732EA8" w:rsidRDefault="00EA6165" w:rsidP="00613ABF">
            <w:pPr>
              <w:jc w:val="center"/>
              <w:rPr>
                <w:rFonts w:cstheme="minorHAnsi"/>
              </w:rPr>
            </w:pPr>
            <w:r w:rsidRPr="00732EA8">
              <w:rPr>
                <w:rFonts w:cstheme="minorHAnsi"/>
              </w:rPr>
              <w:t>2B</w:t>
            </w:r>
          </w:p>
        </w:tc>
        <w:tc>
          <w:tcPr>
            <w:tcW w:w="1364" w:type="dxa"/>
            <w:tcBorders>
              <w:top w:val="single" w:sz="12" w:space="0" w:color="auto"/>
            </w:tcBorders>
            <w:shd w:val="clear" w:color="auto" w:fill="E2EFD9" w:themeFill="accent6" w:themeFillTint="33"/>
          </w:tcPr>
          <w:p w14:paraId="53E36B37" w14:textId="77777777" w:rsidR="00EA6165" w:rsidRPr="00732EA8" w:rsidRDefault="00EA6165" w:rsidP="00613ABF">
            <w:pPr>
              <w:jc w:val="left"/>
              <w:rPr>
                <w:rFonts w:cstheme="minorHAnsi"/>
              </w:rPr>
            </w:pPr>
            <w:r w:rsidRPr="00732EA8">
              <w:rPr>
                <w:rFonts w:cstheme="minorHAnsi"/>
              </w:rPr>
              <w:t>Tide Turners</w:t>
            </w:r>
          </w:p>
        </w:tc>
        <w:tc>
          <w:tcPr>
            <w:tcW w:w="1312" w:type="dxa"/>
            <w:tcBorders>
              <w:top w:val="single" w:sz="12" w:space="0" w:color="auto"/>
            </w:tcBorders>
            <w:shd w:val="clear" w:color="auto" w:fill="E2EFD9" w:themeFill="accent6" w:themeFillTint="33"/>
          </w:tcPr>
          <w:p w14:paraId="5694F77E" w14:textId="77777777" w:rsidR="00EA6165" w:rsidRPr="00732EA8" w:rsidRDefault="00EA6165" w:rsidP="00613ABF">
            <w:pPr>
              <w:jc w:val="left"/>
              <w:rPr>
                <w:rFonts w:cstheme="minorHAnsi"/>
              </w:rPr>
            </w:pPr>
            <w:r w:rsidRPr="00732EA8">
              <w:rPr>
                <w:rFonts w:cstheme="minorHAnsi"/>
              </w:rPr>
              <w:t>£300k</w:t>
            </w:r>
          </w:p>
        </w:tc>
        <w:tc>
          <w:tcPr>
            <w:tcW w:w="1312" w:type="dxa"/>
            <w:tcBorders>
              <w:top w:val="single" w:sz="12" w:space="0" w:color="auto"/>
            </w:tcBorders>
            <w:shd w:val="clear" w:color="auto" w:fill="E2EFD9" w:themeFill="accent6" w:themeFillTint="33"/>
          </w:tcPr>
          <w:p w14:paraId="2BE786CC" w14:textId="77777777" w:rsidR="00EA6165" w:rsidRPr="00732EA8" w:rsidRDefault="00EA6165" w:rsidP="00613ABF">
            <w:pPr>
              <w:jc w:val="left"/>
              <w:rPr>
                <w:rFonts w:cstheme="minorHAnsi"/>
              </w:rPr>
            </w:pPr>
            <w:r w:rsidRPr="00732EA8">
              <w:rPr>
                <w:rFonts w:cstheme="minorHAnsi"/>
              </w:rPr>
              <w:t>£800k</w:t>
            </w:r>
          </w:p>
        </w:tc>
        <w:tc>
          <w:tcPr>
            <w:tcW w:w="1312" w:type="dxa"/>
            <w:tcBorders>
              <w:top w:val="single" w:sz="12" w:space="0" w:color="auto"/>
            </w:tcBorders>
            <w:shd w:val="clear" w:color="auto" w:fill="E2EFD9" w:themeFill="accent6" w:themeFillTint="33"/>
          </w:tcPr>
          <w:p w14:paraId="6C2B1AC5" w14:textId="77777777" w:rsidR="00EA6165" w:rsidRPr="00732EA8" w:rsidRDefault="00EA6165" w:rsidP="00613ABF">
            <w:pPr>
              <w:jc w:val="left"/>
              <w:rPr>
                <w:rFonts w:cstheme="minorHAnsi"/>
              </w:rPr>
            </w:pPr>
            <w:r w:rsidRPr="00732EA8">
              <w:rPr>
                <w:rFonts w:cstheme="minorHAnsi"/>
              </w:rPr>
              <w:t>£500k</w:t>
            </w:r>
          </w:p>
        </w:tc>
        <w:tc>
          <w:tcPr>
            <w:tcW w:w="1296" w:type="dxa"/>
            <w:tcBorders>
              <w:top w:val="single" w:sz="12" w:space="0" w:color="auto"/>
            </w:tcBorders>
            <w:shd w:val="clear" w:color="auto" w:fill="E2EFD9" w:themeFill="accent6" w:themeFillTint="33"/>
          </w:tcPr>
          <w:p w14:paraId="4CAEEF87" w14:textId="77777777" w:rsidR="00EA6165" w:rsidRPr="00732EA8" w:rsidRDefault="00EA6165" w:rsidP="00613ABF">
            <w:pPr>
              <w:jc w:val="left"/>
              <w:rPr>
                <w:rFonts w:cstheme="minorHAnsi"/>
              </w:rPr>
            </w:pPr>
          </w:p>
        </w:tc>
        <w:tc>
          <w:tcPr>
            <w:tcW w:w="1214" w:type="dxa"/>
            <w:tcBorders>
              <w:top w:val="single" w:sz="12" w:space="0" w:color="auto"/>
              <w:right w:val="single" w:sz="12" w:space="0" w:color="auto"/>
            </w:tcBorders>
            <w:shd w:val="clear" w:color="auto" w:fill="E2EFD9" w:themeFill="accent6" w:themeFillTint="33"/>
          </w:tcPr>
          <w:p w14:paraId="6E27E089" w14:textId="77777777" w:rsidR="00EA6165" w:rsidRPr="00217F59" w:rsidRDefault="00EA6165" w:rsidP="00613ABF">
            <w:pPr>
              <w:jc w:val="left"/>
              <w:rPr>
                <w:rFonts w:cstheme="minorHAnsi"/>
                <w:b/>
                <w:bCs/>
              </w:rPr>
            </w:pPr>
            <w:r w:rsidRPr="00732EA8">
              <w:rPr>
                <w:rFonts w:cstheme="minorHAnsi"/>
                <w:b/>
                <w:bCs/>
              </w:rPr>
              <w:t>£1.6m</w:t>
            </w:r>
          </w:p>
        </w:tc>
      </w:tr>
      <w:tr w:rsidR="00EA6165" w:rsidRPr="00732EA8" w14:paraId="206D6725" w14:textId="77777777" w:rsidTr="0039362A">
        <w:tc>
          <w:tcPr>
            <w:tcW w:w="1196" w:type="dxa"/>
            <w:vMerge/>
            <w:tcBorders>
              <w:left w:val="single" w:sz="12" w:space="0" w:color="auto"/>
            </w:tcBorders>
            <w:vAlign w:val="center"/>
          </w:tcPr>
          <w:p w14:paraId="7E04EE08" w14:textId="77777777" w:rsidR="00EA6165" w:rsidRPr="00732EA8" w:rsidRDefault="00EA6165" w:rsidP="00613ABF">
            <w:pPr>
              <w:jc w:val="center"/>
              <w:rPr>
                <w:rFonts w:cstheme="minorHAnsi"/>
              </w:rPr>
            </w:pPr>
          </w:p>
        </w:tc>
        <w:tc>
          <w:tcPr>
            <w:tcW w:w="1364" w:type="dxa"/>
            <w:shd w:val="clear" w:color="auto" w:fill="C5E0B3" w:themeFill="accent6" w:themeFillTint="66"/>
          </w:tcPr>
          <w:p w14:paraId="1E2C9F25" w14:textId="77777777" w:rsidR="00EA6165" w:rsidRPr="00732EA8" w:rsidRDefault="00EA6165" w:rsidP="00613ABF">
            <w:pPr>
              <w:jc w:val="left"/>
              <w:rPr>
                <w:rFonts w:cstheme="minorHAnsi"/>
              </w:rPr>
            </w:pPr>
            <w:r w:rsidRPr="00732EA8">
              <w:rPr>
                <w:rFonts w:cstheme="minorHAnsi"/>
              </w:rPr>
              <w:t>INC support</w:t>
            </w:r>
          </w:p>
        </w:tc>
        <w:tc>
          <w:tcPr>
            <w:tcW w:w="1312" w:type="dxa"/>
            <w:shd w:val="clear" w:color="auto" w:fill="C5E0B3" w:themeFill="accent6" w:themeFillTint="66"/>
          </w:tcPr>
          <w:p w14:paraId="30E21A32" w14:textId="77777777" w:rsidR="00EA6165" w:rsidRPr="00732EA8" w:rsidRDefault="00EA6165" w:rsidP="00613ABF">
            <w:pPr>
              <w:jc w:val="left"/>
              <w:rPr>
                <w:rFonts w:cstheme="minorHAnsi"/>
              </w:rPr>
            </w:pPr>
            <w:r>
              <w:rPr>
                <w:rFonts w:cstheme="minorHAnsi"/>
              </w:rPr>
              <w:t>£1m</w:t>
            </w:r>
          </w:p>
        </w:tc>
        <w:tc>
          <w:tcPr>
            <w:tcW w:w="1312" w:type="dxa"/>
            <w:shd w:val="clear" w:color="auto" w:fill="C5E0B3" w:themeFill="accent6" w:themeFillTint="66"/>
          </w:tcPr>
          <w:p w14:paraId="6D13BC24" w14:textId="77777777" w:rsidR="00EA6165" w:rsidRPr="00732EA8" w:rsidRDefault="00EA6165" w:rsidP="00613ABF">
            <w:pPr>
              <w:jc w:val="left"/>
              <w:rPr>
                <w:rFonts w:cstheme="minorHAnsi"/>
              </w:rPr>
            </w:pPr>
            <w:r>
              <w:rPr>
                <w:rFonts w:cstheme="minorHAnsi"/>
              </w:rPr>
              <w:t>£750k</w:t>
            </w:r>
          </w:p>
        </w:tc>
        <w:tc>
          <w:tcPr>
            <w:tcW w:w="1312" w:type="dxa"/>
            <w:shd w:val="clear" w:color="auto" w:fill="C5E0B3" w:themeFill="accent6" w:themeFillTint="66"/>
          </w:tcPr>
          <w:p w14:paraId="292591F6" w14:textId="77777777" w:rsidR="00EA6165" w:rsidRPr="00732EA8" w:rsidRDefault="00EA6165" w:rsidP="00613ABF">
            <w:pPr>
              <w:jc w:val="left"/>
              <w:rPr>
                <w:rFonts w:cstheme="minorHAnsi"/>
              </w:rPr>
            </w:pPr>
            <w:r>
              <w:rPr>
                <w:rFonts w:cstheme="minorHAnsi"/>
              </w:rPr>
              <w:t>£250k</w:t>
            </w:r>
          </w:p>
        </w:tc>
        <w:tc>
          <w:tcPr>
            <w:tcW w:w="1296" w:type="dxa"/>
            <w:shd w:val="clear" w:color="auto" w:fill="C5E0B3" w:themeFill="accent6" w:themeFillTint="66"/>
          </w:tcPr>
          <w:p w14:paraId="215D5EF7" w14:textId="77777777" w:rsidR="00EA6165" w:rsidRPr="00732EA8" w:rsidRDefault="00EA6165" w:rsidP="00613ABF">
            <w:pPr>
              <w:jc w:val="left"/>
              <w:rPr>
                <w:rFonts w:cstheme="minorHAnsi"/>
              </w:rPr>
            </w:pPr>
          </w:p>
        </w:tc>
        <w:tc>
          <w:tcPr>
            <w:tcW w:w="1214" w:type="dxa"/>
            <w:tcBorders>
              <w:right w:val="single" w:sz="12" w:space="0" w:color="auto"/>
            </w:tcBorders>
            <w:shd w:val="clear" w:color="auto" w:fill="C5E0B3" w:themeFill="accent6" w:themeFillTint="66"/>
          </w:tcPr>
          <w:p w14:paraId="1610DFFB" w14:textId="77777777" w:rsidR="00EA6165" w:rsidRPr="00217F59" w:rsidRDefault="00EA6165" w:rsidP="00613ABF">
            <w:pPr>
              <w:jc w:val="left"/>
              <w:rPr>
                <w:rFonts w:cstheme="minorHAnsi"/>
                <w:b/>
                <w:bCs/>
              </w:rPr>
            </w:pPr>
            <w:r w:rsidRPr="00732EA8">
              <w:rPr>
                <w:rFonts w:cstheme="minorHAnsi"/>
                <w:b/>
                <w:bCs/>
              </w:rPr>
              <w:t>£2m</w:t>
            </w:r>
          </w:p>
        </w:tc>
      </w:tr>
      <w:tr w:rsidR="00EA6165" w:rsidRPr="00732EA8" w14:paraId="390D10CC" w14:textId="77777777" w:rsidTr="0039362A">
        <w:tc>
          <w:tcPr>
            <w:tcW w:w="1196" w:type="dxa"/>
            <w:vMerge/>
            <w:tcBorders>
              <w:left w:val="single" w:sz="12" w:space="0" w:color="auto"/>
              <w:bottom w:val="single" w:sz="12" w:space="0" w:color="auto"/>
            </w:tcBorders>
            <w:vAlign w:val="center"/>
          </w:tcPr>
          <w:p w14:paraId="201AAA72" w14:textId="77777777" w:rsidR="00EA6165" w:rsidRPr="00732EA8" w:rsidRDefault="00EA6165" w:rsidP="00613ABF">
            <w:pPr>
              <w:jc w:val="center"/>
              <w:rPr>
                <w:rFonts w:cstheme="minorHAnsi"/>
              </w:rPr>
            </w:pPr>
          </w:p>
        </w:tc>
        <w:tc>
          <w:tcPr>
            <w:tcW w:w="1364" w:type="dxa"/>
            <w:tcBorders>
              <w:bottom w:val="single" w:sz="12" w:space="0" w:color="auto"/>
            </w:tcBorders>
          </w:tcPr>
          <w:p w14:paraId="3A098D23" w14:textId="77777777" w:rsidR="00EA6165" w:rsidRPr="00217F59" w:rsidRDefault="00EA6165" w:rsidP="00613ABF">
            <w:pPr>
              <w:jc w:val="left"/>
              <w:rPr>
                <w:rFonts w:cstheme="minorHAnsi"/>
                <w:b/>
                <w:bCs/>
              </w:rPr>
            </w:pPr>
            <w:r w:rsidRPr="00732EA8">
              <w:rPr>
                <w:rFonts w:cstheme="minorHAnsi"/>
                <w:b/>
                <w:bCs/>
              </w:rPr>
              <w:t>Total</w:t>
            </w:r>
          </w:p>
        </w:tc>
        <w:tc>
          <w:tcPr>
            <w:tcW w:w="1312" w:type="dxa"/>
            <w:tcBorders>
              <w:bottom w:val="single" w:sz="12" w:space="0" w:color="auto"/>
            </w:tcBorders>
          </w:tcPr>
          <w:p w14:paraId="1B785A9F" w14:textId="77777777" w:rsidR="00EA6165" w:rsidRPr="00217F59" w:rsidRDefault="00EA6165" w:rsidP="00613ABF">
            <w:pPr>
              <w:jc w:val="left"/>
              <w:rPr>
                <w:rFonts w:cstheme="minorHAnsi"/>
                <w:b/>
                <w:bCs/>
              </w:rPr>
            </w:pPr>
          </w:p>
        </w:tc>
        <w:tc>
          <w:tcPr>
            <w:tcW w:w="1312" w:type="dxa"/>
            <w:tcBorders>
              <w:bottom w:val="single" w:sz="12" w:space="0" w:color="auto"/>
            </w:tcBorders>
          </w:tcPr>
          <w:p w14:paraId="7339569B" w14:textId="77777777" w:rsidR="00EA6165" w:rsidRPr="00217F59" w:rsidRDefault="00EA6165" w:rsidP="00613ABF">
            <w:pPr>
              <w:jc w:val="left"/>
              <w:rPr>
                <w:rFonts w:cstheme="minorHAnsi"/>
                <w:b/>
                <w:bCs/>
              </w:rPr>
            </w:pPr>
          </w:p>
        </w:tc>
        <w:tc>
          <w:tcPr>
            <w:tcW w:w="1312" w:type="dxa"/>
            <w:tcBorders>
              <w:bottom w:val="single" w:sz="12" w:space="0" w:color="auto"/>
            </w:tcBorders>
          </w:tcPr>
          <w:p w14:paraId="79BC7822" w14:textId="77777777" w:rsidR="00EA6165" w:rsidRPr="00217F59" w:rsidRDefault="00EA6165" w:rsidP="00613ABF">
            <w:pPr>
              <w:jc w:val="left"/>
              <w:rPr>
                <w:rFonts w:cstheme="minorHAnsi"/>
                <w:b/>
                <w:bCs/>
              </w:rPr>
            </w:pPr>
          </w:p>
        </w:tc>
        <w:tc>
          <w:tcPr>
            <w:tcW w:w="1296" w:type="dxa"/>
            <w:tcBorders>
              <w:bottom w:val="single" w:sz="12" w:space="0" w:color="auto"/>
            </w:tcBorders>
          </w:tcPr>
          <w:p w14:paraId="4E59AC0F" w14:textId="77777777" w:rsidR="00EA6165" w:rsidRPr="00217F59" w:rsidRDefault="00EA6165" w:rsidP="00613ABF">
            <w:pPr>
              <w:jc w:val="left"/>
              <w:rPr>
                <w:rFonts w:cstheme="minorHAnsi"/>
                <w:b/>
                <w:bCs/>
              </w:rPr>
            </w:pPr>
          </w:p>
        </w:tc>
        <w:tc>
          <w:tcPr>
            <w:tcW w:w="1214" w:type="dxa"/>
            <w:tcBorders>
              <w:bottom w:val="single" w:sz="12" w:space="0" w:color="auto"/>
              <w:right w:val="single" w:sz="12" w:space="0" w:color="auto"/>
            </w:tcBorders>
          </w:tcPr>
          <w:p w14:paraId="612A9117" w14:textId="77777777" w:rsidR="00EA6165" w:rsidRPr="00217F59" w:rsidRDefault="00EA6165" w:rsidP="00613ABF">
            <w:pPr>
              <w:jc w:val="left"/>
              <w:rPr>
                <w:rFonts w:cstheme="minorHAnsi"/>
                <w:b/>
                <w:bCs/>
              </w:rPr>
            </w:pPr>
            <w:r w:rsidRPr="00732EA8">
              <w:rPr>
                <w:rFonts w:cstheme="minorHAnsi"/>
                <w:b/>
                <w:bCs/>
              </w:rPr>
              <w:t>£</w:t>
            </w:r>
            <w:r>
              <w:rPr>
                <w:rFonts w:cstheme="minorHAnsi"/>
                <w:b/>
                <w:bCs/>
              </w:rPr>
              <w:t>3.6</w:t>
            </w:r>
            <w:r w:rsidRPr="00732EA8">
              <w:rPr>
                <w:rFonts w:cstheme="minorHAnsi"/>
                <w:b/>
                <w:bCs/>
              </w:rPr>
              <w:t>m</w:t>
            </w:r>
          </w:p>
        </w:tc>
      </w:tr>
      <w:tr w:rsidR="00EA6165" w:rsidRPr="00732EA8" w14:paraId="6C266F2F" w14:textId="77777777" w:rsidTr="0039362A">
        <w:tc>
          <w:tcPr>
            <w:tcW w:w="1196" w:type="dxa"/>
            <w:vMerge w:val="restart"/>
            <w:tcBorders>
              <w:top w:val="single" w:sz="12" w:space="0" w:color="auto"/>
              <w:left w:val="single" w:sz="12" w:space="0" w:color="auto"/>
            </w:tcBorders>
            <w:vAlign w:val="center"/>
          </w:tcPr>
          <w:p w14:paraId="454A3C19" w14:textId="77777777" w:rsidR="00EA6165" w:rsidRPr="00732EA8" w:rsidRDefault="00EA6165" w:rsidP="00613ABF">
            <w:pPr>
              <w:jc w:val="center"/>
              <w:rPr>
                <w:rFonts w:cstheme="minorHAnsi"/>
              </w:rPr>
            </w:pPr>
            <w:r w:rsidRPr="00732EA8">
              <w:rPr>
                <w:rFonts w:cstheme="minorHAnsi"/>
              </w:rPr>
              <w:t>3B</w:t>
            </w:r>
          </w:p>
        </w:tc>
        <w:tc>
          <w:tcPr>
            <w:tcW w:w="1364" w:type="dxa"/>
            <w:tcBorders>
              <w:top w:val="single" w:sz="12" w:space="0" w:color="auto"/>
            </w:tcBorders>
            <w:shd w:val="clear" w:color="auto" w:fill="E2EFD9" w:themeFill="accent6" w:themeFillTint="33"/>
          </w:tcPr>
          <w:p w14:paraId="4BF06AB1" w14:textId="77777777" w:rsidR="00EA6165" w:rsidRPr="00732EA8" w:rsidRDefault="00EA6165" w:rsidP="00613ABF">
            <w:pPr>
              <w:jc w:val="left"/>
              <w:rPr>
                <w:rFonts w:cstheme="minorHAnsi"/>
              </w:rPr>
            </w:pPr>
            <w:r w:rsidRPr="00732EA8">
              <w:rPr>
                <w:rFonts w:cstheme="minorHAnsi"/>
              </w:rPr>
              <w:t>Tide Turners</w:t>
            </w:r>
          </w:p>
        </w:tc>
        <w:tc>
          <w:tcPr>
            <w:tcW w:w="1312" w:type="dxa"/>
            <w:tcBorders>
              <w:top w:val="single" w:sz="12" w:space="0" w:color="auto"/>
            </w:tcBorders>
            <w:shd w:val="clear" w:color="auto" w:fill="E2EFD9" w:themeFill="accent6" w:themeFillTint="33"/>
          </w:tcPr>
          <w:p w14:paraId="6139D972" w14:textId="77777777" w:rsidR="00EA6165" w:rsidRPr="00732EA8" w:rsidRDefault="00EA6165" w:rsidP="00613ABF">
            <w:pPr>
              <w:jc w:val="left"/>
              <w:rPr>
                <w:rFonts w:cstheme="minorHAnsi"/>
              </w:rPr>
            </w:pPr>
            <w:r w:rsidRPr="00732EA8">
              <w:rPr>
                <w:rFonts w:cstheme="minorHAnsi"/>
              </w:rPr>
              <w:t>£500k</w:t>
            </w:r>
          </w:p>
        </w:tc>
        <w:tc>
          <w:tcPr>
            <w:tcW w:w="1312" w:type="dxa"/>
            <w:tcBorders>
              <w:top w:val="single" w:sz="12" w:space="0" w:color="auto"/>
            </w:tcBorders>
            <w:shd w:val="clear" w:color="auto" w:fill="E2EFD9" w:themeFill="accent6" w:themeFillTint="33"/>
          </w:tcPr>
          <w:p w14:paraId="0357DFC1" w14:textId="77777777" w:rsidR="00EA6165" w:rsidRPr="00732EA8" w:rsidRDefault="00EA6165" w:rsidP="00613ABF">
            <w:pPr>
              <w:jc w:val="left"/>
              <w:rPr>
                <w:rFonts w:cstheme="minorHAnsi"/>
              </w:rPr>
            </w:pPr>
            <w:r w:rsidRPr="00732EA8">
              <w:rPr>
                <w:rFonts w:cstheme="minorHAnsi"/>
              </w:rPr>
              <w:t>£1.1m</w:t>
            </w:r>
          </w:p>
        </w:tc>
        <w:tc>
          <w:tcPr>
            <w:tcW w:w="1312" w:type="dxa"/>
            <w:tcBorders>
              <w:top w:val="single" w:sz="12" w:space="0" w:color="auto"/>
            </w:tcBorders>
            <w:shd w:val="clear" w:color="auto" w:fill="E2EFD9" w:themeFill="accent6" w:themeFillTint="33"/>
          </w:tcPr>
          <w:p w14:paraId="5D2FB3D2" w14:textId="77777777" w:rsidR="00EA6165" w:rsidRPr="00732EA8" w:rsidRDefault="00EA6165" w:rsidP="00613ABF">
            <w:pPr>
              <w:jc w:val="left"/>
              <w:rPr>
                <w:rFonts w:cstheme="minorHAnsi"/>
              </w:rPr>
            </w:pPr>
            <w:r w:rsidRPr="00732EA8">
              <w:rPr>
                <w:rFonts w:cstheme="minorHAnsi"/>
              </w:rPr>
              <w:t>£800k</w:t>
            </w:r>
          </w:p>
        </w:tc>
        <w:tc>
          <w:tcPr>
            <w:tcW w:w="1296" w:type="dxa"/>
            <w:tcBorders>
              <w:top w:val="single" w:sz="12" w:space="0" w:color="auto"/>
            </w:tcBorders>
            <w:shd w:val="clear" w:color="auto" w:fill="E2EFD9" w:themeFill="accent6" w:themeFillTint="33"/>
          </w:tcPr>
          <w:p w14:paraId="0A126EC9" w14:textId="77777777" w:rsidR="00EA6165" w:rsidRPr="00732EA8" w:rsidRDefault="00EA6165" w:rsidP="00613ABF">
            <w:pPr>
              <w:jc w:val="left"/>
              <w:rPr>
                <w:rFonts w:cstheme="minorHAnsi"/>
              </w:rPr>
            </w:pPr>
          </w:p>
        </w:tc>
        <w:tc>
          <w:tcPr>
            <w:tcW w:w="1214" w:type="dxa"/>
            <w:tcBorders>
              <w:top w:val="single" w:sz="12" w:space="0" w:color="auto"/>
              <w:right w:val="single" w:sz="12" w:space="0" w:color="auto"/>
            </w:tcBorders>
            <w:shd w:val="clear" w:color="auto" w:fill="E2EFD9" w:themeFill="accent6" w:themeFillTint="33"/>
          </w:tcPr>
          <w:p w14:paraId="0030D34A" w14:textId="77777777" w:rsidR="00EA6165" w:rsidRPr="00217F59" w:rsidRDefault="00EA6165" w:rsidP="00613ABF">
            <w:pPr>
              <w:jc w:val="left"/>
              <w:rPr>
                <w:rFonts w:cstheme="minorHAnsi"/>
                <w:b/>
                <w:bCs/>
              </w:rPr>
            </w:pPr>
            <w:r w:rsidRPr="00732EA8">
              <w:rPr>
                <w:rFonts w:cstheme="minorHAnsi"/>
                <w:b/>
                <w:bCs/>
              </w:rPr>
              <w:t>£2.4m</w:t>
            </w:r>
          </w:p>
        </w:tc>
      </w:tr>
      <w:tr w:rsidR="00EA6165" w:rsidRPr="00732EA8" w14:paraId="76F884F4" w14:textId="77777777" w:rsidTr="0039362A">
        <w:tc>
          <w:tcPr>
            <w:tcW w:w="1196" w:type="dxa"/>
            <w:vMerge/>
            <w:tcBorders>
              <w:left w:val="single" w:sz="12" w:space="0" w:color="auto"/>
            </w:tcBorders>
            <w:vAlign w:val="center"/>
          </w:tcPr>
          <w:p w14:paraId="19844BD9" w14:textId="77777777" w:rsidR="00EA6165" w:rsidRPr="00732EA8" w:rsidRDefault="00EA6165" w:rsidP="00613ABF">
            <w:pPr>
              <w:jc w:val="center"/>
              <w:rPr>
                <w:rFonts w:cstheme="minorHAnsi"/>
              </w:rPr>
            </w:pPr>
          </w:p>
        </w:tc>
        <w:tc>
          <w:tcPr>
            <w:tcW w:w="1364" w:type="dxa"/>
            <w:shd w:val="clear" w:color="auto" w:fill="C5E0B3" w:themeFill="accent6" w:themeFillTint="66"/>
          </w:tcPr>
          <w:p w14:paraId="035E89BF" w14:textId="77777777" w:rsidR="00EA6165" w:rsidRPr="00732EA8" w:rsidRDefault="00EA6165" w:rsidP="00613ABF">
            <w:pPr>
              <w:jc w:val="left"/>
              <w:rPr>
                <w:rFonts w:cstheme="minorHAnsi"/>
              </w:rPr>
            </w:pPr>
            <w:r w:rsidRPr="00732EA8">
              <w:rPr>
                <w:rFonts w:cstheme="minorHAnsi"/>
              </w:rPr>
              <w:t>INC support</w:t>
            </w:r>
          </w:p>
        </w:tc>
        <w:tc>
          <w:tcPr>
            <w:tcW w:w="1312" w:type="dxa"/>
            <w:shd w:val="clear" w:color="auto" w:fill="C5E0B3" w:themeFill="accent6" w:themeFillTint="66"/>
          </w:tcPr>
          <w:p w14:paraId="5CD7038E" w14:textId="77777777" w:rsidR="00EA6165" w:rsidRPr="00732EA8" w:rsidRDefault="00EA6165" w:rsidP="00613ABF">
            <w:pPr>
              <w:jc w:val="left"/>
              <w:rPr>
                <w:rFonts w:cstheme="minorHAnsi"/>
              </w:rPr>
            </w:pPr>
          </w:p>
        </w:tc>
        <w:tc>
          <w:tcPr>
            <w:tcW w:w="1312" w:type="dxa"/>
            <w:shd w:val="clear" w:color="auto" w:fill="C5E0B3" w:themeFill="accent6" w:themeFillTint="66"/>
          </w:tcPr>
          <w:p w14:paraId="3FB04E01" w14:textId="77777777" w:rsidR="00EA6165" w:rsidRPr="00732EA8" w:rsidRDefault="00EA6165" w:rsidP="00613ABF">
            <w:pPr>
              <w:jc w:val="left"/>
              <w:rPr>
                <w:rFonts w:cstheme="minorHAnsi"/>
              </w:rPr>
            </w:pPr>
          </w:p>
        </w:tc>
        <w:tc>
          <w:tcPr>
            <w:tcW w:w="1312" w:type="dxa"/>
            <w:shd w:val="clear" w:color="auto" w:fill="C5E0B3" w:themeFill="accent6" w:themeFillTint="66"/>
          </w:tcPr>
          <w:p w14:paraId="69AD5A05" w14:textId="77777777" w:rsidR="00EA6165" w:rsidRPr="00732EA8" w:rsidRDefault="00EA6165" w:rsidP="00613ABF">
            <w:pPr>
              <w:jc w:val="left"/>
              <w:rPr>
                <w:rFonts w:cstheme="minorHAnsi"/>
              </w:rPr>
            </w:pPr>
          </w:p>
        </w:tc>
        <w:tc>
          <w:tcPr>
            <w:tcW w:w="1296" w:type="dxa"/>
            <w:shd w:val="clear" w:color="auto" w:fill="C5E0B3" w:themeFill="accent6" w:themeFillTint="66"/>
          </w:tcPr>
          <w:p w14:paraId="3A6373F8" w14:textId="77777777" w:rsidR="00EA6165" w:rsidRPr="00732EA8" w:rsidRDefault="00EA6165" w:rsidP="00613ABF">
            <w:pPr>
              <w:jc w:val="left"/>
              <w:rPr>
                <w:rFonts w:cstheme="minorHAnsi"/>
              </w:rPr>
            </w:pPr>
          </w:p>
        </w:tc>
        <w:tc>
          <w:tcPr>
            <w:tcW w:w="1214" w:type="dxa"/>
            <w:tcBorders>
              <w:right w:val="single" w:sz="12" w:space="0" w:color="auto"/>
            </w:tcBorders>
            <w:shd w:val="clear" w:color="auto" w:fill="C5E0B3" w:themeFill="accent6" w:themeFillTint="66"/>
          </w:tcPr>
          <w:p w14:paraId="1464B821" w14:textId="77777777" w:rsidR="00EA6165" w:rsidRPr="00217F59" w:rsidRDefault="00EA6165" w:rsidP="00613ABF">
            <w:pPr>
              <w:jc w:val="left"/>
              <w:rPr>
                <w:rFonts w:cstheme="minorHAnsi"/>
                <w:b/>
                <w:bCs/>
              </w:rPr>
            </w:pPr>
            <w:r>
              <w:rPr>
                <w:rFonts w:cstheme="minorHAnsi"/>
                <w:b/>
                <w:bCs/>
              </w:rPr>
              <w:t>£2m</w:t>
            </w:r>
          </w:p>
        </w:tc>
      </w:tr>
      <w:tr w:rsidR="00EA6165" w:rsidRPr="00732EA8" w14:paraId="6C00585B" w14:textId="77777777" w:rsidTr="0039362A">
        <w:tc>
          <w:tcPr>
            <w:tcW w:w="1196" w:type="dxa"/>
            <w:vMerge/>
            <w:tcBorders>
              <w:left w:val="single" w:sz="12" w:space="0" w:color="auto"/>
              <w:bottom w:val="single" w:sz="12" w:space="0" w:color="auto"/>
            </w:tcBorders>
            <w:vAlign w:val="center"/>
          </w:tcPr>
          <w:p w14:paraId="371182F8" w14:textId="77777777" w:rsidR="00EA6165" w:rsidRPr="00732EA8" w:rsidRDefault="00EA6165" w:rsidP="00613ABF">
            <w:pPr>
              <w:jc w:val="center"/>
              <w:rPr>
                <w:rFonts w:cstheme="minorHAnsi"/>
              </w:rPr>
            </w:pPr>
          </w:p>
        </w:tc>
        <w:tc>
          <w:tcPr>
            <w:tcW w:w="1364" w:type="dxa"/>
            <w:tcBorders>
              <w:bottom w:val="single" w:sz="12" w:space="0" w:color="auto"/>
            </w:tcBorders>
          </w:tcPr>
          <w:p w14:paraId="35DA4786" w14:textId="77777777" w:rsidR="00EA6165" w:rsidRPr="00217F59" w:rsidRDefault="00EA6165" w:rsidP="00613ABF">
            <w:pPr>
              <w:jc w:val="left"/>
              <w:rPr>
                <w:rFonts w:cstheme="minorHAnsi"/>
                <w:b/>
                <w:bCs/>
              </w:rPr>
            </w:pPr>
            <w:r w:rsidRPr="00732EA8">
              <w:rPr>
                <w:rFonts w:cstheme="minorHAnsi"/>
                <w:b/>
                <w:bCs/>
              </w:rPr>
              <w:t>Total</w:t>
            </w:r>
          </w:p>
        </w:tc>
        <w:tc>
          <w:tcPr>
            <w:tcW w:w="1312" w:type="dxa"/>
            <w:tcBorders>
              <w:bottom w:val="single" w:sz="12" w:space="0" w:color="auto"/>
            </w:tcBorders>
          </w:tcPr>
          <w:p w14:paraId="11F6BAF2" w14:textId="77777777" w:rsidR="00EA6165" w:rsidRPr="00217F59" w:rsidRDefault="00EA6165" w:rsidP="00613ABF">
            <w:pPr>
              <w:jc w:val="left"/>
              <w:rPr>
                <w:rFonts w:cstheme="minorHAnsi"/>
                <w:b/>
                <w:bCs/>
              </w:rPr>
            </w:pPr>
          </w:p>
        </w:tc>
        <w:tc>
          <w:tcPr>
            <w:tcW w:w="1312" w:type="dxa"/>
            <w:tcBorders>
              <w:bottom w:val="single" w:sz="12" w:space="0" w:color="auto"/>
            </w:tcBorders>
          </w:tcPr>
          <w:p w14:paraId="416E9288" w14:textId="77777777" w:rsidR="00EA6165" w:rsidRPr="00217F59" w:rsidRDefault="00EA6165" w:rsidP="00613ABF">
            <w:pPr>
              <w:jc w:val="left"/>
              <w:rPr>
                <w:rFonts w:cstheme="minorHAnsi"/>
                <w:b/>
                <w:bCs/>
              </w:rPr>
            </w:pPr>
          </w:p>
        </w:tc>
        <w:tc>
          <w:tcPr>
            <w:tcW w:w="1312" w:type="dxa"/>
            <w:tcBorders>
              <w:bottom w:val="single" w:sz="12" w:space="0" w:color="auto"/>
            </w:tcBorders>
          </w:tcPr>
          <w:p w14:paraId="49F84339" w14:textId="77777777" w:rsidR="00EA6165" w:rsidRPr="00217F59" w:rsidRDefault="00EA6165" w:rsidP="00613ABF">
            <w:pPr>
              <w:jc w:val="left"/>
              <w:rPr>
                <w:rFonts w:cstheme="minorHAnsi"/>
                <w:b/>
                <w:bCs/>
              </w:rPr>
            </w:pPr>
          </w:p>
        </w:tc>
        <w:tc>
          <w:tcPr>
            <w:tcW w:w="1296" w:type="dxa"/>
            <w:tcBorders>
              <w:bottom w:val="single" w:sz="12" w:space="0" w:color="auto"/>
            </w:tcBorders>
          </w:tcPr>
          <w:p w14:paraId="5437B70D" w14:textId="77777777" w:rsidR="00EA6165" w:rsidRPr="00217F59" w:rsidRDefault="00EA6165" w:rsidP="00613ABF">
            <w:pPr>
              <w:jc w:val="left"/>
              <w:rPr>
                <w:rFonts w:cstheme="minorHAnsi"/>
                <w:b/>
                <w:bCs/>
              </w:rPr>
            </w:pPr>
          </w:p>
        </w:tc>
        <w:tc>
          <w:tcPr>
            <w:tcW w:w="1214" w:type="dxa"/>
            <w:tcBorders>
              <w:bottom w:val="single" w:sz="12" w:space="0" w:color="auto"/>
              <w:right w:val="single" w:sz="12" w:space="0" w:color="auto"/>
            </w:tcBorders>
          </w:tcPr>
          <w:p w14:paraId="7876434A" w14:textId="77777777" w:rsidR="00EA6165" w:rsidRPr="00217F59" w:rsidRDefault="00EA6165" w:rsidP="00613ABF">
            <w:pPr>
              <w:jc w:val="left"/>
              <w:rPr>
                <w:rFonts w:cstheme="minorHAnsi"/>
                <w:b/>
                <w:bCs/>
              </w:rPr>
            </w:pPr>
            <w:r>
              <w:rPr>
                <w:rFonts w:cstheme="minorHAnsi"/>
                <w:b/>
                <w:bCs/>
              </w:rPr>
              <w:t>£4.4m</w:t>
            </w:r>
          </w:p>
        </w:tc>
      </w:tr>
      <w:tr w:rsidR="00EA6165" w:rsidRPr="00732EA8" w14:paraId="53C0ABF7" w14:textId="77777777" w:rsidTr="0039362A">
        <w:tc>
          <w:tcPr>
            <w:tcW w:w="1196" w:type="dxa"/>
            <w:vMerge w:val="restart"/>
            <w:tcBorders>
              <w:top w:val="single" w:sz="12" w:space="0" w:color="auto"/>
              <w:left w:val="single" w:sz="12" w:space="0" w:color="auto"/>
            </w:tcBorders>
            <w:vAlign w:val="center"/>
          </w:tcPr>
          <w:p w14:paraId="644A793E" w14:textId="77777777" w:rsidR="00EA6165" w:rsidRPr="00732EA8" w:rsidRDefault="00EA6165" w:rsidP="00613ABF">
            <w:pPr>
              <w:jc w:val="center"/>
              <w:rPr>
                <w:rFonts w:cstheme="minorHAnsi"/>
              </w:rPr>
            </w:pPr>
            <w:r w:rsidRPr="00732EA8">
              <w:rPr>
                <w:rFonts w:cstheme="minorHAnsi"/>
              </w:rPr>
              <w:t>4B</w:t>
            </w:r>
          </w:p>
        </w:tc>
        <w:tc>
          <w:tcPr>
            <w:tcW w:w="1364" w:type="dxa"/>
            <w:tcBorders>
              <w:top w:val="single" w:sz="12" w:space="0" w:color="auto"/>
            </w:tcBorders>
            <w:shd w:val="clear" w:color="auto" w:fill="E2EFD9" w:themeFill="accent6" w:themeFillTint="33"/>
          </w:tcPr>
          <w:p w14:paraId="181A25CE" w14:textId="77777777" w:rsidR="00EA6165" w:rsidRPr="00732EA8" w:rsidRDefault="00EA6165" w:rsidP="00613ABF">
            <w:pPr>
              <w:jc w:val="left"/>
              <w:rPr>
                <w:rFonts w:cstheme="minorHAnsi"/>
              </w:rPr>
            </w:pPr>
            <w:r w:rsidRPr="00732EA8">
              <w:rPr>
                <w:rFonts w:cstheme="minorHAnsi"/>
              </w:rPr>
              <w:t>Tide Turners</w:t>
            </w:r>
          </w:p>
        </w:tc>
        <w:tc>
          <w:tcPr>
            <w:tcW w:w="1312" w:type="dxa"/>
            <w:tcBorders>
              <w:top w:val="single" w:sz="12" w:space="0" w:color="auto"/>
            </w:tcBorders>
            <w:shd w:val="clear" w:color="auto" w:fill="E2EFD9" w:themeFill="accent6" w:themeFillTint="33"/>
          </w:tcPr>
          <w:p w14:paraId="3E2900FD" w14:textId="77777777" w:rsidR="00EA6165" w:rsidRPr="00732EA8" w:rsidRDefault="00EA6165" w:rsidP="00613ABF">
            <w:pPr>
              <w:jc w:val="left"/>
              <w:rPr>
                <w:rFonts w:cstheme="minorHAnsi"/>
              </w:rPr>
            </w:pPr>
            <w:r w:rsidRPr="00732EA8">
              <w:rPr>
                <w:rFonts w:cstheme="minorHAnsi"/>
              </w:rPr>
              <w:t>£700k</w:t>
            </w:r>
          </w:p>
        </w:tc>
        <w:tc>
          <w:tcPr>
            <w:tcW w:w="1312" w:type="dxa"/>
            <w:tcBorders>
              <w:top w:val="single" w:sz="12" w:space="0" w:color="auto"/>
            </w:tcBorders>
            <w:shd w:val="clear" w:color="auto" w:fill="E2EFD9" w:themeFill="accent6" w:themeFillTint="33"/>
          </w:tcPr>
          <w:p w14:paraId="4617C9BE" w14:textId="77777777" w:rsidR="00EA6165" w:rsidRPr="00732EA8" w:rsidRDefault="00EA6165" w:rsidP="00613ABF">
            <w:pPr>
              <w:jc w:val="left"/>
              <w:rPr>
                <w:rFonts w:cstheme="minorHAnsi"/>
              </w:rPr>
            </w:pPr>
            <w:r w:rsidRPr="00732EA8">
              <w:rPr>
                <w:rFonts w:cstheme="minorHAnsi"/>
              </w:rPr>
              <w:t>£1.3m</w:t>
            </w:r>
          </w:p>
        </w:tc>
        <w:tc>
          <w:tcPr>
            <w:tcW w:w="1312" w:type="dxa"/>
            <w:tcBorders>
              <w:top w:val="single" w:sz="12" w:space="0" w:color="auto"/>
            </w:tcBorders>
            <w:shd w:val="clear" w:color="auto" w:fill="E2EFD9" w:themeFill="accent6" w:themeFillTint="33"/>
          </w:tcPr>
          <w:p w14:paraId="19A36414" w14:textId="77777777" w:rsidR="00EA6165" w:rsidRPr="00732EA8" w:rsidRDefault="00EA6165" w:rsidP="00613ABF">
            <w:pPr>
              <w:jc w:val="left"/>
              <w:rPr>
                <w:rFonts w:cstheme="minorHAnsi"/>
              </w:rPr>
            </w:pPr>
            <w:r w:rsidRPr="00732EA8">
              <w:rPr>
                <w:rFonts w:cstheme="minorHAnsi"/>
              </w:rPr>
              <w:t>£1m</w:t>
            </w:r>
          </w:p>
        </w:tc>
        <w:tc>
          <w:tcPr>
            <w:tcW w:w="1296" w:type="dxa"/>
            <w:tcBorders>
              <w:top w:val="single" w:sz="12" w:space="0" w:color="auto"/>
            </w:tcBorders>
            <w:shd w:val="clear" w:color="auto" w:fill="E2EFD9" w:themeFill="accent6" w:themeFillTint="33"/>
          </w:tcPr>
          <w:p w14:paraId="2C4315E1" w14:textId="77777777" w:rsidR="00EA6165" w:rsidRPr="00732EA8" w:rsidRDefault="00EA6165" w:rsidP="00613ABF">
            <w:pPr>
              <w:jc w:val="left"/>
              <w:rPr>
                <w:rFonts w:cstheme="minorHAnsi"/>
              </w:rPr>
            </w:pPr>
          </w:p>
        </w:tc>
        <w:tc>
          <w:tcPr>
            <w:tcW w:w="1214" w:type="dxa"/>
            <w:tcBorders>
              <w:top w:val="single" w:sz="12" w:space="0" w:color="auto"/>
              <w:right w:val="single" w:sz="12" w:space="0" w:color="auto"/>
            </w:tcBorders>
            <w:shd w:val="clear" w:color="auto" w:fill="E2EFD9" w:themeFill="accent6" w:themeFillTint="33"/>
          </w:tcPr>
          <w:p w14:paraId="24AB1E93" w14:textId="77777777" w:rsidR="00EA6165" w:rsidRPr="00217F59" w:rsidRDefault="00EA6165" w:rsidP="00613ABF">
            <w:pPr>
              <w:jc w:val="left"/>
              <w:rPr>
                <w:rFonts w:cstheme="minorHAnsi"/>
                <w:b/>
                <w:bCs/>
              </w:rPr>
            </w:pPr>
            <w:r w:rsidRPr="00732EA8">
              <w:rPr>
                <w:rFonts w:cstheme="minorHAnsi"/>
                <w:b/>
                <w:bCs/>
              </w:rPr>
              <w:t>£3m</w:t>
            </w:r>
          </w:p>
        </w:tc>
      </w:tr>
      <w:tr w:rsidR="00EA6165" w:rsidRPr="00732EA8" w14:paraId="416877CA" w14:textId="77777777" w:rsidTr="0039362A">
        <w:tc>
          <w:tcPr>
            <w:tcW w:w="1196" w:type="dxa"/>
            <w:vMerge/>
            <w:tcBorders>
              <w:left w:val="single" w:sz="12" w:space="0" w:color="auto"/>
            </w:tcBorders>
          </w:tcPr>
          <w:p w14:paraId="21921646" w14:textId="77777777" w:rsidR="00EA6165" w:rsidRPr="00732EA8" w:rsidRDefault="00EA6165" w:rsidP="00613ABF">
            <w:pPr>
              <w:jc w:val="left"/>
              <w:rPr>
                <w:rFonts w:cstheme="minorHAnsi"/>
              </w:rPr>
            </w:pPr>
          </w:p>
        </w:tc>
        <w:tc>
          <w:tcPr>
            <w:tcW w:w="1364" w:type="dxa"/>
            <w:shd w:val="clear" w:color="auto" w:fill="C5E0B3" w:themeFill="accent6" w:themeFillTint="66"/>
          </w:tcPr>
          <w:p w14:paraId="7C6D3259" w14:textId="77777777" w:rsidR="00EA6165" w:rsidRPr="00732EA8" w:rsidRDefault="00EA6165" w:rsidP="00613ABF">
            <w:pPr>
              <w:jc w:val="left"/>
              <w:rPr>
                <w:rFonts w:cstheme="minorHAnsi"/>
              </w:rPr>
            </w:pPr>
            <w:r w:rsidRPr="00732EA8">
              <w:rPr>
                <w:rFonts w:cstheme="minorHAnsi"/>
              </w:rPr>
              <w:t>INC support</w:t>
            </w:r>
          </w:p>
        </w:tc>
        <w:tc>
          <w:tcPr>
            <w:tcW w:w="1312" w:type="dxa"/>
            <w:shd w:val="clear" w:color="auto" w:fill="C5E0B3" w:themeFill="accent6" w:themeFillTint="66"/>
          </w:tcPr>
          <w:p w14:paraId="04318602" w14:textId="77777777" w:rsidR="00EA6165" w:rsidRPr="00732EA8" w:rsidRDefault="00EA6165" w:rsidP="00613ABF">
            <w:pPr>
              <w:jc w:val="left"/>
              <w:rPr>
                <w:rFonts w:cstheme="minorHAnsi"/>
              </w:rPr>
            </w:pPr>
            <w:r>
              <w:rPr>
                <w:rFonts w:cstheme="minorHAnsi"/>
              </w:rPr>
              <w:t>£1m</w:t>
            </w:r>
          </w:p>
        </w:tc>
        <w:tc>
          <w:tcPr>
            <w:tcW w:w="1312" w:type="dxa"/>
            <w:shd w:val="clear" w:color="auto" w:fill="C5E0B3" w:themeFill="accent6" w:themeFillTint="66"/>
          </w:tcPr>
          <w:p w14:paraId="7AEEAFFF" w14:textId="77777777" w:rsidR="00EA6165" w:rsidRPr="00732EA8" w:rsidRDefault="00EA6165" w:rsidP="00613ABF">
            <w:pPr>
              <w:jc w:val="left"/>
              <w:rPr>
                <w:rFonts w:cstheme="minorHAnsi"/>
              </w:rPr>
            </w:pPr>
            <w:r>
              <w:rPr>
                <w:rFonts w:cstheme="minorHAnsi"/>
              </w:rPr>
              <w:t>£750k</w:t>
            </w:r>
          </w:p>
        </w:tc>
        <w:tc>
          <w:tcPr>
            <w:tcW w:w="1312" w:type="dxa"/>
            <w:shd w:val="clear" w:color="auto" w:fill="C5E0B3" w:themeFill="accent6" w:themeFillTint="66"/>
          </w:tcPr>
          <w:p w14:paraId="31E2CF76" w14:textId="77777777" w:rsidR="00EA6165" w:rsidRPr="00732EA8" w:rsidRDefault="00EA6165" w:rsidP="00613ABF">
            <w:pPr>
              <w:jc w:val="left"/>
              <w:rPr>
                <w:rFonts w:cstheme="minorHAnsi"/>
              </w:rPr>
            </w:pPr>
            <w:r>
              <w:rPr>
                <w:rFonts w:cstheme="minorHAnsi"/>
              </w:rPr>
              <w:t>£250k</w:t>
            </w:r>
          </w:p>
        </w:tc>
        <w:tc>
          <w:tcPr>
            <w:tcW w:w="1296" w:type="dxa"/>
            <w:shd w:val="clear" w:color="auto" w:fill="C5E0B3" w:themeFill="accent6" w:themeFillTint="66"/>
          </w:tcPr>
          <w:p w14:paraId="653DA53A" w14:textId="77777777" w:rsidR="00EA6165" w:rsidRPr="00732EA8" w:rsidRDefault="00EA6165" w:rsidP="00613ABF">
            <w:pPr>
              <w:jc w:val="left"/>
              <w:rPr>
                <w:rFonts w:cstheme="minorHAnsi"/>
              </w:rPr>
            </w:pPr>
          </w:p>
        </w:tc>
        <w:tc>
          <w:tcPr>
            <w:tcW w:w="1214" w:type="dxa"/>
            <w:tcBorders>
              <w:right w:val="single" w:sz="12" w:space="0" w:color="auto"/>
            </w:tcBorders>
            <w:shd w:val="clear" w:color="auto" w:fill="C5E0B3" w:themeFill="accent6" w:themeFillTint="66"/>
          </w:tcPr>
          <w:p w14:paraId="08F8873A" w14:textId="77777777" w:rsidR="00EA6165" w:rsidRPr="00217F59" w:rsidRDefault="00EA6165" w:rsidP="00613ABF">
            <w:pPr>
              <w:jc w:val="left"/>
              <w:rPr>
                <w:rFonts w:cstheme="minorHAnsi"/>
                <w:b/>
                <w:bCs/>
              </w:rPr>
            </w:pPr>
            <w:r>
              <w:rPr>
                <w:rFonts w:cstheme="minorHAnsi"/>
                <w:b/>
                <w:bCs/>
              </w:rPr>
              <w:t>£2m</w:t>
            </w:r>
          </w:p>
        </w:tc>
      </w:tr>
      <w:tr w:rsidR="00EA6165" w:rsidRPr="00732EA8" w14:paraId="626DC93B" w14:textId="77777777" w:rsidTr="0039362A">
        <w:tc>
          <w:tcPr>
            <w:tcW w:w="1196" w:type="dxa"/>
            <w:vMerge/>
            <w:tcBorders>
              <w:left w:val="single" w:sz="12" w:space="0" w:color="auto"/>
              <w:bottom w:val="single" w:sz="12" w:space="0" w:color="auto"/>
            </w:tcBorders>
          </w:tcPr>
          <w:p w14:paraId="5FC8514E" w14:textId="77777777" w:rsidR="00EA6165" w:rsidRPr="00732EA8" w:rsidRDefault="00EA6165" w:rsidP="00613ABF">
            <w:pPr>
              <w:jc w:val="left"/>
              <w:rPr>
                <w:rFonts w:cstheme="minorHAnsi"/>
              </w:rPr>
            </w:pPr>
          </w:p>
        </w:tc>
        <w:tc>
          <w:tcPr>
            <w:tcW w:w="1364" w:type="dxa"/>
            <w:tcBorders>
              <w:bottom w:val="single" w:sz="12" w:space="0" w:color="auto"/>
            </w:tcBorders>
          </w:tcPr>
          <w:p w14:paraId="22E3FDC5" w14:textId="77777777" w:rsidR="00EA6165" w:rsidRPr="00217F59" w:rsidRDefault="00EA6165" w:rsidP="00613ABF">
            <w:pPr>
              <w:jc w:val="left"/>
              <w:rPr>
                <w:rFonts w:cstheme="minorHAnsi"/>
                <w:b/>
                <w:bCs/>
              </w:rPr>
            </w:pPr>
            <w:r w:rsidRPr="00732EA8">
              <w:rPr>
                <w:rFonts w:cstheme="minorHAnsi"/>
                <w:b/>
                <w:bCs/>
              </w:rPr>
              <w:t>Total</w:t>
            </w:r>
          </w:p>
        </w:tc>
        <w:tc>
          <w:tcPr>
            <w:tcW w:w="1312" w:type="dxa"/>
            <w:tcBorders>
              <w:bottom w:val="single" w:sz="12" w:space="0" w:color="auto"/>
            </w:tcBorders>
          </w:tcPr>
          <w:p w14:paraId="1F8B3FA4" w14:textId="77777777" w:rsidR="00EA6165" w:rsidRPr="00217F59" w:rsidRDefault="00EA6165" w:rsidP="00613ABF">
            <w:pPr>
              <w:jc w:val="left"/>
              <w:rPr>
                <w:rFonts w:cstheme="minorHAnsi"/>
                <w:b/>
                <w:bCs/>
              </w:rPr>
            </w:pPr>
          </w:p>
        </w:tc>
        <w:tc>
          <w:tcPr>
            <w:tcW w:w="1312" w:type="dxa"/>
            <w:tcBorders>
              <w:bottom w:val="single" w:sz="12" w:space="0" w:color="auto"/>
            </w:tcBorders>
          </w:tcPr>
          <w:p w14:paraId="3C153E96" w14:textId="77777777" w:rsidR="00EA6165" w:rsidRPr="00217F59" w:rsidRDefault="00EA6165" w:rsidP="00613ABF">
            <w:pPr>
              <w:jc w:val="left"/>
              <w:rPr>
                <w:rFonts w:cstheme="minorHAnsi"/>
                <w:b/>
                <w:bCs/>
              </w:rPr>
            </w:pPr>
          </w:p>
        </w:tc>
        <w:tc>
          <w:tcPr>
            <w:tcW w:w="1312" w:type="dxa"/>
            <w:tcBorders>
              <w:bottom w:val="single" w:sz="12" w:space="0" w:color="auto"/>
            </w:tcBorders>
          </w:tcPr>
          <w:p w14:paraId="160EC953" w14:textId="77777777" w:rsidR="00EA6165" w:rsidRPr="00217F59" w:rsidRDefault="00EA6165" w:rsidP="00613ABF">
            <w:pPr>
              <w:jc w:val="left"/>
              <w:rPr>
                <w:rFonts w:cstheme="minorHAnsi"/>
                <w:b/>
                <w:bCs/>
              </w:rPr>
            </w:pPr>
          </w:p>
        </w:tc>
        <w:tc>
          <w:tcPr>
            <w:tcW w:w="1296" w:type="dxa"/>
            <w:tcBorders>
              <w:bottom w:val="single" w:sz="12" w:space="0" w:color="auto"/>
            </w:tcBorders>
          </w:tcPr>
          <w:p w14:paraId="504E3DE8" w14:textId="77777777" w:rsidR="00EA6165" w:rsidRPr="00217F59" w:rsidRDefault="00EA6165" w:rsidP="00613ABF">
            <w:pPr>
              <w:jc w:val="left"/>
              <w:rPr>
                <w:rFonts w:cstheme="minorHAnsi"/>
                <w:b/>
                <w:bCs/>
              </w:rPr>
            </w:pPr>
          </w:p>
        </w:tc>
        <w:tc>
          <w:tcPr>
            <w:tcW w:w="1214" w:type="dxa"/>
            <w:tcBorders>
              <w:bottom w:val="single" w:sz="12" w:space="0" w:color="auto"/>
              <w:right w:val="single" w:sz="12" w:space="0" w:color="auto"/>
            </w:tcBorders>
          </w:tcPr>
          <w:p w14:paraId="64A9D56E" w14:textId="77777777" w:rsidR="00EA6165" w:rsidRPr="00217F59" w:rsidRDefault="00EA6165" w:rsidP="00613ABF">
            <w:pPr>
              <w:jc w:val="left"/>
              <w:rPr>
                <w:rFonts w:cstheme="minorHAnsi"/>
                <w:b/>
                <w:bCs/>
              </w:rPr>
            </w:pPr>
            <w:r>
              <w:rPr>
                <w:rFonts w:cstheme="minorHAnsi"/>
                <w:b/>
                <w:bCs/>
              </w:rPr>
              <w:t>£5m</w:t>
            </w:r>
          </w:p>
        </w:tc>
      </w:tr>
    </w:tbl>
    <w:p w14:paraId="14ED1D58" w14:textId="5BA847B6" w:rsidR="009C3E69" w:rsidRPr="00FC2393" w:rsidRDefault="00777846" w:rsidP="00991CCB">
      <w:pPr>
        <w:pStyle w:val="Heading3"/>
        <w:rPr>
          <w:b/>
        </w:rPr>
      </w:pPr>
      <w:r w:rsidRPr="00FC2393">
        <w:rPr>
          <w:b/>
        </w:rPr>
        <w:t>Benefits</w:t>
      </w:r>
    </w:p>
    <w:p w14:paraId="798B2DEE" w14:textId="769CF957" w:rsidR="00EA6165" w:rsidRPr="008870F1" w:rsidRDefault="00EA6165" w:rsidP="00613ABF">
      <w:pPr>
        <w:pStyle w:val="NormalWeb"/>
        <w:shd w:val="clear" w:color="auto" w:fill="FFFFFF"/>
        <w:spacing w:after="240" w:afterAutospacing="0"/>
        <w:rPr>
          <w:rFonts w:asciiTheme="minorHAnsi" w:hAnsiTheme="minorHAnsi" w:cstheme="minorHAnsi"/>
          <w:sz w:val="22"/>
          <w:szCs w:val="22"/>
        </w:rPr>
      </w:pPr>
      <w:r w:rsidRPr="008870F1">
        <w:rPr>
          <w:rFonts w:asciiTheme="minorHAnsi" w:hAnsiTheme="minorHAnsi" w:cstheme="minorHAnsi"/>
          <w:sz w:val="22"/>
          <w:szCs w:val="22"/>
        </w:rPr>
        <w:t>As can be seen from the information provided by UNEP</w:t>
      </w:r>
      <w:r w:rsidR="00EA4D94">
        <w:rPr>
          <w:rFonts w:asciiTheme="minorHAnsi" w:hAnsiTheme="minorHAnsi" w:cstheme="minorHAnsi"/>
          <w:sz w:val="22"/>
          <w:szCs w:val="22"/>
        </w:rPr>
        <w:t xml:space="preserve">, </w:t>
      </w:r>
      <w:r>
        <w:rPr>
          <w:rFonts w:asciiTheme="minorHAnsi" w:hAnsiTheme="minorHAnsi" w:cstheme="minorHAnsi"/>
          <w:sz w:val="22"/>
          <w:szCs w:val="22"/>
        </w:rPr>
        <w:t>increased</w:t>
      </w:r>
      <w:r w:rsidRPr="008870F1">
        <w:rPr>
          <w:rFonts w:asciiTheme="minorHAnsi" w:hAnsiTheme="minorHAnsi" w:cstheme="minorHAnsi"/>
          <w:sz w:val="22"/>
          <w:szCs w:val="22"/>
        </w:rPr>
        <w:t xml:space="preserve"> funding will lead to </w:t>
      </w:r>
      <w:r>
        <w:rPr>
          <w:rFonts w:asciiTheme="minorHAnsi" w:hAnsiTheme="minorHAnsi" w:cstheme="minorHAnsi"/>
          <w:sz w:val="22"/>
          <w:szCs w:val="22"/>
        </w:rPr>
        <w:t xml:space="preserve">a higher </w:t>
      </w:r>
      <w:r w:rsidRPr="008870F1">
        <w:rPr>
          <w:rFonts w:asciiTheme="minorHAnsi" w:hAnsiTheme="minorHAnsi" w:cstheme="minorHAnsi"/>
          <w:sz w:val="22"/>
          <w:szCs w:val="22"/>
        </w:rPr>
        <w:t xml:space="preserve">number of participants due to the partners </w:t>
      </w:r>
      <w:r>
        <w:rPr>
          <w:rFonts w:asciiTheme="minorHAnsi" w:hAnsiTheme="minorHAnsi" w:cstheme="minorHAnsi"/>
          <w:sz w:val="22"/>
          <w:szCs w:val="22"/>
        </w:rPr>
        <w:t xml:space="preserve">strengthened </w:t>
      </w:r>
      <w:r w:rsidRPr="008870F1">
        <w:rPr>
          <w:rFonts w:asciiTheme="minorHAnsi" w:hAnsiTheme="minorHAnsi" w:cstheme="minorHAnsi"/>
          <w:sz w:val="22"/>
          <w:szCs w:val="22"/>
        </w:rPr>
        <w:t xml:space="preserve">ability to reach youth. </w:t>
      </w:r>
    </w:p>
    <w:p w14:paraId="6B6E077B" w14:textId="14E25098" w:rsidR="00EA6165" w:rsidRPr="00217F59" w:rsidRDefault="00EA4D94" w:rsidP="00613ABF">
      <w:pPr>
        <w:spacing w:after="240"/>
        <w:rPr>
          <w:rFonts w:cstheme="minorHAnsi"/>
          <w:bCs/>
        </w:rPr>
      </w:pPr>
      <w:r w:rsidRPr="00EA4D94">
        <w:rPr>
          <w:rFonts w:cstheme="minorHAnsi"/>
          <w:b/>
        </w:rPr>
        <w:t xml:space="preserve">Table </w:t>
      </w:r>
      <w:r w:rsidR="004243A5">
        <w:rPr>
          <w:rFonts w:cstheme="minorHAnsi"/>
          <w:b/>
        </w:rPr>
        <w:t>A5</w:t>
      </w:r>
      <w:r w:rsidR="00EA6165" w:rsidRPr="00EA4D94">
        <w:rPr>
          <w:rFonts w:cstheme="minorHAnsi"/>
          <w:bCs/>
        </w:rPr>
        <w:t xml:space="preserve"> summarises</w:t>
      </w:r>
      <w:r w:rsidR="00EA6165">
        <w:rPr>
          <w:rFonts w:cstheme="minorHAnsi"/>
          <w:bCs/>
        </w:rPr>
        <w:t xml:space="preserve"> the expected benefits associated with each funding scenario of the programme.</w:t>
      </w:r>
    </w:p>
    <w:p w14:paraId="6411CBFD" w14:textId="77777777" w:rsidR="00EA6165" w:rsidRPr="00D148A1" w:rsidRDefault="00EA6165" w:rsidP="00613ABF">
      <w:pPr>
        <w:pStyle w:val="NormalWeb"/>
        <w:shd w:val="clear" w:color="auto" w:fill="FFFFFF"/>
        <w:spacing w:after="240" w:afterAutospacing="0"/>
        <w:rPr>
          <w:rFonts w:asciiTheme="minorHAnsi" w:hAnsiTheme="minorHAnsi" w:cstheme="minorHAnsi"/>
          <w:sz w:val="22"/>
          <w:szCs w:val="22"/>
        </w:rPr>
      </w:pPr>
      <w:r>
        <w:rPr>
          <w:rFonts w:asciiTheme="minorHAnsi" w:hAnsiTheme="minorHAnsi" w:cstheme="minorHAnsi"/>
          <w:sz w:val="22"/>
          <w:szCs w:val="22"/>
        </w:rPr>
        <w:t>G</w:t>
      </w:r>
      <w:r w:rsidRPr="008870F1">
        <w:rPr>
          <w:rFonts w:asciiTheme="minorHAnsi" w:hAnsiTheme="minorHAnsi" w:cstheme="minorHAnsi"/>
          <w:sz w:val="22"/>
          <w:szCs w:val="22"/>
        </w:rPr>
        <w:t xml:space="preserve">oing forward, the Tide Turners programme will have a </w:t>
      </w:r>
      <w:r>
        <w:rPr>
          <w:rFonts w:asciiTheme="minorHAnsi" w:hAnsiTheme="minorHAnsi" w:cstheme="minorHAnsi"/>
          <w:sz w:val="22"/>
          <w:szCs w:val="22"/>
        </w:rPr>
        <w:t>strong</w:t>
      </w:r>
      <w:r w:rsidRPr="008870F1">
        <w:rPr>
          <w:rFonts w:asciiTheme="minorHAnsi" w:hAnsiTheme="minorHAnsi" w:cstheme="minorHAnsi"/>
          <w:sz w:val="22"/>
          <w:szCs w:val="22"/>
        </w:rPr>
        <w:t xml:space="preserve"> focus on advocacy and communications interventions which are expected to lead to more impactful outcomes (e.g</w:t>
      </w:r>
      <w:r>
        <w:rPr>
          <w:rFonts w:asciiTheme="minorHAnsi" w:hAnsiTheme="minorHAnsi" w:cstheme="minorHAnsi"/>
          <w:sz w:val="22"/>
          <w:szCs w:val="22"/>
        </w:rPr>
        <w:t>.,</w:t>
      </w:r>
      <w:r w:rsidRPr="008870F1">
        <w:rPr>
          <w:rFonts w:asciiTheme="minorHAnsi" w:hAnsiTheme="minorHAnsi" w:cstheme="minorHAnsi"/>
          <w:sz w:val="22"/>
          <w:szCs w:val="22"/>
        </w:rPr>
        <w:t xml:space="preserve"> policy change) </w:t>
      </w:r>
      <w:r>
        <w:rPr>
          <w:rFonts w:asciiTheme="minorHAnsi" w:hAnsiTheme="minorHAnsi" w:cstheme="minorHAnsi"/>
          <w:sz w:val="22"/>
          <w:szCs w:val="22"/>
        </w:rPr>
        <w:t>compared to</w:t>
      </w:r>
      <w:r w:rsidRPr="008870F1">
        <w:rPr>
          <w:rFonts w:asciiTheme="minorHAnsi" w:hAnsiTheme="minorHAnsi" w:cstheme="minorHAnsi"/>
          <w:sz w:val="22"/>
          <w:szCs w:val="22"/>
        </w:rPr>
        <w:t xml:space="preserve"> just increasing </w:t>
      </w:r>
      <w:r>
        <w:rPr>
          <w:rFonts w:asciiTheme="minorHAnsi" w:hAnsiTheme="minorHAnsi" w:cstheme="minorHAnsi"/>
          <w:sz w:val="22"/>
          <w:szCs w:val="22"/>
        </w:rPr>
        <w:t xml:space="preserve">the number of </w:t>
      </w:r>
      <w:r w:rsidRPr="008870F1">
        <w:rPr>
          <w:rFonts w:asciiTheme="minorHAnsi" w:hAnsiTheme="minorHAnsi" w:cstheme="minorHAnsi"/>
          <w:sz w:val="22"/>
          <w:szCs w:val="22"/>
        </w:rPr>
        <w:t xml:space="preserve">participants reached. </w:t>
      </w:r>
    </w:p>
    <w:p w14:paraId="19CB848D" w14:textId="24D6410F" w:rsidR="00EA6165" w:rsidRPr="00FC2393" w:rsidRDefault="00EA6165" w:rsidP="00613ABF">
      <w:pPr>
        <w:pStyle w:val="Caption"/>
        <w:spacing w:after="240" w:line="240" w:lineRule="auto"/>
        <w:rPr>
          <w:b/>
          <w:u w:val="single"/>
        </w:rPr>
      </w:pPr>
      <w:r w:rsidRPr="00FC2393">
        <w:rPr>
          <w:b/>
          <w:u w:val="single"/>
        </w:rPr>
        <w:t xml:space="preserve">Table </w:t>
      </w:r>
      <w:r w:rsidR="004243A5" w:rsidRPr="00FC2393">
        <w:rPr>
          <w:b/>
          <w:bCs w:val="0"/>
          <w:u w:val="single"/>
        </w:rPr>
        <w:t>A5</w:t>
      </w:r>
      <w:r w:rsidRPr="00FC2393">
        <w:rPr>
          <w:b/>
          <w:bCs w:val="0"/>
          <w:u w:val="single"/>
        </w:rPr>
        <w:t xml:space="preserve">: </w:t>
      </w:r>
      <w:r w:rsidR="00EA4D94" w:rsidRPr="00FC2393">
        <w:rPr>
          <w:b/>
          <w:bCs w:val="0"/>
          <w:u w:val="single"/>
        </w:rPr>
        <w:t>S</w:t>
      </w:r>
      <w:r w:rsidRPr="00FC2393">
        <w:rPr>
          <w:b/>
          <w:bCs w:val="0"/>
          <w:u w:val="single"/>
        </w:rPr>
        <w:t>ummary</w:t>
      </w:r>
      <w:r w:rsidRPr="00FC2393">
        <w:rPr>
          <w:b/>
          <w:u w:val="single"/>
        </w:rPr>
        <w:t xml:space="preserve"> of the proposed impact of different funding scenarios – information provided by UNEP.</w:t>
      </w:r>
      <w:r w:rsidRPr="00FC2393">
        <w:rPr>
          <w:rFonts w:asciiTheme="minorHAnsi" w:hAnsiTheme="minorHAnsi" w:cstheme="minorHAnsi"/>
          <w:b/>
          <w:szCs w:val="22"/>
          <w:u w:val="single"/>
        </w:rPr>
        <w:t xml:space="preserve"> The projection of participants is uncertain so should be viewed as indicative only.</w:t>
      </w:r>
    </w:p>
    <w:tbl>
      <w:tblPr>
        <w:tblStyle w:val="TableGrid"/>
        <w:tblW w:w="0" w:type="auto"/>
        <w:tblLook w:val="04A0" w:firstRow="1" w:lastRow="0" w:firstColumn="1" w:lastColumn="0" w:noHBand="0" w:noVBand="1"/>
      </w:tblPr>
      <w:tblGrid>
        <w:gridCol w:w="1765"/>
        <w:gridCol w:w="1973"/>
        <w:gridCol w:w="1772"/>
        <w:gridCol w:w="1754"/>
        <w:gridCol w:w="1742"/>
      </w:tblGrid>
      <w:tr w:rsidR="00EA6165" w:rsidRPr="008870F1" w14:paraId="02A0D0B5" w14:textId="77777777" w:rsidTr="0039362A">
        <w:tc>
          <w:tcPr>
            <w:tcW w:w="1765" w:type="dxa"/>
            <w:shd w:val="clear" w:color="auto" w:fill="385623" w:themeFill="accent6" w:themeFillShade="80"/>
            <w:vAlign w:val="center"/>
          </w:tcPr>
          <w:p w14:paraId="2FA8CE52" w14:textId="77777777" w:rsidR="00EA6165" w:rsidRPr="008870F1" w:rsidRDefault="00EA6165" w:rsidP="00613ABF">
            <w:pPr>
              <w:jc w:val="center"/>
              <w:rPr>
                <w:rFonts w:cstheme="minorHAnsi"/>
                <w:b/>
                <w:color w:val="FFFFFF" w:themeColor="background1"/>
              </w:rPr>
            </w:pPr>
            <w:r w:rsidRPr="008870F1">
              <w:rPr>
                <w:rFonts w:cstheme="minorHAnsi"/>
                <w:b/>
                <w:bCs/>
                <w:color w:val="FFFFFF" w:themeColor="background1"/>
              </w:rPr>
              <w:t>3-year funding options</w:t>
            </w:r>
          </w:p>
        </w:tc>
        <w:tc>
          <w:tcPr>
            <w:tcW w:w="1973" w:type="dxa"/>
            <w:shd w:val="clear" w:color="auto" w:fill="385623" w:themeFill="accent6" w:themeFillShade="80"/>
            <w:vAlign w:val="center"/>
          </w:tcPr>
          <w:p w14:paraId="79FFE2FF" w14:textId="77777777" w:rsidR="00EA6165" w:rsidRPr="008870F1" w:rsidRDefault="00EA6165" w:rsidP="00613ABF">
            <w:pPr>
              <w:jc w:val="center"/>
              <w:rPr>
                <w:rFonts w:cstheme="minorHAnsi"/>
                <w:b/>
                <w:color w:val="FFFFFF" w:themeColor="background1"/>
              </w:rPr>
            </w:pPr>
            <w:r w:rsidRPr="008870F1">
              <w:rPr>
                <w:rFonts w:cstheme="minorHAnsi"/>
                <w:b/>
                <w:bCs/>
                <w:color w:val="FFFFFF" w:themeColor="background1"/>
              </w:rPr>
              <w:t>£900k</w:t>
            </w:r>
          </w:p>
        </w:tc>
        <w:tc>
          <w:tcPr>
            <w:tcW w:w="1772" w:type="dxa"/>
            <w:shd w:val="clear" w:color="auto" w:fill="385623" w:themeFill="accent6" w:themeFillShade="80"/>
            <w:vAlign w:val="center"/>
          </w:tcPr>
          <w:p w14:paraId="68B44E37" w14:textId="77777777" w:rsidR="00EA6165" w:rsidRPr="008870F1" w:rsidRDefault="00EA6165" w:rsidP="00613ABF">
            <w:pPr>
              <w:jc w:val="center"/>
              <w:rPr>
                <w:rFonts w:cstheme="minorHAnsi"/>
                <w:b/>
                <w:color w:val="FFFFFF" w:themeColor="background1"/>
              </w:rPr>
            </w:pPr>
            <w:r w:rsidRPr="008870F1">
              <w:rPr>
                <w:rFonts w:cstheme="minorHAnsi"/>
                <w:b/>
                <w:bCs/>
                <w:color w:val="FFFFFF" w:themeColor="background1"/>
              </w:rPr>
              <w:t>£1.6m</w:t>
            </w:r>
          </w:p>
        </w:tc>
        <w:tc>
          <w:tcPr>
            <w:tcW w:w="1754" w:type="dxa"/>
            <w:shd w:val="clear" w:color="auto" w:fill="385623" w:themeFill="accent6" w:themeFillShade="80"/>
            <w:vAlign w:val="center"/>
          </w:tcPr>
          <w:p w14:paraId="68297E4D" w14:textId="77777777" w:rsidR="00EA6165" w:rsidRPr="008870F1" w:rsidRDefault="00EA6165" w:rsidP="00613ABF">
            <w:pPr>
              <w:jc w:val="center"/>
              <w:rPr>
                <w:rFonts w:cstheme="minorHAnsi"/>
                <w:b/>
                <w:color w:val="FFFFFF" w:themeColor="background1"/>
              </w:rPr>
            </w:pPr>
            <w:r w:rsidRPr="008870F1">
              <w:rPr>
                <w:rFonts w:cstheme="minorHAnsi"/>
                <w:b/>
                <w:bCs/>
                <w:color w:val="FFFFFF" w:themeColor="background1"/>
              </w:rPr>
              <w:t>£2.4m</w:t>
            </w:r>
          </w:p>
        </w:tc>
        <w:tc>
          <w:tcPr>
            <w:tcW w:w="1742" w:type="dxa"/>
            <w:shd w:val="clear" w:color="auto" w:fill="385623" w:themeFill="accent6" w:themeFillShade="80"/>
            <w:vAlign w:val="center"/>
          </w:tcPr>
          <w:p w14:paraId="1ADF4683" w14:textId="77777777" w:rsidR="00EA6165" w:rsidRPr="008870F1" w:rsidRDefault="00EA6165" w:rsidP="00613ABF">
            <w:pPr>
              <w:jc w:val="center"/>
              <w:rPr>
                <w:rFonts w:cstheme="minorHAnsi"/>
                <w:b/>
                <w:color w:val="FFFFFF" w:themeColor="background1"/>
              </w:rPr>
            </w:pPr>
            <w:r w:rsidRPr="008870F1">
              <w:rPr>
                <w:rFonts w:cstheme="minorHAnsi"/>
                <w:b/>
                <w:bCs/>
                <w:color w:val="FFFFFF" w:themeColor="background1"/>
              </w:rPr>
              <w:t>£3m</w:t>
            </w:r>
          </w:p>
        </w:tc>
      </w:tr>
      <w:tr w:rsidR="00EA6165" w:rsidRPr="008870F1" w14:paraId="3A5ABFA7" w14:textId="77777777" w:rsidTr="0039362A">
        <w:trPr>
          <w:trHeight w:val="1849"/>
        </w:trPr>
        <w:tc>
          <w:tcPr>
            <w:tcW w:w="1765" w:type="dxa"/>
          </w:tcPr>
          <w:p w14:paraId="3ED9A33D" w14:textId="77777777" w:rsidR="00EA6165" w:rsidRPr="008870F1" w:rsidRDefault="00EA6165" w:rsidP="00613ABF">
            <w:pPr>
              <w:jc w:val="left"/>
              <w:rPr>
                <w:rFonts w:cstheme="minorHAnsi"/>
              </w:rPr>
            </w:pPr>
            <w:r w:rsidRPr="008870F1">
              <w:rPr>
                <w:rFonts w:cstheme="minorHAnsi"/>
              </w:rPr>
              <w:t>Countries</w:t>
            </w:r>
          </w:p>
        </w:tc>
        <w:tc>
          <w:tcPr>
            <w:tcW w:w="1973" w:type="dxa"/>
          </w:tcPr>
          <w:p w14:paraId="3E582557" w14:textId="77777777" w:rsidR="00EA6165" w:rsidRPr="008870F1" w:rsidRDefault="00EA6165" w:rsidP="00613ABF">
            <w:pPr>
              <w:shd w:val="clear" w:color="auto" w:fill="FFFFFF"/>
              <w:jc w:val="left"/>
              <w:rPr>
                <w:rFonts w:cstheme="minorHAnsi"/>
                <w:b/>
                <w:i/>
                <w:highlight w:val="white"/>
              </w:rPr>
            </w:pPr>
            <w:r w:rsidRPr="008870F1">
              <w:rPr>
                <w:rFonts w:cstheme="minorHAnsi"/>
                <w:highlight w:val="white"/>
              </w:rPr>
              <w:t>10 current countries, with the main focus being in India (work in India would likely continue at the current pace, but it would be unlikely to scale further).</w:t>
            </w:r>
          </w:p>
        </w:tc>
        <w:tc>
          <w:tcPr>
            <w:tcW w:w="1772" w:type="dxa"/>
          </w:tcPr>
          <w:p w14:paraId="569D4DB3" w14:textId="77777777" w:rsidR="00EA6165" w:rsidRPr="008870F1" w:rsidRDefault="00EA6165" w:rsidP="00613ABF">
            <w:pPr>
              <w:jc w:val="left"/>
              <w:rPr>
                <w:rFonts w:cstheme="minorHAnsi"/>
              </w:rPr>
            </w:pPr>
            <w:r w:rsidRPr="008870F1">
              <w:rPr>
                <w:rFonts w:cstheme="minorHAnsi"/>
              </w:rPr>
              <w:t>30</w:t>
            </w:r>
          </w:p>
        </w:tc>
        <w:tc>
          <w:tcPr>
            <w:tcW w:w="1754" w:type="dxa"/>
          </w:tcPr>
          <w:p w14:paraId="6BBAB6B9" w14:textId="77777777" w:rsidR="00EA6165" w:rsidRPr="008870F1" w:rsidRDefault="00EA6165" w:rsidP="00613ABF">
            <w:pPr>
              <w:jc w:val="left"/>
              <w:rPr>
                <w:rFonts w:cstheme="minorHAnsi"/>
              </w:rPr>
            </w:pPr>
            <w:r w:rsidRPr="008870F1">
              <w:rPr>
                <w:rFonts w:cstheme="minorHAnsi"/>
              </w:rPr>
              <w:t>32</w:t>
            </w:r>
          </w:p>
        </w:tc>
        <w:tc>
          <w:tcPr>
            <w:tcW w:w="1742" w:type="dxa"/>
          </w:tcPr>
          <w:p w14:paraId="7500CA38" w14:textId="77777777" w:rsidR="00EA6165" w:rsidRPr="008870F1" w:rsidRDefault="00EA6165" w:rsidP="00613ABF">
            <w:pPr>
              <w:jc w:val="left"/>
              <w:rPr>
                <w:rFonts w:cstheme="minorHAnsi"/>
              </w:rPr>
            </w:pPr>
            <w:r w:rsidRPr="008870F1">
              <w:rPr>
                <w:rFonts w:cstheme="minorHAnsi"/>
              </w:rPr>
              <w:t>35</w:t>
            </w:r>
          </w:p>
        </w:tc>
      </w:tr>
      <w:tr w:rsidR="00EA6165" w:rsidRPr="008870F1" w14:paraId="68D89EB9" w14:textId="77777777" w:rsidTr="0039362A">
        <w:tc>
          <w:tcPr>
            <w:tcW w:w="9006" w:type="dxa"/>
            <w:gridSpan w:val="5"/>
            <w:shd w:val="clear" w:color="auto" w:fill="C5E0B3" w:themeFill="accent6" w:themeFillTint="66"/>
          </w:tcPr>
          <w:p w14:paraId="46774681" w14:textId="77777777" w:rsidR="00EA6165" w:rsidRPr="008870F1" w:rsidRDefault="00EA6165" w:rsidP="00613ABF">
            <w:pPr>
              <w:jc w:val="center"/>
              <w:rPr>
                <w:rFonts w:eastAsia="Roboto" w:cstheme="minorHAnsi"/>
                <w:b/>
                <w:bCs/>
              </w:rPr>
            </w:pPr>
            <w:r w:rsidRPr="008870F1">
              <w:rPr>
                <w:rFonts w:eastAsia="Roboto" w:cstheme="minorHAnsi"/>
                <w:b/>
                <w:bCs/>
              </w:rPr>
              <w:t>REACH per year</w:t>
            </w:r>
          </w:p>
        </w:tc>
      </w:tr>
      <w:tr w:rsidR="00EA6165" w:rsidRPr="008870F1" w14:paraId="7ADD6E2A" w14:textId="77777777" w:rsidTr="0039362A">
        <w:tc>
          <w:tcPr>
            <w:tcW w:w="1765" w:type="dxa"/>
          </w:tcPr>
          <w:p w14:paraId="594E1392" w14:textId="77777777" w:rsidR="00EA6165" w:rsidRPr="008870F1" w:rsidRDefault="00EA6165" w:rsidP="00613ABF">
            <w:pPr>
              <w:jc w:val="left"/>
              <w:rPr>
                <w:rFonts w:eastAsia="Roboto" w:cstheme="minorHAnsi"/>
                <w:b/>
                <w:bCs/>
              </w:rPr>
            </w:pPr>
            <w:r w:rsidRPr="008870F1">
              <w:rPr>
                <w:rFonts w:cstheme="minorHAnsi"/>
                <w:b/>
                <w:bCs/>
              </w:rPr>
              <w:t>LEVEL 4: Advocacy Champion level (Engaged in live advocacy trainings</w:t>
            </w:r>
            <w:r>
              <w:rPr>
                <w:rFonts w:cstheme="minorHAnsi"/>
                <w:b/>
                <w:bCs/>
              </w:rPr>
              <w:t>)</w:t>
            </w:r>
            <w:r w:rsidRPr="008870F1">
              <w:rPr>
                <w:rFonts w:eastAsia="Roboto" w:cstheme="minorHAnsi"/>
              </w:rPr>
              <w:t xml:space="preserve"> </w:t>
            </w:r>
          </w:p>
        </w:tc>
        <w:tc>
          <w:tcPr>
            <w:tcW w:w="1973" w:type="dxa"/>
          </w:tcPr>
          <w:p w14:paraId="2351A540" w14:textId="77777777" w:rsidR="00EA6165" w:rsidRPr="008870F1" w:rsidRDefault="00EA6165" w:rsidP="00613ABF">
            <w:pPr>
              <w:jc w:val="left"/>
              <w:rPr>
                <w:rFonts w:cstheme="minorHAnsi"/>
                <w:highlight w:val="white"/>
              </w:rPr>
            </w:pPr>
          </w:p>
        </w:tc>
        <w:tc>
          <w:tcPr>
            <w:tcW w:w="1772" w:type="dxa"/>
          </w:tcPr>
          <w:p w14:paraId="63AF609D" w14:textId="5D27C1B6" w:rsidR="00EA6165" w:rsidRPr="008870F1" w:rsidRDefault="00EA6165" w:rsidP="00E20142">
            <w:pPr>
              <w:shd w:val="clear" w:color="auto" w:fill="FFFFFF"/>
              <w:jc w:val="left"/>
              <w:rPr>
                <w:rFonts w:eastAsia="Roboto" w:cstheme="minorHAnsi"/>
                <w:highlight w:val="white"/>
              </w:rPr>
            </w:pPr>
            <w:r w:rsidRPr="008870F1">
              <w:rPr>
                <w:rFonts w:eastAsia="Roboto" w:cstheme="minorHAnsi"/>
                <w:highlight w:val="white"/>
              </w:rPr>
              <w:t xml:space="preserve">20 Tide Turner Heroes from across Caribbean nations (or another strategic region) in a 6-month policy training and mentorship program. </w:t>
            </w:r>
          </w:p>
        </w:tc>
        <w:tc>
          <w:tcPr>
            <w:tcW w:w="1754" w:type="dxa"/>
          </w:tcPr>
          <w:p w14:paraId="5A1A461E" w14:textId="6DF4E7ED" w:rsidR="00EA6165" w:rsidRPr="008870F1" w:rsidRDefault="00EA6165" w:rsidP="00613ABF">
            <w:pPr>
              <w:shd w:val="clear" w:color="auto" w:fill="FFFFFF"/>
              <w:jc w:val="left"/>
              <w:rPr>
                <w:rFonts w:eastAsia="Roboto" w:cstheme="minorHAnsi"/>
                <w:highlight w:val="white"/>
              </w:rPr>
            </w:pPr>
            <w:r w:rsidRPr="008870F1">
              <w:rPr>
                <w:rFonts w:eastAsia="Roboto" w:cstheme="minorHAnsi"/>
                <w:highlight w:val="white"/>
              </w:rPr>
              <w:t>30 Tide Turner Heroes from across Caribbean and African nations</w:t>
            </w:r>
            <w:r w:rsidR="000A7A9B" w:rsidRPr="008870F1">
              <w:rPr>
                <w:rFonts w:eastAsia="Roboto" w:cstheme="minorHAnsi"/>
                <w:highlight w:val="white"/>
              </w:rPr>
              <w:t xml:space="preserve"> </w:t>
            </w:r>
            <w:r w:rsidRPr="008870F1">
              <w:rPr>
                <w:rFonts w:eastAsia="Roboto" w:cstheme="minorHAnsi"/>
                <w:highlight w:val="white"/>
              </w:rPr>
              <w:t xml:space="preserve">(or another strategic region) in a 6-month policy training and mentorship program. </w:t>
            </w:r>
          </w:p>
          <w:p w14:paraId="3D00D9FF" w14:textId="77777777" w:rsidR="00EA6165" w:rsidRPr="008870F1" w:rsidRDefault="00EA6165" w:rsidP="00613ABF">
            <w:pPr>
              <w:shd w:val="clear" w:color="auto" w:fill="FFFFFF"/>
              <w:jc w:val="left"/>
              <w:rPr>
                <w:rFonts w:eastAsia="Roboto" w:cstheme="minorHAnsi"/>
                <w:highlight w:val="white"/>
              </w:rPr>
            </w:pPr>
          </w:p>
        </w:tc>
        <w:tc>
          <w:tcPr>
            <w:tcW w:w="1742" w:type="dxa"/>
          </w:tcPr>
          <w:p w14:paraId="64B7D118" w14:textId="59AE2757" w:rsidR="00EA6165" w:rsidRPr="008870F1" w:rsidRDefault="00EA6165" w:rsidP="00613ABF">
            <w:pPr>
              <w:shd w:val="clear" w:color="auto" w:fill="FFFFFF"/>
              <w:jc w:val="left"/>
              <w:rPr>
                <w:rFonts w:eastAsia="Roboto" w:cstheme="minorHAnsi"/>
                <w:highlight w:val="white"/>
              </w:rPr>
            </w:pPr>
            <w:r w:rsidRPr="008870F1">
              <w:rPr>
                <w:rFonts w:eastAsia="Roboto" w:cstheme="minorHAnsi"/>
                <w:highlight w:val="white"/>
              </w:rPr>
              <w:t>50 Tide Turner Heroes from across African, Caribbean and Asia Pacific nations</w:t>
            </w:r>
            <w:r w:rsidR="000A7A9B" w:rsidRPr="008870F1">
              <w:rPr>
                <w:rFonts w:eastAsia="Roboto" w:cstheme="minorHAnsi"/>
                <w:highlight w:val="white"/>
              </w:rPr>
              <w:t xml:space="preserve"> </w:t>
            </w:r>
            <w:r w:rsidRPr="008870F1">
              <w:rPr>
                <w:rFonts w:eastAsia="Roboto" w:cstheme="minorHAnsi"/>
                <w:highlight w:val="white"/>
              </w:rPr>
              <w:t>(or another strategic region) in 6-month policy training and mentorship program</w:t>
            </w:r>
            <w:r w:rsidR="00E20142">
              <w:rPr>
                <w:rFonts w:eastAsia="Roboto" w:cstheme="minorHAnsi"/>
                <w:highlight w:val="white"/>
              </w:rPr>
              <w:t>me</w:t>
            </w:r>
          </w:p>
        </w:tc>
      </w:tr>
      <w:tr w:rsidR="00EA6165" w:rsidRPr="008870F1" w14:paraId="0F735018" w14:textId="77777777" w:rsidTr="0039362A">
        <w:tc>
          <w:tcPr>
            <w:tcW w:w="1765" w:type="dxa"/>
          </w:tcPr>
          <w:p w14:paraId="1BD84968" w14:textId="77777777" w:rsidR="00EA6165" w:rsidRPr="008870F1" w:rsidRDefault="00EA6165" w:rsidP="00613ABF">
            <w:pPr>
              <w:jc w:val="left"/>
              <w:rPr>
                <w:rFonts w:eastAsia="Roboto" w:cstheme="minorHAnsi"/>
                <w:b/>
                <w:bCs/>
              </w:rPr>
            </w:pPr>
            <w:r w:rsidRPr="008870F1">
              <w:rPr>
                <w:rFonts w:eastAsia="Roboto" w:cstheme="minorHAnsi"/>
                <w:b/>
                <w:bCs/>
              </w:rPr>
              <w:t xml:space="preserve">LEVEL 4: </w:t>
            </w:r>
            <w:r w:rsidRPr="008870F1">
              <w:rPr>
                <w:rFonts w:cstheme="minorHAnsi"/>
                <w:b/>
                <w:bCs/>
              </w:rPr>
              <w:t>Broad change making policy training for Advocacy Champions </w:t>
            </w:r>
          </w:p>
        </w:tc>
        <w:tc>
          <w:tcPr>
            <w:tcW w:w="1973" w:type="dxa"/>
          </w:tcPr>
          <w:p w14:paraId="5384CFE8" w14:textId="77777777" w:rsidR="00EA6165" w:rsidRPr="008870F1" w:rsidRDefault="00EA6165" w:rsidP="00613ABF">
            <w:pPr>
              <w:jc w:val="left"/>
              <w:rPr>
                <w:rFonts w:cstheme="minorHAnsi"/>
                <w:highlight w:val="white"/>
              </w:rPr>
            </w:pPr>
          </w:p>
        </w:tc>
        <w:tc>
          <w:tcPr>
            <w:tcW w:w="1772" w:type="dxa"/>
          </w:tcPr>
          <w:p w14:paraId="2928C8CE" w14:textId="61433723" w:rsidR="00EA6165" w:rsidRPr="008870F1" w:rsidRDefault="00EA6165" w:rsidP="00613ABF">
            <w:pPr>
              <w:shd w:val="clear" w:color="auto" w:fill="FFFFFF"/>
              <w:jc w:val="left"/>
              <w:rPr>
                <w:rFonts w:eastAsia="Roboto" w:cstheme="minorHAnsi"/>
                <w:highlight w:val="white"/>
              </w:rPr>
            </w:pPr>
            <w:r w:rsidRPr="008870F1">
              <w:rPr>
                <w:rFonts w:eastAsia="Roboto" w:cstheme="minorHAnsi"/>
                <w:highlight w:val="white"/>
              </w:rPr>
              <w:t xml:space="preserve">At least 200 Tide Turners engaged per year from across the Caribbean (or another strategic region) in broad changemaking training </w:t>
            </w:r>
          </w:p>
        </w:tc>
        <w:tc>
          <w:tcPr>
            <w:tcW w:w="1754" w:type="dxa"/>
          </w:tcPr>
          <w:p w14:paraId="1CAC524B" w14:textId="77777777" w:rsidR="00EA6165" w:rsidRPr="008870F1" w:rsidRDefault="00EA6165" w:rsidP="00613ABF">
            <w:pPr>
              <w:shd w:val="clear" w:color="auto" w:fill="FFFFFF"/>
              <w:jc w:val="left"/>
              <w:rPr>
                <w:rFonts w:eastAsia="Roboto" w:cstheme="minorHAnsi"/>
                <w:highlight w:val="white"/>
              </w:rPr>
            </w:pPr>
            <w:r w:rsidRPr="008870F1">
              <w:rPr>
                <w:rFonts w:eastAsia="Roboto" w:cstheme="minorHAnsi"/>
                <w:highlight w:val="white"/>
              </w:rPr>
              <w:t>At least 400 Tide Turners engaged per year from two regions in broad changemaking training.</w:t>
            </w:r>
          </w:p>
          <w:p w14:paraId="19DDB75A" w14:textId="77777777" w:rsidR="00EA6165" w:rsidRPr="008870F1" w:rsidRDefault="00EA6165" w:rsidP="00613ABF">
            <w:pPr>
              <w:shd w:val="clear" w:color="auto" w:fill="FFFFFF"/>
              <w:jc w:val="left"/>
              <w:rPr>
                <w:rFonts w:eastAsia="Roboto" w:cstheme="minorHAnsi"/>
                <w:highlight w:val="white"/>
              </w:rPr>
            </w:pPr>
          </w:p>
        </w:tc>
        <w:tc>
          <w:tcPr>
            <w:tcW w:w="1742" w:type="dxa"/>
          </w:tcPr>
          <w:p w14:paraId="69CFC2B2" w14:textId="77777777" w:rsidR="00EA6165" w:rsidRPr="008870F1" w:rsidRDefault="00EA6165" w:rsidP="00613ABF">
            <w:pPr>
              <w:shd w:val="clear" w:color="auto" w:fill="FFFFFF"/>
              <w:jc w:val="left"/>
              <w:rPr>
                <w:rFonts w:eastAsia="Roboto" w:cstheme="minorHAnsi"/>
                <w:highlight w:val="white"/>
              </w:rPr>
            </w:pPr>
            <w:r w:rsidRPr="008870F1">
              <w:rPr>
                <w:rFonts w:eastAsia="Roboto" w:cstheme="minorHAnsi"/>
                <w:highlight w:val="white"/>
              </w:rPr>
              <w:t xml:space="preserve">At least 200 Tide Turners engaged per year from two regions in broad changemaking training </w:t>
            </w:r>
          </w:p>
          <w:p w14:paraId="626D200C" w14:textId="77777777" w:rsidR="00EA6165" w:rsidRPr="008870F1" w:rsidRDefault="00EA6165" w:rsidP="00613ABF">
            <w:pPr>
              <w:shd w:val="clear" w:color="auto" w:fill="FFFFFF"/>
              <w:jc w:val="left"/>
              <w:rPr>
                <w:rFonts w:eastAsia="Roboto" w:cstheme="minorHAnsi"/>
                <w:highlight w:val="white"/>
              </w:rPr>
            </w:pPr>
          </w:p>
        </w:tc>
      </w:tr>
      <w:tr w:rsidR="00EA6165" w:rsidRPr="008870F1" w14:paraId="29A3D671" w14:textId="77777777" w:rsidTr="0039362A">
        <w:tc>
          <w:tcPr>
            <w:tcW w:w="1765" w:type="dxa"/>
          </w:tcPr>
          <w:p w14:paraId="55D45321" w14:textId="77777777" w:rsidR="00EA6165" w:rsidRPr="009C3E69" w:rsidRDefault="00EA6165" w:rsidP="00613ABF">
            <w:pPr>
              <w:jc w:val="left"/>
              <w:rPr>
                <w:rFonts w:eastAsia="Roboto" w:cstheme="minorHAnsi"/>
                <w:b/>
                <w:bCs/>
              </w:rPr>
            </w:pPr>
            <w:r w:rsidRPr="009C3E69">
              <w:rPr>
                <w:rFonts w:cstheme="minorHAnsi"/>
                <w:b/>
                <w:bCs/>
              </w:rPr>
              <w:t>LEVEL 3: </w:t>
            </w:r>
            <w:r w:rsidRPr="009C3E69">
              <w:rPr>
                <w:rFonts w:cstheme="minorHAnsi"/>
                <w:b/>
                <w:bCs/>
              </w:rPr>
              <w:br/>
              <w:t>Champion level </w:t>
            </w:r>
          </w:p>
        </w:tc>
        <w:tc>
          <w:tcPr>
            <w:tcW w:w="1973" w:type="dxa"/>
          </w:tcPr>
          <w:p w14:paraId="4D85EB7C" w14:textId="77777777" w:rsidR="00EA6165" w:rsidRPr="008870F1" w:rsidRDefault="00EA6165" w:rsidP="00613ABF">
            <w:pPr>
              <w:jc w:val="left"/>
              <w:rPr>
                <w:rFonts w:cstheme="minorHAnsi"/>
                <w:highlight w:val="white"/>
              </w:rPr>
            </w:pPr>
            <w:r w:rsidRPr="008870F1">
              <w:rPr>
                <w:rFonts w:cstheme="minorHAnsi"/>
                <w:b/>
                <w:bCs/>
                <w:highlight w:val="white"/>
              </w:rPr>
              <w:t xml:space="preserve">200 </w:t>
            </w:r>
            <w:r w:rsidRPr="008870F1">
              <w:rPr>
                <w:rFonts w:cstheme="minorHAnsi"/>
                <w:highlight w:val="white"/>
              </w:rPr>
              <w:t>Tide Turners engaged per year</w:t>
            </w:r>
          </w:p>
        </w:tc>
        <w:tc>
          <w:tcPr>
            <w:tcW w:w="1772" w:type="dxa"/>
          </w:tcPr>
          <w:p w14:paraId="25A7CD5D" w14:textId="77777777" w:rsidR="00EA6165" w:rsidRPr="008870F1" w:rsidRDefault="00EA6165" w:rsidP="00613ABF">
            <w:pPr>
              <w:shd w:val="clear" w:color="auto" w:fill="FFFFFF"/>
              <w:jc w:val="left"/>
              <w:rPr>
                <w:rFonts w:eastAsia="Roboto" w:cstheme="minorHAnsi"/>
                <w:highlight w:val="white"/>
              </w:rPr>
            </w:pPr>
            <w:r w:rsidRPr="008870F1">
              <w:rPr>
                <w:rFonts w:eastAsia="Roboto" w:cstheme="minorHAnsi"/>
                <w:b/>
                <w:bCs/>
                <w:highlight w:val="white"/>
              </w:rPr>
              <w:t>700</w:t>
            </w:r>
            <w:r w:rsidRPr="008870F1">
              <w:rPr>
                <w:rFonts w:eastAsia="Roboto" w:cstheme="minorHAnsi"/>
                <w:highlight w:val="white"/>
              </w:rPr>
              <w:t xml:space="preserve"> Tide Turners</w:t>
            </w:r>
            <w:r w:rsidRPr="008870F1">
              <w:rPr>
                <w:rFonts w:eastAsia="Roboto" w:cstheme="minorHAnsi"/>
              </w:rPr>
              <w:t xml:space="preserve"> and </w:t>
            </w:r>
            <w:r w:rsidRPr="008870F1">
              <w:rPr>
                <w:rFonts w:eastAsia="Roboto" w:cstheme="minorHAnsi"/>
                <w:highlight w:val="white"/>
              </w:rPr>
              <w:t xml:space="preserve">5 projects delivered by </w:t>
            </w:r>
            <w:r w:rsidRPr="008870F1">
              <w:rPr>
                <w:rFonts w:eastAsia="Roboto" w:cstheme="minorHAnsi"/>
                <w:highlight w:val="white"/>
              </w:rPr>
              <w:lastRenderedPageBreak/>
              <w:t>Advocacy Champions</w:t>
            </w:r>
          </w:p>
        </w:tc>
        <w:tc>
          <w:tcPr>
            <w:tcW w:w="1754" w:type="dxa"/>
          </w:tcPr>
          <w:p w14:paraId="317E300B" w14:textId="77777777" w:rsidR="00EA6165" w:rsidRPr="008870F1" w:rsidRDefault="00EA6165" w:rsidP="00613ABF">
            <w:pPr>
              <w:shd w:val="clear" w:color="auto" w:fill="FFFFFF"/>
              <w:jc w:val="left"/>
              <w:rPr>
                <w:rFonts w:eastAsia="Roboto" w:cstheme="minorHAnsi"/>
                <w:highlight w:val="white"/>
              </w:rPr>
            </w:pPr>
            <w:r w:rsidRPr="008870F1">
              <w:rPr>
                <w:rFonts w:eastAsia="Roboto" w:cstheme="minorHAnsi"/>
                <w:b/>
                <w:bCs/>
                <w:highlight w:val="white"/>
              </w:rPr>
              <w:lastRenderedPageBreak/>
              <w:t>2,350</w:t>
            </w:r>
            <w:r w:rsidRPr="008870F1">
              <w:rPr>
                <w:rFonts w:eastAsia="Roboto" w:cstheme="minorHAnsi"/>
                <w:highlight w:val="white"/>
              </w:rPr>
              <w:t xml:space="preserve"> Tide Turners and 20 projects delivered by </w:t>
            </w:r>
            <w:r w:rsidRPr="008870F1">
              <w:rPr>
                <w:rFonts w:eastAsia="Roboto" w:cstheme="minorHAnsi"/>
                <w:highlight w:val="white"/>
              </w:rPr>
              <w:lastRenderedPageBreak/>
              <w:t xml:space="preserve">Advocacy Champions </w:t>
            </w:r>
          </w:p>
          <w:p w14:paraId="5105E5DE" w14:textId="77777777" w:rsidR="00EA6165" w:rsidRPr="008870F1" w:rsidRDefault="00EA6165" w:rsidP="00613ABF">
            <w:pPr>
              <w:shd w:val="clear" w:color="auto" w:fill="FFFFFF"/>
              <w:jc w:val="left"/>
              <w:rPr>
                <w:rFonts w:eastAsia="Roboto" w:cstheme="minorHAnsi"/>
                <w:highlight w:val="white"/>
              </w:rPr>
            </w:pPr>
          </w:p>
        </w:tc>
        <w:tc>
          <w:tcPr>
            <w:tcW w:w="1742" w:type="dxa"/>
          </w:tcPr>
          <w:p w14:paraId="6A50679D" w14:textId="6AA7155A" w:rsidR="00EA6165" w:rsidRPr="008870F1" w:rsidRDefault="00EA6165" w:rsidP="00613ABF">
            <w:pPr>
              <w:shd w:val="clear" w:color="auto" w:fill="FFFFFF"/>
              <w:jc w:val="left"/>
              <w:rPr>
                <w:rFonts w:eastAsia="Roboto" w:cstheme="minorHAnsi"/>
                <w:highlight w:val="white"/>
              </w:rPr>
            </w:pPr>
            <w:r w:rsidRPr="008870F1">
              <w:rPr>
                <w:rFonts w:eastAsia="Roboto" w:cstheme="minorHAnsi"/>
                <w:b/>
                <w:bCs/>
                <w:highlight w:val="white"/>
              </w:rPr>
              <w:lastRenderedPageBreak/>
              <w:t>3,400</w:t>
            </w:r>
            <w:r w:rsidRPr="008870F1">
              <w:rPr>
                <w:rFonts w:eastAsia="Roboto" w:cstheme="minorHAnsi"/>
                <w:highlight w:val="white"/>
              </w:rPr>
              <w:t xml:space="preserve"> Tide Turners and 24 projects delivered by Advocacy </w:t>
            </w:r>
            <w:r w:rsidRPr="008870F1">
              <w:rPr>
                <w:rFonts w:eastAsia="Roboto" w:cstheme="minorHAnsi"/>
                <w:highlight w:val="white"/>
              </w:rPr>
              <w:lastRenderedPageBreak/>
              <w:t xml:space="preserve">Champions supported and </w:t>
            </w:r>
            <w:r w:rsidRPr="008870F1">
              <w:rPr>
                <w:rFonts w:eastAsia="Roboto" w:cstheme="minorHAnsi"/>
                <w:b/>
                <w:bCs/>
                <w:highlight w:val="white"/>
              </w:rPr>
              <w:t>5,500</w:t>
            </w:r>
            <w:r w:rsidRPr="008870F1">
              <w:rPr>
                <w:rFonts w:eastAsia="Roboto" w:cstheme="minorHAnsi"/>
                <w:highlight w:val="white"/>
              </w:rPr>
              <w:t xml:space="preserve"> benefiting from capacity building for champions programme </w:t>
            </w:r>
          </w:p>
        </w:tc>
      </w:tr>
      <w:tr w:rsidR="00EA6165" w:rsidRPr="008870F1" w14:paraId="784F6390" w14:textId="77777777" w:rsidTr="0039362A">
        <w:tc>
          <w:tcPr>
            <w:tcW w:w="1765" w:type="dxa"/>
          </w:tcPr>
          <w:p w14:paraId="0D666FD1" w14:textId="068861BC" w:rsidR="00EA6165" w:rsidRPr="009C3E69" w:rsidRDefault="009C3E69" w:rsidP="00613ABF">
            <w:pPr>
              <w:jc w:val="left"/>
              <w:rPr>
                <w:rFonts w:eastAsia="Roboto" w:cstheme="minorHAnsi"/>
                <w:b/>
                <w:bCs/>
              </w:rPr>
            </w:pPr>
            <w:r>
              <w:rPr>
                <w:rFonts w:cstheme="minorHAnsi"/>
                <w:b/>
                <w:bCs/>
              </w:rPr>
              <w:lastRenderedPageBreak/>
              <w:t xml:space="preserve">LEVEL 2: </w:t>
            </w:r>
            <w:r w:rsidR="00EA6165" w:rsidRPr="009C3E69">
              <w:rPr>
                <w:rFonts w:cstheme="minorHAnsi"/>
                <w:b/>
                <w:bCs/>
              </w:rPr>
              <w:t> Leader lev</w:t>
            </w:r>
            <w:r>
              <w:rPr>
                <w:rFonts w:cstheme="minorHAnsi"/>
                <w:b/>
                <w:bCs/>
              </w:rPr>
              <w:t>el</w:t>
            </w:r>
          </w:p>
        </w:tc>
        <w:tc>
          <w:tcPr>
            <w:tcW w:w="7241" w:type="dxa"/>
            <w:gridSpan w:val="4"/>
            <w:vMerge w:val="restart"/>
            <w:vAlign w:val="center"/>
          </w:tcPr>
          <w:p w14:paraId="2DDC5255" w14:textId="77777777" w:rsidR="00EA6165" w:rsidRPr="008870F1" w:rsidRDefault="00EA6165" w:rsidP="00613ABF">
            <w:pPr>
              <w:shd w:val="clear" w:color="auto" w:fill="FFFFFF"/>
              <w:jc w:val="center"/>
              <w:rPr>
                <w:rFonts w:eastAsia="Roboto" w:cstheme="minorHAnsi"/>
                <w:highlight w:val="white"/>
              </w:rPr>
            </w:pPr>
            <w:r w:rsidRPr="008870F1">
              <w:rPr>
                <w:rFonts w:cstheme="minorHAnsi"/>
                <w:highlight w:val="white"/>
              </w:rPr>
              <w:t>The remaining participants (the majority) will complete level 1 and 2 qualifications.</w:t>
            </w:r>
          </w:p>
        </w:tc>
      </w:tr>
      <w:tr w:rsidR="00EA6165" w:rsidRPr="008870F1" w14:paraId="0845C6E7" w14:textId="77777777" w:rsidTr="0039362A">
        <w:tc>
          <w:tcPr>
            <w:tcW w:w="1765" w:type="dxa"/>
          </w:tcPr>
          <w:p w14:paraId="18AB7F9B" w14:textId="0D88A7B5" w:rsidR="00EA6165" w:rsidRPr="009C3E69" w:rsidRDefault="009C3E69" w:rsidP="00613ABF">
            <w:pPr>
              <w:jc w:val="left"/>
              <w:rPr>
                <w:rFonts w:eastAsia="Roboto" w:cstheme="minorHAnsi"/>
                <w:b/>
                <w:bCs/>
              </w:rPr>
            </w:pPr>
            <w:r>
              <w:rPr>
                <w:rFonts w:cstheme="minorHAnsi"/>
                <w:b/>
                <w:bCs/>
              </w:rPr>
              <w:t>LEVEL 1: E</w:t>
            </w:r>
            <w:r w:rsidR="00EA6165" w:rsidRPr="009C3E69">
              <w:rPr>
                <w:rFonts w:cstheme="minorHAnsi"/>
                <w:b/>
                <w:bCs/>
              </w:rPr>
              <w:t>ntry leve</w:t>
            </w:r>
            <w:r>
              <w:rPr>
                <w:rFonts w:cstheme="minorHAnsi"/>
                <w:b/>
                <w:bCs/>
              </w:rPr>
              <w:t>l</w:t>
            </w:r>
          </w:p>
        </w:tc>
        <w:tc>
          <w:tcPr>
            <w:tcW w:w="7241" w:type="dxa"/>
            <w:gridSpan w:val="4"/>
            <w:vMerge/>
          </w:tcPr>
          <w:p w14:paraId="064B0D31" w14:textId="77777777" w:rsidR="00EA6165" w:rsidRPr="008870F1" w:rsidRDefault="00EA6165" w:rsidP="00613ABF">
            <w:pPr>
              <w:shd w:val="clear" w:color="auto" w:fill="FFFFFF"/>
              <w:jc w:val="left"/>
              <w:rPr>
                <w:rFonts w:eastAsia="Roboto" w:cstheme="minorHAnsi"/>
                <w:highlight w:val="white"/>
              </w:rPr>
            </w:pPr>
          </w:p>
        </w:tc>
      </w:tr>
      <w:tr w:rsidR="00EA6165" w:rsidRPr="008870F1" w14:paraId="29E98801" w14:textId="77777777" w:rsidTr="0039362A">
        <w:tc>
          <w:tcPr>
            <w:tcW w:w="1765" w:type="dxa"/>
          </w:tcPr>
          <w:p w14:paraId="77EC44EF" w14:textId="77777777" w:rsidR="00EA6165" w:rsidRPr="008870F1" w:rsidRDefault="00EA6165" w:rsidP="00613ABF">
            <w:pPr>
              <w:jc w:val="left"/>
              <w:rPr>
                <w:rFonts w:eastAsia="Roboto" w:cstheme="minorHAnsi"/>
                <w:b/>
                <w:bCs/>
              </w:rPr>
            </w:pPr>
            <w:r w:rsidRPr="008870F1">
              <w:rPr>
                <w:rFonts w:eastAsia="Roboto" w:cstheme="minorHAnsi"/>
                <w:b/>
                <w:bCs/>
              </w:rPr>
              <w:t xml:space="preserve">TOTAL ADDITIONAL PARTICIPANTS: </w:t>
            </w:r>
          </w:p>
        </w:tc>
        <w:tc>
          <w:tcPr>
            <w:tcW w:w="1973" w:type="dxa"/>
          </w:tcPr>
          <w:p w14:paraId="3E1D8DCB" w14:textId="77777777" w:rsidR="00EA6165" w:rsidRPr="008870F1" w:rsidRDefault="00EA6165" w:rsidP="00613ABF">
            <w:pPr>
              <w:jc w:val="left"/>
              <w:rPr>
                <w:rFonts w:cstheme="minorHAnsi"/>
                <w:b/>
                <w:highlight w:val="white"/>
              </w:rPr>
            </w:pPr>
            <w:r w:rsidRPr="008870F1">
              <w:rPr>
                <w:rFonts w:cstheme="minorHAnsi"/>
                <w:b/>
              </w:rPr>
              <w:t xml:space="preserve">20,000 </w:t>
            </w:r>
          </w:p>
        </w:tc>
        <w:tc>
          <w:tcPr>
            <w:tcW w:w="1772" w:type="dxa"/>
          </w:tcPr>
          <w:p w14:paraId="0ED58016" w14:textId="77777777" w:rsidR="00EA6165" w:rsidRPr="008870F1" w:rsidRDefault="00EA6165" w:rsidP="00613ABF">
            <w:pPr>
              <w:shd w:val="clear" w:color="auto" w:fill="FFFFFF"/>
              <w:jc w:val="left"/>
              <w:rPr>
                <w:rFonts w:eastAsia="Roboto" w:cstheme="minorHAnsi"/>
                <w:b/>
                <w:highlight w:val="white"/>
              </w:rPr>
            </w:pPr>
            <w:r w:rsidRPr="008870F1">
              <w:rPr>
                <w:rFonts w:eastAsia="Roboto" w:cstheme="minorHAnsi"/>
                <w:b/>
                <w:highlight w:val="white"/>
              </w:rPr>
              <w:t xml:space="preserve">55,000 </w:t>
            </w:r>
          </w:p>
          <w:p w14:paraId="2F9F8F94" w14:textId="77777777" w:rsidR="00EA6165" w:rsidRPr="008870F1" w:rsidRDefault="00EA6165" w:rsidP="00613ABF">
            <w:pPr>
              <w:shd w:val="clear" w:color="auto" w:fill="FFFFFF"/>
              <w:jc w:val="left"/>
              <w:rPr>
                <w:rFonts w:eastAsia="Roboto" w:cstheme="minorHAnsi"/>
                <w:b/>
                <w:highlight w:val="white"/>
              </w:rPr>
            </w:pPr>
          </w:p>
        </w:tc>
        <w:tc>
          <w:tcPr>
            <w:tcW w:w="1754" w:type="dxa"/>
          </w:tcPr>
          <w:p w14:paraId="1753F477" w14:textId="77777777" w:rsidR="00EA6165" w:rsidRPr="008870F1" w:rsidRDefault="00EA6165" w:rsidP="00613ABF">
            <w:pPr>
              <w:shd w:val="clear" w:color="auto" w:fill="FFFFFF"/>
              <w:jc w:val="left"/>
              <w:rPr>
                <w:rFonts w:eastAsia="Roboto" w:cstheme="minorHAnsi"/>
                <w:b/>
                <w:highlight w:val="white"/>
              </w:rPr>
            </w:pPr>
            <w:r w:rsidRPr="008870F1">
              <w:rPr>
                <w:rFonts w:eastAsia="Roboto" w:cstheme="minorHAnsi"/>
                <w:b/>
                <w:highlight w:val="white"/>
              </w:rPr>
              <w:t xml:space="preserve">115,000 </w:t>
            </w:r>
          </w:p>
          <w:p w14:paraId="0AD62897" w14:textId="77777777" w:rsidR="00EA6165" w:rsidRPr="008870F1" w:rsidRDefault="00EA6165" w:rsidP="00613ABF">
            <w:pPr>
              <w:shd w:val="clear" w:color="auto" w:fill="FFFFFF"/>
              <w:jc w:val="left"/>
              <w:rPr>
                <w:rFonts w:eastAsia="Roboto" w:cstheme="minorHAnsi"/>
                <w:b/>
                <w:highlight w:val="white"/>
              </w:rPr>
            </w:pPr>
          </w:p>
        </w:tc>
        <w:tc>
          <w:tcPr>
            <w:tcW w:w="1742" w:type="dxa"/>
          </w:tcPr>
          <w:p w14:paraId="54DFD48A" w14:textId="77777777" w:rsidR="00EA6165" w:rsidRPr="008870F1" w:rsidRDefault="00EA6165" w:rsidP="00613ABF">
            <w:pPr>
              <w:shd w:val="clear" w:color="auto" w:fill="FFFFFF"/>
              <w:jc w:val="left"/>
              <w:rPr>
                <w:rFonts w:eastAsia="Roboto" w:cstheme="minorHAnsi"/>
                <w:b/>
                <w:highlight w:val="white"/>
              </w:rPr>
            </w:pPr>
            <w:r w:rsidRPr="008870F1">
              <w:rPr>
                <w:rFonts w:eastAsia="Roboto" w:cstheme="minorHAnsi"/>
                <w:b/>
                <w:highlight w:val="white"/>
              </w:rPr>
              <w:t>125,000</w:t>
            </w:r>
            <w:r w:rsidRPr="008870F1">
              <w:rPr>
                <w:rStyle w:val="FootnoteReference"/>
                <w:rFonts w:eastAsia="Roboto" w:cstheme="minorHAnsi"/>
                <w:b/>
                <w:highlight w:val="white"/>
              </w:rPr>
              <w:footnoteReference w:id="46"/>
            </w:r>
            <w:r w:rsidRPr="008870F1">
              <w:rPr>
                <w:rFonts w:eastAsia="Roboto" w:cstheme="minorHAnsi"/>
                <w:b/>
                <w:highlight w:val="white"/>
              </w:rPr>
              <w:t xml:space="preserve"> </w:t>
            </w:r>
          </w:p>
        </w:tc>
      </w:tr>
      <w:tr w:rsidR="00EA6165" w:rsidRPr="008870F1" w14:paraId="21BD5C2D" w14:textId="77777777" w:rsidTr="0039362A">
        <w:tc>
          <w:tcPr>
            <w:tcW w:w="9006" w:type="dxa"/>
            <w:gridSpan w:val="5"/>
            <w:shd w:val="clear" w:color="auto" w:fill="E2EFD9" w:themeFill="accent6" w:themeFillTint="33"/>
            <w:vAlign w:val="center"/>
          </w:tcPr>
          <w:p w14:paraId="7F1347FB" w14:textId="77777777" w:rsidR="00EA6165" w:rsidRPr="008870F1" w:rsidRDefault="00EA6165" w:rsidP="00613ABF">
            <w:pPr>
              <w:jc w:val="center"/>
              <w:rPr>
                <w:rFonts w:eastAsia="Roboto" w:cstheme="minorHAnsi"/>
                <w:b/>
                <w:bCs/>
                <w:highlight w:val="white"/>
              </w:rPr>
            </w:pPr>
            <w:r w:rsidRPr="008870F1">
              <w:rPr>
                <w:rFonts w:eastAsia="Roboto" w:cstheme="minorHAnsi"/>
                <w:b/>
                <w:bCs/>
              </w:rPr>
              <w:t>LEVERAGED FINANCE</w:t>
            </w:r>
          </w:p>
        </w:tc>
      </w:tr>
      <w:tr w:rsidR="00EA6165" w:rsidRPr="008870F1" w14:paraId="23F3F125" w14:textId="77777777" w:rsidTr="0039362A">
        <w:tc>
          <w:tcPr>
            <w:tcW w:w="1765" w:type="dxa"/>
          </w:tcPr>
          <w:p w14:paraId="7885E4B7" w14:textId="77777777" w:rsidR="00EA6165" w:rsidRPr="008870F1" w:rsidRDefault="00EA6165" w:rsidP="00613ABF">
            <w:pPr>
              <w:jc w:val="left"/>
              <w:rPr>
                <w:rFonts w:cstheme="minorHAnsi"/>
                <w:b/>
                <w:bCs/>
              </w:rPr>
            </w:pPr>
            <w:r w:rsidRPr="008870F1">
              <w:rPr>
                <w:rFonts w:cstheme="minorHAnsi"/>
                <w:b/>
                <w:bCs/>
              </w:rPr>
              <w:t xml:space="preserve">Estimated leveraged finance </w:t>
            </w:r>
            <w:r w:rsidRPr="008870F1">
              <w:rPr>
                <w:rFonts w:cstheme="minorHAnsi"/>
              </w:rPr>
              <w:t>(based on estimated leveraged finance ratio achieved from the UK investment to date (0.75))</w:t>
            </w:r>
          </w:p>
        </w:tc>
        <w:tc>
          <w:tcPr>
            <w:tcW w:w="1973" w:type="dxa"/>
          </w:tcPr>
          <w:p w14:paraId="43A42D6D" w14:textId="77777777" w:rsidR="00EA6165" w:rsidRPr="008870F1" w:rsidRDefault="00EA6165" w:rsidP="00613ABF">
            <w:pPr>
              <w:jc w:val="left"/>
              <w:rPr>
                <w:rFonts w:cstheme="minorHAnsi"/>
              </w:rPr>
            </w:pPr>
            <w:r w:rsidRPr="008870F1">
              <w:rPr>
                <w:rFonts w:cstheme="minorHAnsi"/>
              </w:rPr>
              <w:t>£0.7m</w:t>
            </w:r>
          </w:p>
        </w:tc>
        <w:tc>
          <w:tcPr>
            <w:tcW w:w="1772" w:type="dxa"/>
          </w:tcPr>
          <w:p w14:paraId="0C6F8CA3" w14:textId="77777777" w:rsidR="00EA6165" w:rsidRPr="008870F1" w:rsidRDefault="00EA6165" w:rsidP="00613ABF">
            <w:pPr>
              <w:jc w:val="left"/>
              <w:rPr>
                <w:rFonts w:cstheme="minorHAnsi"/>
              </w:rPr>
            </w:pPr>
            <w:r w:rsidRPr="008870F1">
              <w:rPr>
                <w:rFonts w:cstheme="minorHAnsi"/>
              </w:rPr>
              <w:t>£1.2m</w:t>
            </w:r>
          </w:p>
        </w:tc>
        <w:tc>
          <w:tcPr>
            <w:tcW w:w="1754" w:type="dxa"/>
          </w:tcPr>
          <w:p w14:paraId="2E72FB1E" w14:textId="77777777" w:rsidR="00EA6165" w:rsidRPr="008870F1" w:rsidRDefault="00EA6165" w:rsidP="00613ABF">
            <w:pPr>
              <w:shd w:val="clear" w:color="auto" w:fill="FFFFFF"/>
              <w:jc w:val="left"/>
              <w:rPr>
                <w:rFonts w:cstheme="minorHAnsi"/>
                <w:highlight w:val="white"/>
              </w:rPr>
            </w:pPr>
            <w:r w:rsidRPr="008870F1">
              <w:rPr>
                <w:rFonts w:cstheme="minorHAnsi"/>
                <w:highlight w:val="white"/>
              </w:rPr>
              <w:t>£1.8m</w:t>
            </w:r>
          </w:p>
        </w:tc>
        <w:tc>
          <w:tcPr>
            <w:tcW w:w="1742" w:type="dxa"/>
          </w:tcPr>
          <w:p w14:paraId="0C1886B1" w14:textId="77777777" w:rsidR="00EA6165" w:rsidRPr="008870F1" w:rsidRDefault="00EA6165" w:rsidP="00613ABF">
            <w:pPr>
              <w:shd w:val="clear" w:color="auto" w:fill="FFFFFF"/>
              <w:jc w:val="left"/>
              <w:rPr>
                <w:rFonts w:eastAsia="Roboto" w:cstheme="minorHAnsi"/>
                <w:highlight w:val="white"/>
              </w:rPr>
            </w:pPr>
            <w:r w:rsidRPr="008870F1">
              <w:rPr>
                <w:rFonts w:eastAsia="Roboto" w:cstheme="minorHAnsi"/>
                <w:highlight w:val="white"/>
              </w:rPr>
              <w:t>£2.25m</w:t>
            </w:r>
          </w:p>
        </w:tc>
      </w:tr>
    </w:tbl>
    <w:p w14:paraId="5E421608" w14:textId="77777777" w:rsidR="00EA6165" w:rsidRDefault="00EA6165" w:rsidP="00613ABF">
      <w:pPr>
        <w:spacing w:after="240"/>
        <w:jc w:val="left"/>
        <w:rPr>
          <w:rFonts w:cstheme="minorHAnsi"/>
        </w:rPr>
      </w:pPr>
    </w:p>
    <w:p w14:paraId="0C114B4F" w14:textId="6B875866" w:rsidR="00FC2393" w:rsidRPr="00FC2393" w:rsidRDefault="00777846" w:rsidP="00FC2393">
      <w:pPr>
        <w:pStyle w:val="Heading3"/>
        <w:rPr>
          <w:b/>
          <w:bCs/>
        </w:rPr>
      </w:pPr>
      <w:r w:rsidRPr="00FC2393">
        <w:rPr>
          <w:b/>
          <w:bCs/>
        </w:rPr>
        <w:t>Risks</w:t>
      </w:r>
    </w:p>
    <w:p w14:paraId="401AFA49" w14:textId="0AB55EA9" w:rsidR="00EA6165" w:rsidRPr="00FC2393" w:rsidRDefault="00EA6165" w:rsidP="00613ABF">
      <w:pPr>
        <w:pStyle w:val="Caption"/>
        <w:spacing w:after="240" w:line="240" w:lineRule="auto"/>
        <w:rPr>
          <w:rFonts w:asciiTheme="minorHAnsi" w:hAnsiTheme="minorHAnsi" w:cstheme="minorHAnsi"/>
          <w:b/>
          <w:szCs w:val="22"/>
          <w:u w:val="single"/>
        </w:rPr>
      </w:pPr>
      <w:r w:rsidRPr="00FC2393">
        <w:rPr>
          <w:b/>
          <w:u w:val="single"/>
        </w:rPr>
        <w:t xml:space="preserve">Table </w:t>
      </w:r>
      <w:r w:rsidR="004243A5" w:rsidRPr="00FC2393">
        <w:rPr>
          <w:b/>
          <w:bCs w:val="0"/>
          <w:u w:val="single"/>
        </w:rPr>
        <w:t>A6</w:t>
      </w:r>
      <w:r w:rsidRPr="00FC2393">
        <w:rPr>
          <w:b/>
          <w:bCs w:val="0"/>
          <w:u w:val="single"/>
        </w:rPr>
        <w:t xml:space="preserve">: </w:t>
      </w:r>
      <w:r w:rsidR="00EA4D94" w:rsidRPr="00FC2393">
        <w:rPr>
          <w:b/>
          <w:bCs w:val="0"/>
          <w:u w:val="single"/>
        </w:rPr>
        <w:t>S</w:t>
      </w:r>
      <w:r w:rsidRPr="00FC2393">
        <w:rPr>
          <w:b/>
          <w:bCs w:val="0"/>
          <w:u w:val="single"/>
        </w:rPr>
        <w:t>ummary</w:t>
      </w:r>
      <w:r w:rsidRPr="00FC2393">
        <w:rPr>
          <w:b/>
          <w:u w:val="single"/>
        </w:rPr>
        <w:t xml:space="preserve"> of the proposed risks associated with different funding scenarios – information provided by UNEP</w:t>
      </w:r>
    </w:p>
    <w:tbl>
      <w:tblPr>
        <w:tblStyle w:val="TableGrid"/>
        <w:tblW w:w="0" w:type="auto"/>
        <w:tblLook w:val="04A0" w:firstRow="1" w:lastRow="0" w:firstColumn="1" w:lastColumn="0" w:noHBand="0" w:noVBand="1"/>
      </w:tblPr>
      <w:tblGrid>
        <w:gridCol w:w="1550"/>
        <w:gridCol w:w="1842"/>
        <w:gridCol w:w="2058"/>
        <w:gridCol w:w="2369"/>
        <w:gridCol w:w="1187"/>
      </w:tblGrid>
      <w:tr w:rsidR="00EA6165" w:rsidRPr="008870F1" w14:paraId="58ABBFCA" w14:textId="77777777" w:rsidTr="00E00022">
        <w:tc>
          <w:tcPr>
            <w:tcW w:w="1550" w:type="dxa"/>
            <w:shd w:val="clear" w:color="auto" w:fill="385623" w:themeFill="accent6" w:themeFillShade="80"/>
            <w:vAlign w:val="center"/>
          </w:tcPr>
          <w:p w14:paraId="3F813258" w14:textId="77777777" w:rsidR="00EA6165" w:rsidRPr="008870F1" w:rsidRDefault="00EA6165" w:rsidP="00613ABF">
            <w:pPr>
              <w:spacing w:after="240"/>
              <w:jc w:val="left"/>
              <w:rPr>
                <w:rFonts w:cstheme="minorHAnsi"/>
                <w:color w:val="FFFFFF" w:themeColor="background1"/>
              </w:rPr>
            </w:pPr>
            <w:r w:rsidRPr="008870F1">
              <w:rPr>
                <w:rFonts w:cstheme="minorHAnsi"/>
                <w:b/>
                <w:bCs/>
                <w:color w:val="FFFFFF" w:themeColor="background1"/>
              </w:rPr>
              <w:t>3-year funding options</w:t>
            </w:r>
          </w:p>
        </w:tc>
        <w:tc>
          <w:tcPr>
            <w:tcW w:w="1842" w:type="dxa"/>
            <w:shd w:val="clear" w:color="auto" w:fill="385623" w:themeFill="accent6" w:themeFillShade="80"/>
            <w:vAlign w:val="center"/>
          </w:tcPr>
          <w:p w14:paraId="5A75409F" w14:textId="77777777" w:rsidR="00EA6165" w:rsidRPr="008870F1" w:rsidRDefault="00EA6165" w:rsidP="00613ABF">
            <w:pPr>
              <w:spacing w:after="240"/>
              <w:jc w:val="left"/>
              <w:rPr>
                <w:rFonts w:cstheme="minorHAnsi"/>
                <w:color w:val="FFFFFF" w:themeColor="background1"/>
              </w:rPr>
            </w:pPr>
            <w:r w:rsidRPr="008870F1">
              <w:rPr>
                <w:rFonts w:cstheme="minorHAnsi"/>
                <w:b/>
                <w:bCs/>
                <w:color w:val="FFFFFF" w:themeColor="background1"/>
              </w:rPr>
              <w:t>£900k</w:t>
            </w:r>
          </w:p>
        </w:tc>
        <w:tc>
          <w:tcPr>
            <w:tcW w:w="2058" w:type="dxa"/>
            <w:shd w:val="clear" w:color="auto" w:fill="385623" w:themeFill="accent6" w:themeFillShade="80"/>
            <w:vAlign w:val="center"/>
          </w:tcPr>
          <w:p w14:paraId="5F3CE7C1" w14:textId="77777777" w:rsidR="00EA6165" w:rsidRPr="008870F1" w:rsidRDefault="00EA6165" w:rsidP="00613ABF">
            <w:pPr>
              <w:spacing w:after="240"/>
              <w:jc w:val="left"/>
              <w:rPr>
                <w:rFonts w:cstheme="minorHAnsi"/>
                <w:color w:val="FFFFFF" w:themeColor="background1"/>
              </w:rPr>
            </w:pPr>
            <w:r w:rsidRPr="008870F1">
              <w:rPr>
                <w:rFonts w:cstheme="minorHAnsi"/>
                <w:b/>
                <w:bCs/>
                <w:color w:val="FFFFFF" w:themeColor="background1"/>
              </w:rPr>
              <w:t>£1.6m</w:t>
            </w:r>
          </w:p>
        </w:tc>
        <w:tc>
          <w:tcPr>
            <w:tcW w:w="2369" w:type="dxa"/>
            <w:shd w:val="clear" w:color="auto" w:fill="385623" w:themeFill="accent6" w:themeFillShade="80"/>
            <w:vAlign w:val="center"/>
          </w:tcPr>
          <w:p w14:paraId="3E93C8B4" w14:textId="77777777" w:rsidR="00EA6165" w:rsidRPr="008870F1" w:rsidRDefault="00EA6165" w:rsidP="00613ABF">
            <w:pPr>
              <w:widowControl w:val="0"/>
              <w:spacing w:after="240"/>
              <w:jc w:val="left"/>
              <w:rPr>
                <w:rFonts w:cstheme="minorHAnsi"/>
                <w:color w:val="FFFFFF" w:themeColor="background1"/>
              </w:rPr>
            </w:pPr>
            <w:r w:rsidRPr="008870F1">
              <w:rPr>
                <w:rFonts w:cstheme="minorHAnsi"/>
                <w:b/>
                <w:bCs/>
                <w:color w:val="FFFFFF" w:themeColor="background1"/>
              </w:rPr>
              <w:t>£2.4m</w:t>
            </w:r>
          </w:p>
        </w:tc>
        <w:tc>
          <w:tcPr>
            <w:tcW w:w="1187" w:type="dxa"/>
            <w:shd w:val="clear" w:color="auto" w:fill="385623" w:themeFill="accent6" w:themeFillShade="80"/>
            <w:vAlign w:val="center"/>
          </w:tcPr>
          <w:p w14:paraId="46878951" w14:textId="77777777" w:rsidR="00EA6165" w:rsidRPr="008870F1" w:rsidRDefault="00EA6165" w:rsidP="00613ABF">
            <w:pPr>
              <w:spacing w:after="240"/>
              <w:jc w:val="left"/>
              <w:rPr>
                <w:rFonts w:cstheme="minorHAnsi"/>
                <w:color w:val="FFFFFF" w:themeColor="background1"/>
              </w:rPr>
            </w:pPr>
            <w:r w:rsidRPr="008870F1">
              <w:rPr>
                <w:rFonts w:cstheme="minorHAnsi"/>
                <w:b/>
                <w:bCs/>
                <w:color w:val="FFFFFF" w:themeColor="background1"/>
              </w:rPr>
              <w:t>£3m</w:t>
            </w:r>
          </w:p>
        </w:tc>
      </w:tr>
      <w:tr w:rsidR="00EA6165" w:rsidRPr="008870F1" w14:paraId="62D9CB7D" w14:textId="77777777" w:rsidTr="00E00022">
        <w:tc>
          <w:tcPr>
            <w:tcW w:w="1550" w:type="dxa"/>
          </w:tcPr>
          <w:p w14:paraId="4FE9A0A4" w14:textId="77777777" w:rsidR="00EA6165" w:rsidRPr="008870F1" w:rsidRDefault="00EA6165" w:rsidP="00613ABF">
            <w:pPr>
              <w:spacing w:after="240"/>
              <w:jc w:val="left"/>
              <w:rPr>
                <w:rFonts w:cstheme="minorHAnsi"/>
              </w:rPr>
            </w:pPr>
            <w:r w:rsidRPr="008870F1">
              <w:rPr>
                <w:rFonts w:cstheme="minorHAnsi"/>
              </w:rPr>
              <w:t>Risks</w:t>
            </w:r>
          </w:p>
        </w:tc>
        <w:tc>
          <w:tcPr>
            <w:tcW w:w="1842" w:type="dxa"/>
          </w:tcPr>
          <w:p w14:paraId="50C4A1DF" w14:textId="77777777" w:rsidR="00EA6165" w:rsidRPr="008870F1" w:rsidRDefault="00EA6165" w:rsidP="00613ABF">
            <w:pPr>
              <w:spacing w:after="240"/>
              <w:jc w:val="left"/>
              <w:rPr>
                <w:rFonts w:cstheme="minorHAnsi"/>
              </w:rPr>
            </w:pPr>
            <w:r w:rsidRPr="008870F1">
              <w:rPr>
                <w:rFonts w:cstheme="minorHAnsi"/>
              </w:rPr>
              <w:t>Limited funding to partners could lead to them reducing/stopping delivery. Limited funding for project management and oversight compared to the current position.</w:t>
            </w:r>
          </w:p>
        </w:tc>
        <w:tc>
          <w:tcPr>
            <w:tcW w:w="2058" w:type="dxa"/>
          </w:tcPr>
          <w:p w14:paraId="2282D03D" w14:textId="0BBB5003" w:rsidR="00EA6165" w:rsidRPr="008870F1" w:rsidRDefault="00EA6165" w:rsidP="00613ABF">
            <w:pPr>
              <w:spacing w:after="240"/>
              <w:jc w:val="left"/>
              <w:rPr>
                <w:rFonts w:cstheme="minorHAnsi"/>
              </w:rPr>
            </w:pPr>
            <w:r w:rsidRPr="008870F1">
              <w:rPr>
                <w:rFonts w:cstheme="minorHAnsi"/>
              </w:rPr>
              <w:t>This option would not allow investment in additional communications &amp; advocacy resources nor events, programme integration into global campaigns</w:t>
            </w:r>
            <w:r w:rsidR="005C22F7">
              <w:rPr>
                <w:rFonts w:cstheme="minorHAnsi"/>
              </w:rPr>
              <w:t xml:space="preserve">, </w:t>
            </w:r>
            <w:r w:rsidRPr="008870F1">
              <w:rPr>
                <w:rFonts w:cstheme="minorHAnsi"/>
              </w:rPr>
              <w:t xml:space="preserve">which would risk the policy </w:t>
            </w:r>
            <w:r w:rsidRPr="008870F1">
              <w:rPr>
                <w:rFonts w:cstheme="minorHAnsi"/>
              </w:rPr>
              <w:lastRenderedPageBreak/>
              <w:t>level outcomes of the programme.</w:t>
            </w:r>
          </w:p>
        </w:tc>
        <w:tc>
          <w:tcPr>
            <w:tcW w:w="2369" w:type="dxa"/>
          </w:tcPr>
          <w:p w14:paraId="10121E0C" w14:textId="77777777" w:rsidR="00EA6165" w:rsidRPr="008870F1" w:rsidRDefault="00EA6165" w:rsidP="00613ABF">
            <w:pPr>
              <w:spacing w:after="240"/>
              <w:jc w:val="left"/>
              <w:rPr>
                <w:rFonts w:cstheme="minorHAnsi"/>
              </w:rPr>
            </w:pPr>
            <w:r w:rsidRPr="008870F1">
              <w:rPr>
                <w:rFonts w:cstheme="minorHAnsi"/>
              </w:rPr>
              <w:lastRenderedPageBreak/>
              <w:t xml:space="preserve">In addition the scope and amount of media stories would be lower. This option would now allow for updating the curricula with new content and timely information. This option would not allow financial support for community projects. </w:t>
            </w:r>
            <w:r w:rsidRPr="008870F1">
              <w:rPr>
                <w:rFonts w:cstheme="minorHAnsi"/>
              </w:rPr>
              <w:lastRenderedPageBreak/>
              <w:t xml:space="preserve">Hence, the policy level impacts would be limited. </w:t>
            </w:r>
          </w:p>
        </w:tc>
        <w:tc>
          <w:tcPr>
            <w:tcW w:w="1187" w:type="dxa"/>
          </w:tcPr>
          <w:p w14:paraId="22177BCB" w14:textId="77777777" w:rsidR="00EA6165" w:rsidRPr="008870F1" w:rsidRDefault="00EA6165" w:rsidP="00613ABF">
            <w:pPr>
              <w:spacing w:after="240"/>
              <w:jc w:val="left"/>
              <w:rPr>
                <w:rFonts w:cstheme="minorHAnsi"/>
              </w:rPr>
            </w:pPr>
            <w:r w:rsidRPr="008870F1">
              <w:rPr>
                <w:rFonts w:cstheme="minorHAnsi"/>
              </w:rPr>
              <w:lastRenderedPageBreak/>
              <w:t>This option would be the most expensive option for investment</w:t>
            </w:r>
            <w:r w:rsidRPr="008870F1">
              <w:rPr>
                <w:rFonts w:cstheme="minorHAnsi"/>
                <w:b/>
                <w:highlight w:val="white"/>
              </w:rPr>
              <w:t>.</w:t>
            </w:r>
          </w:p>
          <w:p w14:paraId="79F4CE85" w14:textId="77777777" w:rsidR="00EA6165" w:rsidRPr="008870F1" w:rsidRDefault="00EA6165" w:rsidP="00613ABF">
            <w:pPr>
              <w:spacing w:after="240"/>
              <w:jc w:val="left"/>
              <w:rPr>
                <w:rFonts w:cstheme="minorHAnsi"/>
              </w:rPr>
            </w:pPr>
          </w:p>
          <w:p w14:paraId="3FA3B1DD" w14:textId="77777777" w:rsidR="00EA6165" w:rsidRPr="008870F1" w:rsidRDefault="00EA6165" w:rsidP="00613ABF">
            <w:pPr>
              <w:spacing w:after="240"/>
              <w:jc w:val="left"/>
              <w:rPr>
                <w:rFonts w:cstheme="minorHAnsi"/>
              </w:rPr>
            </w:pPr>
          </w:p>
          <w:p w14:paraId="05EB3458" w14:textId="77777777" w:rsidR="00EA6165" w:rsidRPr="008870F1" w:rsidRDefault="00EA6165" w:rsidP="00613ABF">
            <w:pPr>
              <w:spacing w:after="240"/>
              <w:jc w:val="left"/>
              <w:rPr>
                <w:rFonts w:cstheme="minorHAnsi"/>
              </w:rPr>
            </w:pPr>
          </w:p>
          <w:p w14:paraId="2B43CB44" w14:textId="77777777" w:rsidR="00EA6165" w:rsidRPr="008870F1" w:rsidRDefault="00EA6165" w:rsidP="00613ABF">
            <w:pPr>
              <w:spacing w:after="240"/>
              <w:jc w:val="left"/>
              <w:rPr>
                <w:rFonts w:cstheme="minorHAnsi"/>
              </w:rPr>
            </w:pPr>
          </w:p>
        </w:tc>
      </w:tr>
    </w:tbl>
    <w:p w14:paraId="057B2B2C" w14:textId="1BDAD44E" w:rsidR="00EA6165" w:rsidRPr="00792E0D" w:rsidRDefault="00777846" w:rsidP="00991CCB">
      <w:pPr>
        <w:pStyle w:val="Heading3"/>
        <w:rPr>
          <w:b/>
          <w:sz w:val="24"/>
          <w:szCs w:val="24"/>
        </w:rPr>
      </w:pPr>
      <w:r w:rsidRPr="00792E0D">
        <w:rPr>
          <w:b/>
          <w:sz w:val="24"/>
          <w:szCs w:val="24"/>
        </w:rPr>
        <w:lastRenderedPageBreak/>
        <w:t>Uncertainty</w:t>
      </w:r>
    </w:p>
    <w:p w14:paraId="6133E896" w14:textId="77777777" w:rsidR="00EA6165" w:rsidRDefault="00EA6165" w:rsidP="0009317B">
      <w:pPr>
        <w:rPr>
          <w:lang w:eastAsia="en-GB"/>
        </w:rPr>
      </w:pPr>
      <w:r w:rsidRPr="00D52E26">
        <w:rPr>
          <w:lang w:eastAsia="en-GB"/>
        </w:rPr>
        <w:t>There are many challenges associated with appraising this programme due to substantial uncertainty. This uncertainty occurs as a result of:</w:t>
      </w:r>
    </w:p>
    <w:p w14:paraId="1F6EA5C6" w14:textId="77777777" w:rsidR="00EA6165" w:rsidRPr="0049588E" w:rsidRDefault="00EA6165" w:rsidP="005C25BE">
      <w:pPr>
        <w:pStyle w:val="ListParagraph"/>
        <w:numPr>
          <w:ilvl w:val="0"/>
          <w:numId w:val="15"/>
        </w:numPr>
        <w:spacing w:after="240" w:line="240" w:lineRule="auto"/>
        <w:rPr>
          <w:iCs/>
        </w:rPr>
      </w:pPr>
      <w:r w:rsidRPr="0049588E">
        <w:rPr>
          <w:b/>
          <w:bCs/>
          <w:lang w:eastAsia="en-GB"/>
        </w:rPr>
        <w:t>Evidence gaps in the ‘business as usual’ situation</w:t>
      </w:r>
      <w:r w:rsidRPr="00B73BF1">
        <w:rPr>
          <w:lang w:eastAsia="en-GB"/>
        </w:rPr>
        <w:t xml:space="preserve">: i.e. we don’t have 100% knowledge of what would happen without action from UK Government. This includes uncertainties in the scale of pressures, trends and action of others. </w:t>
      </w:r>
      <w:r w:rsidRPr="0049588E">
        <w:rPr>
          <w:iCs/>
        </w:rPr>
        <w:t xml:space="preserve">To reduce uncertainty, we will also look to fill any evidence gaps – where possible – by engaging with relevant experts and incorporating new evidence into our appraisal when it becomes available. </w:t>
      </w:r>
    </w:p>
    <w:p w14:paraId="72DA6A41" w14:textId="77777777" w:rsidR="00EA6165" w:rsidRDefault="00EA6165" w:rsidP="005C25BE">
      <w:pPr>
        <w:pStyle w:val="ListParagraph"/>
        <w:numPr>
          <w:ilvl w:val="0"/>
          <w:numId w:val="10"/>
        </w:numPr>
        <w:spacing w:after="240" w:line="240" w:lineRule="auto"/>
        <w:rPr>
          <w:lang w:eastAsia="en-GB"/>
        </w:rPr>
      </w:pPr>
      <w:r>
        <w:rPr>
          <w:b/>
          <w:bCs/>
          <w:lang w:eastAsia="en-GB"/>
        </w:rPr>
        <w:t>Covid 19 outbreaks</w:t>
      </w:r>
      <w:r>
        <w:rPr>
          <w:lang w:eastAsia="en-GB"/>
        </w:rPr>
        <w:t xml:space="preserve">: </w:t>
      </w:r>
      <w:r w:rsidRPr="00B73BF1">
        <w:rPr>
          <w:lang w:eastAsia="en-GB"/>
        </w:rPr>
        <w:t>As the programme implementation is global and ODA country focused, the risks of Covid-19 pandemic outbreak remain. The pandemic may prevent face to face rollout of the programme in some target locations.</w:t>
      </w:r>
    </w:p>
    <w:p w14:paraId="402B2AD6" w14:textId="77777777" w:rsidR="00EA6165" w:rsidRDefault="00EA6165" w:rsidP="005C25BE">
      <w:pPr>
        <w:pStyle w:val="ListParagraph"/>
        <w:numPr>
          <w:ilvl w:val="0"/>
          <w:numId w:val="10"/>
        </w:numPr>
        <w:spacing w:after="240" w:line="240" w:lineRule="auto"/>
        <w:rPr>
          <w:lang w:eastAsia="en-GB"/>
        </w:rPr>
      </w:pPr>
      <w:r w:rsidRPr="00217F59">
        <w:rPr>
          <w:b/>
          <w:bCs/>
          <w:lang w:eastAsia="en-GB"/>
        </w:rPr>
        <w:t>Exchange rates</w:t>
      </w:r>
      <w:r>
        <w:rPr>
          <w:lang w:eastAsia="en-GB"/>
        </w:rPr>
        <w:t xml:space="preserve">: </w:t>
      </w:r>
      <w:r w:rsidRPr="004752F3">
        <w:rPr>
          <w:lang w:eastAsia="en-GB"/>
        </w:rPr>
        <w:t>There is uncertainty regarding how fluctuations in exchange rates could impact the value of the UK investment in other countries. If it is the case that the pound loses value relative to other currencies, this could reduce the work that</w:t>
      </w:r>
      <w:r>
        <w:rPr>
          <w:lang w:eastAsia="en-GB"/>
        </w:rPr>
        <w:t xml:space="preserve"> Tide Turners could deliver. </w:t>
      </w:r>
    </w:p>
    <w:p w14:paraId="53172AE2" w14:textId="77777777" w:rsidR="00EA6165" w:rsidRDefault="00EA6165" w:rsidP="005C25BE">
      <w:pPr>
        <w:pStyle w:val="ListParagraph"/>
        <w:numPr>
          <w:ilvl w:val="0"/>
          <w:numId w:val="10"/>
        </w:numPr>
        <w:spacing w:after="240" w:line="240" w:lineRule="auto"/>
        <w:rPr>
          <w:lang w:eastAsia="en-GB"/>
        </w:rPr>
      </w:pPr>
      <w:r>
        <w:rPr>
          <w:b/>
          <w:bCs/>
          <w:lang w:eastAsia="en-GB"/>
        </w:rPr>
        <w:t xml:space="preserve">Macroeconomic instability, </w:t>
      </w:r>
      <w:r w:rsidRPr="00217F59">
        <w:rPr>
          <w:lang w:eastAsia="en-GB"/>
        </w:rPr>
        <w:t xml:space="preserve">including </w:t>
      </w:r>
      <w:r>
        <w:rPr>
          <w:lang w:eastAsia="en-GB"/>
        </w:rPr>
        <w:t xml:space="preserve">rising inflation, could impact the </w:t>
      </w:r>
      <w:r w:rsidRPr="00446FC8">
        <w:rPr>
          <w:lang w:eastAsia="en-GB"/>
        </w:rPr>
        <w:t>value of the UK investment in other countries.</w:t>
      </w:r>
      <w:r>
        <w:rPr>
          <w:lang w:eastAsia="en-GB"/>
        </w:rPr>
        <w:t xml:space="preserve"> </w:t>
      </w:r>
    </w:p>
    <w:p w14:paraId="3AD50375" w14:textId="77777777" w:rsidR="00EA6165" w:rsidRPr="00217F59" w:rsidRDefault="00EA6165" w:rsidP="005C25BE">
      <w:pPr>
        <w:pStyle w:val="ListParagraph"/>
        <w:numPr>
          <w:ilvl w:val="0"/>
          <w:numId w:val="10"/>
        </w:numPr>
        <w:spacing w:after="240" w:line="240" w:lineRule="auto"/>
        <w:rPr>
          <w:b/>
          <w:bCs/>
          <w:lang w:eastAsia="en-GB"/>
        </w:rPr>
      </w:pPr>
      <w:r w:rsidRPr="00217F59">
        <w:rPr>
          <w:b/>
          <w:bCs/>
          <w:lang w:eastAsia="en-GB"/>
        </w:rPr>
        <w:t xml:space="preserve">Risk of delivery partners not </w:t>
      </w:r>
      <w:r w:rsidRPr="006D450E">
        <w:rPr>
          <w:b/>
          <w:bCs/>
          <w:lang w:eastAsia="en-GB"/>
        </w:rPr>
        <w:t>delivering</w:t>
      </w:r>
      <w:r>
        <w:rPr>
          <w:b/>
          <w:bCs/>
          <w:lang w:eastAsia="en-GB"/>
        </w:rPr>
        <w:t>,</w:t>
      </w:r>
      <w:r>
        <w:rPr>
          <w:lang w:eastAsia="en-GB"/>
        </w:rPr>
        <w:t xml:space="preserve"> </w:t>
      </w:r>
      <w:r w:rsidRPr="00217F59">
        <w:rPr>
          <w:lang w:eastAsia="en-GB"/>
        </w:rPr>
        <w:t>this could lead to reduced roll out of the programme. However, the selected partners have successfully implemented the programme since 2019 and have delivered programme deliverables for the last three years.</w:t>
      </w:r>
      <w:r>
        <w:rPr>
          <w:lang w:eastAsia="en-GB"/>
        </w:rPr>
        <w:t xml:space="preserve"> Tide Turners have measures in place to mitigate risk in programme delivery, expanded upon in ‘Section 3.7: Value for Money Appraisal’. </w:t>
      </w:r>
    </w:p>
    <w:p w14:paraId="18F273CD" w14:textId="77777777" w:rsidR="00EA6165" w:rsidRPr="00217F59" w:rsidRDefault="00EA6165" w:rsidP="005C25BE">
      <w:pPr>
        <w:pStyle w:val="ListParagraph"/>
        <w:numPr>
          <w:ilvl w:val="0"/>
          <w:numId w:val="10"/>
        </w:numPr>
        <w:spacing w:after="240" w:line="240" w:lineRule="auto"/>
        <w:rPr>
          <w:b/>
          <w:bCs/>
          <w:lang w:eastAsia="en-GB"/>
        </w:rPr>
      </w:pPr>
      <w:r>
        <w:rPr>
          <w:b/>
          <w:bCs/>
          <w:lang w:eastAsia="en-GB"/>
        </w:rPr>
        <w:t>R</w:t>
      </w:r>
      <w:r w:rsidRPr="006D450E">
        <w:rPr>
          <w:b/>
          <w:bCs/>
          <w:lang w:eastAsia="en-GB"/>
        </w:rPr>
        <w:t>isks of reduced</w:t>
      </w:r>
      <w:r>
        <w:rPr>
          <w:b/>
          <w:bCs/>
          <w:lang w:eastAsia="en-GB"/>
        </w:rPr>
        <w:t xml:space="preserve"> youth</w:t>
      </w:r>
      <w:r w:rsidRPr="006D450E">
        <w:rPr>
          <w:b/>
          <w:bCs/>
          <w:lang w:eastAsia="en-GB"/>
        </w:rPr>
        <w:t xml:space="preserve"> interest </w:t>
      </w:r>
      <w:r>
        <w:rPr>
          <w:b/>
          <w:bCs/>
          <w:lang w:eastAsia="en-GB"/>
        </w:rPr>
        <w:t>in</w:t>
      </w:r>
      <w:r w:rsidRPr="006D450E">
        <w:rPr>
          <w:b/>
          <w:bCs/>
          <w:lang w:eastAsia="en-GB"/>
        </w:rPr>
        <w:t xml:space="preserve"> the global community to address plastic</w:t>
      </w:r>
      <w:r>
        <w:rPr>
          <w:b/>
          <w:bCs/>
          <w:lang w:eastAsia="en-GB"/>
        </w:rPr>
        <w:t xml:space="preserve"> pollution</w:t>
      </w:r>
      <w:r w:rsidRPr="00217F59">
        <w:rPr>
          <w:lang w:eastAsia="en-GB"/>
        </w:rPr>
        <w:t>:  It takes time to build confidence and competence for youth on this agenda and reduced interest among young people may lead to reduced advocacy impact due to lack of confidence and capability of youth in influencing change.</w:t>
      </w:r>
      <w:r>
        <w:rPr>
          <w:lang w:eastAsia="en-GB"/>
        </w:rPr>
        <w:t xml:space="preserve"> UNEP is addressing this risk </w:t>
      </w:r>
      <w:r w:rsidRPr="006D450E">
        <w:rPr>
          <w:lang w:eastAsia="en-GB"/>
        </w:rPr>
        <w:t>through the Youth Advocacy Mainstreaming manual</w:t>
      </w:r>
      <w:r>
        <w:rPr>
          <w:lang w:eastAsia="en-GB"/>
        </w:rPr>
        <w:t>, which will include recommendations on how to best support youth movements operating in the environmental sphere.</w:t>
      </w:r>
    </w:p>
    <w:p w14:paraId="28514036" w14:textId="77777777" w:rsidR="00EA6165" w:rsidRPr="0049588E" w:rsidRDefault="00EA6165" w:rsidP="005C25BE">
      <w:pPr>
        <w:pStyle w:val="ListParagraph"/>
        <w:numPr>
          <w:ilvl w:val="0"/>
          <w:numId w:val="10"/>
        </w:numPr>
        <w:spacing w:after="240" w:line="240" w:lineRule="auto"/>
        <w:rPr>
          <w:rFonts w:cstheme="minorHAnsi"/>
        </w:rPr>
      </w:pPr>
      <w:r>
        <w:rPr>
          <w:b/>
          <w:bCs/>
          <w:lang w:eastAsia="en-GB"/>
        </w:rPr>
        <w:t xml:space="preserve">Risk of participation attrition due to digital delivery: </w:t>
      </w:r>
      <w:r>
        <w:rPr>
          <w:lang w:eastAsia="en-GB"/>
        </w:rPr>
        <w:t xml:space="preserve">in previous programme delivery, there has been an </w:t>
      </w:r>
      <w:r w:rsidRPr="00513556">
        <w:rPr>
          <w:lang w:eastAsia="en-GB"/>
        </w:rPr>
        <w:t xml:space="preserve">attrition rate of 57% of participants that engage </w:t>
      </w:r>
      <w:r>
        <w:rPr>
          <w:lang w:eastAsia="en-GB"/>
        </w:rPr>
        <w:t>in level 1-3 programmes. D</w:t>
      </w:r>
      <w:r w:rsidRPr="00513556">
        <w:rPr>
          <w:lang w:eastAsia="en-GB"/>
        </w:rPr>
        <w:t xml:space="preserve">elivery </w:t>
      </w:r>
      <w:r>
        <w:rPr>
          <w:lang w:eastAsia="en-GB"/>
        </w:rPr>
        <w:t>since 2020 has been</w:t>
      </w:r>
      <w:r w:rsidRPr="00513556">
        <w:rPr>
          <w:lang w:eastAsia="en-GB"/>
        </w:rPr>
        <w:t xml:space="preserve"> predominantly via open online courses, due to the limitations presented by COVID-19</w:t>
      </w:r>
      <w:r>
        <w:rPr>
          <w:lang w:eastAsia="en-GB"/>
        </w:rPr>
        <w:t xml:space="preserve">. However, moving forward </w:t>
      </w:r>
      <w:r w:rsidRPr="00513556">
        <w:rPr>
          <w:lang w:eastAsia="en-GB"/>
        </w:rPr>
        <w:t>the programme delivery will utilise both in-person training of trainers, especially in rural regions, together with an online model through the Tide Turners app that will seek to retain participation.</w:t>
      </w:r>
    </w:p>
    <w:p w14:paraId="7A3CE495" w14:textId="77777777" w:rsidR="00837EEE" w:rsidRDefault="00EA6165" w:rsidP="005C25BE">
      <w:pPr>
        <w:pStyle w:val="ListParagraph"/>
        <w:numPr>
          <w:ilvl w:val="0"/>
          <w:numId w:val="10"/>
        </w:numPr>
        <w:spacing w:after="240" w:line="240" w:lineRule="auto"/>
      </w:pPr>
      <w:r>
        <w:rPr>
          <w:b/>
          <w:bCs/>
          <w:lang w:eastAsia="en-GB"/>
        </w:rPr>
        <w:t xml:space="preserve">Risk of countries not joining negotiations or signing up to the resolution: </w:t>
      </w:r>
      <w:r>
        <w:rPr>
          <w:lang w:eastAsia="en-GB"/>
        </w:rPr>
        <w:t>Whilst the funding will be made available, it may not be effective in instigating participation with the negotiations.</w:t>
      </w:r>
    </w:p>
    <w:p w14:paraId="5F5675C1" w14:textId="32924F3F" w:rsidR="009A6749" w:rsidRPr="00BD39C8" w:rsidRDefault="009A6749" w:rsidP="005C25BE">
      <w:pPr>
        <w:pStyle w:val="ListParagraph"/>
        <w:numPr>
          <w:ilvl w:val="0"/>
          <w:numId w:val="10"/>
        </w:numPr>
        <w:spacing w:after="240" w:line="240" w:lineRule="auto"/>
        <w:rPr>
          <w:rFonts w:cstheme="minorHAnsi"/>
        </w:rPr>
        <w:sectPr w:rsidR="009A6749" w:rsidRPr="00BD39C8" w:rsidSect="000354B5">
          <w:pgSz w:w="11906" w:h="16838"/>
          <w:pgMar w:top="1440" w:right="1440" w:bottom="1440" w:left="1440" w:header="709" w:footer="709" w:gutter="0"/>
          <w:cols w:space="708"/>
          <w:docGrid w:linePitch="360"/>
        </w:sectPr>
      </w:pPr>
    </w:p>
    <w:p w14:paraId="4662F281" w14:textId="30730B3E" w:rsidR="00743B65" w:rsidRPr="00BC064A" w:rsidRDefault="00743B65" w:rsidP="00991CCB">
      <w:pPr>
        <w:pStyle w:val="Heading2"/>
        <w:numPr>
          <w:ilvl w:val="1"/>
          <w:numId w:val="48"/>
        </w:numPr>
      </w:pPr>
      <w:bookmarkStart w:id="61" w:name="_Toc121224136"/>
      <w:r w:rsidRPr="00BC064A">
        <w:lastRenderedPageBreak/>
        <w:t xml:space="preserve">Appendix </w:t>
      </w:r>
      <w:r w:rsidR="0058385E">
        <w:t>3</w:t>
      </w:r>
      <w:r w:rsidRPr="00BC064A">
        <w:t xml:space="preserve">: </w:t>
      </w:r>
      <w:r>
        <w:t>T</w:t>
      </w:r>
      <w:r w:rsidR="0042109A">
        <w:t>ide</w:t>
      </w:r>
      <w:r>
        <w:t xml:space="preserve"> T</w:t>
      </w:r>
      <w:r w:rsidR="0042109A">
        <w:t>urners</w:t>
      </w:r>
      <w:r>
        <w:t xml:space="preserve"> </w:t>
      </w:r>
      <w:r w:rsidR="00BD39C8">
        <w:t>D</w:t>
      </w:r>
      <w:r w:rsidR="0042109A">
        <w:t>etailed</w:t>
      </w:r>
      <w:r w:rsidR="00BD39C8">
        <w:t xml:space="preserve"> </w:t>
      </w:r>
      <w:r>
        <w:t>D</w:t>
      </w:r>
      <w:r w:rsidR="0042109A">
        <w:t>elivery</w:t>
      </w:r>
      <w:r w:rsidR="00D2319A">
        <w:t xml:space="preserve"> information</w:t>
      </w:r>
      <w:bookmarkEnd w:id="61"/>
    </w:p>
    <w:p w14:paraId="4ECA8872" w14:textId="09F9634E" w:rsidR="00743B65" w:rsidRPr="00B5528D" w:rsidRDefault="00743B65" w:rsidP="00613ABF">
      <w:pPr>
        <w:spacing w:after="240"/>
        <w:rPr>
          <w:b/>
          <w:sz w:val="24"/>
          <w:szCs w:val="24"/>
        </w:rPr>
      </w:pPr>
      <w:r w:rsidRPr="00B5528D">
        <w:rPr>
          <w:b/>
          <w:sz w:val="24"/>
          <w:szCs w:val="24"/>
        </w:rPr>
        <w:t xml:space="preserve">Planned delivery </w:t>
      </w:r>
      <w:r w:rsidR="0042109A" w:rsidRPr="00B5528D">
        <w:rPr>
          <w:b/>
          <w:bCs/>
          <w:sz w:val="24"/>
          <w:szCs w:val="24"/>
        </w:rPr>
        <w:t>– themes and components</w:t>
      </w:r>
    </w:p>
    <w:p w14:paraId="40535C01" w14:textId="77777777" w:rsidR="00743B65" w:rsidRPr="008676DA" w:rsidRDefault="00743B65" w:rsidP="00613ABF">
      <w:pPr>
        <w:spacing w:after="240"/>
      </w:pPr>
      <w:r w:rsidRPr="008676DA">
        <w:t xml:space="preserve">For the next phase of the Tide Turners Programme (2022-2025), UNEP seeks to focus on the following components including: </w:t>
      </w:r>
    </w:p>
    <w:p w14:paraId="0B7ACC18" w14:textId="77777777" w:rsidR="00743B65" w:rsidRPr="00E00022" w:rsidRDefault="00743B65" w:rsidP="00613ABF">
      <w:pPr>
        <w:spacing w:after="240"/>
        <w:rPr>
          <w:b/>
          <w:bCs/>
          <w:u w:val="single"/>
        </w:rPr>
      </w:pPr>
      <w:r w:rsidRPr="00E00022">
        <w:rPr>
          <w:b/>
          <w:bCs/>
          <w:u w:val="single"/>
        </w:rPr>
        <w:t xml:space="preserve">i) Open up the relationship between youth and policy makers: </w:t>
      </w:r>
    </w:p>
    <w:p w14:paraId="7EDBCBE4" w14:textId="6A8726F4" w:rsidR="00743B65" w:rsidRPr="008676DA" w:rsidRDefault="00743B65" w:rsidP="00613ABF">
      <w:pPr>
        <w:spacing w:after="240"/>
      </w:pPr>
      <w:r w:rsidRPr="008676DA">
        <w:t>In the last phase of the Tide Turners programme, a new piece of research was commissioned by UNEP which evaluates the state of the global youth environmental movement and its support network. The report aggregated insights from more than 600 young leaders across 67 countries received through interviews and a globally distributed survey.  The findings of this new paper by UNEP/Lonely Whale will be critical to inform the future direction of not just the Tide Turners programme, but what “meaningful engagement” should look like between policy makers and youth. Salient insight</w:t>
      </w:r>
      <w:r w:rsidR="00415E35">
        <w:t>s</w:t>
      </w:r>
      <w:r w:rsidRPr="008676DA">
        <w:t xml:space="preserve"> to inform the programme include:</w:t>
      </w:r>
    </w:p>
    <w:p w14:paraId="41065343" w14:textId="04113A15" w:rsidR="00A51899" w:rsidRPr="008676DA" w:rsidRDefault="00743B65" w:rsidP="00792E0D">
      <w:pPr>
        <w:numPr>
          <w:ilvl w:val="0"/>
          <w:numId w:val="12"/>
        </w:numPr>
      </w:pPr>
      <w:r w:rsidRPr="008676DA">
        <w:rPr>
          <w:b/>
        </w:rPr>
        <w:t>Youth do want government support:</w:t>
      </w:r>
      <w:r w:rsidRPr="008676DA">
        <w:t xml:space="preserve"> When asked what was needed to help youth movements be more successful, the key findings were</w:t>
      </w:r>
      <w:r w:rsidR="006A037E">
        <w:t xml:space="preserve"> government support, mentorship and training.</w:t>
      </w:r>
      <w:r w:rsidR="006A037E" w:rsidRPr="008676DA" w:rsidDel="006A037E">
        <w:rPr>
          <w:rFonts w:ascii="Helvetica Neue" w:eastAsia="Helvetica Neue" w:hAnsi="Helvetica Neue" w:cs="Helvetica Neue"/>
        </w:rPr>
        <w:t xml:space="preserve"> </w:t>
      </w:r>
    </w:p>
    <w:p w14:paraId="3C9C14AE" w14:textId="18F25D7D" w:rsidR="00743B65" w:rsidRPr="008676DA" w:rsidRDefault="00743B65" w:rsidP="00792E0D">
      <w:pPr>
        <w:numPr>
          <w:ilvl w:val="0"/>
          <w:numId w:val="12"/>
        </w:numPr>
      </w:pPr>
      <w:r w:rsidRPr="00E00022">
        <w:rPr>
          <w:b/>
        </w:rPr>
        <w:t xml:space="preserve">Youth feel that they are excluded from policy making: </w:t>
      </w:r>
      <w:r w:rsidRPr="008676DA">
        <w:t>Interestingly, the core objective of the youth movements engaged was raising awareness (86%), changing behaviours (73%) – with policy change being a core objective of only 52% of respondents. Many reported that they don’t know how to get started (55.81%) with engaging policymakers and others don’t feel welcome (22.09%) – but a resounding majority, 67.7%, believe that the most important thing governments can do to support youth is to give them a space in the policy-making arena</w:t>
      </w:r>
      <w:r w:rsidRPr="00E00022">
        <w:rPr>
          <w:highlight w:val="white"/>
        </w:rPr>
        <w:t xml:space="preserve">. </w:t>
      </w:r>
    </w:p>
    <w:p w14:paraId="4AD225CF" w14:textId="36D3F284" w:rsidR="00743B65" w:rsidRDefault="00743B65" w:rsidP="00792E0D">
      <w:pPr>
        <w:numPr>
          <w:ilvl w:val="0"/>
          <w:numId w:val="12"/>
        </w:numPr>
      </w:pPr>
      <w:r w:rsidRPr="008676DA">
        <w:rPr>
          <w:b/>
        </w:rPr>
        <w:t xml:space="preserve">Peer-to-peer learning is key: </w:t>
      </w:r>
      <w:r w:rsidRPr="008676DA">
        <w:t>Young people said when it comes to learning modality, learning from peers is the most effective route with</w:t>
      </w:r>
      <w:r w:rsidRPr="008676DA">
        <w:rPr>
          <w:b/>
        </w:rPr>
        <w:t xml:space="preserve"> </w:t>
      </w:r>
      <w:r w:rsidRPr="008676DA">
        <w:t xml:space="preserve">positive emotional benefits including deeper connections with like-minded peers </w:t>
      </w:r>
      <w:r w:rsidR="00A51899">
        <w:t>and access to support networks.</w:t>
      </w:r>
      <w:r w:rsidRPr="008676DA">
        <w:t xml:space="preserve"> In response to this, the Tide Turners programme is bringing movements together so they can learn from each other at the macro-level (Scouts, Guides, WWF and CEE) </w:t>
      </w:r>
      <w:r w:rsidR="00A51899">
        <w:t>and</w:t>
      </w:r>
      <w:r w:rsidR="00A51899" w:rsidRPr="008676DA">
        <w:t xml:space="preserve"> </w:t>
      </w:r>
      <w:r w:rsidRPr="008676DA">
        <w:t>learn from each other as peers.</w:t>
      </w:r>
    </w:p>
    <w:p w14:paraId="5C2796A0" w14:textId="77777777" w:rsidR="00792E0D" w:rsidRPr="008676DA" w:rsidRDefault="00792E0D" w:rsidP="00792E0D">
      <w:pPr>
        <w:ind w:left="720"/>
      </w:pPr>
    </w:p>
    <w:p w14:paraId="458F43E8" w14:textId="77777777" w:rsidR="00743B65" w:rsidRPr="00E00022" w:rsidRDefault="00743B65" w:rsidP="00613ABF">
      <w:pPr>
        <w:spacing w:after="240"/>
        <w:rPr>
          <w:b/>
          <w:bCs/>
          <w:u w:val="single"/>
        </w:rPr>
      </w:pPr>
      <w:r w:rsidRPr="00E00022">
        <w:rPr>
          <w:b/>
          <w:bCs/>
          <w:u w:val="single"/>
        </w:rPr>
        <w:t xml:space="preserve">ii) Scale and sustain but with a focus influencing policy outcomes: </w:t>
      </w:r>
    </w:p>
    <w:p w14:paraId="242CFFD6" w14:textId="7C81A0AD" w:rsidR="00743B65" w:rsidRPr="008676DA" w:rsidRDefault="00743B65" w:rsidP="00792E0D">
      <w:pPr>
        <w:numPr>
          <w:ilvl w:val="0"/>
          <w:numId w:val="11"/>
        </w:numPr>
      </w:pPr>
      <w:r w:rsidRPr="008676DA">
        <w:rPr>
          <w:b/>
          <w:bCs/>
        </w:rPr>
        <w:t>Focus on qualitative, not only quantitative:</w:t>
      </w:r>
      <w:r w:rsidRPr="008676DA">
        <w:t xml:space="preserve"> Retain the work that has been started but with a new longer-term funding cycle, balance the programme with not just quantitative outcomes of participants in the programme, but stronger emphasis on qualitative impact by discerning how youth in movements can be change makers around the issue of plastic pollution. In addition to quantitative indicators, the programme will utilise qualitative indicators such as  “% of youth that have reported change in capabilities to execute advocacy projects”</w:t>
      </w:r>
      <w:r w:rsidR="00A51899">
        <w:t>.</w:t>
      </w:r>
    </w:p>
    <w:p w14:paraId="6D5F8570" w14:textId="426105A7" w:rsidR="00743B65" w:rsidRPr="008676DA" w:rsidRDefault="00743B65" w:rsidP="00792E0D">
      <w:pPr>
        <w:numPr>
          <w:ilvl w:val="0"/>
          <w:numId w:val="11"/>
        </w:numPr>
      </w:pPr>
      <w:r w:rsidRPr="008676DA">
        <w:rPr>
          <w:b/>
          <w:bCs/>
        </w:rPr>
        <w:t>Stories, stories, stories:</w:t>
      </w:r>
      <w:r w:rsidRPr="008676DA">
        <w:t xml:space="preserve"> Tide Turners is the UN’s largest youth-led plastic movement, however </w:t>
      </w:r>
      <w:r w:rsidR="00A51899">
        <w:t xml:space="preserve">to date, </w:t>
      </w:r>
      <w:r w:rsidRPr="008676DA">
        <w:t>the priority focus has been on building a movement and investing in partners to deliver the youth-engagement, educational and capacity-building aspects of the programme. For this next phase of Tide Turners, UNEP will build-out stronger communications around the impact and success of the programme through robust storytelling</w:t>
      </w:r>
      <w:r w:rsidR="00A51899">
        <w:t xml:space="preserve"> and to </w:t>
      </w:r>
      <w:r w:rsidRPr="008676DA">
        <w:t>expand the reach, momentum and impact of the Tide Turners movement.</w:t>
      </w:r>
    </w:p>
    <w:p w14:paraId="7EBC0A33" w14:textId="29420224" w:rsidR="00743B65" w:rsidRDefault="00743B65" w:rsidP="00792E0D">
      <w:pPr>
        <w:numPr>
          <w:ilvl w:val="0"/>
          <w:numId w:val="11"/>
        </w:numPr>
      </w:pPr>
      <w:r w:rsidRPr="008676DA">
        <w:rPr>
          <w:b/>
          <w:bCs/>
        </w:rPr>
        <w:t>Digital delivery:</w:t>
      </w:r>
      <w:r w:rsidRPr="008676DA">
        <w:t xml:space="preserve"> This next phase would support the design and creation of the Tide Turners App to increase the reach and impact of the programme; to explore peer-to-peer learning; to better monitor progress; and to have better access to data and success stories from communities.</w:t>
      </w:r>
    </w:p>
    <w:p w14:paraId="6244346F" w14:textId="3ED20918" w:rsidR="00792E0D" w:rsidRDefault="00792E0D" w:rsidP="00792E0D">
      <w:pPr>
        <w:ind w:left="720"/>
      </w:pPr>
    </w:p>
    <w:p w14:paraId="1AB3A760" w14:textId="77777777" w:rsidR="004A5E19" w:rsidRPr="008676DA" w:rsidRDefault="004A5E19" w:rsidP="00792E0D">
      <w:pPr>
        <w:ind w:left="720"/>
      </w:pPr>
    </w:p>
    <w:p w14:paraId="0EE033C7" w14:textId="77777777" w:rsidR="00743B65" w:rsidRPr="00E00022" w:rsidRDefault="00743B65" w:rsidP="00613ABF">
      <w:pPr>
        <w:spacing w:after="240"/>
        <w:rPr>
          <w:b/>
          <w:bCs/>
          <w:u w:val="single"/>
        </w:rPr>
      </w:pPr>
      <w:r w:rsidRPr="00E00022">
        <w:rPr>
          <w:b/>
          <w:bCs/>
          <w:u w:val="single"/>
        </w:rPr>
        <w:lastRenderedPageBreak/>
        <w:t xml:space="preserve">iii) Policy leadership outcomes: </w:t>
      </w:r>
    </w:p>
    <w:p w14:paraId="3B7395B7" w14:textId="77777777" w:rsidR="00602815" w:rsidRDefault="00743B65" w:rsidP="00613ABF">
      <w:pPr>
        <w:spacing w:after="240"/>
      </w:pPr>
      <w:r w:rsidRPr="008676DA">
        <w:t>In the previous phase, the Advocacy Level 4 saw ~ 2,000 youth trained around influencing change. This will be a key area for further development of the programme</w:t>
      </w:r>
      <w:r w:rsidR="00A51899">
        <w:t>,</w:t>
      </w:r>
      <w:r w:rsidRPr="008676DA">
        <w:t xml:space="preserve"> with specific focus on</w:t>
      </w:r>
      <w:r w:rsidR="00A51899">
        <w:t>:</w:t>
      </w:r>
    </w:p>
    <w:p w14:paraId="074C2DE6" w14:textId="0F31854C" w:rsidR="00602815" w:rsidRDefault="00743B65" w:rsidP="005C25BE">
      <w:pPr>
        <w:pStyle w:val="ListParagraph"/>
        <w:numPr>
          <w:ilvl w:val="0"/>
          <w:numId w:val="20"/>
        </w:numPr>
        <w:spacing w:after="240" w:line="240" w:lineRule="auto"/>
      </w:pPr>
      <w:r w:rsidRPr="00602815">
        <w:rPr>
          <w:b/>
          <w:bCs/>
        </w:rPr>
        <w:t>Advocacy capable:</w:t>
      </w:r>
      <w:r w:rsidRPr="008676DA">
        <w:t xml:space="preserve"> The results from the report by Lonely Whale will be critical to inform the policy engagement of the next phase. The new phase will learn from the Advocacy Level of the programme and from </w:t>
      </w:r>
      <w:r w:rsidR="00A51899">
        <w:t>the</w:t>
      </w:r>
      <w:r w:rsidRPr="008676DA">
        <w:t xml:space="preserve"> leaders that have completed the training. </w:t>
      </w:r>
    </w:p>
    <w:p w14:paraId="653A5389" w14:textId="4DBC9272" w:rsidR="00743B65" w:rsidRPr="008676DA" w:rsidRDefault="00743B65" w:rsidP="005C25BE">
      <w:pPr>
        <w:pStyle w:val="ListParagraph"/>
        <w:numPr>
          <w:ilvl w:val="0"/>
          <w:numId w:val="20"/>
        </w:numPr>
        <w:spacing w:after="240" w:line="240" w:lineRule="auto"/>
      </w:pPr>
      <w:r w:rsidRPr="00602815">
        <w:rPr>
          <w:b/>
          <w:bCs/>
        </w:rPr>
        <w:t>Micro-targeting plastic hotspots to be explored:</w:t>
      </w:r>
      <w:r w:rsidRPr="008676DA">
        <w:t xml:space="preserve"> </w:t>
      </w:r>
      <w:r w:rsidRPr="00602815">
        <w:t>The programme will consider where youth interventions can make a meaningful difference, where plastic is of serious concern. With a longer-term programme, the ability to do pre</w:t>
      </w:r>
      <w:r w:rsidR="00A51899" w:rsidRPr="00602815">
        <w:t>-</w:t>
      </w:r>
      <w:r w:rsidRPr="00602815">
        <w:t xml:space="preserve"> and post</w:t>
      </w:r>
      <w:r w:rsidR="00A51899" w:rsidRPr="00602815">
        <w:t>-</w:t>
      </w:r>
      <w:r w:rsidRPr="00602815">
        <w:t xml:space="preserve"> interventions is possible. </w:t>
      </w:r>
    </w:p>
    <w:p w14:paraId="55E96476" w14:textId="14ED3B12" w:rsidR="006006FA" w:rsidRPr="008676DA" w:rsidRDefault="00743B65" w:rsidP="00613ABF">
      <w:pPr>
        <w:spacing w:after="240"/>
      </w:pPr>
      <w:r w:rsidRPr="00E00022">
        <w:rPr>
          <w:b/>
          <w:bCs/>
          <w:u w:val="single"/>
        </w:rPr>
        <w:t xml:space="preserve">iv) Institutional engagement: </w:t>
      </w:r>
    </w:p>
    <w:p w14:paraId="01894377" w14:textId="531DDC3E" w:rsidR="00743B65" w:rsidRPr="008676DA" w:rsidRDefault="00743B65" w:rsidP="005C25BE">
      <w:pPr>
        <w:pStyle w:val="ListParagraph"/>
        <w:numPr>
          <w:ilvl w:val="0"/>
          <w:numId w:val="21"/>
        </w:numPr>
        <w:spacing w:after="240" w:line="240" w:lineRule="auto"/>
      </w:pPr>
      <w:r w:rsidRPr="00602815">
        <w:rPr>
          <w:b/>
          <w:bCs/>
        </w:rPr>
        <w:t>Governments take on Tide Turners as part of their education offering:</w:t>
      </w:r>
      <w:r w:rsidRPr="008676DA">
        <w:t xml:space="preserve"> The programme implementation in India is a model approach which UNEP is seeking to replicate with other nation states. In India, three states have embedded the Tide Turners programme into their curriculum, and the government in India is recommending that the programme is integrated into over 100,000 </w:t>
      </w:r>
      <w:r w:rsidR="000A7A9B">
        <w:t>‘</w:t>
      </w:r>
      <w:r w:rsidRPr="008676DA">
        <w:t>EcoClubs</w:t>
      </w:r>
      <w:r w:rsidR="000A7A9B">
        <w:t>’</w:t>
      </w:r>
      <w:r w:rsidRPr="008676DA">
        <w:t xml:space="preserve"> over the coming months, with strong leadership from different levels of the state to support the work. </w:t>
      </w:r>
    </w:p>
    <w:p w14:paraId="02A6B738" w14:textId="50CA237F" w:rsidR="00743B65" w:rsidRPr="00E00022" w:rsidRDefault="00743B65" w:rsidP="00613ABF">
      <w:pPr>
        <w:spacing w:after="240"/>
        <w:rPr>
          <w:b/>
          <w:bCs/>
          <w:u w:val="single"/>
        </w:rPr>
      </w:pPr>
      <w:r w:rsidRPr="00E00022">
        <w:rPr>
          <w:b/>
          <w:bCs/>
          <w:u w:val="single"/>
        </w:rPr>
        <w:t xml:space="preserve">v) Rural scale up: </w:t>
      </w:r>
    </w:p>
    <w:p w14:paraId="0AAFD4C7" w14:textId="321E2159" w:rsidR="00A51899" w:rsidRDefault="00743B65" w:rsidP="005C25BE">
      <w:pPr>
        <w:pStyle w:val="ListParagraph"/>
        <w:numPr>
          <w:ilvl w:val="0"/>
          <w:numId w:val="21"/>
        </w:numPr>
        <w:spacing w:after="240" w:line="240" w:lineRule="auto"/>
      </w:pPr>
      <w:r w:rsidRPr="008676DA">
        <w:t xml:space="preserve">A new area to be explored is a </w:t>
      </w:r>
      <w:r w:rsidRPr="00602815">
        <w:rPr>
          <w:b/>
          <w:bCs/>
        </w:rPr>
        <w:t>rural-specific programme</w:t>
      </w:r>
      <w:r w:rsidRPr="008676DA">
        <w:t xml:space="preserve"> to ensure that the programme reaches beyond urban areas, particularly in India. </w:t>
      </w:r>
      <w:r w:rsidR="00A51899">
        <w:t>T</w:t>
      </w:r>
      <w:r w:rsidRPr="008676DA">
        <w:t>he rural model is piloted in India with the programme seeking to reach marginalised youth populations in rural plastic pollution hotspots. The learnings of this approach will inform the extent to which the rural model is adapted into other contexts.</w:t>
      </w:r>
    </w:p>
    <w:p w14:paraId="34A89A12" w14:textId="7782B2A9" w:rsidR="00602815" w:rsidRDefault="00743B65" w:rsidP="005C25BE">
      <w:pPr>
        <w:pStyle w:val="ListParagraph"/>
        <w:numPr>
          <w:ilvl w:val="0"/>
          <w:numId w:val="21"/>
        </w:numPr>
        <w:spacing w:after="240" w:line="240" w:lineRule="auto"/>
      </w:pPr>
      <w:r w:rsidRPr="008676DA">
        <w:t xml:space="preserve">With </w:t>
      </w:r>
      <w:r w:rsidRPr="00602815">
        <w:rPr>
          <w:b/>
          <w:bCs/>
        </w:rPr>
        <w:t>India’s</w:t>
      </w:r>
      <w:r w:rsidRPr="008676DA">
        <w:t xml:space="preserve"> </w:t>
      </w:r>
      <w:r w:rsidRPr="00602815">
        <w:rPr>
          <w:b/>
          <w:bCs/>
        </w:rPr>
        <w:t xml:space="preserve">new plastic ban on certain single-use plastics (SUP) </w:t>
      </w:r>
      <w:r w:rsidRPr="00E00022">
        <w:t>coming into effect,</w:t>
      </w:r>
      <w:r w:rsidRPr="008676DA">
        <w:t xml:space="preserve"> a number of small businesses making or dependent on SUP will be affected. Tide Turner</w:t>
      </w:r>
      <w:r w:rsidR="00A51899">
        <w:t>s’</w:t>
      </w:r>
      <w:r w:rsidRPr="008676DA">
        <w:t xml:space="preserve"> training and activities will be undertaken to offer an opportunity to provide alternative solutions through </w:t>
      </w:r>
      <w:r w:rsidRPr="00602815">
        <w:rPr>
          <w:b/>
          <w:bCs/>
        </w:rPr>
        <w:t>youth-created enterprises</w:t>
      </w:r>
      <w:r w:rsidRPr="008676DA">
        <w:t xml:space="preserve"> that can feed into circular, more sustainable business models. Instead of plastic spoons and cutlery used during weddings/events</w:t>
      </w:r>
      <w:r w:rsidR="006006FA" w:rsidRPr="008676DA">
        <w:t xml:space="preserve">, </w:t>
      </w:r>
      <w:r w:rsidRPr="008676DA">
        <w:t xml:space="preserve">reusable alternatives can be made available through youth-lead cutlery bank enterprises. Trained youth can support local governments especially in small towns, </w:t>
      </w:r>
      <w:r w:rsidR="006006FA" w:rsidRPr="008676DA">
        <w:t>sub</w:t>
      </w:r>
      <w:r w:rsidRPr="008676DA">
        <w:t>urban and rural areas to comply and implement municipal solid waste management rules, while orienting and training their communities.</w:t>
      </w:r>
    </w:p>
    <w:p w14:paraId="74FFC0B7" w14:textId="6A88E9AA" w:rsidR="00A679AB" w:rsidRPr="00207D74" w:rsidRDefault="00613ABF" w:rsidP="00207D74">
      <w:pPr>
        <w:spacing w:after="160" w:line="259" w:lineRule="auto"/>
        <w:jc w:val="left"/>
        <w:rPr>
          <w:rFonts w:ascii="Calibri" w:eastAsiaTheme="minorEastAsia" w:hAnsi="Calibri" w:cs="Calibri"/>
        </w:rPr>
      </w:pPr>
      <w:r>
        <w:br w:type="page"/>
      </w:r>
    </w:p>
    <w:p w14:paraId="4C2B17EC" w14:textId="4862C5DF" w:rsidR="007A0C92" w:rsidRPr="00684143" w:rsidRDefault="00EB3488" w:rsidP="00991CCB">
      <w:pPr>
        <w:pStyle w:val="Heading2"/>
        <w:numPr>
          <w:ilvl w:val="1"/>
          <w:numId w:val="48"/>
        </w:numPr>
      </w:pPr>
      <w:bookmarkStart w:id="62" w:name="_Toc121224137"/>
      <w:r>
        <w:lastRenderedPageBreak/>
        <w:t xml:space="preserve">Appendix </w:t>
      </w:r>
      <w:r w:rsidR="00207D74">
        <w:t>4</w:t>
      </w:r>
      <w:r>
        <w:t xml:space="preserve">: </w:t>
      </w:r>
      <w:r w:rsidR="007A0C92">
        <w:t>The Tide Turners programme: 2019-2021</w:t>
      </w:r>
      <w:bookmarkEnd w:id="62"/>
    </w:p>
    <w:p w14:paraId="51AD577D" w14:textId="05170797" w:rsidR="007A0C92" w:rsidRPr="00684143" w:rsidRDefault="007A0C92" w:rsidP="00613ABF">
      <w:pPr>
        <w:rPr>
          <w:color w:val="201F1E"/>
        </w:rPr>
      </w:pPr>
      <w:r w:rsidRPr="00684143">
        <w:rPr>
          <w:b/>
          <w:color w:val="201F1E"/>
        </w:rPr>
        <w:t>Reach</w:t>
      </w:r>
    </w:p>
    <w:p w14:paraId="593C53C3" w14:textId="1B79E92A" w:rsidR="000C27DD" w:rsidRDefault="000C27DD" w:rsidP="005C25BE">
      <w:pPr>
        <w:pStyle w:val="ListParagraph"/>
        <w:numPr>
          <w:ilvl w:val="0"/>
          <w:numId w:val="23"/>
        </w:numPr>
        <w:spacing w:line="240" w:lineRule="auto"/>
        <w:rPr>
          <w:color w:val="201F1E"/>
        </w:rPr>
      </w:pPr>
      <w:r w:rsidRPr="00684143">
        <w:rPr>
          <w:color w:val="201F1E"/>
        </w:rPr>
        <w:t>The programme has reached a total of 468,005 young people in 35 countries</w:t>
      </w:r>
      <w:r>
        <w:rPr>
          <w:color w:val="201F1E"/>
        </w:rPr>
        <w:t>.</w:t>
      </w:r>
    </w:p>
    <w:p w14:paraId="0202313A" w14:textId="42312370" w:rsidR="007A0C92" w:rsidRPr="00684143" w:rsidRDefault="007A0C92" w:rsidP="005C25BE">
      <w:pPr>
        <w:pStyle w:val="ListParagraph"/>
        <w:numPr>
          <w:ilvl w:val="0"/>
          <w:numId w:val="23"/>
        </w:numPr>
        <w:spacing w:after="240" w:line="240" w:lineRule="auto"/>
        <w:rPr>
          <w:color w:val="201F1E"/>
        </w:rPr>
      </w:pPr>
      <w:r w:rsidRPr="00684143">
        <w:rPr>
          <w:color w:val="201F1E"/>
        </w:rPr>
        <w:t xml:space="preserve">A new Advocacy Champion level was created for the programme to increase the capabilities of young people with a reach of 2,927 Tide Turners through 2 advocacy bootcamps </w:t>
      </w:r>
    </w:p>
    <w:p w14:paraId="607F0FB4" w14:textId="77777777" w:rsidR="007A0C92" w:rsidRPr="00684143" w:rsidRDefault="007A0C92" w:rsidP="00613ABF">
      <w:pPr>
        <w:rPr>
          <w:b/>
          <w:color w:val="201F1E"/>
        </w:rPr>
      </w:pPr>
      <w:r w:rsidRPr="00684143">
        <w:rPr>
          <w:b/>
          <w:color w:val="201F1E"/>
        </w:rPr>
        <w:t>Advocacy</w:t>
      </w:r>
    </w:p>
    <w:p w14:paraId="52FCCC2F" w14:textId="66F8CCE6" w:rsidR="000C27DD" w:rsidRPr="00684143" w:rsidRDefault="007A0C92" w:rsidP="005C25BE">
      <w:pPr>
        <w:pStyle w:val="ListParagraph"/>
        <w:numPr>
          <w:ilvl w:val="0"/>
          <w:numId w:val="23"/>
        </w:numPr>
        <w:spacing w:line="240" w:lineRule="auto"/>
        <w:rPr>
          <w:color w:val="201F1E"/>
        </w:rPr>
      </w:pPr>
      <w:r w:rsidRPr="00684143">
        <w:rPr>
          <w:color w:val="201F1E"/>
        </w:rPr>
        <w:t xml:space="preserve">More than 20 advocacy projects and community plans have been delivered by Tide Turners in local communities including Uganda, Pakistan, Malaysia, Ghana, Kenya, Gambia and Nigeria. </w:t>
      </w:r>
    </w:p>
    <w:p w14:paraId="7863F527" w14:textId="1CD79889" w:rsidR="000C27DD" w:rsidRPr="00E00022" w:rsidRDefault="007A0C92" w:rsidP="005C25BE">
      <w:pPr>
        <w:pStyle w:val="ListParagraph"/>
        <w:numPr>
          <w:ilvl w:val="0"/>
          <w:numId w:val="23"/>
        </w:numPr>
        <w:spacing w:line="240" w:lineRule="auto"/>
        <w:rPr>
          <w:color w:val="201F1E"/>
        </w:rPr>
      </w:pPr>
      <w:r w:rsidRPr="00E00022">
        <w:rPr>
          <w:color w:val="201F1E"/>
        </w:rPr>
        <w:t>The Challenge has been integrated into a new digital platform for World Scouting’s new environmental education initiative:</w:t>
      </w:r>
      <w:hyperlink r:id="rId30">
        <w:r w:rsidRPr="00E00022">
          <w:rPr>
            <w:color w:val="201F1E"/>
          </w:rPr>
          <w:t xml:space="preserve"> Earth Tribe</w:t>
        </w:r>
      </w:hyperlink>
      <w:r w:rsidRPr="00E00022">
        <w:rPr>
          <w:color w:val="201F1E"/>
        </w:rPr>
        <w:t xml:space="preserve">, which connects 54 million Scouts in a global youth movement for the environment and offers young people the opportunity to learn and act on key environmental issues that are affecting their communities. </w:t>
      </w:r>
    </w:p>
    <w:p w14:paraId="4BF40279" w14:textId="77777777" w:rsidR="007A0C92" w:rsidRPr="00E00022" w:rsidRDefault="007A0C92" w:rsidP="005C25BE">
      <w:pPr>
        <w:pStyle w:val="ListParagraph"/>
        <w:numPr>
          <w:ilvl w:val="0"/>
          <w:numId w:val="23"/>
        </w:numPr>
        <w:spacing w:after="240" w:line="240" w:lineRule="auto"/>
        <w:rPr>
          <w:color w:val="201F1E"/>
        </w:rPr>
      </w:pPr>
      <w:r w:rsidRPr="00E00022">
        <w:rPr>
          <w:color w:val="201F1E"/>
        </w:rPr>
        <w:t xml:space="preserve">Following Tide Turners training in Tanzania, the Scouts lobbied the government to introduce a ban on plastic carrier bags. </w:t>
      </w:r>
    </w:p>
    <w:p w14:paraId="53AFF0F0" w14:textId="77777777" w:rsidR="007A0C92" w:rsidRPr="00684143" w:rsidRDefault="007A0C92" w:rsidP="00613ABF">
      <w:pPr>
        <w:rPr>
          <w:b/>
          <w:color w:val="201F1E"/>
        </w:rPr>
      </w:pPr>
      <w:r w:rsidRPr="00684143">
        <w:rPr>
          <w:b/>
          <w:color w:val="201F1E"/>
        </w:rPr>
        <w:t>Behaviour change</w:t>
      </w:r>
    </w:p>
    <w:p w14:paraId="64A1B586" w14:textId="0221EFE8" w:rsidR="007A0C92" w:rsidRPr="00092AD6" w:rsidRDefault="000C27DD" w:rsidP="005C25BE">
      <w:pPr>
        <w:pStyle w:val="ListParagraph"/>
        <w:numPr>
          <w:ilvl w:val="0"/>
          <w:numId w:val="23"/>
        </w:numPr>
        <w:spacing w:after="240" w:line="240" w:lineRule="auto"/>
        <w:rPr>
          <w:b/>
          <w:color w:val="201F1E"/>
        </w:rPr>
      </w:pPr>
      <w:r>
        <w:rPr>
          <w:color w:val="201F1E"/>
        </w:rPr>
        <w:t>A</w:t>
      </w:r>
      <w:r w:rsidR="007A0C92" w:rsidRPr="00684143">
        <w:rPr>
          <w:color w:val="201F1E"/>
        </w:rPr>
        <w:t xml:space="preserve"> </w:t>
      </w:r>
      <w:hyperlink r:id="rId31">
        <w:r w:rsidR="007A0C92" w:rsidRPr="00684143">
          <w:rPr>
            <w:color w:val="201F1E"/>
            <w:u w:val="single"/>
          </w:rPr>
          <w:t>Monitoring and Evaluation report</w:t>
        </w:r>
      </w:hyperlink>
      <w:r w:rsidR="007A0C92" w:rsidRPr="00684143">
        <w:rPr>
          <w:color w:val="201F1E"/>
        </w:rPr>
        <w:t xml:space="preserve"> </w:t>
      </w:r>
      <w:r>
        <w:rPr>
          <w:color w:val="201F1E"/>
        </w:rPr>
        <w:t>for</w:t>
      </w:r>
      <w:r w:rsidR="007A0C92" w:rsidRPr="00684143">
        <w:rPr>
          <w:color w:val="201F1E"/>
        </w:rPr>
        <w:t xml:space="preserve"> Indian Tide Turners participants showed that 31% of people reported more discussions on plastics and 44% practised waste segregation after being on the programme. </w:t>
      </w:r>
    </w:p>
    <w:p w14:paraId="2ABDB990" w14:textId="77777777" w:rsidR="007A0C92" w:rsidRPr="00684143" w:rsidRDefault="007A0C92" w:rsidP="00613ABF">
      <w:pPr>
        <w:rPr>
          <w:b/>
          <w:color w:val="201F1E"/>
        </w:rPr>
      </w:pPr>
      <w:r w:rsidRPr="00684143">
        <w:rPr>
          <w:b/>
          <w:color w:val="201F1E"/>
        </w:rPr>
        <w:t xml:space="preserve">Material development </w:t>
      </w:r>
    </w:p>
    <w:p w14:paraId="2AE687B4" w14:textId="77777777" w:rsidR="004243A5" w:rsidRDefault="007A0C92" w:rsidP="004243A5">
      <w:pPr>
        <w:pStyle w:val="ListParagraph"/>
        <w:numPr>
          <w:ilvl w:val="0"/>
          <w:numId w:val="23"/>
        </w:numPr>
        <w:spacing w:after="240" w:line="240" w:lineRule="auto"/>
        <w:rPr>
          <w:color w:val="201F1E"/>
        </w:rPr>
      </w:pPr>
      <w:r w:rsidRPr="00684143">
        <w:rPr>
          <w:color w:val="201F1E"/>
        </w:rPr>
        <w:t>The Tide Turners Plastic Challenge Badge is the first ever Scout and Girl Guide Badge made from recycled plastic.</w:t>
      </w:r>
    </w:p>
    <w:p w14:paraId="7A1FD8B9" w14:textId="505D6B34" w:rsidR="007A0C92" w:rsidRPr="004243A5" w:rsidRDefault="007A0C92" w:rsidP="004243A5">
      <w:pPr>
        <w:spacing w:after="240"/>
        <w:rPr>
          <w:color w:val="201F1E"/>
        </w:rPr>
      </w:pPr>
      <w:r w:rsidRPr="004243A5">
        <w:rPr>
          <w:b/>
          <w:color w:val="201F1E"/>
        </w:rPr>
        <w:t>Leveraging funding</w:t>
      </w:r>
    </w:p>
    <w:p w14:paraId="3836C64A" w14:textId="6A76B963" w:rsidR="000C27DD" w:rsidRPr="00684143" w:rsidRDefault="007A0C92" w:rsidP="005C25BE">
      <w:pPr>
        <w:pStyle w:val="ListParagraph"/>
        <w:numPr>
          <w:ilvl w:val="0"/>
          <w:numId w:val="23"/>
        </w:numPr>
        <w:spacing w:line="240" w:lineRule="auto"/>
        <w:rPr>
          <w:color w:val="201F1E"/>
        </w:rPr>
      </w:pPr>
      <w:r w:rsidRPr="00684143">
        <w:rPr>
          <w:color w:val="201F1E"/>
        </w:rPr>
        <w:t xml:space="preserve">On the successful delivery of the UK funded programme, the Tide Turners Challenge is being launched in the Pacific and Caribbean SIDS and a new </w:t>
      </w:r>
      <w:r w:rsidR="000C27DD">
        <w:rPr>
          <w:color w:val="201F1E"/>
        </w:rPr>
        <w:t>a</w:t>
      </w:r>
      <w:r w:rsidR="000C27DD" w:rsidRPr="00684143">
        <w:rPr>
          <w:color w:val="201F1E"/>
        </w:rPr>
        <w:t xml:space="preserve">pp </w:t>
      </w:r>
      <w:r w:rsidRPr="00684143">
        <w:rPr>
          <w:color w:val="201F1E"/>
        </w:rPr>
        <w:t xml:space="preserve">is being developed. </w:t>
      </w:r>
    </w:p>
    <w:p w14:paraId="2DDE6213" w14:textId="77777777" w:rsidR="007A0C92" w:rsidRPr="00684143" w:rsidRDefault="007A0C92" w:rsidP="00613ABF">
      <w:pPr>
        <w:rPr>
          <w:color w:val="201F1E"/>
        </w:rPr>
      </w:pPr>
      <w:r w:rsidRPr="00684143">
        <w:rPr>
          <w:b/>
          <w:color w:val="201F1E"/>
        </w:rPr>
        <w:t>Regional outreach</w:t>
      </w:r>
    </w:p>
    <w:p w14:paraId="603317EA" w14:textId="1E6C2B39" w:rsidR="000C27DD" w:rsidRPr="00684143" w:rsidRDefault="007A0C92" w:rsidP="005C25BE">
      <w:pPr>
        <w:pStyle w:val="ListParagraph"/>
        <w:numPr>
          <w:ilvl w:val="0"/>
          <w:numId w:val="22"/>
        </w:numPr>
        <w:spacing w:line="240" w:lineRule="auto"/>
        <w:rPr>
          <w:color w:val="201F1E"/>
        </w:rPr>
      </w:pPr>
      <w:r w:rsidRPr="00684143">
        <w:rPr>
          <w:color w:val="201F1E"/>
        </w:rPr>
        <w:t xml:space="preserve">India has seen the strongest uptake of Tide Turners, with individual states rolling out the programme with some 100,000 </w:t>
      </w:r>
      <w:r w:rsidR="000A7A9B">
        <w:rPr>
          <w:color w:val="201F1E"/>
        </w:rPr>
        <w:t>‘</w:t>
      </w:r>
      <w:r w:rsidRPr="00684143">
        <w:rPr>
          <w:color w:val="201F1E"/>
        </w:rPr>
        <w:t>EcoClubs</w:t>
      </w:r>
      <w:r w:rsidR="000A7A9B">
        <w:rPr>
          <w:color w:val="201F1E"/>
        </w:rPr>
        <w:t>’</w:t>
      </w:r>
      <w:r w:rsidRPr="00684143">
        <w:rPr>
          <w:color w:val="201F1E"/>
        </w:rPr>
        <w:t xml:space="preserve"> schools across the whole of India</w:t>
      </w:r>
      <w:r w:rsidR="000C27DD">
        <w:rPr>
          <w:color w:val="201F1E"/>
        </w:rPr>
        <w:t>.</w:t>
      </w:r>
    </w:p>
    <w:p w14:paraId="52756020" w14:textId="4FED422C" w:rsidR="000C27DD" w:rsidRPr="00E00022" w:rsidRDefault="007A0C92" w:rsidP="005C25BE">
      <w:pPr>
        <w:pStyle w:val="ListParagraph"/>
        <w:numPr>
          <w:ilvl w:val="0"/>
          <w:numId w:val="22"/>
        </w:numPr>
        <w:spacing w:line="240" w:lineRule="auto"/>
        <w:rPr>
          <w:color w:val="201F1E"/>
        </w:rPr>
      </w:pPr>
      <w:r w:rsidRPr="00E00022">
        <w:rPr>
          <w:color w:val="201F1E"/>
        </w:rPr>
        <w:t xml:space="preserve">Two states in India have committed to integrate and pilot a new rural model of the Tide Turners programme.  </w:t>
      </w:r>
    </w:p>
    <w:p w14:paraId="4DE2D426" w14:textId="23295DFA" w:rsidR="007A0C92" w:rsidRPr="00E00022" w:rsidRDefault="007A0C92" w:rsidP="005C25BE">
      <w:pPr>
        <w:pStyle w:val="ListParagraph"/>
        <w:numPr>
          <w:ilvl w:val="0"/>
          <w:numId w:val="22"/>
        </w:numPr>
        <w:spacing w:after="240" w:line="240" w:lineRule="auto"/>
        <w:rPr>
          <w:color w:val="201F1E"/>
        </w:rPr>
      </w:pPr>
      <w:r w:rsidRPr="00E00022">
        <w:rPr>
          <w:color w:val="201F1E"/>
        </w:rPr>
        <w:t>Multiple regional Tide Turners summits organised in India and Africa to celebrate the success and impact the young people are making.</w:t>
      </w:r>
    </w:p>
    <w:p w14:paraId="7AC482C0" w14:textId="77777777" w:rsidR="007A0C92" w:rsidRPr="00684143" w:rsidRDefault="007A0C92" w:rsidP="00613ABF">
      <w:pPr>
        <w:rPr>
          <w:b/>
          <w:color w:val="201F1E"/>
        </w:rPr>
      </w:pPr>
      <w:r w:rsidRPr="00684143">
        <w:rPr>
          <w:b/>
          <w:color w:val="201F1E"/>
        </w:rPr>
        <w:t>Events and Communications</w:t>
      </w:r>
    </w:p>
    <w:p w14:paraId="5FD8E9EC" w14:textId="77777777" w:rsidR="00092AD6" w:rsidRPr="00595499" w:rsidRDefault="007A0C92" w:rsidP="005C25BE">
      <w:pPr>
        <w:pStyle w:val="ListParagraph"/>
        <w:numPr>
          <w:ilvl w:val="0"/>
          <w:numId w:val="24"/>
        </w:numPr>
        <w:pBdr>
          <w:top w:val="nil"/>
          <w:left w:val="nil"/>
          <w:bottom w:val="nil"/>
          <w:right w:val="nil"/>
          <w:between w:val="nil"/>
        </w:pBdr>
        <w:spacing w:after="240" w:line="240" w:lineRule="auto"/>
        <w:rPr>
          <w:color w:val="201F1E"/>
        </w:rPr>
      </w:pPr>
      <w:r w:rsidRPr="00595499">
        <w:rPr>
          <w:color w:val="201F1E"/>
        </w:rPr>
        <w:t>High-level Tide Turners Youth dialogues and summits have been organised including:</w:t>
      </w:r>
    </w:p>
    <w:p w14:paraId="047082DA" w14:textId="2454E8C0" w:rsidR="000C27DD" w:rsidRPr="00092AD6" w:rsidRDefault="007A0C92" w:rsidP="005C25BE">
      <w:pPr>
        <w:pStyle w:val="ListParagraph"/>
        <w:numPr>
          <w:ilvl w:val="0"/>
          <w:numId w:val="24"/>
        </w:numPr>
        <w:pBdr>
          <w:top w:val="nil"/>
          <w:left w:val="nil"/>
          <w:bottom w:val="nil"/>
          <w:right w:val="nil"/>
          <w:between w:val="nil"/>
        </w:pBdr>
        <w:spacing w:after="240" w:line="240" w:lineRule="auto"/>
        <w:rPr>
          <w:color w:val="201F1E"/>
        </w:rPr>
      </w:pPr>
      <w:r w:rsidRPr="00092AD6">
        <w:rPr>
          <w:color w:val="201F1E"/>
        </w:rPr>
        <w:t xml:space="preserve">Campfire dialogue: This was hosted with the Minister for Environment for the UK, Lord Goldsmith, and the UNEP Director of Ecosystem Division, to celebrate the Tide Turner journey of Girl Guides and Scouts in Kenya. </w:t>
      </w:r>
    </w:p>
    <w:p w14:paraId="770BEDC4" w14:textId="5DE1692A" w:rsidR="000C27DD" w:rsidRPr="00092AD6" w:rsidRDefault="007A0C92" w:rsidP="005C25BE">
      <w:pPr>
        <w:pStyle w:val="ListParagraph"/>
        <w:numPr>
          <w:ilvl w:val="0"/>
          <w:numId w:val="24"/>
        </w:numPr>
        <w:spacing w:line="240" w:lineRule="auto"/>
      </w:pPr>
      <w:r w:rsidRPr="00092AD6">
        <w:t xml:space="preserve">Our Oceans, Our Future: A youth dialogue on plastics with UNEP ED Inger Andersen in advance of UN Environment Assembly 5.2. The event was a dialogue between UNEP ED Ms. Inger Andersen and six young Tide Turners Plastic Challenge champions for them to share perspectives on why action on plastic pollution matters to them, and to celebrate the leadership they have shown. </w:t>
      </w:r>
    </w:p>
    <w:p w14:paraId="3ABA8AD6" w14:textId="43021F1D" w:rsidR="000C27DD" w:rsidRPr="00092AD6" w:rsidRDefault="007A0C92" w:rsidP="005C25BE">
      <w:pPr>
        <w:pStyle w:val="ListParagraph"/>
        <w:numPr>
          <w:ilvl w:val="0"/>
          <w:numId w:val="24"/>
        </w:numPr>
        <w:spacing w:line="240" w:lineRule="auto"/>
      </w:pPr>
      <w:r w:rsidRPr="00092AD6">
        <w:t xml:space="preserve">Indian National Youth Summit: WWF and CEE India hosted the Tide Turners National Youth Summit that attracted 1686 participants. The Summit was attended by Government officials, </w:t>
      </w:r>
      <w:r w:rsidRPr="00092AD6">
        <w:lastRenderedPageBreak/>
        <w:t xml:space="preserve">the representative of the British High Commission, UNEP, celebrities like Día Mirza, Dr Sonam Wangchuk. </w:t>
      </w:r>
    </w:p>
    <w:p w14:paraId="43CDC35D" w14:textId="6641FB38" w:rsidR="007F210C" w:rsidRDefault="007A0C92" w:rsidP="00704DEA">
      <w:pPr>
        <w:pStyle w:val="ListParagraph"/>
        <w:numPr>
          <w:ilvl w:val="0"/>
          <w:numId w:val="24"/>
        </w:numPr>
        <w:spacing w:line="240" w:lineRule="auto"/>
      </w:pPr>
      <w:r w:rsidRPr="00092AD6">
        <w:t>The UN Oceans Conference (UNOC): A Tide Turner Champion from Kenya was allocated a participation slot as part of the Youth and Innovation Conference at the UNOC, as well as the UN Cinema Launch of the film “The Loneliest Whale” in Lisbon, Portugal– where she spoke on panels with ministers and other young change-makers on the value of meaningfully engaging youth in plastic decision-making processes – as well as ‘handed over the baton’ from the youth to Secretary General Antonio Guterres and celebrity Jason Momoa during his designation as SDG 14 Advocate for Life Below Water.</w:t>
      </w:r>
    </w:p>
    <w:p w14:paraId="2660B78E" w14:textId="77777777" w:rsidR="00792E0D" w:rsidRDefault="00792E0D" w:rsidP="003E6BA1">
      <w:pPr>
        <w:pStyle w:val="ListParagraph"/>
        <w:spacing w:line="240" w:lineRule="auto"/>
      </w:pPr>
    </w:p>
    <w:p w14:paraId="7D5680CD" w14:textId="06922027" w:rsidR="007F210C" w:rsidRPr="00684143" w:rsidRDefault="007F210C" w:rsidP="00991CCB">
      <w:pPr>
        <w:pStyle w:val="Heading2"/>
        <w:numPr>
          <w:ilvl w:val="1"/>
          <w:numId w:val="48"/>
        </w:numPr>
      </w:pPr>
      <w:bookmarkStart w:id="63" w:name="_Toc121224138"/>
      <w:r>
        <w:t xml:space="preserve">Appendix </w:t>
      </w:r>
      <w:r w:rsidR="00811CFC">
        <w:t>5</w:t>
      </w:r>
      <w:r>
        <w:t xml:space="preserve">: </w:t>
      </w:r>
      <w:r w:rsidR="00347B75">
        <w:t>Financial breakdown for inc process</w:t>
      </w:r>
      <w:r w:rsidR="00987A43">
        <w:t xml:space="preserve"> (USD)</w:t>
      </w:r>
      <w:bookmarkEnd w:id="63"/>
      <w:r w:rsidR="00347B75">
        <w:tab/>
      </w:r>
    </w:p>
    <w:tbl>
      <w:tblPr>
        <w:tblStyle w:val="TableGrid"/>
        <w:tblW w:w="0" w:type="auto"/>
        <w:tblLook w:val="04A0" w:firstRow="1" w:lastRow="0" w:firstColumn="1" w:lastColumn="0" w:noHBand="0" w:noVBand="1"/>
      </w:tblPr>
      <w:tblGrid>
        <w:gridCol w:w="1691"/>
        <w:gridCol w:w="993"/>
        <w:gridCol w:w="1026"/>
        <w:gridCol w:w="1026"/>
        <w:gridCol w:w="992"/>
        <w:gridCol w:w="1134"/>
        <w:gridCol w:w="1026"/>
      </w:tblGrid>
      <w:tr w:rsidR="00434090" w14:paraId="6279226B" w14:textId="77777777" w:rsidTr="008C6A08">
        <w:trPr>
          <w:trHeight w:val="596"/>
        </w:trPr>
        <w:tc>
          <w:tcPr>
            <w:tcW w:w="7888" w:type="dxa"/>
            <w:gridSpan w:val="7"/>
          </w:tcPr>
          <w:p w14:paraId="5A5DFB28" w14:textId="694D0359" w:rsidR="00434090" w:rsidRPr="00C31A38" w:rsidRDefault="00434090" w:rsidP="00613ABF">
            <w:pPr>
              <w:spacing w:after="240"/>
              <w:rPr>
                <w:rFonts w:cstheme="minorHAnsi"/>
                <w:b/>
                <w:bCs/>
              </w:rPr>
            </w:pPr>
            <w:r>
              <w:rPr>
                <w:rFonts w:cstheme="minorHAnsi"/>
                <w:b/>
                <w:bCs/>
              </w:rPr>
              <w:t>Travel for INC Meetings</w:t>
            </w:r>
          </w:p>
        </w:tc>
      </w:tr>
      <w:tr w:rsidR="00C31A38" w14:paraId="40A87E53" w14:textId="77777777" w:rsidTr="00434090">
        <w:trPr>
          <w:trHeight w:val="596"/>
        </w:trPr>
        <w:tc>
          <w:tcPr>
            <w:tcW w:w="1691" w:type="dxa"/>
          </w:tcPr>
          <w:p w14:paraId="1F8A1F29" w14:textId="223B18BF" w:rsidR="00C31A38" w:rsidRPr="00C31A38" w:rsidRDefault="00C31A38" w:rsidP="00613ABF">
            <w:pPr>
              <w:spacing w:after="240"/>
              <w:rPr>
                <w:rFonts w:cstheme="minorHAnsi"/>
                <w:b/>
                <w:bCs/>
              </w:rPr>
            </w:pPr>
            <w:r w:rsidRPr="00C31A38">
              <w:rPr>
                <w:rFonts w:cstheme="minorHAnsi"/>
                <w:b/>
                <w:bCs/>
              </w:rPr>
              <w:t>Expenditure Category</w:t>
            </w:r>
          </w:p>
        </w:tc>
        <w:tc>
          <w:tcPr>
            <w:tcW w:w="993" w:type="dxa"/>
          </w:tcPr>
          <w:p w14:paraId="10DA1E99" w14:textId="75DCE06C" w:rsidR="00C31A38" w:rsidRPr="00C31A38" w:rsidRDefault="00C31A38" w:rsidP="00613ABF">
            <w:pPr>
              <w:spacing w:after="240"/>
              <w:rPr>
                <w:rFonts w:cstheme="minorHAnsi"/>
                <w:b/>
                <w:bCs/>
              </w:rPr>
            </w:pPr>
            <w:r w:rsidRPr="00C31A38">
              <w:rPr>
                <w:rFonts w:cstheme="minorHAnsi"/>
                <w:b/>
                <w:bCs/>
              </w:rPr>
              <w:t>2022</w:t>
            </w:r>
          </w:p>
        </w:tc>
        <w:tc>
          <w:tcPr>
            <w:tcW w:w="1026" w:type="dxa"/>
          </w:tcPr>
          <w:p w14:paraId="1AD48320" w14:textId="63C4AA64" w:rsidR="00C31A38" w:rsidRPr="00C31A38" w:rsidRDefault="00C31A38" w:rsidP="00613ABF">
            <w:pPr>
              <w:spacing w:after="240"/>
              <w:rPr>
                <w:rFonts w:cstheme="minorHAnsi"/>
                <w:b/>
                <w:bCs/>
              </w:rPr>
            </w:pPr>
            <w:r w:rsidRPr="00C31A38">
              <w:rPr>
                <w:rFonts w:cstheme="minorHAnsi"/>
                <w:b/>
                <w:bCs/>
              </w:rPr>
              <w:t>2023</w:t>
            </w:r>
          </w:p>
        </w:tc>
        <w:tc>
          <w:tcPr>
            <w:tcW w:w="1026" w:type="dxa"/>
          </w:tcPr>
          <w:p w14:paraId="65B732E9" w14:textId="653A42D1" w:rsidR="00C31A38" w:rsidRPr="00C31A38" w:rsidRDefault="00C31A38" w:rsidP="00613ABF">
            <w:pPr>
              <w:spacing w:after="240"/>
              <w:rPr>
                <w:rFonts w:cstheme="minorHAnsi"/>
                <w:b/>
                <w:bCs/>
              </w:rPr>
            </w:pPr>
            <w:r w:rsidRPr="00C31A38">
              <w:rPr>
                <w:rFonts w:cstheme="minorHAnsi"/>
                <w:b/>
                <w:bCs/>
              </w:rPr>
              <w:t>2024</w:t>
            </w:r>
          </w:p>
        </w:tc>
        <w:tc>
          <w:tcPr>
            <w:tcW w:w="992" w:type="dxa"/>
          </w:tcPr>
          <w:p w14:paraId="4028F364" w14:textId="324C12D8" w:rsidR="00C31A38" w:rsidRPr="00C31A38" w:rsidRDefault="00C31A38" w:rsidP="00613ABF">
            <w:pPr>
              <w:spacing w:after="240"/>
              <w:rPr>
                <w:rFonts w:cstheme="minorHAnsi"/>
                <w:b/>
                <w:bCs/>
              </w:rPr>
            </w:pPr>
            <w:r w:rsidRPr="00C31A38">
              <w:rPr>
                <w:rFonts w:cstheme="minorHAnsi"/>
                <w:b/>
                <w:bCs/>
              </w:rPr>
              <w:t>2025</w:t>
            </w:r>
          </w:p>
        </w:tc>
        <w:tc>
          <w:tcPr>
            <w:tcW w:w="1134" w:type="dxa"/>
          </w:tcPr>
          <w:p w14:paraId="7E0E2448" w14:textId="0418AEA5" w:rsidR="00C31A38" w:rsidRPr="00C31A38" w:rsidRDefault="00C31A38" w:rsidP="00613ABF">
            <w:pPr>
              <w:spacing w:after="240"/>
              <w:rPr>
                <w:rFonts w:cstheme="minorHAnsi"/>
                <w:b/>
                <w:bCs/>
              </w:rPr>
            </w:pPr>
            <w:r w:rsidRPr="00C31A38">
              <w:rPr>
                <w:rFonts w:cstheme="minorHAnsi"/>
                <w:b/>
                <w:bCs/>
              </w:rPr>
              <w:t>Overheads</w:t>
            </w:r>
          </w:p>
        </w:tc>
        <w:tc>
          <w:tcPr>
            <w:tcW w:w="1026" w:type="dxa"/>
          </w:tcPr>
          <w:p w14:paraId="7F92E001" w14:textId="4F358D38" w:rsidR="00C31A38" w:rsidRPr="00C31A38" w:rsidRDefault="00C31A38" w:rsidP="00613ABF">
            <w:pPr>
              <w:spacing w:after="240"/>
              <w:rPr>
                <w:rFonts w:cstheme="minorHAnsi"/>
                <w:b/>
                <w:bCs/>
              </w:rPr>
            </w:pPr>
            <w:r w:rsidRPr="00C31A38">
              <w:rPr>
                <w:rFonts w:cstheme="minorHAnsi"/>
                <w:b/>
                <w:bCs/>
              </w:rPr>
              <w:t>Total</w:t>
            </w:r>
          </w:p>
        </w:tc>
      </w:tr>
      <w:tr w:rsidR="001561CC" w14:paraId="57ACB7EF" w14:textId="77777777" w:rsidTr="00434090">
        <w:tc>
          <w:tcPr>
            <w:tcW w:w="1691" w:type="dxa"/>
          </w:tcPr>
          <w:p w14:paraId="29AEF887" w14:textId="6DEBBB06" w:rsidR="001561CC" w:rsidRDefault="001561CC" w:rsidP="0025036D">
            <w:pPr>
              <w:spacing w:after="240"/>
              <w:jc w:val="left"/>
              <w:rPr>
                <w:rFonts w:cstheme="minorHAnsi"/>
              </w:rPr>
            </w:pPr>
            <w:r>
              <w:rPr>
                <w:rFonts w:cstheme="minorHAnsi"/>
              </w:rPr>
              <w:t>Secretariat travel</w:t>
            </w:r>
          </w:p>
        </w:tc>
        <w:tc>
          <w:tcPr>
            <w:tcW w:w="993" w:type="dxa"/>
          </w:tcPr>
          <w:p w14:paraId="388123F7" w14:textId="74B3E201" w:rsidR="001561CC" w:rsidRDefault="001561CC" w:rsidP="00613ABF">
            <w:pPr>
              <w:spacing w:after="240"/>
              <w:rPr>
                <w:rFonts w:cstheme="minorHAnsi"/>
              </w:rPr>
            </w:pPr>
            <w:r>
              <w:rPr>
                <w:rFonts w:cstheme="minorHAnsi"/>
              </w:rPr>
              <w:t>50,000</w:t>
            </w:r>
          </w:p>
        </w:tc>
        <w:tc>
          <w:tcPr>
            <w:tcW w:w="1026" w:type="dxa"/>
          </w:tcPr>
          <w:p w14:paraId="4D4D9B2A" w14:textId="20B75312" w:rsidR="001561CC" w:rsidRDefault="001561CC" w:rsidP="00613ABF">
            <w:pPr>
              <w:spacing w:after="240"/>
              <w:rPr>
                <w:rFonts w:cstheme="minorHAnsi"/>
              </w:rPr>
            </w:pPr>
            <w:r>
              <w:rPr>
                <w:rFonts w:cstheme="minorHAnsi"/>
              </w:rPr>
              <w:t>100,000</w:t>
            </w:r>
          </w:p>
        </w:tc>
        <w:tc>
          <w:tcPr>
            <w:tcW w:w="1026" w:type="dxa"/>
          </w:tcPr>
          <w:p w14:paraId="35466B55" w14:textId="771A303B" w:rsidR="001561CC" w:rsidRDefault="001561CC" w:rsidP="00613ABF">
            <w:pPr>
              <w:spacing w:after="240"/>
              <w:rPr>
                <w:rFonts w:cstheme="minorHAnsi"/>
              </w:rPr>
            </w:pPr>
            <w:r>
              <w:rPr>
                <w:rFonts w:cstheme="minorHAnsi"/>
              </w:rPr>
              <w:t>100,000</w:t>
            </w:r>
          </w:p>
        </w:tc>
        <w:tc>
          <w:tcPr>
            <w:tcW w:w="992" w:type="dxa"/>
          </w:tcPr>
          <w:p w14:paraId="699063E2" w14:textId="59458391" w:rsidR="001561CC" w:rsidRDefault="001561CC" w:rsidP="00613ABF">
            <w:pPr>
              <w:spacing w:after="240"/>
              <w:rPr>
                <w:rFonts w:cstheme="minorHAnsi"/>
              </w:rPr>
            </w:pPr>
            <w:r>
              <w:rPr>
                <w:rFonts w:cstheme="minorHAnsi"/>
              </w:rPr>
              <w:t>50,000</w:t>
            </w:r>
          </w:p>
        </w:tc>
        <w:tc>
          <w:tcPr>
            <w:tcW w:w="1134" w:type="dxa"/>
          </w:tcPr>
          <w:p w14:paraId="6354C44B" w14:textId="231247D8" w:rsidR="001561CC" w:rsidRDefault="001561CC" w:rsidP="00613ABF">
            <w:pPr>
              <w:spacing w:after="240"/>
              <w:rPr>
                <w:rFonts w:cstheme="minorHAnsi"/>
              </w:rPr>
            </w:pPr>
            <w:r>
              <w:rPr>
                <w:rFonts w:cstheme="minorHAnsi"/>
              </w:rPr>
              <w:t>39,000</w:t>
            </w:r>
          </w:p>
        </w:tc>
        <w:tc>
          <w:tcPr>
            <w:tcW w:w="1026" w:type="dxa"/>
          </w:tcPr>
          <w:p w14:paraId="45FB605D" w14:textId="3F19EA0D" w:rsidR="001561CC" w:rsidRDefault="001561CC" w:rsidP="00613ABF">
            <w:pPr>
              <w:spacing w:after="240"/>
              <w:rPr>
                <w:rFonts w:cstheme="minorHAnsi"/>
              </w:rPr>
            </w:pPr>
            <w:r>
              <w:rPr>
                <w:rFonts w:cstheme="minorHAnsi"/>
              </w:rPr>
              <w:t>339,000</w:t>
            </w:r>
          </w:p>
        </w:tc>
      </w:tr>
      <w:tr w:rsidR="00C31A38" w14:paraId="7AB84D2E" w14:textId="77777777" w:rsidTr="00434090">
        <w:tc>
          <w:tcPr>
            <w:tcW w:w="1691" w:type="dxa"/>
          </w:tcPr>
          <w:p w14:paraId="1B0308A7" w14:textId="7CCC3F80" w:rsidR="00C31A38" w:rsidRDefault="0025036D" w:rsidP="0025036D">
            <w:pPr>
              <w:spacing w:after="240"/>
              <w:jc w:val="left"/>
              <w:rPr>
                <w:rFonts w:cstheme="minorHAnsi"/>
              </w:rPr>
            </w:pPr>
            <w:r>
              <w:rPr>
                <w:rFonts w:cstheme="minorHAnsi"/>
              </w:rPr>
              <w:t>Participant travel only for INC meetings</w:t>
            </w:r>
          </w:p>
        </w:tc>
        <w:tc>
          <w:tcPr>
            <w:tcW w:w="993" w:type="dxa"/>
          </w:tcPr>
          <w:p w14:paraId="5E6FA19E" w14:textId="44C13275" w:rsidR="00C31A38" w:rsidRDefault="00AB608E" w:rsidP="00613ABF">
            <w:pPr>
              <w:spacing w:after="240"/>
              <w:rPr>
                <w:rFonts w:cstheme="minorHAnsi"/>
              </w:rPr>
            </w:pPr>
            <w:r>
              <w:rPr>
                <w:rFonts w:cstheme="minorHAnsi"/>
              </w:rPr>
              <w:t>649,180</w:t>
            </w:r>
          </w:p>
        </w:tc>
        <w:tc>
          <w:tcPr>
            <w:tcW w:w="1026" w:type="dxa"/>
          </w:tcPr>
          <w:p w14:paraId="7B981804" w14:textId="38C7E07A" w:rsidR="00C31A38" w:rsidRDefault="00AB608E" w:rsidP="00613ABF">
            <w:pPr>
              <w:spacing w:after="240"/>
              <w:rPr>
                <w:rFonts w:cstheme="minorHAnsi"/>
              </w:rPr>
            </w:pPr>
            <w:r>
              <w:rPr>
                <w:rFonts w:cstheme="minorHAnsi"/>
              </w:rPr>
              <w:t>1,199,800</w:t>
            </w:r>
          </w:p>
        </w:tc>
        <w:tc>
          <w:tcPr>
            <w:tcW w:w="1026" w:type="dxa"/>
          </w:tcPr>
          <w:p w14:paraId="14DE47B1" w14:textId="7691AFDB" w:rsidR="00C31A38" w:rsidRDefault="00AB608E" w:rsidP="00613ABF">
            <w:pPr>
              <w:spacing w:after="240"/>
              <w:rPr>
                <w:rFonts w:cstheme="minorHAnsi"/>
              </w:rPr>
            </w:pPr>
            <w:r>
              <w:rPr>
                <w:rFonts w:cstheme="minorHAnsi"/>
              </w:rPr>
              <w:t>1,455,800</w:t>
            </w:r>
          </w:p>
        </w:tc>
        <w:tc>
          <w:tcPr>
            <w:tcW w:w="992" w:type="dxa"/>
          </w:tcPr>
          <w:p w14:paraId="2E711D0E" w14:textId="79C7F839" w:rsidR="00C31A38" w:rsidRDefault="00E250E4" w:rsidP="00613ABF">
            <w:pPr>
              <w:spacing w:after="240"/>
              <w:rPr>
                <w:rFonts w:cstheme="minorHAnsi"/>
              </w:rPr>
            </w:pPr>
            <w:r>
              <w:rPr>
                <w:rFonts w:cstheme="minorHAnsi"/>
              </w:rPr>
              <w:t>569,698</w:t>
            </w:r>
          </w:p>
        </w:tc>
        <w:tc>
          <w:tcPr>
            <w:tcW w:w="1134" w:type="dxa"/>
          </w:tcPr>
          <w:p w14:paraId="44746E10" w14:textId="18E9AFC6" w:rsidR="00C31A38" w:rsidRDefault="00E250E4" w:rsidP="00613ABF">
            <w:pPr>
              <w:spacing w:after="240"/>
              <w:rPr>
                <w:rFonts w:cstheme="minorHAnsi"/>
              </w:rPr>
            </w:pPr>
            <w:r>
              <w:rPr>
                <w:rFonts w:cstheme="minorHAnsi"/>
              </w:rPr>
              <w:t>503,698</w:t>
            </w:r>
          </w:p>
        </w:tc>
        <w:tc>
          <w:tcPr>
            <w:tcW w:w="1026" w:type="dxa"/>
          </w:tcPr>
          <w:p w14:paraId="41AF3CB2" w14:textId="3841FC10" w:rsidR="00C31A38" w:rsidRDefault="00E250E4" w:rsidP="00613ABF">
            <w:pPr>
              <w:spacing w:after="240"/>
              <w:rPr>
                <w:rFonts w:cstheme="minorHAnsi"/>
              </w:rPr>
            </w:pPr>
            <w:r>
              <w:rPr>
                <w:rFonts w:cstheme="minorHAnsi"/>
              </w:rPr>
              <w:t>4,</w:t>
            </w:r>
            <w:r w:rsidR="00A852B1">
              <w:rPr>
                <w:rFonts w:cstheme="minorHAnsi"/>
              </w:rPr>
              <w:t>378</w:t>
            </w:r>
            <w:r w:rsidR="00BC383E">
              <w:rPr>
                <w:rFonts w:cstheme="minorHAnsi"/>
              </w:rPr>
              <w:t>,298</w:t>
            </w:r>
          </w:p>
        </w:tc>
      </w:tr>
    </w:tbl>
    <w:p w14:paraId="7E4BB9C7" w14:textId="77777777" w:rsidR="00BD39C8" w:rsidRDefault="00BD39C8" w:rsidP="00613ABF">
      <w:pPr>
        <w:spacing w:after="240"/>
        <w:rPr>
          <w:rFonts w:cstheme="minorHAnsi"/>
        </w:rPr>
      </w:pPr>
    </w:p>
    <w:tbl>
      <w:tblPr>
        <w:tblStyle w:val="TableGrid"/>
        <w:tblW w:w="0" w:type="auto"/>
        <w:tblLook w:val="04A0" w:firstRow="1" w:lastRow="0" w:firstColumn="1" w:lastColumn="0" w:noHBand="0" w:noVBand="1"/>
      </w:tblPr>
      <w:tblGrid>
        <w:gridCol w:w="1801"/>
        <w:gridCol w:w="1801"/>
        <w:gridCol w:w="1801"/>
        <w:gridCol w:w="1801"/>
        <w:gridCol w:w="1802"/>
      </w:tblGrid>
      <w:tr w:rsidR="00987A43" w14:paraId="32CC3C35" w14:textId="77777777" w:rsidTr="008C6A08">
        <w:tc>
          <w:tcPr>
            <w:tcW w:w="9006" w:type="dxa"/>
            <w:gridSpan w:val="5"/>
          </w:tcPr>
          <w:p w14:paraId="2297C0CD" w14:textId="798D4C1F" w:rsidR="00987A43" w:rsidRPr="00987A43" w:rsidRDefault="00987A43" w:rsidP="00613ABF">
            <w:pPr>
              <w:spacing w:after="240"/>
              <w:rPr>
                <w:rFonts w:cstheme="minorHAnsi"/>
                <w:b/>
                <w:bCs/>
              </w:rPr>
            </w:pPr>
            <w:r w:rsidRPr="00987A43">
              <w:rPr>
                <w:rFonts w:cstheme="minorHAnsi"/>
                <w:b/>
                <w:bCs/>
              </w:rPr>
              <w:t>Regional Consultation Meetings Before Each INC Meeting</w:t>
            </w:r>
          </w:p>
        </w:tc>
      </w:tr>
      <w:tr w:rsidR="00987A43" w14:paraId="41950E62" w14:textId="77777777" w:rsidTr="00987A43">
        <w:tc>
          <w:tcPr>
            <w:tcW w:w="1801" w:type="dxa"/>
          </w:tcPr>
          <w:p w14:paraId="602E9EE2" w14:textId="24DBAD68" w:rsidR="00987A43" w:rsidRPr="00987A43" w:rsidRDefault="00987A43" w:rsidP="00613ABF">
            <w:pPr>
              <w:spacing w:after="240"/>
              <w:rPr>
                <w:rFonts w:cstheme="minorHAnsi"/>
                <w:b/>
                <w:bCs/>
              </w:rPr>
            </w:pPr>
            <w:r w:rsidRPr="00987A43">
              <w:rPr>
                <w:rFonts w:cstheme="minorHAnsi"/>
                <w:b/>
                <w:bCs/>
              </w:rPr>
              <w:t>Meetings</w:t>
            </w:r>
          </w:p>
        </w:tc>
        <w:tc>
          <w:tcPr>
            <w:tcW w:w="1801" w:type="dxa"/>
          </w:tcPr>
          <w:p w14:paraId="779237F0" w14:textId="7E2159AB" w:rsidR="00987A43" w:rsidRPr="00987A43" w:rsidRDefault="00987A43" w:rsidP="00613ABF">
            <w:pPr>
              <w:spacing w:after="240"/>
              <w:rPr>
                <w:rFonts w:cstheme="minorHAnsi"/>
                <w:b/>
                <w:bCs/>
              </w:rPr>
            </w:pPr>
            <w:r w:rsidRPr="00987A43">
              <w:rPr>
                <w:rFonts w:cstheme="minorHAnsi"/>
                <w:b/>
                <w:bCs/>
              </w:rPr>
              <w:t>Travel</w:t>
            </w:r>
          </w:p>
        </w:tc>
        <w:tc>
          <w:tcPr>
            <w:tcW w:w="1801" w:type="dxa"/>
          </w:tcPr>
          <w:p w14:paraId="3F78EB59" w14:textId="3C649BA0" w:rsidR="00987A43" w:rsidRPr="00987A43" w:rsidRDefault="00987A43" w:rsidP="00613ABF">
            <w:pPr>
              <w:spacing w:after="240"/>
              <w:rPr>
                <w:rFonts w:cstheme="minorHAnsi"/>
                <w:b/>
                <w:bCs/>
              </w:rPr>
            </w:pPr>
            <w:r w:rsidRPr="00987A43">
              <w:rPr>
                <w:rFonts w:cstheme="minorHAnsi"/>
                <w:b/>
                <w:bCs/>
              </w:rPr>
              <w:t>Venue + Misc costs</w:t>
            </w:r>
          </w:p>
        </w:tc>
        <w:tc>
          <w:tcPr>
            <w:tcW w:w="1801" w:type="dxa"/>
          </w:tcPr>
          <w:p w14:paraId="1CE9843C" w14:textId="3592D13B" w:rsidR="00987A43" w:rsidRPr="00987A43" w:rsidRDefault="00987A43" w:rsidP="00613ABF">
            <w:pPr>
              <w:spacing w:after="240"/>
              <w:rPr>
                <w:rFonts w:cstheme="minorHAnsi"/>
                <w:b/>
                <w:bCs/>
              </w:rPr>
            </w:pPr>
            <w:r w:rsidRPr="00987A43">
              <w:rPr>
                <w:rFonts w:cstheme="minorHAnsi"/>
                <w:b/>
                <w:bCs/>
              </w:rPr>
              <w:t>Overheads</w:t>
            </w:r>
          </w:p>
        </w:tc>
        <w:tc>
          <w:tcPr>
            <w:tcW w:w="1802" w:type="dxa"/>
          </w:tcPr>
          <w:p w14:paraId="4582AF8A" w14:textId="77DA8F96" w:rsidR="00987A43" w:rsidRPr="00987A43" w:rsidRDefault="00987A43" w:rsidP="00613ABF">
            <w:pPr>
              <w:spacing w:after="240"/>
              <w:rPr>
                <w:rFonts w:cstheme="minorHAnsi"/>
                <w:b/>
                <w:bCs/>
              </w:rPr>
            </w:pPr>
            <w:r w:rsidRPr="00987A43">
              <w:rPr>
                <w:rFonts w:cstheme="minorHAnsi"/>
                <w:b/>
                <w:bCs/>
              </w:rPr>
              <w:t>Total</w:t>
            </w:r>
          </w:p>
        </w:tc>
      </w:tr>
      <w:tr w:rsidR="00987A43" w14:paraId="630BE09D" w14:textId="77777777" w:rsidTr="00987A43">
        <w:tc>
          <w:tcPr>
            <w:tcW w:w="1801" w:type="dxa"/>
          </w:tcPr>
          <w:p w14:paraId="0E55A9DC" w14:textId="29487669" w:rsidR="00987A43" w:rsidRDefault="00987A43" w:rsidP="00613ABF">
            <w:pPr>
              <w:spacing w:after="240"/>
              <w:rPr>
                <w:rFonts w:cstheme="minorHAnsi"/>
              </w:rPr>
            </w:pPr>
            <w:r>
              <w:rPr>
                <w:rFonts w:cstheme="minorHAnsi"/>
              </w:rPr>
              <w:t>Africa</w:t>
            </w:r>
          </w:p>
        </w:tc>
        <w:tc>
          <w:tcPr>
            <w:tcW w:w="1801" w:type="dxa"/>
          </w:tcPr>
          <w:p w14:paraId="076211C0" w14:textId="44A02A1D" w:rsidR="00987A43" w:rsidRDefault="00987A43" w:rsidP="00613ABF">
            <w:pPr>
              <w:spacing w:after="240"/>
              <w:rPr>
                <w:rFonts w:cstheme="minorHAnsi"/>
              </w:rPr>
            </w:pPr>
            <w:r>
              <w:rPr>
                <w:rFonts w:cstheme="minorHAnsi"/>
              </w:rPr>
              <w:t>113,940</w:t>
            </w:r>
          </w:p>
        </w:tc>
        <w:tc>
          <w:tcPr>
            <w:tcW w:w="1801" w:type="dxa"/>
          </w:tcPr>
          <w:p w14:paraId="584FA866" w14:textId="0306D071" w:rsidR="00987A43" w:rsidRDefault="00987A43" w:rsidP="00613ABF">
            <w:pPr>
              <w:spacing w:after="240"/>
              <w:rPr>
                <w:rFonts w:cstheme="minorHAnsi"/>
              </w:rPr>
            </w:pPr>
            <w:r>
              <w:rPr>
                <w:rFonts w:cstheme="minorHAnsi"/>
              </w:rPr>
              <w:t>36,060</w:t>
            </w:r>
          </w:p>
        </w:tc>
        <w:tc>
          <w:tcPr>
            <w:tcW w:w="1801" w:type="dxa"/>
          </w:tcPr>
          <w:p w14:paraId="02FC2CFF" w14:textId="3D146CDE" w:rsidR="00987A43" w:rsidRDefault="00987A43" w:rsidP="00613ABF">
            <w:pPr>
              <w:spacing w:after="240"/>
              <w:rPr>
                <w:rFonts w:cstheme="minorHAnsi"/>
              </w:rPr>
            </w:pPr>
            <w:r>
              <w:rPr>
                <w:rFonts w:cstheme="minorHAnsi"/>
              </w:rPr>
              <w:t>19,500</w:t>
            </w:r>
          </w:p>
        </w:tc>
        <w:tc>
          <w:tcPr>
            <w:tcW w:w="1802" w:type="dxa"/>
          </w:tcPr>
          <w:p w14:paraId="1F56E13F" w14:textId="38D59D4B" w:rsidR="00987A43" w:rsidRDefault="00987A43" w:rsidP="00613ABF">
            <w:pPr>
              <w:spacing w:after="240"/>
              <w:rPr>
                <w:rFonts w:cstheme="minorHAnsi"/>
              </w:rPr>
            </w:pPr>
            <w:r>
              <w:rPr>
                <w:rFonts w:cstheme="minorHAnsi"/>
              </w:rPr>
              <w:t>169,500</w:t>
            </w:r>
          </w:p>
        </w:tc>
      </w:tr>
      <w:tr w:rsidR="00987A43" w14:paraId="343B5510" w14:textId="77777777" w:rsidTr="00987A43">
        <w:tc>
          <w:tcPr>
            <w:tcW w:w="1801" w:type="dxa"/>
          </w:tcPr>
          <w:p w14:paraId="59B4D6C1" w14:textId="1958E2E5" w:rsidR="00987A43" w:rsidRDefault="00987A43" w:rsidP="00613ABF">
            <w:pPr>
              <w:spacing w:after="240"/>
              <w:rPr>
                <w:rFonts w:cstheme="minorHAnsi"/>
              </w:rPr>
            </w:pPr>
            <w:r>
              <w:rPr>
                <w:rFonts w:cstheme="minorHAnsi"/>
              </w:rPr>
              <w:t>Asia Pacific</w:t>
            </w:r>
          </w:p>
        </w:tc>
        <w:tc>
          <w:tcPr>
            <w:tcW w:w="1801" w:type="dxa"/>
          </w:tcPr>
          <w:p w14:paraId="099F7D4A" w14:textId="7AEF827D" w:rsidR="00987A43" w:rsidRDefault="00987A43" w:rsidP="00613ABF">
            <w:pPr>
              <w:spacing w:after="240"/>
              <w:rPr>
                <w:rFonts w:cstheme="minorHAnsi"/>
              </w:rPr>
            </w:pPr>
            <w:r>
              <w:rPr>
                <w:rFonts w:cstheme="minorHAnsi"/>
              </w:rPr>
              <w:t>113,940</w:t>
            </w:r>
          </w:p>
        </w:tc>
        <w:tc>
          <w:tcPr>
            <w:tcW w:w="1801" w:type="dxa"/>
          </w:tcPr>
          <w:p w14:paraId="469624D3" w14:textId="61152737" w:rsidR="00987A43" w:rsidRDefault="00987A43" w:rsidP="00613ABF">
            <w:pPr>
              <w:spacing w:after="240"/>
              <w:rPr>
                <w:rFonts w:cstheme="minorHAnsi"/>
              </w:rPr>
            </w:pPr>
            <w:r>
              <w:rPr>
                <w:rFonts w:cstheme="minorHAnsi"/>
              </w:rPr>
              <w:t>11,060</w:t>
            </w:r>
          </w:p>
        </w:tc>
        <w:tc>
          <w:tcPr>
            <w:tcW w:w="1801" w:type="dxa"/>
          </w:tcPr>
          <w:p w14:paraId="090F7B30" w14:textId="0C13141D" w:rsidR="00987A43" w:rsidRDefault="00987A43" w:rsidP="00613ABF">
            <w:pPr>
              <w:spacing w:after="240"/>
              <w:rPr>
                <w:rFonts w:cstheme="minorHAnsi"/>
              </w:rPr>
            </w:pPr>
            <w:r>
              <w:rPr>
                <w:rFonts w:cstheme="minorHAnsi"/>
              </w:rPr>
              <w:t>16,250</w:t>
            </w:r>
          </w:p>
        </w:tc>
        <w:tc>
          <w:tcPr>
            <w:tcW w:w="1802" w:type="dxa"/>
          </w:tcPr>
          <w:p w14:paraId="31F58D52" w14:textId="1382C5D9" w:rsidR="00987A43" w:rsidRDefault="00987A43" w:rsidP="00613ABF">
            <w:pPr>
              <w:spacing w:after="240"/>
              <w:rPr>
                <w:rFonts w:cstheme="minorHAnsi"/>
              </w:rPr>
            </w:pPr>
            <w:r>
              <w:rPr>
                <w:rFonts w:cstheme="minorHAnsi"/>
              </w:rPr>
              <w:t>141,250</w:t>
            </w:r>
          </w:p>
        </w:tc>
      </w:tr>
      <w:tr w:rsidR="00987A43" w14:paraId="4B9D7E42" w14:textId="77777777" w:rsidTr="00987A43">
        <w:tc>
          <w:tcPr>
            <w:tcW w:w="1801" w:type="dxa"/>
          </w:tcPr>
          <w:p w14:paraId="633B0B38" w14:textId="29196CF0" w:rsidR="00987A43" w:rsidRDefault="00987A43" w:rsidP="00613ABF">
            <w:pPr>
              <w:spacing w:after="240"/>
              <w:rPr>
                <w:rFonts w:cstheme="minorHAnsi"/>
              </w:rPr>
            </w:pPr>
            <w:r>
              <w:rPr>
                <w:rFonts w:cstheme="minorHAnsi"/>
              </w:rPr>
              <w:t>EEG</w:t>
            </w:r>
          </w:p>
        </w:tc>
        <w:tc>
          <w:tcPr>
            <w:tcW w:w="1801" w:type="dxa"/>
          </w:tcPr>
          <w:p w14:paraId="6B2A5D53" w14:textId="78C3DB6B" w:rsidR="00987A43" w:rsidRDefault="008F0EAE" w:rsidP="00613ABF">
            <w:pPr>
              <w:spacing w:after="240"/>
              <w:rPr>
                <w:rFonts w:cstheme="minorHAnsi"/>
              </w:rPr>
            </w:pPr>
            <w:r>
              <w:rPr>
                <w:rFonts w:cstheme="minorHAnsi"/>
              </w:rPr>
              <w:t>48,530</w:t>
            </w:r>
          </w:p>
        </w:tc>
        <w:tc>
          <w:tcPr>
            <w:tcW w:w="1801" w:type="dxa"/>
          </w:tcPr>
          <w:p w14:paraId="534B2E44" w14:textId="2EB32AB6" w:rsidR="00987A43" w:rsidRDefault="008F0EAE" w:rsidP="00613ABF">
            <w:pPr>
              <w:spacing w:after="240"/>
              <w:rPr>
                <w:rFonts w:cstheme="minorHAnsi"/>
              </w:rPr>
            </w:pPr>
            <w:r>
              <w:rPr>
                <w:rFonts w:cstheme="minorHAnsi"/>
              </w:rPr>
              <w:t>26,470</w:t>
            </w:r>
          </w:p>
        </w:tc>
        <w:tc>
          <w:tcPr>
            <w:tcW w:w="1801" w:type="dxa"/>
          </w:tcPr>
          <w:p w14:paraId="063ABCF3" w14:textId="2010843C" w:rsidR="00987A43" w:rsidRDefault="008F0EAE" w:rsidP="00613ABF">
            <w:pPr>
              <w:spacing w:after="240"/>
              <w:rPr>
                <w:rFonts w:cstheme="minorHAnsi"/>
              </w:rPr>
            </w:pPr>
            <w:r>
              <w:rPr>
                <w:rFonts w:cstheme="minorHAnsi"/>
              </w:rPr>
              <w:t>9,750</w:t>
            </w:r>
          </w:p>
        </w:tc>
        <w:tc>
          <w:tcPr>
            <w:tcW w:w="1802" w:type="dxa"/>
          </w:tcPr>
          <w:p w14:paraId="166F6C61" w14:textId="3B50CF85" w:rsidR="00987A43" w:rsidRDefault="008F0EAE" w:rsidP="00613ABF">
            <w:pPr>
              <w:spacing w:after="240"/>
              <w:rPr>
                <w:rFonts w:cstheme="minorHAnsi"/>
              </w:rPr>
            </w:pPr>
            <w:r>
              <w:rPr>
                <w:rFonts w:cstheme="minorHAnsi"/>
              </w:rPr>
              <w:t>84,750</w:t>
            </w:r>
          </w:p>
        </w:tc>
      </w:tr>
      <w:tr w:rsidR="00987A43" w14:paraId="10EDC7A5" w14:textId="77777777" w:rsidTr="00987A43">
        <w:tc>
          <w:tcPr>
            <w:tcW w:w="1801" w:type="dxa"/>
          </w:tcPr>
          <w:p w14:paraId="74018C94" w14:textId="4236722C" w:rsidR="00987A43" w:rsidRDefault="00987A43" w:rsidP="00613ABF">
            <w:pPr>
              <w:spacing w:after="240"/>
              <w:rPr>
                <w:rFonts w:cstheme="minorHAnsi"/>
              </w:rPr>
            </w:pPr>
            <w:r>
              <w:rPr>
                <w:rFonts w:cstheme="minorHAnsi"/>
              </w:rPr>
              <w:t>GRULAC</w:t>
            </w:r>
          </w:p>
        </w:tc>
        <w:tc>
          <w:tcPr>
            <w:tcW w:w="1801" w:type="dxa"/>
          </w:tcPr>
          <w:p w14:paraId="7A7B0B77" w14:textId="4F046875" w:rsidR="00987A43" w:rsidRDefault="00390FFD" w:rsidP="00613ABF">
            <w:pPr>
              <w:spacing w:after="240"/>
              <w:rPr>
                <w:rFonts w:cstheme="minorHAnsi"/>
              </w:rPr>
            </w:pPr>
            <w:r>
              <w:rPr>
                <w:rFonts w:cstheme="minorHAnsi"/>
              </w:rPr>
              <w:t>69,630</w:t>
            </w:r>
          </w:p>
        </w:tc>
        <w:tc>
          <w:tcPr>
            <w:tcW w:w="1801" w:type="dxa"/>
          </w:tcPr>
          <w:p w14:paraId="5D73BE41" w14:textId="0CD5C3C0" w:rsidR="00987A43" w:rsidRDefault="00390FFD" w:rsidP="00613ABF">
            <w:pPr>
              <w:spacing w:after="240"/>
              <w:rPr>
                <w:rFonts w:cstheme="minorHAnsi"/>
              </w:rPr>
            </w:pPr>
            <w:r>
              <w:rPr>
                <w:rFonts w:cstheme="minorHAnsi"/>
              </w:rPr>
              <w:t>30,370</w:t>
            </w:r>
          </w:p>
        </w:tc>
        <w:tc>
          <w:tcPr>
            <w:tcW w:w="1801" w:type="dxa"/>
          </w:tcPr>
          <w:p w14:paraId="3C569E5A" w14:textId="20C64F88" w:rsidR="00987A43" w:rsidRDefault="00390FFD" w:rsidP="00613ABF">
            <w:pPr>
              <w:spacing w:after="240"/>
              <w:rPr>
                <w:rFonts w:cstheme="minorHAnsi"/>
              </w:rPr>
            </w:pPr>
            <w:r>
              <w:rPr>
                <w:rFonts w:cstheme="minorHAnsi"/>
              </w:rPr>
              <w:t>13,000</w:t>
            </w:r>
          </w:p>
        </w:tc>
        <w:tc>
          <w:tcPr>
            <w:tcW w:w="1802" w:type="dxa"/>
          </w:tcPr>
          <w:p w14:paraId="6205BB42" w14:textId="2D3F73ED" w:rsidR="00987A43" w:rsidRDefault="00390FFD" w:rsidP="00613ABF">
            <w:pPr>
              <w:spacing w:after="240"/>
              <w:rPr>
                <w:rFonts w:cstheme="minorHAnsi"/>
              </w:rPr>
            </w:pPr>
            <w:r>
              <w:rPr>
                <w:rFonts w:cstheme="minorHAnsi"/>
              </w:rPr>
              <w:t>113,000</w:t>
            </w:r>
          </w:p>
        </w:tc>
      </w:tr>
      <w:tr w:rsidR="00987A43" w14:paraId="630C6FF3" w14:textId="77777777" w:rsidTr="00987A43">
        <w:tc>
          <w:tcPr>
            <w:tcW w:w="1801" w:type="dxa"/>
          </w:tcPr>
          <w:p w14:paraId="0D10B14D" w14:textId="353E3B09" w:rsidR="00987A43" w:rsidRDefault="00987A43" w:rsidP="00613ABF">
            <w:pPr>
              <w:spacing w:after="240"/>
              <w:rPr>
                <w:rFonts w:cstheme="minorHAnsi"/>
              </w:rPr>
            </w:pPr>
            <w:r>
              <w:rPr>
                <w:rFonts w:cstheme="minorHAnsi"/>
              </w:rPr>
              <w:t>WEOG</w:t>
            </w:r>
          </w:p>
        </w:tc>
        <w:tc>
          <w:tcPr>
            <w:tcW w:w="1801" w:type="dxa"/>
          </w:tcPr>
          <w:p w14:paraId="546E9ED4" w14:textId="630713F3" w:rsidR="00987A43" w:rsidRDefault="00E24972" w:rsidP="00613ABF">
            <w:pPr>
              <w:spacing w:after="240"/>
              <w:rPr>
                <w:rFonts w:cstheme="minorHAnsi"/>
              </w:rPr>
            </w:pPr>
            <w:r>
              <w:rPr>
                <w:rFonts w:cstheme="minorHAnsi"/>
              </w:rPr>
              <w:t>-</w:t>
            </w:r>
          </w:p>
        </w:tc>
        <w:tc>
          <w:tcPr>
            <w:tcW w:w="1801" w:type="dxa"/>
          </w:tcPr>
          <w:p w14:paraId="32D00C46" w14:textId="21953815" w:rsidR="00987A43" w:rsidRDefault="00E24972" w:rsidP="00613ABF">
            <w:pPr>
              <w:spacing w:after="240"/>
              <w:rPr>
                <w:rFonts w:cstheme="minorHAnsi"/>
              </w:rPr>
            </w:pPr>
            <w:r>
              <w:rPr>
                <w:rFonts w:cstheme="minorHAnsi"/>
              </w:rPr>
              <w:t>-</w:t>
            </w:r>
          </w:p>
        </w:tc>
        <w:tc>
          <w:tcPr>
            <w:tcW w:w="1801" w:type="dxa"/>
          </w:tcPr>
          <w:p w14:paraId="7273AA6D" w14:textId="74953932" w:rsidR="00987A43" w:rsidRDefault="00E24972" w:rsidP="00613ABF">
            <w:pPr>
              <w:spacing w:after="240"/>
              <w:rPr>
                <w:rFonts w:cstheme="minorHAnsi"/>
              </w:rPr>
            </w:pPr>
            <w:r>
              <w:rPr>
                <w:rFonts w:cstheme="minorHAnsi"/>
              </w:rPr>
              <w:t>-</w:t>
            </w:r>
          </w:p>
        </w:tc>
        <w:tc>
          <w:tcPr>
            <w:tcW w:w="1802" w:type="dxa"/>
          </w:tcPr>
          <w:p w14:paraId="5A5DFEFF" w14:textId="1BC01C84" w:rsidR="00987A43" w:rsidRDefault="00E24972" w:rsidP="00613ABF">
            <w:pPr>
              <w:spacing w:after="240"/>
              <w:rPr>
                <w:rFonts w:cstheme="minorHAnsi"/>
              </w:rPr>
            </w:pPr>
            <w:r>
              <w:rPr>
                <w:rFonts w:cstheme="minorHAnsi"/>
              </w:rPr>
              <w:t>-</w:t>
            </w:r>
          </w:p>
        </w:tc>
      </w:tr>
      <w:tr w:rsidR="00987A43" w14:paraId="7E881EE0" w14:textId="77777777" w:rsidTr="00987A43">
        <w:tc>
          <w:tcPr>
            <w:tcW w:w="1801" w:type="dxa"/>
          </w:tcPr>
          <w:p w14:paraId="6F2FAC05" w14:textId="5E8F5883" w:rsidR="00987A43" w:rsidRDefault="00987A43" w:rsidP="00613ABF">
            <w:pPr>
              <w:spacing w:after="240"/>
              <w:rPr>
                <w:rFonts w:cstheme="minorHAnsi"/>
              </w:rPr>
            </w:pPr>
            <w:r>
              <w:rPr>
                <w:rFonts w:cstheme="minorHAnsi"/>
              </w:rPr>
              <w:t>Total</w:t>
            </w:r>
          </w:p>
        </w:tc>
        <w:tc>
          <w:tcPr>
            <w:tcW w:w="1801" w:type="dxa"/>
          </w:tcPr>
          <w:p w14:paraId="12E7277E" w14:textId="360AE0E1" w:rsidR="00987A43" w:rsidRDefault="00E24972" w:rsidP="00613ABF">
            <w:pPr>
              <w:spacing w:after="240"/>
              <w:rPr>
                <w:rFonts w:cstheme="minorHAnsi"/>
              </w:rPr>
            </w:pPr>
            <w:r>
              <w:rPr>
                <w:rFonts w:cstheme="minorHAnsi"/>
              </w:rPr>
              <w:t>346,040</w:t>
            </w:r>
          </w:p>
        </w:tc>
        <w:tc>
          <w:tcPr>
            <w:tcW w:w="1801" w:type="dxa"/>
          </w:tcPr>
          <w:p w14:paraId="48E2C100" w14:textId="581BAF17" w:rsidR="00987A43" w:rsidRDefault="00E24972" w:rsidP="00613ABF">
            <w:pPr>
              <w:spacing w:after="240"/>
              <w:rPr>
                <w:rFonts w:cstheme="minorHAnsi"/>
              </w:rPr>
            </w:pPr>
            <w:r>
              <w:rPr>
                <w:rFonts w:cstheme="minorHAnsi"/>
              </w:rPr>
              <w:t>103,960</w:t>
            </w:r>
          </w:p>
        </w:tc>
        <w:tc>
          <w:tcPr>
            <w:tcW w:w="1801" w:type="dxa"/>
          </w:tcPr>
          <w:p w14:paraId="3E12E7A1" w14:textId="0253F64A" w:rsidR="00987A43" w:rsidRDefault="00E24972" w:rsidP="00613ABF">
            <w:pPr>
              <w:spacing w:after="240"/>
              <w:rPr>
                <w:rFonts w:cstheme="minorHAnsi"/>
              </w:rPr>
            </w:pPr>
            <w:r>
              <w:rPr>
                <w:rFonts w:cstheme="minorHAnsi"/>
              </w:rPr>
              <w:t>58,500</w:t>
            </w:r>
          </w:p>
        </w:tc>
        <w:tc>
          <w:tcPr>
            <w:tcW w:w="1802" w:type="dxa"/>
          </w:tcPr>
          <w:p w14:paraId="764CE207" w14:textId="74455666" w:rsidR="00987A43" w:rsidRDefault="00E24972" w:rsidP="00613ABF">
            <w:pPr>
              <w:spacing w:after="240"/>
              <w:rPr>
                <w:rFonts w:cstheme="minorHAnsi"/>
              </w:rPr>
            </w:pPr>
            <w:r>
              <w:rPr>
                <w:rFonts w:cstheme="minorHAnsi"/>
              </w:rPr>
              <w:t>508,500</w:t>
            </w:r>
          </w:p>
        </w:tc>
      </w:tr>
    </w:tbl>
    <w:p w14:paraId="70AA408D" w14:textId="77777777" w:rsidR="00987A43" w:rsidRDefault="00987A43" w:rsidP="00613ABF">
      <w:pPr>
        <w:spacing w:after="240"/>
        <w:rPr>
          <w:rFonts w:cstheme="minorHAnsi"/>
        </w:rPr>
      </w:pPr>
    </w:p>
    <w:tbl>
      <w:tblPr>
        <w:tblStyle w:val="TableGrid"/>
        <w:tblW w:w="4989" w:type="pct"/>
        <w:tblLook w:val="04A0" w:firstRow="1" w:lastRow="0" w:firstColumn="1" w:lastColumn="0" w:noHBand="0" w:noVBand="1"/>
      </w:tblPr>
      <w:tblGrid>
        <w:gridCol w:w="1618"/>
        <w:gridCol w:w="1228"/>
        <w:gridCol w:w="1227"/>
        <w:gridCol w:w="1229"/>
        <w:gridCol w:w="1229"/>
        <w:gridCol w:w="1229"/>
        <w:gridCol w:w="1226"/>
      </w:tblGrid>
      <w:tr w:rsidR="00A8498B" w14:paraId="4C31AEC3" w14:textId="77777777" w:rsidTr="00A8498B">
        <w:tc>
          <w:tcPr>
            <w:tcW w:w="5000" w:type="pct"/>
            <w:gridSpan w:val="7"/>
          </w:tcPr>
          <w:p w14:paraId="214416F6" w14:textId="46D2A91C" w:rsidR="00A8498B" w:rsidRPr="00A8498B" w:rsidRDefault="00A8498B" w:rsidP="00613ABF">
            <w:pPr>
              <w:spacing w:after="240"/>
              <w:rPr>
                <w:rFonts w:cstheme="minorHAnsi"/>
                <w:b/>
                <w:bCs/>
              </w:rPr>
            </w:pPr>
            <w:r>
              <w:rPr>
                <w:rFonts w:cstheme="minorHAnsi"/>
                <w:b/>
                <w:bCs/>
              </w:rPr>
              <w:t>Overall budget table, with year-by-year estimated costing</w:t>
            </w:r>
          </w:p>
        </w:tc>
      </w:tr>
      <w:tr w:rsidR="0088311D" w14:paraId="50A3CC98" w14:textId="77777777" w:rsidTr="00382DF1">
        <w:tc>
          <w:tcPr>
            <w:tcW w:w="900" w:type="pct"/>
            <w:tcBorders>
              <w:top w:val="single" w:sz="12" w:space="0" w:color="auto"/>
              <w:left w:val="single" w:sz="12" w:space="0" w:color="auto"/>
              <w:bottom w:val="single" w:sz="12" w:space="0" w:color="auto"/>
            </w:tcBorders>
          </w:tcPr>
          <w:p w14:paraId="4365715C" w14:textId="492232CA" w:rsidR="0088311D" w:rsidRPr="00137CE1" w:rsidRDefault="00FF05A7" w:rsidP="00613ABF">
            <w:pPr>
              <w:spacing w:after="240"/>
              <w:rPr>
                <w:rFonts w:cstheme="minorHAnsi"/>
                <w:b/>
                <w:bCs/>
              </w:rPr>
            </w:pPr>
            <w:r w:rsidRPr="00137CE1">
              <w:rPr>
                <w:rFonts w:cstheme="minorHAnsi"/>
                <w:b/>
                <w:bCs/>
              </w:rPr>
              <w:t>Expenditure Category</w:t>
            </w:r>
          </w:p>
        </w:tc>
        <w:tc>
          <w:tcPr>
            <w:tcW w:w="683" w:type="pct"/>
            <w:tcBorders>
              <w:top w:val="single" w:sz="12" w:space="0" w:color="auto"/>
              <w:bottom w:val="single" w:sz="12" w:space="0" w:color="auto"/>
            </w:tcBorders>
          </w:tcPr>
          <w:p w14:paraId="25BABEA6" w14:textId="72DAFEA2" w:rsidR="0088311D" w:rsidRPr="00137CE1" w:rsidRDefault="00FF05A7" w:rsidP="00613ABF">
            <w:pPr>
              <w:spacing w:after="240"/>
              <w:rPr>
                <w:rFonts w:cstheme="minorHAnsi"/>
                <w:b/>
                <w:bCs/>
              </w:rPr>
            </w:pPr>
            <w:r w:rsidRPr="00137CE1">
              <w:rPr>
                <w:rFonts w:cstheme="minorHAnsi"/>
                <w:b/>
                <w:bCs/>
              </w:rPr>
              <w:t>2022</w:t>
            </w:r>
          </w:p>
        </w:tc>
        <w:tc>
          <w:tcPr>
            <w:tcW w:w="683" w:type="pct"/>
            <w:tcBorders>
              <w:top w:val="single" w:sz="12" w:space="0" w:color="auto"/>
              <w:bottom w:val="single" w:sz="12" w:space="0" w:color="auto"/>
            </w:tcBorders>
          </w:tcPr>
          <w:p w14:paraId="0830B32F" w14:textId="761E6DFF" w:rsidR="0088311D" w:rsidRPr="00137CE1" w:rsidRDefault="00FF05A7" w:rsidP="00613ABF">
            <w:pPr>
              <w:spacing w:after="240"/>
              <w:rPr>
                <w:rFonts w:cstheme="minorHAnsi"/>
                <w:b/>
                <w:bCs/>
              </w:rPr>
            </w:pPr>
            <w:r w:rsidRPr="00137CE1">
              <w:rPr>
                <w:rFonts w:cstheme="minorHAnsi"/>
                <w:b/>
                <w:bCs/>
              </w:rPr>
              <w:t>2023</w:t>
            </w:r>
          </w:p>
        </w:tc>
        <w:tc>
          <w:tcPr>
            <w:tcW w:w="684" w:type="pct"/>
            <w:tcBorders>
              <w:top w:val="single" w:sz="12" w:space="0" w:color="auto"/>
              <w:bottom w:val="single" w:sz="12" w:space="0" w:color="auto"/>
            </w:tcBorders>
          </w:tcPr>
          <w:p w14:paraId="4F56D37C" w14:textId="0C09EAA2" w:rsidR="0088311D" w:rsidRPr="00137CE1" w:rsidRDefault="00137CE1" w:rsidP="00613ABF">
            <w:pPr>
              <w:spacing w:after="240"/>
              <w:rPr>
                <w:rFonts w:cstheme="minorHAnsi"/>
                <w:b/>
                <w:bCs/>
              </w:rPr>
            </w:pPr>
            <w:r w:rsidRPr="00137CE1">
              <w:rPr>
                <w:rFonts w:cstheme="minorHAnsi"/>
                <w:b/>
                <w:bCs/>
              </w:rPr>
              <w:t>2024</w:t>
            </w:r>
          </w:p>
        </w:tc>
        <w:tc>
          <w:tcPr>
            <w:tcW w:w="684" w:type="pct"/>
            <w:tcBorders>
              <w:top w:val="single" w:sz="12" w:space="0" w:color="auto"/>
              <w:bottom w:val="single" w:sz="12" w:space="0" w:color="auto"/>
            </w:tcBorders>
          </w:tcPr>
          <w:p w14:paraId="50FC2BD7" w14:textId="2D361332" w:rsidR="0088311D" w:rsidRPr="00137CE1" w:rsidRDefault="00137CE1" w:rsidP="00613ABF">
            <w:pPr>
              <w:spacing w:after="240"/>
              <w:rPr>
                <w:rFonts w:cstheme="minorHAnsi"/>
                <w:b/>
                <w:bCs/>
              </w:rPr>
            </w:pPr>
            <w:r w:rsidRPr="00137CE1">
              <w:rPr>
                <w:rFonts w:cstheme="minorHAnsi"/>
                <w:b/>
                <w:bCs/>
              </w:rPr>
              <w:t>2025</w:t>
            </w:r>
          </w:p>
        </w:tc>
        <w:tc>
          <w:tcPr>
            <w:tcW w:w="684" w:type="pct"/>
            <w:tcBorders>
              <w:top w:val="single" w:sz="12" w:space="0" w:color="auto"/>
              <w:bottom w:val="single" w:sz="12" w:space="0" w:color="auto"/>
            </w:tcBorders>
          </w:tcPr>
          <w:p w14:paraId="752AB13E" w14:textId="0DCC47DF" w:rsidR="0088311D" w:rsidRPr="00137CE1" w:rsidRDefault="00137CE1" w:rsidP="00613ABF">
            <w:pPr>
              <w:spacing w:after="240"/>
              <w:rPr>
                <w:rFonts w:cstheme="minorHAnsi"/>
                <w:b/>
                <w:bCs/>
              </w:rPr>
            </w:pPr>
            <w:r w:rsidRPr="00137CE1">
              <w:rPr>
                <w:rFonts w:cstheme="minorHAnsi"/>
                <w:b/>
                <w:bCs/>
              </w:rPr>
              <w:t>Overheads</w:t>
            </w:r>
          </w:p>
        </w:tc>
        <w:tc>
          <w:tcPr>
            <w:tcW w:w="682" w:type="pct"/>
            <w:tcBorders>
              <w:top w:val="single" w:sz="12" w:space="0" w:color="auto"/>
              <w:bottom w:val="single" w:sz="12" w:space="0" w:color="auto"/>
              <w:right w:val="single" w:sz="12" w:space="0" w:color="auto"/>
            </w:tcBorders>
          </w:tcPr>
          <w:p w14:paraId="01DE8513" w14:textId="164F90D3" w:rsidR="0088311D" w:rsidRPr="00137CE1" w:rsidRDefault="00137CE1" w:rsidP="00613ABF">
            <w:pPr>
              <w:spacing w:after="240"/>
              <w:rPr>
                <w:rFonts w:cstheme="minorHAnsi"/>
                <w:b/>
                <w:bCs/>
              </w:rPr>
            </w:pPr>
            <w:r w:rsidRPr="00137CE1">
              <w:rPr>
                <w:rFonts w:cstheme="minorHAnsi"/>
                <w:b/>
                <w:bCs/>
              </w:rPr>
              <w:t>Total</w:t>
            </w:r>
          </w:p>
        </w:tc>
      </w:tr>
      <w:tr w:rsidR="00382DF1" w14:paraId="66353322" w14:textId="77777777" w:rsidTr="00382DF1">
        <w:tc>
          <w:tcPr>
            <w:tcW w:w="4318" w:type="pct"/>
            <w:gridSpan w:val="6"/>
            <w:tcBorders>
              <w:top w:val="single" w:sz="12" w:space="0" w:color="auto"/>
              <w:left w:val="single" w:sz="12" w:space="0" w:color="auto"/>
              <w:bottom w:val="nil"/>
              <w:right w:val="single" w:sz="4" w:space="0" w:color="auto"/>
            </w:tcBorders>
          </w:tcPr>
          <w:p w14:paraId="6BC9E16F" w14:textId="77777777" w:rsidR="00382DF1" w:rsidRPr="00137CE1" w:rsidRDefault="00382DF1" w:rsidP="00613ABF">
            <w:pPr>
              <w:spacing w:after="240"/>
              <w:rPr>
                <w:rFonts w:cstheme="minorHAnsi"/>
                <w:b/>
                <w:bCs/>
              </w:rPr>
            </w:pPr>
            <w:r w:rsidRPr="00137CE1">
              <w:rPr>
                <w:rFonts w:cstheme="minorHAnsi"/>
                <w:b/>
                <w:bCs/>
              </w:rPr>
              <w:t>Secretariat Annual Requirements</w:t>
            </w:r>
          </w:p>
        </w:tc>
        <w:tc>
          <w:tcPr>
            <w:tcW w:w="682" w:type="pct"/>
            <w:tcBorders>
              <w:top w:val="single" w:sz="12" w:space="0" w:color="auto"/>
              <w:left w:val="single" w:sz="4" w:space="0" w:color="auto"/>
              <w:bottom w:val="nil"/>
              <w:right w:val="single" w:sz="12" w:space="0" w:color="auto"/>
            </w:tcBorders>
          </w:tcPr>
          <w:p w14:paraId="671D32DD" w14:textId="7AC4D26F" w:rsidR="00382DF1" w:rsidRPr="00137CE1" w:rsidRDefault="00382DF1" w:rsidP="00613ABF">
            <w:pPr>
              <w:spacing w:after="240"/>
              <w:rPr>
                <w:rFonts w:cstheme="minorHAnsi"/>
                <w:b/>
                <w:bCs/>
              </w:rPr>
            </w:pPr>
          </w:p>
        </w:tc>
      </w:tr>
      <w:tr w:rsidR="0088311D" w14:paraId="61BFFEA8" w14:textId="77777777" w:rsidTr="00382DF1">
        <w:tc>
          <w:tcPr>
            <w:tcW w:w="900" w:type="pct"/>
            <w:tcBorders>
              <w:top w:val="nil"/>
              <w:left w:val="single" w:sz="12" w:space="0" w:color="auto"/>
              <w:bottom w:val="nil"/>
              <w:right w:val="nil"/>
            </w:tcBorders>
          </w:tcPr>
          <w:p w14:paraId="21F779F1" w14:textId="2466ADB1" w:rsidR="0088311D" w:rsidRDefault="00DA0347" w:rsidP="00613ABF">
            <w:pPr>
              <w:spacing w:after="240"/>
              <w:rPr>
                <w:rFonts w:cstheme="minorHAnsi"/>
              </w:rPr>
            </w:pPr>
            <w:r>
              <w:rPr>
                <w:rFonts w:cstheme="minorHAnsi"/>
              </w:rPr>
              <w:lastRenderedPageBreak/>
              <w:t>Staff and other personnel costs</w:t>
            </w:r>
            <w:r w:rsidR="00552BB3">
              <w:rPr>
                <w:rFonts w:cstheme="minorHAnsi"/>
              </w:rPr>
              <w:t>*</w:t>
            </w:r>
          </w:p>
        </w:tc>
        <w:tc>
          <w:tcPr>
            <w:tcW w:w="683" w:type="pct"/>
            <w:tcBorders>
              <w:top w:val="nil"/>
              <w:left w:val="nil"/>
              <w:bottom w:val="nil"/>
              <w:right w:val="nil"/>
            </w:tcBorders>
          </w:tcPr>
          <w:p w14:paraId="2E0DDD2E" w14:textId="4AFA344F" w:rsidR="0088311D" w:rsidRDefault="000E46A5" w:rsidP="00613ABF">
            <w:pPr>
              <w:spacing w:after="240"/>
              <w:rPr>
                <w:rFonts w:cstheme="minorHAnsi"/>
              </w:rPr>
            </w:pPr>
            <w:r>
              <w:rPr>
                <w:rFonts w:cstheme="minorHAnsi"/>
              </w:rPr>
              <w:t>1,197,825</w:t>
            </w:r>
          </w:p>
        </w:tc>
        <w:tc>
          <w:tcPr>
            <w:tcW w:w="683" w:type="pct"/>
            <w:tcBorders>
              <w:top w:val="nil"/>
              <w:left w:val="nil"/>
              <w:bottom w:val="nil"/>
              <w:right w:val="nil"/>
            </w:tcBorders>
          </w:tcPr>
          <w:p w14:paraId="64EB0440" w14:textId="0F3AACB7" w:rsidR="0088311D" w:rsidRDefault="00FA1501" w:rsidP="00613ABF">
            <w:pPr>
              <w:spacing w:after="240"/>
              <w:rPr>
                <w:rFonts w:cstheme="minorHAnsi"/>
              </w:rPr>
            </w:pPr>
            <w:r>
              <w:rPr>
                <w:rFonts w:cstheme="minorHAnsi"/>
              </w:rPr>
              <w:t>2,395,650</w:t>
            </w:r>
          </w:p>
        </w:tc>
        <w:tc>
          <w:tcPr>
            <w:tcW w:w="684" w:type="pct"/>
            <w:tcBorders>
              <w:top w:val="nil"/>
              <w:left w:val="nil"/>
              <w:bottom w:val="nil"/>
              <w:right w:val="nil"/>
            </w:tcBorders>
          </w:tcPr>
          <w:p w14:paraId="270F0396" w14:textId="561752F5" w:rsidR="0088311D" w:rsidRDefault="00FA1501" w:rsidP="00613ABF">
            <w:pPr>
              <w:spacing w:after="240"/>
              <w:rPr>
                <w:rFonts w:cstheme="minorHAnsi"/>
              </w:rPr>
            </w:pPr>
            <w:r>
              <w:rPr>
                <w:rFonts w:cstheme="minorHAnsi"/>
              </w:rPr>
              <w:t>2,395,650</w:t>
            </w:r>
          </w:p>
        </w:tc>
        <w:tc>
          <w:tcPr>
            <w:tcW w:w="684" w:type="pct"/>
            <w:tcBorders>
              <w:top w:val="nil"/>
              <w:left w:val="nil"/>
              <w:bottom w:val="nil"/>
              <w:right w:val="nil"/>
            </w:tcBorders>
          </w:tcPr>
          <w:p w14:paraId="06096065" w14:textId="0E968F66" w:rsidR="0088311D" w:rsidRDefault="00FA1501" w:rsidP="00613ABF">
            <w:pPr>
              <w:spacing w:after="240"/>
              <w:rPr>
                <w:rFonts w:cstheme="minorHAnsi"/>
              </w:rPr>
            </w:pPr>
            <w:r>
              <w:rPr>
                <w:rFonts w:cstheme="minorHAnsi"/>
              </w:rPr>
              <w:t>1,197,825</w:t>
            </w:r>
          </w:p>
        </w:tc>
        <w:tc>
          <w:tcPr>
            <w:tcW w:w="684" w:type="pct"/>
            <w:tcBorders>
              <w:top w:val="nil"/>
              <w:left w:val="nil"/>
              <w:bottom w:val="nil"/>
              <w:right w:val="single" w:sz="4" w:space="0" w:color="auto"/>
            </w:tcBorders>
          </w:tcPr>
          <w:p w14:paraId="30C3C06F" w14:textId="282B8B9E" w:rsidR="0088311D" w:rsidRDefault="00513A12" w:rsidP="00613ABF">
            <w:pPr>
              <w:spacing w:after="240"/>
              <w:rPr>
                <w:rFonts w:cstheme="minorHAnsi"/>
              </w:rPr>
            </w:pPr>
            <w:r>
              <w:rPr>
                <w:rFonts w:cstheme="minorHAnsi"/>
              </w:rPr>
              <w:t>934,304</w:t>
            </w:r>
          </w:p>
        </w:tc>
        <w:tc>
          <w:tcPr>
            <w:tcW w:w="682" w:type="pct"/>
            <w:tcBorders>
              <w:top w:val="nil"/>
              <w:left w:val="single" w:sz="4" w:space="0" w:color="auto"/>
              <w:bottom w:val="nil"/>
              <w:right w:val="single" w:sz="12" w:space="0" w:color="auto"/>
            </w:tcBorders>
          </w:tcPr>
          <w:p w14:paraId="60BA2F93" w14:textId="4748FC32" w:rsidR="0088311D" w:rsidRDefault="00513A12" w:rsidP="00613ABF">
            <w:pPr>
              <w:spacing w:after="240"/>
              <w:rPr>
                <w:rFonts w:cstheme="minorHAnsi"/>
              </w:rPr>
            </w:pPr>
            <w:r>
              <w:rPr>
                <w:rFonts w:cstheme="minorHAnsi"/>
              </w:rPr>
              <w:t>8,121,254</w:t>
            </w:r>
          </w:p>
        </w:tc>
      </w:tr>
      <w:tr w:rsidR="0088311D" w14:paraId="03D67552" w14:textId="77777777" w:rsidTr="00382DF1">
        <w:tc>
          <w:tcPr>
            <w:tcW w:w="900" w:type="pct"/>
            <w:tcBorders>
              <w:top w:val="nil"/>
              <w:left w:val="single" w:sz="12" w:space="0" w:color="auto"/>
              <w:bottom w:val="nil"/>
              <w:right w:val="nil"/>
            </w:tcBorders>
          </w:tcPr>
          <w:p w14:paraId="1D994E39" w14:textId="518C29D8" w:rsidR="0088311D" w:rsidRDefault="00513A12" w:rsidP="00613ABF">
            <w:pPr>
              <w:spacing w:after="240"/>
              <w:rPr>
                <w:rFonts w:cstheme="minorHAnsi"/>
              </w:rPr>
            </w:pPr>
            <w:r>
              <w:rPr>
                <w:rFonts w:cstheme="minorHAnsi"/>
              </w:rPr>
              <w:t>Consultants</w:t>
            </w:r>
          </w:p>
        </w:tc>
        <w:tc>
          <w:tcPr>
            <w:tcW w:w="683" w:type="pct"/>
            <w:tcBorders>
              <w:top w:val="nil"/>
              <w:left w:val="nil"/>
              <w:bottom w:val="nil"/>
              <w:right w:val="nil"/>
            </w:tcBorders>
          </w:tcPr>
          <w:p w14:paraId="1D5A965C" w14:textId="67763C1F" w:rsidR="0088311D" w:rsidRDefault="0071578E" w:rsidP="00613ABF">
            <w:pPr>
              <w:spacing w:after="240"/>
              <w:rPr>
                <w:rFonts w:cstheme="minorHAnsi"/>
              </w:rPr>
            </w:pPr>
            <w:r>
              <w:rPr>
                <w:rFonts w:cstheme="minorHAnsi"/>
              </w:rPr>
              <w:t>360,000</w:t>
            </w:r>
          </w:p>
        </w:tc>
        <w:tc>
          <w:tcPr>
            <w:tcW w:w="683" w:type="pct"/>
            <w:tcBorders>
              <w:top w:val="nil"/>
              <w:left w:val="nil"/>
              <w:bottom w:val="nil"/>
              <w:right w:val="nil"/>
            </w:tcBorders>
          </w:tcPr>
          <w:p w14:paraId="3746FCFF" w14:textId="58638E8B" w:rsidR="0088311D" w:rsidRDefault="004B65B6" w:rsidP="00613ABF">
            <w:pPr>
              <w:spacing w:after="240"/>
              <w:rPr>
                <w:rFonts w:cstheme="minorHAnsi"/>
              </w:rPr>
            </w:pPr>
            <w:r>
              <w:rPr>
                <w:rFonts w:cstheme="minorHAnsi"/>
              </w:rPr>
              <w:t>720,000</w:t>
            </w:r>
          </w:p>
        </w:tc>
        <w:tc>
          <w:tcPr>
            <w:tcW w:w="684" w:type="pct"/>
            <w:tcBorders>
              <w:top w:val="nil"/>
              <w:left w:val="nil"/>
              <w:bottom w:val="nil"/>
              <w:right w:val="nil"/>
            </w:tcBorders>
          </w:tcPr>
          <w:p w14:paraId="3964979B" w14:textId="77B95ED4" w:rsidR="0088311D" w:rsidRDefault="004B65B6" w:rsidP="00613ABF">
            <w:pPr>
              <w:spacing w:after="240"/>
              <w:rPr>
                <w:rFonts w:cstheme="minorHAnsi"/>
              </w:rPr>
            </w:pPr>
            <w:r>
              <w:rPr>
                <w:rFonts w:cstheme="minorHAnsi"/>
              </w:rPr>
              <w:t>720,000</w:t>
            </w:r>
          </w:p>
        </w:tc>
        <w:tc>
          <w:tcPr>
            <w:tcW w:w="684" w:type="pct"/>
            <w:tcBorders>
              <w:top w:val="nil"/>
              <w:left w:val="nil"/>
              <w:bottom w:val="nil"/>
              <w:right w:val="nil"/>
            </w:tcBorders>
          </w:tcPr>
          <w:p w14:paraId="6318EE66" w14:textId="72A1CFFD" w:rsidR="0088311D" w:rsidRDefault="00704C57" w:rsidP="00613ABF">
            <w:pPr>
              <w:spacing w:after="240"/>
              <w:rPr>
                <w:rFonts w:cstheme="minorHAnsi"/>
              </w:rPr>
            </w:pPr>
            <w:r>
              <w:rPr>
                <w:rFonts w:cstheme="minorHAnsi"/>
              </w:rPr>
              <w:t>360,000</w:t>
            </w:r>
          </w:p>
        </w:tc>
        <w:tc>
          <w:tcPr>
            <w:tcW w:w="684" w:type="pct"/>
            <w:tcBorders>
              <w:top w:val="nil"/>
              <w:left w:val="nil"/>
              <w:bottom w:val="nil"/>
              <w:right w:val="single" w:sz="4" w:space="0" w:color="auto"/>
            </w:tcBorders>
          </w:tcPr>
          <w:p w14:paraId="4E7E97C5" w14:textId="459EA086" w:rsidR="0088311D" w:rsidRDefault="00704C57" w:rsidP="00613ABF">
            <w:pPr>
              <w:spacing w:after="240"/>
              <w:rPr>
                <w:rFonts w:cstheme="minorHAnsi"/>
              </w:rPr>
            </w:pPr>
            <w:r>
              <w:rPr>
                <w:rFonts w:cstheme="minorHAnsi"/>
              </w:rPr>
              <w:t>280,800</w:t>
            </w:r>
          </w:p>
        </w:tc>
        <w:tc>
          <w:tcPr>
            <w:tcW w:w="682" w:type="pct"/>
            <w:tcBorders>
              <w:top w:val="nil"/>
              <w:left w:val="single" w:sz="4" w:space="0" w:color="auto"/>
              <w:bottom w:val="nil"/>
              <w:right w:val="single" w:sz="12" w:space="0" w:color="auto"/>
            </w:tcBorders>
          </w:tcPr>
          <w:p w14:paraId="69913CCD" w14:textId="4261F278" w:rsidR="0088311D" w:rsidRDefault="00704C57" w:rsidP="00613ABF">
            <w:pPr>
              <w:spacing w:after="240"/>
              <w:rPr>
                <w:rFonts w:cstheme="minorHAnsi"/>
              </w:rPr>
            </w:pPr>
            <w:r>
              <w:rPr>
                <w:rFonts w:cstheme="minorHAnsi"/>
              </w:rPr>
              <w:t>2,440,800</w:t>
            </w:r>
          </w:p>
        </w:tc>
      </w:tr>
      <w:tr w:rsidR="0088311D" w14:paraId="68A728AB" w14:textId="77777777" w:rsidTr="00382DF1">
        <w:tc>
          <w:tcPr>
            <w:tcW w:w="900" w:type="pct"/>
            <w:tcBorders>
              <w:top w:val="nil"/>
              <w:left w:val="single" w:sz="12" w:space="0" w:color="auto"/>
              <w:bottom w:val="nil"/>
              <w:right w:val="nil"/>
            </w:tcBorders>
          </w:tcPr>
          <w:p w14:paraId="555F6D08" w14:textId="02F09FA3" w:rsidR="0088311D" w:rsidRDefault="00704C57" w:rsidP="00613ABF">
            <w:pPr>
              <w:spacing w:after="240"/>
              <w:rPr>
                <w:rFonts w:cstheme="minorHAnsi"/>
              </w:rPr>
            </w:pPr>
            <w:r>
              <w:rPr>
                <w:rFonts w:cstheme="minorHAnsi"/>
              </w:rPr>
              <w:t>Operational cost</w:t>
            </w:r>
          </w:p>
        </w:tc>
        <w:tc>
          <w:tcPr>
            <w:tcW w:w="683" w:type="pct"/>
            <w:tcBorders>
              <w:top w:val="nil"/>
              <w:left w:val="nil"/>
              <w:bottom w:val="nil"/>
              <w:right w:val="nil"/>
            </w:tcBorders>
          </w:tcPr>
          <w:p w14:paraId="48E6A61F" w14:textId="60141D3A" w:rsidR="0088311D" w:rsidRDefault="00F53D74" w:rsidP="00613ABF">
            <w:pPr>
              <w:spacing w:after="240"/>
              <w:rPr>
                <w:rFonts w:cstheme="minorHAnsi"/>
              </w:rPr>
            </w:pPr>
            <w:r>
              <w:rPr>
                <w:rFonts w:cstheme="minorHAnsi"/>
              </w:rPr>
              <w:t>38,500</w:t>
            </w:r>
          </w:p>
        </w:tc>
        <w:tc>
          <w:tcPr>
            <w:tcW w:w="683" w:type="pct"/>
            <w:tcBorders>
              <w:top w:val="nil"/>
              <w:left w:val="nil"/>
              <w:bottom w:val="nil"/>
              <w:right w:val="nil"/>
            </w:tcBorders>
          </w:tcPr>
          <w:p w14:paraId="537FC169" w14:textId="03649372" w:rsidR="0088311D" w:rsidRDefault="00F53D74" w:rsidP="00613ABF">
            <w:pPr>
              <w:spacing w:after="240"/>
              <w:rPr>
                <w:rFonts w:cstheme="minorHAnsi"/>
              </w:rPr>
            </w:pPr>
            <w:r>
              <w:rPr>
                <w:rFonts w:cstheme="minorHAnsi"/>
              </w:rPr>
              <w:t>77,000</w:t>
            </w:r>
          </w:p>
        </w:tc>
        <w:tc>
          <w:tcPr>
            <w:tcW w:w="684" w:type="pct"/>
            <w:tcBorders>
              <w:top w:val="nil"/>
              <w:left w:val="nil"/>
              <w:bottom w:val="nil"/>
              <w:right w:val="nil"/>
            </w:tcBorders>
          </w:tcPr>
          <w:p w14:paraId="672BC44A" w14:textId="18BBDBAC" w:rsidR="0088311D" w:rsidRDefault="00074E7B" w:rsidP="00613ABF">
            <w:pPr>
              <w:spacing w:after="240"/>
              <w:rPr>
                <w:rFonts w:cstheme="minorHAnsi"/>
              </w:rPr>
            </w:pPr>
            <w:r>
              <w:rPr>
                <w:rFonts w:cstheme="minorHAnsi"/>
              </w:rPr>
              <w:t>77,000</w:t>
            </w:r>
          </w:p>
        </w:tc>
        <w:tc>
          <w:tcPr>
            <w:tcW w:w="684" w:type="pct"/>
            <w:tcBorders>
              <w:top w:val="nil"/>
              <w:left w:val="nil"/>
              <w:bottom w:val="nil"/>
              <w:right w:val="nil"/>
            </w:tcBorders>
          </w:tcPr>
          <w:p w14:paraId="15164159" w14:textId="740C118D" w:rsidR="0088311D" w:rsidRDefault="00074E7B" w:rsidP="00613ABF">
            <w:pPr>
              <w:spacing w:after="240"/>
              <w:rPr>
                <w:rFonts w:cstheme="minorHAnsi"/>
              </w:rPr>
            </w:pPr>
            <w:r>
              <w:rPr>
                <w:rFonts w:cstheme="minorHAnsi"/>
              </w:rPr>
              <w:t>38,500</w:t>
            </w:r>
          </w:p>
        </w:tc>
        <w:tc>
          <w:tcPr>
            <w:tcW w:w="684" w:type="pct"/>
            <w:tcBorders>
              <w:top w:val="nil"/>
              <w:left w:val="nil"/>
              <w:bottom w:val="nil"/>
              <w:right w:val="single" w:sz="4" w:space="0" w:color="auto"/>
            </w:tcBorders>
          </w:tcPr>
          <w:p w14:paraId="11D5AD7B" w14:textId="7D938E74" w:rsidR="0088311D" w:rsidRDefault="00B64733" w:rsidP="00613ABF">
            <w:pPr>
              <w:spacing w:after="240"/>
              <w:rPr>
                <w:rFonts w:cstheme="minorHAnsi"/>
              </w:rPr>
            </w:pPr>
            <w:r>
              <w:rPr>
                <w:rFonts w:cstheme="minorHAnsi"/>
              </w:rPr>
              <w:t>30,030</w:t>
            </w:r>
          </w:p>
        </w:tc>
        <w:tc>
          <w:tcPr>
            <w:tcW w:w="682" w:type="pct"/>
            <w:tcBorders>
              <w:top w:val="nil"/>
              <w:left w:val="single" w:sz="4" w:space="0" w:color="auto"/>
              <w:bottom w:val="nil"/>
              <w:right w:val="single" w:sz="12" w:space="0" w:color="auto"/>
            </w:tcBorders>
          </w:tcPr>
          <w:p w14:paraId="4D6CF95C" w14:textId="7F7606C5" w:rsidR="0088311D" w:rsidRDefault="00B64733" w:rsidP="00613ABF">
            <w:pPr>
              <w:spacing w:after="240"/>
              <w:rPr>
                <w:rFonts w:cstheme="minorHAnsi"/>
              </w:rPr>
            </w:pPr>
            <w:r>
              <w:rPr>
                <w:rFonts w:cstheme="minorHAnsi"/>
              </w:rPr>
              <w:t>261,</w:t>
            </w:r>
            <w:r w:rsidR="008D23E3">
              <w:rPr>
                <w:rFonts w:cstheme="minorHAnsi"/>
              </w:rPr>
              <w:t>030</w:t>
            </w:r>
          </w:p>
        </w:tc>
      </w:tr>
      <w:tr w:rsidR="0088311D" w14:paraId="1F5D245D" w14:textId="77777777" w:rsidTr="00382DF1">
        <w:tc>
          <w:tcPr>
            <w:tcW w:w="900" w:type="pct"/>
            <w:tcBorders>
              <w:top w:val="nil"/>
              <w:left w:val="single" w:sz="12" w:space="0" w:color="auto"/>
              <w:bottom w:val="nil"/>
              <w:right w:val="nil"/>
            </w:tcBorders>
          </w:tcPr>
          <w:p w14:paraId="6FD017B0" w14:textId="344DFEC4" w:rsidR="0088311D" w:rsidRDefault="000A4CCA" w:rsidP="00613ABF">
            <w:pPr>
              <w:spacing w:after="240"/>
              <w:rPr>
                <w:rFonts w:cstheme="minorHAnsi"/>
              </w:rPr>
            </w:pPr>
            <w:r>
              <w:rPr>
                <w:rFonts w:cstheme="minorHAnsi"/>
              </w:rPr>
              <w:t>Travel</w:t>
            </w:r>
          </w:p>
        </w:tc>
        <w:tc>
          <w:tcPr>
            <w:tcW w:w="683" w:type="pct"/>
            <w:tcBorders>
              <w:top w:val="nil"/>
              <w:left w:val="nil"/>
              <w:bottom w:val="nil"/>
              <w:right w:val="nil"/>
            </w:tcBorders>
          </w:tcPr>
          <w:p w14:paraId="1D29A689" w14:textId="023E9DA6" w:rsidR="0088311D" w:rsidRDefault="000A4CCA" w:rsidP="00613ABF">
            <w:pPr>
              <w:spacing w:after="240"/>
              <w:rPr>
                <w:rFonts w:cstheme="minorHAnsi"/>
              </w:rPr>
            </w:pPr>
            <w:r>
              <w:rPr>
                <w:rFonts w:cstheme="minorHAnsi"/>
              </w:rPr>
              <w:t>50,000</w:t>
            </w:r>
          </w:p>
        </w:tc>
        <w:tc>
          <w:tcPr>
            <w:tcW w:w="683" w:type="pct"/>
            <w:tcBorders>
              <w:top w:val="nil"/>
              <w:left w:val="nil"/>
              <w:bottom w:val="nil"/>
              <w:right w:val="nil"/>
            </w:tcBorders>
          </w:tcPr>
          <w:p w14:paraId="61E6A950" w14:textId="493DCF63" w:rsidR="0088311D" w:rsidRDefault="000A4CCA" w:rsidP="00613ABF">
            <w:pPr>
              <w:spacing w:after="240"/>
              <w:rPr>
                <w:rFonts w:cstheme="minorHAnsi"/>
              </w:rPr>
            </w:pPr>
            <w:r>
              <w:rPr>
                <w:rFonts w:cstheme="minorHAnsi"/>
              </w:rPr>
              <w:t>100,000</w:t>
            </w:r>
          </w:p>
        </w:tc>
        <w:tc>
          <w:tcPr>
            <w:tcW w:w="684" w:type="pct"/>
            <w:tcBorders>
              <w:top w:val="nil"/>
              <w:left w:val="nil"/>
              <w:bottom w:val="nil"/>
              <w:right w:val="nil"/>
            </w:tcBorders>
          </w:tcPr>
          <w:p w14:paraId="68FA5034" w14:textId="18972C8A" w:rsidR="0088311D" w:rsidRDefault="000A4CCA" w:rsidP="00613ABF">
            <w:pPr>
              <w:spacing w:after="240"/>
              <w:rPr>
                <w:rFonts w:cstheme="minorHAnsi"/>
              </w:rPr>
            </w:pPr>
            <w:r>
              <w:rPr>
                <w:rFonts w:cstheme="minorHAnsi"/>
              </w:rPr>
              <w:t>100,000</w:t>
            </w:r>
          </w:p>
        </w:tc>
        <w:tc>
          <w:tcPr>
            <w:tcW w:w="684" w:type="pct"/>
            <w:tcBorders>
              <w:top w:val="nil"/>
              <w:left w:val="nil"/>
              <w:bottom w:val="nil"/>
              <w:right w:val="nil"/>
            </w:tcBorders>
          </w:tcPr>
          <w:p w14:paraId="65E3DB8A" w14:textId="66FBE246" w:rsidR="0088311D" w:rsidRDefault="000A4CCA" w:rsidP="00613ABF">
            <w:pPr>
              <w:spacing w:after="240"/>
              <w:rPr>
                <w:rFonts w:cstheme="minorHAnsi"/>
              </w:rPr>
            </w:pPr>
            <w:r>
              <w:rPr>
                <w:rFonts w:cstheme="minorHAnsi"/>
              </w:rPr>
              <w:t>50,000</w:t>
            </w:r>
          </w:p>
        </w:tc>
        <w:tc>
          <w:tcPr>
            <w:tcW w:w="684" w:type="pct"/>
            <w:tcBorders>
              <w:top w:val="nil"/>
              <w:left w:val="nil"/>
              <w:bottom w:val="nil"/>
              <w:right w:val="single" w:sz="4" w:space="0" w:color="auto"/>
            </w:tcBorders>
          </w:tcPr>
          <w:p w14:paraId="716A389D" w14:textId="583FBF73" w:rsidR="0088311D" w:rsidRDefault="00DF7FA2" w:rsidP="00613ABF">
            <w:pPr>
              <w:spacing w:after="240"/>
              <w:rPr>
                <w:rFonts w:cstheme="minorHAnsi"/>
              </w:rPr>
            </w:pPr>
            <w:r>
              <w:rPr>
                <w:rFonts w:cstheme="minorHAnsi"/>
              </w:rPr>
              <w:t>39,000</w:t>
            </w:r>
          </w:p>
        </w:tc>
        <w:tc>
          <w:tcPr>
            <w:tcW w:w="682" w:type="pct"/>
            <w:tcBorders>
              <w:top w:val="nil"/>
              <w:left w:val="single" w:sz="4" w:space="0" w:color="auto"/>
              <w:bottom w:val="nil"/>
              <w:right w:val="single" w:sz="12" w:space="0" w:color="auto"/>
            </w:tcBorders>
          </w:tcPr>
          <w:p w14:paraId="130AC611" w14:textId="7BDA6E48" w:rsidR="0088311D" w:rsidRDefault="00DF7FA2" w:rsidP="00613ABF">
            <w:pPr>
              <w:spacing w:after="240"/>
              <w:rPr>
                <w:rFonts w:cstheme="minorHAnsi"/>
              </w:rPr>
            </w:pPr>
            <w:r>
              <w:rPr>
                <w:rFonts w:cstheme="minorHAnsi"/>
              </w:rPr>
              <w:t>339,000</w:t>
            </w:r>
          </w:p>
        </w:tc>
      </w:tr>
      <w:tr w:rsidR="0088311D" w14:paraId="11391386" w14:textId="77777777" w:rsidTr="001462ED">
        <w:tc>
          <w:tcPr>
            <w:tcW w:w="900" w:type="pct"/>
            <w:tcBorders>
              <w:top w:val="nil"/>
              <w:left w:val="single" w:sz="12" w:space="0" w:color="auto"/>
              <w:bottom w:val="single" w:sz="4" w:space="0" w:color="auto"/>
              <w:right w:val="nil"/>
            </w:tcBorders>
          </w:tcPr>
          <w:p w14:paraId="5348C160" w14:textId="6C1CB666" w:rsidR="0088311D" w:rsidRDefault="00EB40D9" w:rsidP="00613ABF">
            <w:pPr>
              <w:spacing w:after="240"/>
              <w:rPr>
                <w:rFonts w:cstheme="minorHAnsi"/>
              </w:rPr>
            </w:pPr>
            <w:r>
              <w:rPr>
                <w:rFonts w:cstheme="minorHAnsi"/>
              </w:rPr>
              <w:t>Other costs</w:t>
            </w:r>
          </w:p>
        </w:tc>
        <w:tc>
          <w:tcPr>
            <w:tcW w:w="683" w:type="pct"/>
            <w:tcBorders>
              <w:top w:val="nil"/>
              <w:left w:val="nil"/>
              <w:bottom w:val="single" w:sz="4" w:space="0" w:color="auto"/>
              <w:right w:val="nil"/>
            </w:tcBorders>
          </w:tcPr>
          <w:p w14:paraId="292F658E" w14:textId="64615488" w:rsidR="0088311D" w:rsidRDefault="00EB40D9" w:rsidP="00613ABF">
            <w:pPr>
              <w:spacing w:after="240"/>
              <w:rPr>
                <w:rFonts w:cstheme="minorHAnsi"/>
              </w:rPr>
            </w:pPr>
            <w:r>
              <w:rPr>
                <w:rFonts w:cstheme="minorHAnsi"/>
              </w:rPr>
              <w:t>113,500</w:t>
            </w:r>
          </w:p>
        </w:tc>
        <w:tc>
          <w:tcPr>
            <w:tcW w:w="683" w:type="pct"/>
            <w:tcBorders>
              <w:top w:val="nil"/>
              <w:left w:val="nil"/>
              <w:bottom w:val="single" w:sz="4" w:space="0" w:color="auto"/>
              <w:right w:val="nil"/>
            </w:tcBorders>
          </w:tcPr>
          <w:p w14:paraId="1A57BEB9" w14:textId="6881EF26" w:rsidR="0088311D" w:rsidRDefault="00EB40D9" w:rsidP="00613ABF">
            <w:pPr>
              <w:spacing w:after="240"/>
              <w:rPr>
                <w:rFonts w:cstheme="minorHAnsi"/>
              </w:rPr>
            </w:pPr>
            <w:r>
              <w:rPr>
                <w:rFonts w:cstheme="minorHAnsi"/>
              </w:rPr>
              <w:t>267,000</w:t>
            </w:r>
          </w:p>
        </w:tc>
        <w:tc>
          <w:tcPr>
            <w:tcW w:w="684" w:type="pct"/>
            <w:tcBorders>
              <w:top w:val="nil"/>
              <w:left w:val="nil"/>
              <w:bottom w:val="single" w:sz="4" w:space="0" w:color="auto"/>
              <w:right w:val="nil"/>
            </w:tcBorders>
          </w:tcPr>
          <w:p w14:paraId="333C7349" w14:textId="73618C5F" w:rsidR="0088311D" w:rsidRDefault="00EB40D9" w:rsidP="00613ABF">
            <w:pPr>
              <w:spacing w:after="240"/>
              <w:rPr>
                <w:rFonts w:cstheme="minorHAnsi"/>
              </w:rPr>
            </w:pPr>
            <w:r>
              <w:rPr>
                <w:rFonts w:cstheme="minorHAnsi"/>
              </w:rPr>
              <w:t>267,000</w:t>
            </w:r>
          </w:p>
        </w:tc>
        <w:tc>
          <w:tcPr>
            <w:tcW w:w="684" w:type="pct"/>
            <w:tcBorders>
              <w:top w:val="nil"/>
              <w:left w:val="nil"/>
              <w:bottom w:val="single" w:sz="4" w:space="0" w:color="auto"/>
              <w:right w:val="nil"/>
            </w:tcBorders>
          </w:tcPr>
          <w:p w14:paraId="311F7436" w14:textId="657A99E8" w:rsidR="0088311D" w:rsidRDefault="00EB40D9" w:rsidP="00613ABF">
            <w:pPr>
              <w:spacing w:after="240"/>
              <w:rPr>
                <w:rFonts w:cstheme="minorHAnsi"/>
              </w:rPr>
            </w:pPr>
            <w:r>
              <w:rPr>
                <w:rFonts w:cstheme="minorHAnsi"/>
              </w:rPr>
              <w:t>133,500</w:t>
            </w:r>
          </w:p>
        </w:tc>
        <w:tc>
          <w:tcPr>
            <w:tcW w:w="684" w:type="pct"/>
            <w:tcBorders>
              <w:top w:val="nil"/>
              <w:left w:val="nil"/>
              <w:bottom w:val="single" w:sz="4" w:space="0" w:color="auto"/>
              <w:right w:val="single" w:sz="4" w:space="0" w:color="auto"/>
            </w:tcBorders>
          </w:tcPr>
          <w:p w14:paraId="1EBA1A67" w14:textId="3CB79756" w:rsidR="0088311D" w:rsidRDefault="00EB40D9" w:rsidP="00613ABF">
            <w:pPr>
              <w:spacing w:after="240"/>
              <w:rPr>
                <w:rFonts w:cstheme="minorHAnsi"/>
              </w:rPr>
            </w:pPr>
            <w:r>
              <w:rPr>
                <w:rFonts w:cstheme="minorHAnsi"/>
              </w:rPr>
              <w:t>104,130</w:t>
            </w:r>
          </w:p>
        </w:tc>
        <w:tc>
          <w:tcPr>
            <w:tcW w:w="682" w:type="pct"/>
            <w:tcBorders>
              <w:top w:val="nil"/>
              <w:left w:val="single" w:sz="4" w:space="0" w:color="auto"/>
              <w:bottom w:val="single" w:sz="4" w:space="0" w:color="auto"/>
              <w:right w:val="single" w:sz="12" w:space="0" w:color="auto"/>
            </w:tcBorders>
          </w:tcPr>
          <w:p w14:paraId="6493B2A3" w14:textId="529ECF13" w:rsidR="0088311D" w:rsidRDefault="00645B9D" w:rsidP="00613ABF">
            <w:pPr>
              <w:spacing w:after="240"/>
              <w:rPr>
                <w:rFonts w:cstheme="minorHAnsi"/>
              </w:rPr>
            </w:pPr>
            <w:r>
              <w:rPr>
                <w:rFonts w:cstheme="minorHAnsi"/>
              </w:rPr>
              <w:t>905,130</w:t>
            </w:r>
          </w:p>
        </w:tc>
      </w:tr>
      <w:tr w:rsidR="0088311D" w14:paraId="069BD354" w14:textId="77777777" w:rsidTr="001462ED">
        <w:tc>
          <w:tcPr>
            <w:tcW w:w="900" w:type="pct"/>
            <w:tcBorders>
              <w:top w:val="single" w:sz="4" w:space="0" w:color="auto"/>
              <w:left w:val="single" w:sz="12" w:space="0" w:color="auto"/>
              <w:bottom w:val="single" w:sz="12" w:space="0" w:color="auto"/>
              <w:right w:val="nil"/>
            </w:tcBorders>
          </w:tcPr>
          <w:p w14:paraId="55AEBC44" w14:textId="14C809F1" w:rsidR="0088311D" w:rsidRPr="001462ED" w:rsidRDefault="00645B9D" w:rsidP="00613ABF">
            <w:pPr>
              <w:spacing w:after="240"/>
              <w:rPr>
                <w:rFonts w:cstheme="minorHAnsi"/>
                <w:b/>
                <w:bCs/>
              </w:rPr>
            </w:pPr>
            <w:r w:rsidRPr="001462ED">
              <w:rPr>
                <w:rFonts w:cstheme="minorHAnsi"/>
                <w:b/>
                <w:bCs/>
              </w:rPr>
              <w:t>Sub-total</w:t>
            </w:r>
          </w:p>
        </w:tc>
        <w:tc>
          <w:tcPr>
            <w:tcW w:w="683" w:type="pct"/>
            <w:tcBorders>
              <w:top w:val="single" w:sz="4" w:space="0" w:color="auto"/>
              <w:left w:val="nil"/>
              <w:bottom w:val="single" w:sz="12" w:space="0" w:color="auto"/>
              <w:right w:val="nil"/>
            </w:tcBorders>
          </w:tcPr>
          <w:p w14:paraId="2B796C93" w14:textId="3AC62898" w:rsidR="0088311D" w:rsidRPr="001462ED" w:rsidRDefault="00645B9D" w:rsidP="00613ABF">
            <w:pPr>
              <w:spacing w:after="240"/>
              <w:rPr>
                <w:rFonts w:cstheme="minorHAnsi"/>
                <w:b/>
                <w:bCs/>
              </w:rPr>
            </w:pPr>
            <w:r w:rsidRPr="001462ED">
              <w:rPr>
                <w:rFonts w:cstheme="minorHAnsi"/>
                <w:b/>
                <w:bCs/>
              </w:rPr>
              <w:t>1,779,825</w:t>
            </w:r>
          </w:p>
        </w:tc>
        <w:tc>
          <w:tcPr>
            <w:tcW w:w="683" w:type="pct"/>
            <w:tcBorders>
              <w:top w:val="single" w:sz="4" w:space="0" w:color="auto"/>
              <w:left w:val="nil"/>
              <w:bottom w:val="single" w:sz="12" w:space="0" w:color="auto"/>
              <w:right w:val="nil"/>
            </w:tcBorders>
          </w:tcPr>
          <w:p w14:paraId="6C46FE25" w14:textId="2613CE3D" w:rsidR="0088311D" w:rsidRPr="001462ED" w:rsidRDefault="00645B9D" w:rsidP="00613ABF">
            <w:pPr>
              <w:spacing w:after="240"/>
              <w:rPr>
                <w:rFonts w:cstheme="minorHAnsi"/>
                <w:b/>
                <w:bCs/>
              </w:rPr>
            </w:pPr>
            <w:r w:rsidRPr="001462ED">
              <w:rPr>
                <w:rFonts w:cstheme="minorHAnsi"/>
                <w:b/>
                <w:bCs/>
              </w:rPr>
              <w:t>3,559,650</w:t>
            </w:r>
          </w:p>
        </w:tc>
        <w:tc>
          <w:tcPr>
            <w:tcW w:w="684" w:type="pct"/>
            <w:tcBorders>
              <w:top w:val="single" w:sz="4" w:space="0" w:color="auto"/>
              <w:left w:val="nil"/>
              <w:bottom w:val="single" w:sz="12" w:space="0" w:color="auto"/>
              <w:right w:val="nil"/>
            </w:tcBorders>
          </w:tcPr>
          <w:p w14:paraId="7A90BADD" w14:textId="3CFAD39E" w:rsidR="0088311D" w:rsidRPr="001462ED" w:rsidRDefault="002F1E89" w:rsidP="00613ABF">
            <w:pPr>
              <w:spacing w:after="240"/>
              <w:rPr>
                <w:rFonts w:cstheme="minorHAnsi"/>
                <w:b/>
                <w:bCs/>
              </w:rPr>
            </w:pPr>
            <w:r w:rsidRPr="001462ED">
              <w:rPr>
                <w:rFonts w:cstheme="minorHAnsi"/>
                <w:b/>
                <w:bCs/>
              </w:rPr>
              <w:t>3,559,650</w:t>
            </w:r>
          </w:p>
        </w:tc>
        <w:tc>
          <w:tcPr>
            <w:tcW w:w="684" w:type="pct"/>
            <w:tcBorders>
              <w:top w:val="single" w:sz="4" w:space="0" w:color="auto"/>
              <w:left w:val="nil"/>
              <w:bottom w:val="single" w:sz="12" w:space="0" w:color="auto"/>
              <w:right w:val="nil"/>
            </w:tcBorders>
          </w:tcPr>
          <w:p w14:paraId="1D5DA001" w14:textId="2AADD5F4" w:rsidR="0088311D" w:rsidRPr="001462ED" w:rsidRDefault="002F1E89" w:rsidP="00613ABF">
            <w:pPr>
              <w:spacing w:after="240"/>
              <w:rPr>
                <w:rFonts w:cstheme="minorHAnsi"/>
                <w:b/>
                <w:bCs/>
              </w:rPr>
            </w:pPr>
            <w:r w:rsidRPr="001462ED">
              <w:rPr>
                <w:rFonts w:cstheme="minorHAnsi"/>
                <w:b/>
                <w:bCs/>
              </w:rPr>
              <w:t>1,779,825</w:t>
            </w:r>
          </w:p>
        </w:tc>
        <w:tc>
          <w:tcPr>
            <w:tcW w:w="684" w:type="pct"/>
            <w:tcBorders>
              <w:top w:val="single" w:sz="4" w:space="0" w:color="auto"/>
              <w:left w:val="nil"/>
              <w:bottom w:val="single" w:sz="12" w:space="0" w:color="auto"/>
              <w:right w:val="single" w:sz="4" w:space="0" w:color="auto"/>
            </w:tcBorders>
          </w:tcPr>
          <w:p w14:paraId="2BD0199C" w14:textId="11C5E2B1" w:rsidR="0088311D" w:rsidRPr="001462ED" w:rsidRDefault="002F1E89" w:rsidP="00613ABF">
            <w:pPr>
              <w:spacing w:after="240"/>
              <w:rPr>
                <w:rFonts w:cstheme="minorHAnsi"/>
                <w:b/>
                <w:bCs/>
              </w:rPr>
            </w:pPr>
            <w:r w:rsidRPr="001462ED">
              <w:rPr>
                <w:rFonts w:cstheme="minorHAnsi"/>
                <w:b/>
                <w:bCs/>
              </w:rPr>
              <w:t>1,388,264</w:t>
            </w:r>
          </w:p>
        </w:tc>
        <w:tc>
          <w:tcPr>
            <w:tcW w:w="682" w:type="pct"/>
            <w:tcBorders>
              <w:top w:val="single" w:sz="4" w:space="0" w:color="auto"/>
              <w:left w:val="single" w:sz="4" w:space="0" w:color="auto"/>
              <w:bottom w:val="single" w:sz="12" w:space="0" w:color="auto"/>
              <w:right w:val="single" w:sz="12" w:space="0" w:color="auto"/>
            </w:tcBorders>
          </w:tcPr>
          <w:p w14:paraId="697347F1" w14:textId="06ACB63D" w:rsidR="0088311D" w:rsidRPr="001462ED" w:rsidRDefault="002F1E89" w:rsidP="00613ABF">
            <w:pPr>
              <w:spacing w:after="240"/>
              <w:rPr>
                <w:rFonts w:cstheme="minorHAnsi"/>
                <w:b/>
                <w:bCs/>
              </w:rPr>
            </w:pPr>
            <w:r w:rsidRPr="001462ED">
              <w:rPr>
                <w:rFonts w:cstheme="minorHAnsi"/>
                <w:b/>
                <w:bCs/>
              </w:rPr>
              <w:t>12,067,214</w:t>
            </w:r>
          </w:p>
        </w:tc>
      </w:tr>
      <w:tr w:rsidR="00382DF1" w14:paraId="381793D4" w14:textId="77777777" w:rsidTr="00382DF1">
        <w:tc>
          <w:tcPr>
            <w:tcW w:w="4318" w:type="pct"/>
            <w:gridSpan w:val="6"/>
            <w:tcBorders>
              <w:top w:val="single" w:sz="12" w:space="0" w:color="auto"/>
              <w:left w:val="single" w:sz="12" w:space="0" w:color="auto"/>
              <w:bottom w:val="nil"/>
              <w:right w:val="single" w:sz="4" w:space="0" w:color="auto"/>
            </w:tcBorders>
          </w:tcPr>
          <w:p w14:paraId="597D1F8B" w14:textId="77777777" w:rsidR="00382DF1" w:rsidRPr="002F1E89" w:rsidRDefault="00382DF1" w:rsidP="00613ABF">
            <w:pPr>
              <w:spacing w:after="240"/>
              <w:rPr>
                <w:rFonts w:cstheme="minorHAnsi"/>
                <w:b/>
                <w:bCs/>
              </w:rPr>
            </w:pPr>
            <w:r w:rsidRPr="002F1E89">
              <w:rPr>
                <w:rFonts w:cstheme="minorHAnsi"/>
                <w:b/>
                <w:bCs/>
              </w:rPr>
              <w:t>INC Meetings</w:t>
            </w:r>
          </w:p>
        </w:tc>
        <w:tc>
          <w:tcPr>
            <w:tcW w:w="682" w:type="pct"/>
            <w:tcBorders>
              <w:top w:val="single" w:sz="12" w:space="0" w:color="auto"/>
              <w:left w:val="single" w:sz="4" w:space="0" w:color="auto"/>
              <w:bottom w:val="nil"/>
              <w:right w:val="single" w:sz="12" w:space="0" w:color="auto"/>
            </w:tcBorders>
          </w:tcPr>
          <w:p w14:paraId="5DD10E1F" w14:textId="6E73547D" w:rsidR="00382DF1" w:rsidRPr="002F1E89" w:rsidRDefault="00382DF1" w:rsidP="00613ABF">
            <w:pPr>
              <w:spacing w:after="240"/>
              <w:rPr>
                <w:rFonts w:cstheme="minorHAnsi"/>
                <w:b/>
                <w:bCs/>
              </w:rPr>
            </w:pPr>
          </w:p>
        </w:tc>
      </w:tr>
      <w:tr w:rsidR="0088311D" w14:paraId="788C3736" w14:textId="77777777" w:rsidTr="00382DF1">
        <w:tc>
          <w:tcPr>
            <w:tcW w:w="900" w:type="pct"/>
            <w:tcBorders>
              <w:top w:val="nil"/>
              <w:left w:val="single" w:sz="12" w:space="0" w:color="auto"/>
              <w:bottom w:val="nil"/>
              <w:right w:val="nil"/>
            </w:tcBorders>
          </w:tcPr>
          <w:p w14:paraId="7B8EFA50" w14:textId="5839A7E0" w:rsidR="0088311D" w:rsidRDefault="002F1E89" w:rsidP="00613ABF">
            <w:pPr>
              <w:spacing w:after="240"/>
              <w:rPr>
                <w:rFonts w:cstheme="minorHAnsi"/>
              </w:rPr>
            </w:pPr>
            <w:r>
              <w:rPr>
                <w:rFonts w:cstheme="minorHAnsi"/>
              </w:rPr>
              <w:t>OEWG Dakar</w:t>
            </w:r>
          </w:p>
        </w:tc>
        <w:tc>
          <w:tcPr>
            <w:tcW w:w="683" w:type="pct"/>
            <w:tcBorders>
              <w:top w:val="nil"/>
              <w:left w:val="nil"/>
              <w:bottom w:val="nil"/>
              <w:right w:val="nil"/>
            </w:tcBorders>
          </w:tcPr>
          <w:p w14:paraId="3725C826" w14:textId="4081E3D3" w:rsidR="0088311D" w:rsidRDefault="008C195C" w:rsidP="00613ABF">
            <w:pPr>
              <w:spacing w:after="240"/>
              <w:rPr>
                <w:rFonts w:cstheme="minorHAnsi"/>
              </w:rPr>
            </w:pPr>
            <w:r>
              <w:rPr>
                <w:rFonts w:cstheme="minorHAnsi"/>
              </w:rPr>
              <w:t>1,186,278</w:t>
            </w:r>
          </w:p>
        </w:tc>
        <w:tc>
          <w:tcPr>
            <w:tcW w:w="683" w:type="pct"/>
            <w:tcBorders>
              <w:top w:val="nil"/>
              <w:left w:val="nil"/>
              <w:bottom w:val="nil"/>
              <w:right w:val="nil"/>
            </w:tcBorders>
          </w:tcPr>
          <w:p w14:paraId="3F7C21A9" w14:textId="77777777" w:rsidR="0088311D" w:rsidRDefault="0088311D" w:rsidP="00613ABF">
            <w:pPr>
              <w:spacing w:after="240"/>
              <w:rPr>
                <w:rFonts w:cstheme="minorHAnsi"/>
              </w:rPr>
            </w:pPr>
          </w:p>
        </w:tc>
        <w:tc>
          <w:tcPr>
            <w:tcW w:w="684" w:type="pct"/>
            <w:tcBorders>
              <w:top w:val="nil"/>
              <w:left w:val="nil"/>
              <w:bottom w:val="nil"/>
              <w:right w:val="nil"/>
            </w:tcBorders>
          </w:tcPr>
          <w:p w14:paraId="182431A7" w14:textId="77777777" w:rsidR="0088311D" w:rsidRDefault="0088311D" w:rsidP="00613ABF">
            <w:pPr>
              <w:spacing w:after="240"/>
              <w:rPr>
                <w:rFonts w:cstheme="minorHAnsi"/>
              </w:rPr>
            </w:pPr>
          </w:p>
        </w:tc>
        <w:tc>
          <w:tcPr>
            <w:tcW w:w="684" w:type="pct"/>
            <w:tcBorders>
              <w:top w:val="nil"/>
              <w:left w:val="nil"/>
              <w:bottom w:val="nil"/>
              <w:right w:val="nil"/>
            </w:tcBorders>
          </w:tcPr>
          <w:p w14:paraId="3F91A4AA" w14:textId="77777777" w:rsidR="0088311D" w:rsidRDefault="0088311D" w:rsidP="00613ABF">
            <w:pPr>
              <w:spacing w:after="240"/>
              <w:rPr>
                <w:rFonts w:cstheme="minorHAnsi"/>
              </w:rPr>
            </w:pPr>
          </w:p>
        </w:tc>
        <w:tc>
          <w:tcPr>
            <w:tcW w:w="684" w:type="pct"/>
            <w:tcBorders>
              <w:top w:val="nil"/>
              <w:left w:val="nil"/>
              <w:bottom w:val="nil"/>
              <w:right w:val="single" w:sz="4" w:space="0" w:color="auto"/>
            </w:tcBorders>
          </w:tcPr>
          <w:p w14:paraId="5166F528" w14:textId="05A8E227" w:rsidR="0088311D" w:rsidRDefault="00CE5647" w:rsidP="00613ABF">
            <w:pPr>
              <w:spacing w:after="240"/>
              <w:rPr>
                <w:rFonts w:cstheme="minorHAnsi"/>
              </w:rPr>
            </w:pPr>
            <w:r>
              <w:rPr>
                <w:rFonts w:cstheme="minorHAnsi"/>
              </w:rPr>
              <w:t>154,</w:t>
            </w:r>
            <w:r w:rsidR="00552BB3">
              <w:rPr>
                <w:rFonts w:cstheme="minorHAnsi"/>
              </w:rPr>
              <w:t>216</w:t>
            </w:r>
          </w:p>
        </w:tc>
        <w:tc>
          <w:tcPr>
            <w:tcW w:w="682" w:type="pct"/>
            <w:tcBorders>
              <w:top w:val="nil"/>
              <w:left w:val="single" w:sz="4" w:space="0" w:color="auto"/>
              <w:bottom w:val="nil"/>
              <w:right w:val="single" w:sz="12" w:space="0" w:color="auto"/>
            </w:tcBorders>
          </w:tcPr>
          <w:p w14:paraId="75D7F2D8" w14:textId="50568C57" w:rsidR="0088311D" w:rsidRDefault="00552BB3" w:rsidP="00613ABF">
            <w:pPr>
              <w:spacing w:after="240"/>
              <w:rPr>
                <w:rFonts w:cstheme="minorHAnsi"/>
              </w:rPr>
            </w:pPr>
            <w:r>
              <w:rPr>
                <w:rFonts w:cstheme="minorHAnsi"/>
              </w:rPr>
              <w:t>1,340,495</w:t>
            </w:r>
          </w:p>
        </w:tc>
      </w:tr>
      <w:tr w:rsidR="0088311D" w14:paraId="18088BB5" w14:textId="77777777" w:rsidTr="00382DF1">
        <w:tc>
          <w:tcPr>
            <w:tcW w:w="900" w:type="pct"/>
            <w:tcBorders>
              <w:top w:val="nil"/>
              <w:left w:val="single" w:sz="12" w:space="0" w:color="auto"/>
              <w:bottom w:val="nil"/>
              <w:right w:val="nil"/>
            </w:tcBorders>
          </w:tcPr>
          <w:p w14:paraId="362EFE71" w14:textId="696D1B61" w:rsidR="0088311D" w:rsidRDefault="008C195C" w:rsidP="00613ABF">
            <w:pPr>
              <w:spacing w:after="240"/>
              <w:rPr>
                <w:rFonts w:cstheme="minorHAnsi"/>
              </w:rPr>
            </w:pPr>
            <w:r>
              <w:rPr>
                <w:rFonts w:cstheme="minorHAnsi"/>
              </w:rPr>
              <w:t>INC Meetings (5)</w:t>
            </w:r>
          </w:p>
        </w:tc>
        <w:tc>
          <w:tcPr>
            <w:tcW w:w="683" w:type="pct"/>
            <w:tcBorders>
              <w:top w:val="nil"/>
              <w:left w:val="nil"/>
              <w:bottom w:val="nil"/>
              <w:right w:val="nil"/>
            </w:tcBorders>
          </w:tcPr>
          <w:p w14:paraId="43E3F736" w14:textId="1DFBB045" w:rsidR="0088311D" w:rsidRDefault="008C195C" w:rsidP="00613ABF">
            <w:pPr>
              <w:spacing w:after="240"/>
              <w:rPr>
                <w:rFonts w:cstheme="minorHAnsi"/>
              </w:rPr>
            </w:pPr>
            <w:r>
              <w:rPr>
                <w:rFonts w:cstheme="minorHAnsi"/>
              </w:rPr>
              <w:t>1,651,053</w:t>
            </w:r>
          </w:p>
        </w:tc>
        <w:tc>
          <w:tcPr>
            <w:tcW w:w="683" w:type="pct"/>
            <w:tcBorders>
              <w:top w:val="nil"/>
              <w:left w:val="nil"/>
              <w:bottom w:val="nil"/>
              <w:right w:val="nil"/>
            </w:tcBorders>
          </w:tcPr>
          <w:p w14:paraId="1B8FBB5F" w14:textId="0C259DD9" w:rsidR="0088311D" w:rsidRDefault="008C195C" w:rsidP="00613ABF">
            <w:pPr>
              <w:spacing w:after="240"/>
              <w:rPr>
                <w:rFonts w:cstheme="minorHAnsi"/>
              </w:rPr>
            </w:pPr>
            <w:r>
              <w:rPr>
                <w:rFonts w:cstheme="minorHAnsi"/>
              </w:rPr>
              <w:t>3,373,338</w:t>
            </w:r>
          </w:p>
        </w:tc>
        <w:tc>
          <w:tcPr>
            <w:tcW w:w="684" w:type="pct"/>
            <w:tcBorders>
              <w:top w:val="nil"/>
              <w:left w:val="nil"/>
              <w:bottom w:val="nil"/>
              <w:right w:val="nil"/>
            </w:tcBorders>
          </w:tcPr>
          <w:p w14:paraId="7413DC70" w14:textId="5B264957" w:rsidR="0088311D" w:rsidRDefault="008C195C" w:rsidP="00613ABF">
            <w:pPr>
              <w:spacing w:after="240"/>
              <w:rPr>
                <w:rFonts w:cstheme="minorHAnsi"/>
              </w:rPr>
            </w:pPr>
            <w:r>
              <w:rPr>
                <w:rFonts w:cstheme="minorHAnsi"/>
              </w:rPr>
              <w:t>1,724,973</w:t>
            </w:r>
          </w:p>
        </w:tc>
        <w:tc>
          <w:tcPr>
            <w:tcW w:w="684" w:type="pct"/>
            <w:tcBorders>
              <w:top w:val="nil"/>
              <w:left w:val="nil"/>
              <w:bottom w:val="nil"/>
              <w:right w:val="nil"/>
            </w:tcBorders>
          </w:tcPr>
          <w:p w14:paraId="38FCA5FB" w14:textId="0D19EABC" w:rsidR="0088311D" w:rsidRDefault="00CE5647" w:rsidP="00613ABF">
            <w:pPr>
              <w:spacing w:after="240"/>
              <w:rPr>
                <w:rFonts w:cstheme="minorHAnsi"/>
              </w:rPr>
            </w:pPr>
            <w:r>
              <w:rPr>
                <w:rFonts w:cstheme="minorHAnsi"/>
              </w:rPr>
              <w:t>1,567,725</w:t>
            </w:r>
          </w:p>
        </w:tc>
        <w:tc>
          <w:tcPr>
            <w:tcW w:w="684" w:type="pct"/>
            <w:tcBorders>
              <w:top w:val="nil"/>
              <w:left w:val="nil"/>
              <w:bottom w:val="nil"/>
              <w:right w:val="single" w:sz="4" w:space="0" w:color="auto"/>
            </w:tcBorders>
          </w:tcPr>
          <w:p w14:paraId="4F785A3C" w14:textId="2B191717" w:rsidR="0088311D" w:rsidRDefault="00552BB3" w:rsidP="00613ABF">
            <w:pPr>
              <w:spacing w:after="240"/>
              <w:rPr>
                <w:rFonts w:cstheme="minorHAnsi"/>
              </w:rPr>
            </w:pPr>
            <w:r>
              <w:rPr>
                <w:rFonts w:cstheme="minorHAnsi"/>
              </w:rPr>
              <w:t>1,081,222</w:t>
            </w:r>
          </w:p>
        </w:tc>
        <w:tc>
          <w:tcPr>
            <w:tcW w:w="682" w:type="pct"/>
            <w:tcBorders>
              <w:top w:val="nil"/>
              <w:left w:val="single" w:sz="4" w:space="0" w:color="auto"/>
              <w:bottom w:val="nil"/>
              <w:right w:val="single" w:sz="12" w:space="0" w:color="auto"/>
            </w:tcBorders>
          </w:tcPr>
          <w:p w14:paraId="572A97A5" w14:textId="7A710B82" w:rsidR="0088311D" w:rsidRDefault="00552BB3" w:rsidP="00613ABF">
            <w:pPr>
              <w:spacing w:after="240"/>
              <w:rPr>
                <w:rFonts w:cstheme="minorHAnsi"/>
              </w:rPr>
            </w:pPr>
            <w:r>
              <w:rPr>
                <w:rFonts w:cstheme="minorHAnsi"/>
              </w:rPr>
              <w:t>9,398,311</w:t>
            </w:r>
          </w:p>
        </w:tc>
      </w:tr>
      <w:tr w:rsidR="0088311D" w14:paraId="206BAE2B" w14:textId="77777777" w:rsidTr="00382DF1">
        <w:tc>
          <w:tcPr>
            <w:tcW w:w="900" w:type="pct"/>
            <w:tcBorders>
              <w:top w:val="nil"/>
              <w:left w:val="single" w:sz="12" w:space="0" w:color="auto"/>
              <w:bottom w:val="nil"/>
              <w:right w:val="nil"/>
            </w:tcBorders>
          </w:tcPr>
          <w:p w14:paraId="1AE44E69" w14:textId="7D619A3A" w:rsidR="0088311D" w:rsidRDefault="00552BB3" w:rsidP="00613ABF">
            <w:pPr>
              <w:spacing w:after="240"/>
              <w:rPr>
                <w:rFonts w:cstheme="minorHAnsi"/>
              </w:rPr>
            </w:pPr>
            <w:r>
              <w:rPr>
                <w:rFonts w:cstheme="minorHAnsi"/>
              </w:rPr>
              <w:t>Diplomatic Conference**</w:t>
            </w:r>
          </w:p>
        </w:tc>
        <w:tc>
          <w:tcPr>
            <w:tcW w:w="683" w:type="pct"/>
            <w:tcBorders>
              <w:top w:val="nil"/>
              <w:left w:val="nil"/>
              <w:bottom w:val="nil"/>
              <w:right w:val="nil"/>
            </w:tcBorders>
          </w:tcPr>
          <w:p w14:paraId="43A0D9B3" w14:textId="77777777" w:rsidR="0088311D" w:rsidRDefault="0088311D" w:rsidP="00613ABF">
            <w:pPr>
              <w:spacing w:after="240"/>
              <w:rPr>
                <w:rFonts w:cstheme="minorHAnsi"/>
              </w:rPr>
            </w:pPr>
          </w:p>
        </w:tc>
        <w:tc>
          <w:tcPr>
            <w:tcW w:w="683" w:type="pct"/>
            <w:tcBorders>
              <w:top w:val="nil"/>
              <w:left w:val="nil"/>
              <w:bottom w:val="nil"/>
              <w:right w:val="nil"/>
            </w:tcBorders>
          </w:tcPr>
          <w:p w14:paraId="0CCC93C7" w14:textId="77777777" w:rsidR="0088311D" w:rsidRDefault="0088311D" w:rsidP="00613ABF">
            <w:pPr>
              <w:spacing w:after="240"/>
              <w:rPr>
                <w:rFonts w:cstheme="minorHAnsi"/>
              </w:rPr>
            </w:pPr>
          </w:p>
        </w:tc>
        <w:tc>
          <w:tcPr>
            <w:tcW w:w="684" w:type="pct"/>
            <w:tcBorders>
              <w:top w:val="nil"/>
              <w:left w:val="nil"/>
              <w:bottom w:val="nil"/>
              <w:right w:val="nil"/>
            </w:tcBorders>
          </w:tcPr>
          <w:p w14:paraId="1F4DF46A" w14:textId="77777777" w:rsidR="0088311D" w:rsidRDefault="0088311D" w:rsidP="00613ABF">
            <w:pPr>
              <w:spacing w:after="240"/>
              <w:rPr>
                <w:rFonts w:cstheme="minorHAnsi"/>
              </w:rPr>
            </w:pPr>
          </w:p>
        </w:tc>
        <w:tc>
          <w:tcPr>
            <w:tcW w:w="684" w:type="pct"/>
            <w:tcBorders>
              <w:top w:val="nil"/>
              <w:left w:val="nil"/>
              <w:bottom w:val="nil"/>
              <w:right w:val="nil"/>
            </w:tcBorders>
          </w:tcPr>
          <w:p w14:paraId="0CA6460D" w14:textId="5FFD8963" w:rsidR="0088311D" w:rsidRDefault="003F32B0" w:rsidP="00613ABF">
            <w:pPr>
              <w:spacing w:after="240"/>
              <w:rPr>
                <w:rFonts w:cstheme="minorHAnsi"/>
              </w:rPr>
            </w:pPr>
            <w:r>
              <w:rPr>
                <w:rFonts w:cstheme="minorHAnsi"/>
              </w:rPr>
              <w:t>1,</w:t>
            </w:r>
            <w:r w:rsidR="005C37ED">
              <w:rPr>
                <w:rFonts w:cstheme="minorHAnsi"/>
              </w:rPr>
              <w:t>56</w:t>
            </w:r>
            <w:r w:rsidR="00B74EBA">
              <w:rPr>
                <w:rFonts w:cstheme="minorHAnsi"/>
              </w:rPr>
              <w:t>7,725</w:t>
            </w:r>
          </w:p>
        </w:tc>
        <w:tc>
          <w:tcPr>
            <w:tcW w:w="684" w:type="pct"/>
            <w:tcBorders>
              <w:top w:val="nil"/>
              <w:left w:val="nil"/>
              <w:bottom w:val="nil"/>
              <w:right w:val="single" w:sz="4" w:space="0" w:color="auto"/>
            </w:tcBorders>
          </w:tcPr>
          <w:p w14:paraId="61DA1565" w14:textId="322E5F6D" w:rsidR="0088311D" w:rsidRDefault="00B74EBA" w:rsidP="00613ABF">
            <w:pPr>
              <w:spacing w:after="240"/>
              <w:rPr>
                <w:rFonts w:cstheme="minorHAnsi"/>
              </w:rPr>
            </w:pPr>
            <w:r>
              <w:rPr>
                <w:rFonts w:cstheme="minorHAnsi"/>
              </w:rPr>
              <w:t>203,</w:t>
            </w:r>
            <w:r w:rsidR="009B3A0F">
              <w:rPr>
                <w:rFonts w:cstheme="minorHAnsi"/>
              </w:rPr>
              <w:t>804</w:t>
            </w:r>
          </w:p>
        </w:tc>
        <w:tc>
          <w:tcPr>
            <w:tcW w:w="682" w:type="pct"/>
            <w:tcBorders>
              <w:top w:val="nil"/>
              <w:left w:val="single" w:sz="4" w:space="0" w:color="auto"/>
              <w:bottom w:val="nil"/>
              <w:right w:val="single" w:sz="12" w:space="0" w:color="auto"/>
            </w:tcBorders>
          </w:tcPr>
          <w:p w14:paraId="0673B822" w14:textId="14CDD68B" w:rsidR="0088311D" w:rsidRDefault="009B3A0F" w:rsidP="00613ABF">
            <w:pPr>
              <w:spacing w:after="240"/>
              <w:rPr>
                <w:rFonts w:cstheme="minorHAnsi"/>
              </w:rPr>
            </w:pPr>
            <w:r>
              <w:rPr>
                <w:rFonts w:cstheme="minorHAnsi"/>
              </w:rPr>
              <w:t>1,771,529</w:t>
            </w:r>
          </w:p>
        </w:tc>
      </w:tr>
      <w:tr w:rsidR="0088311D" w14:paraId="66BF8CDA" w14:textId="77777777" w:rsidTr="00382DF1">
        <w:tc>
          <w:tcPr>
            <w:tcW w:w="900" w:type="pct"/>
            <w:tcBorders>
              <w:top w:val="nil"/>
              <w:left w:val="single" w:sz="12" w:space="0" w:color="auto"/>
              <w:bottom w:val="nil"/>
              <w:right w:val="nil"/>
            </w:tcBorders>
          </w:tcPr>
          <w:p w14:paraId="5E057BD7" w14:textId="256498EB" w:rsidR="0088311D" w:rsidRDefault="009B3A0F" w:rsidP="00613ABF">
            <w:pPr>
              <w:spacing w:after="240"/>
              <w:rPr>
                <w:rFonts w:cstheme="minorHAnsi"/>
              </w:rPr>
            </w:pPr>
            <w:r>
              <w:rPr>
                <w:rFonts w:cstheme="minorHAnsi"/>
              </w:rPr>
              <w:t xml:space="preserve">Multistakeholder </w:t>
            </w:r>
            <w:r w:rsidR="001D7B85">
              <w:rPr>
                <w:rFonts w:cstheme="minorHAnsi"/>
              </w:rPr>
              <w:t>F</w:t>
            </w:r>
            <w:r>
              <w:rPr>
                <w:rFonts w:cstheme="minorHAnsi"/>
              </w:rPr>
              <w:t>orum</w:t>
            </w:r>
          </w:p>
        </w:tc>
        <w:tc>
          <w:tcPr>
            <w:tcW w:w="683" w:type="pct"/>
            <w:tcBorders>
              <w:top w:val="nil"/>
              <w:left w:val="nil"/>
              <w:bottom w:val="nil"/>
              <w:right w:val="nil"/>
            </w:tcBorders>
          </w:tcPr>
          <w:p w14:paraId="136CC73E" w14:textId="721C675B" w:rsidR="0088311D" w:rsidRDefault="00177778" w:rsidP="00613ABF">
            <w:pPr>
              <w:spacing w:after="240"/>
              <w:rPr>
                <w:rFonts w:cstheme="minorHAnsi"/>
              </w:rPr>
            </w:pPr>
            <w:r>
              <w:rPr>
                <w:rFonts w:cstheme="minorHAnsi"/>
              </w:rPr>
              <w:t>487,782</w:t>
            </w:r>
          </w:p>
        </w:tc>
        <w:tc>
          <w:tcPr>
            <w:tcW w:w="683" w:type="pct"/>
            <w:tcBorders>
              <w:top w:val="nil"/>
              <w:left w:val="nil"/>
              <w:bottom w:val="nil"/>
              <w:right w:val="nil"/>
            </w:tcBorders>
          </w:tcPr>
          <w:p w14:paraId="4F244AB9" w14:textId="46B60618" w:rsidR="0088311D" w:rsidRDefault="00177778" w:rsidP="00613ABF">
            <w:pPr>
              <w:spacing w:after="240"/>
              <w:rPr>
                <w:rFonts w:cstheme="minorHAnsi"/>
              </w:rPr>
            </w:pPr>
            <w:r>
              <w:rPr>
                <w:rFonts w:cstheme="minorHAnsi"/>
              </w:rPr>
              <w:t>-</w:t>
            </w:r>
          </w:p>
        </w:tc>
        <w:tc>
          <w:tcPr>
            <w:tcW w:w="684" w:type="pct"/>
            <w:tcBorders>
              <w:top w:val="nil"/>
              <w:left w:val="nil"/>
              <w:bottom w:val="nil"/>
              <w:right w:val="nil"/>
            </w:tcBorders>
          </w:tcPr>
          <w:p w14:paraId="3E5373B3" w14:textId="5014A042" w:rsidR="0088311D" w:rsidRDefault="00177778" w:rsidP="00613ABF">
            <w:pPr>
              <w:spacing w:after="240"/>
              <w:rPr>
                <w:rFonts w:cstheme="minorHAnsi"/>
              </w:rPr>
            </w:pPr>
            <w:r>
              <w:rPr>
                <w:rFonts w:cstheme="minorHAnsi"/>
              </w:rPr>
              <w:t>-</w:t>
            </w:r>
          </w:p>
        </w:tc>
        <w:tc>
          <w:tcPr>
            <w:tcW w:w="684" w:type="pct"/>
            <w:tcBorders>
              <w:top w:val="nil"/>
              <w:left w:val="nil"/>
              <w:bottom w:val="nil"/>
              <w:right w:val="nil"/>
            </w:tcBorders>
          </w:tcPr>
          <w:p w14:paraId="228A615C" w14:textId="77777777" w:rsidR="0088311D" w:rsidRDefault="0088311D" w:rsidP="00613ABF">
            <w:pPr>
              <w:spacing w:after="240"/>
              <w:rPr>
                <w:rFonts w:cstheme="minorHAnsi"/>
              </w:rPr>
            </w:pPr>
          </w:p>
        </w:tc>
        <w:tc>
          <w:tcPr>
            <w:tcW w:w="684" w:type="pct"/>
            <w:tcBorders>
              <w:top w:val="nil"/>
              <w:left w:val="nil"/>
              <w:bottom w:val="nil"/>
              <w:right w:val="single" w:sz="4" w:space="0" w:color="auto"/>
            </w:tcBorders>
          </w:tcPr>
          <w:p w14:paraId="31C5DD44" w14:textId="3242F122" w:rsidR="0088311D" w:rsidRDefault="00177778" w:rsidP="00613ABF">
            <w:pPr>
              <w:spacing w:after="240"/>
              <w:rPr>
                <w:rFonts w:cstheme="minorHAnsi"/>
              </w:rPr>
            </w:pPr>
            <w:r>
              <w:rPr>
                <w:rFonts w:cstheme="minorHAnsi"/>
              </w:rPr>
              <w:t>63,412</w:t>
            </w:r>
          </w:p>
        </w:tc>
        <w:tc>
          <w:tcPr>
            <w:tcW w:w="682" w:type="pct"/>
            <w:tcBorders>
              <w:top w:val="nil"/>
              <w:left w:val="single" w:sz="4" w:space="0" w:color="auto"/>
              <w:bottom w:val="nil"/>
              <w:right w:val="single" w:sz="12" w:space="0" w:color="auto"/>
            </w:tcBorders>
          </w:tcPr>
          <w:p w14:paraId="0EC64130" w14:textId="1762C9D8" w:rsidR="0088311D" w:rsidRDefault="005619DC" w:rsidP="00613ABF">
            <w:pPr>
              <w:spacing w:after="240"/>
              <w:rPr>
                <w:rFonts w:cstheme="minorHAnsi"/>
              </w:rPr>
            </w:pPr>
            <w:r>
              <w:rPr>
                <w:rFonts w:cstheme="minorHAnsi"/>
              </w:rPr>
              <w:t>551,193</w:t>
            </w:r>
          </w:p>
        </w:tc>
      </w:tr>
      <w:tr w:rsidR="0088311D" w14:paraId="076DF73A" w14:textId="77777777" w:rsidTr="00382DF1">
        <w:tc>
          <w:tcPr>
            <w:tcW w:w="900" w:type="pct"/>
            <w:tcBorders>
              <w:top w:val="nil"/>
              <w:left w:val="single" w:sz="12" w:space="0" w:color="auto"/>
              <w:bottom w:val="single" w:sz="4" w:space="0" w:color="auto"/>
              <w:right w:val="nil"/>
            </w:tcBorders>
          </w:tcPr>
          <w:p w14:paraId="5D8B6CCC" w14:textId="14BEEC09" w:rsidR="0088311D" w:rsidRDefault="005619DC" w:rsidP="00613ABF">
            <w:pPr>
              <w:spacing w:after="240"/>
              <w:rPr>
                <w:rFonts w:cstheme="minorHAnsi"/>
              </w:rPr>
            </w:pPr>
            <w:r>
              <w:rPr>
                <w:rFonts w:cstheme="minorHAnsi"/>
              </w:rPr>
              <w:t>Regional Consultations</w:t>
            </w:r>
          </w:p>
        </w:tc>
        <w:tc>
          <w:tcPr>
            <w:tcW w:w="683" w:type="pct"/>
            <w:tcBorders>
              <w:top w:val="nil"/>
              <w:left w:val="nil"/>
              <w:bottom w:val="single" w:sz="4" w:space="0" w:color="auto"/>
              <w:right w:val="nil"/>
            </w:tcBorders>
          </w:tcPr>
          <w:p w14:paraId="48D9B3A3" w14:textId="4C26E176" w:rsidR="0088311D" w:rsidRDefault="005619DC" w:rsidP="00613ABF">
            <w:pPr>
              <w:spacing w:after="240"/>
              <w:rPr>
                <w:rFonts w:cstheme="minorHAnsi"/>
              </w:rPr>
            </w:pPr>
            <w:r>
              <w:rPr>
                <w:rFonts w:cstheme="minorHAnsi"/>
              </w:rPr>
              <w:t>633,000</w:t>
            </w:r>
          </w:p>
        </w:tc>
        <w:tc>
          <w:tcPr>
            <w:tcW w:w="683" w:type="pct"/>
            <w:tcBorders>
              <w:top w:val="nil"/>
              <w:left w:val="nil"/>
              <w:bottom w:val="single" w:sz="4" w:space="0" w:color="auto"/>
              <w:right w:val="nil"/>
            </w:tcBorders>
          </w:tcPr>
          <w:p w14:paraId="62CD52C6" w14:textId="187B4D5C" w:rsidR="0088311D" w:rsidRDefault="009C10AD" w:rsidP="00613ABF">
            <w:pPr>
              <w:spacing w:after="240"/>
              <w:rPr>
                <w:rFonts w:cstheme="minorHAnsi"/>
              </w:rPr>
            </w:pPr>
            <w:r>
              <w:rPr>
                <w:rFonts w:cstheme="minorHAnsi"/>
              </w:rPr>
              <w:t>633,000</w:t>
            </w:r>
          </w:p>
        </w:tc>
        <w:tc>
          <w:tcPr>
            <w:tcW w:w="684" w:type="pct"/>
            <w:tcBorders>
              <w:top w:val="nil"/>
              <w:left w:val="nil"/>
              <w:bottom w:val="single" w:sz="4" w:space="0" w:color="auto"/>
              <w:right w:val="nil"/>
            </w:tcBorders>
          </w:tcPr>
          <w:p w14:paraId="79ED589B" w14:textId="0C2023D5" w:rsidR="0088311D" w:rsidRDefault="009C10AD" w:rsidP="00613ABF">
            <w:pPr>
              <w:spacing w:after="240"/>
              <w:rPr>
                <w:rFonts w:cstheme="minorHAnsi"/>
              </w:rPr>
            </w:pPr>
            <w:r>
              <w:rPr>
                <w:rFonts w:cstheme="minorHAnsi"/>
              </w:rPr>
              <w:t>633,000</w:t>
            </w:r>
          </w:p>
        </w:tc>
        <w:tc>
          <w:tcPr>
            <w:tcW w:w="684" w:type="pct"/>
            <w:tcBorders>
              <w:top w:val="nil"/>
              <w:left w:val="nil"/>
              <w:bottom w:val="single" w:sz="4" w:space="0" w:color="auto"/>
              <w:right w:val="nil"/>
            </w:tcBorders>
          </w:tcPr>
          <w:p w14:paraId="216D3AFB" w14:textId="65F34026" w:rsidR="0088311D" w:rsidRDefault="009C10AD" w:rsidP="00613ABF">
            <w:pPr>
              <w:spacing w:after="240"/>
              <w:rPr>
                <w:rFonts w:cstheme="minorHAnsi"/>
              </w:rPr>
            </w:pPr>
            <w:r>
              <w:rPr>
                <w:rFonts w:cstheme="minorHAnsi"/>
              </w:rPr>
              <w:t>633,000</w:t>
            </w:r>
          </w:p>
        </w:tc>
        <w:tc>
          <w:tcPr>
            <w:tcW w:w="684" w:type="pct"/>
            <w:tcBorders>
              <w:top w:val="nil"/>
              <w:left w:val="nil"/>
              <w:bottom w:val="single" w:sz="4" w:space="0" w:color="auto"/>
              <w:right w:val="single" w:sz="4" w:space="0" w:color="auto"/>
            </w:tcBorders>
          </w:tcPr>
          <w:p w14:paraId="767C6EA5" w14:textId="1E5B1D57" w:rsidR="0088311D" w:rsidRDefault="009C10AD" w:rsidP="00613ABF">
            <w:pPr>
              <w:spacing w:after="240"/>
              <w:rPr>
                <w:rFonts w:cstheme="minorHAnsi"/>
              </w:rPr>
            </w:pPr>
            <w:r>
              <w:rPr>
                <w:rFonts w:cstheme="minorHAnsi"/>
              </w:rPr>
              <w:t>329,160</w:t>
            </w:r>
          </w:p>
        </w:tc>
        <w:tc>
          <w:tcPr>
            <w:tcW w:w="682" w:type="pct"/>
            <w:tcBorders>
              <w:top w:val="nil"/>
              <w:left w:val="single" w:sz="4" w:space="0" w:color="auto"/>
              <w:bottom w:val="single" w:sz="4" w:space="0" w:color="auto"/>
              <w:right w:val="single" w:sz="12" w:space="0" w:color="auto"/>
            </w:tcBorders>
          </w:tcPr>
          <w:p w14:paraId="1EADAA60" w14:textId="7587F62E" w:rsidR="0088311D" w:rsidRDefault="009C10AD" w:rsidP="00613ABF">
            <w:pPr>
              <w:spacing w:after="240"/>
              <w:rPr>
                <w:rFonts w:cstheme="minorHAnsi"/>
              </w:rPr>
            </w:pPr>
            <w:r>
              <w:rPr>
                <w:rFonts w:cstheme="minorHAnsi"/>
              </w:rPr>
              <w:t>2,861,160</w:t>
            </w:r>
          </w:p>
        </w:tc>
      </w:tr>
      <w:tr w:rsidR="0088311D" w14:paraId="1B7799BC" w14:textId="77777777" w:rsidTr="00382DF1">
        <w:tc>
          <w:tcPr>
            <w:tcW w:w="900" w:type="pct"/>
            <w:tcBorders>
              <w:top w:val="single" w:sz="4" w:space="0" w:color="auto"/>
              <w:left w:val="single" w:sz="12" w:space="0" w:color="auto"/>
              <w:bottom w:val="single" w:sz="12" w:space="0" w:color="auto"/>
            </w:tcBorders>
          </w:tcPr>
          <w:p w14:paraId="20B21116" w14:textId="55233800" w:rsidR="0088311D" w:rsidRPr="001462ED" w:rsidRDefault="009C10AD" w:rsidP="00613ABF">
            <w:pPr>
              <w:spacing w:after="240"/>
              <w:rPr>
                <w:rFonts w:cstheme="minorHAnsi"/>
                <w:b/>
                <w:bCs/>
              </w:rPr>
            </w:pPr>
            <w:r w:rsidRPr="001462ED">
              <w:rPr>
                <w:rFonts w:cstheme="minorHAnsi"/>
                <w:b/>
                <w:bCs/>
              </w:rPr>
              <w:t>Sub-total</w:t>
            </w:r>
          </w:p>
        </w:tc>
        <w:tc>
          <w:tcPr>
            <w:tcW w:w="683" w:type="pct"/>
            <w:tcBorders>
              <w:top w:val="single" w:sz="4" w:space="0" w:color="auto"/>
              <w:bottom w:val="single" w:sz="12" w:space="0" w:color="auto"/>
            </w:tcBorders>
          </w:tcPr>
          <w:p w14:paraId="6A46487D" w14:textId="35A1A212" w:rsidR="0088311D" w:rsidRPr="001462ED" w:rsidRDefault="009C10AD" w:rsidP="00613ABF">
            <w:pPr>
              <w:spacing w:after="240"/>
              <w:rPr>
                <w:rFonts w:cstheme="minorHAnsi"/>
                <w:b/>
                <w:bCs/>
              </w:rPr>
            </w:pPr>
            <w:r w:rsidRPr="001462ED">
              <w:rPr>
                <w:rFonts w:cstheme="minorHAnsi"/>
                <w:b/>
                <w:bCs/>
              </w:rPr>
              <w:t>3,958,113</w:t>
            </w:r>
          </w:p>
        </w:tc>
        <w:tc>
          <w:tcPr>
            <w:tcW w:w="683" w:type="pct"/>
            <w:tcBorders>
              <w:top w:val="single" w:sz="4" w:space="0" w:color="auto"/>
              <w:bottom w:val="single" w:sz="12" w:space="0" w:color="auto"/>
            </w:tcBorders>
          </w:tcPr>
          <w:p w14:paraId="2557D8E6" w14:textId="3403CC81" w:rsidR="0088311D" w:rsidRPr="001462ED" w:rsidRDefault="00823939" w:rsidP="00613ABF">
            <w:pPr>
              <w:spacing w:after="240"/>
              <w:rPr>
                <w:rFonts w:cstheme="minorHAnsi"/>
                <w:b/>
                <w:bCs/>
              </w:rPr>
            </w:pPr>
            <w:r w:rsidRPr="001462ED">
              <w:rPr>
                <w:rFonts w:cstheme="minorHAnsi"/>
                <w:b/>
                <w:bCs/>
              </w:rPr>
              <w:t>4,006,338</w:t>
            </w:r>
          </w:p>
        </w:tc>
        <w:tc>
          <w:tcPr>
            <w:tcW w:w="684" w:type="pct"/>
            <w:tcBorders>
              <w:top w:val="single" w:sz="4" w:space="0" w:color="auto"/>
              <w:bottom w:val="single" w:sz="12" w:space="0" w:color="auto"/>
            </w:tcBorders>
          </w:tcPr>
          <w:p w14:paraId="3628C234" w14:textId="79544DB7" w:rsidR="0088311D" w:rsidRPr="001462ED" w:rsidRDefault="00823939" w:rsidP="00613ABF">
            <w:pPr>
              <w:spacing w:after="240"/>
              <w:rPr>
                <w:rFonts w:cstheme="minorHAnsi"/>
                <w:b/>
                <w:bCs/>
              </w:rPr>
            </w:pPr>
            <w:r w:rsidRPr="001462ED">
              <w:rPr>
                <w:rFonts w:cstheme="minorHAnsi"/>
                <w:b/>
                <w:bCs/>
              </w:rPr>
              <w:t>2,357,973</w:t>
            </w:r>
          </w:p>
        </w:tc>
        <w:tc>
          <w:tcPr>
            <w:tcW w:w="684" w:type="pct"/>
            <w:tcBorders>
              <w:top w:val="single" w:sz="4" w:space="0" w:color="auto"/>
              <w:bottom w:val="single" w:sz="12" w:space="0" w:color="auto"/>
            </w:tcBorders>
          </w:tcPr>
          <w:p w14:paraId="54AF05C7" w14:textId="198E640E" w:rsidR="0088311D" w:rsidRPr="001462ED" w:rsidRDefault="00823939" w:rsidP="00613ABF">
            <w:pPr>
              <w:spacing w:after="240"/>
              <w:rPr>
                <w:rFonts w:cstheme="minorHAnsi"/>
                <w:b/>
                <w:bCs/>
              </w:rPr>
            </w:pPr>
            <w:r w:rsidRPr="001462ED">
              <w:rPr>
                <w:rFonts w:cstheme="minorHAnsi"/>
                <w:b/>
                <w:bCs/>
              </w:rPr>
              <w:t>3,768,450</w:t>
            </w:r>
          </w:p>
        </w:tc>
        <w:tc>
          <w:tcPr>
            <w:tcW w:w="684" w:type="pct"/>
            <w:tcBorders>
              <w:top w:val="single" w:sz="4" w:space="0" w:color="auto"/>
              <w:bottom w:val="single" w:sz="12" w:space="0" w:color="auto"/>
            </w:tcBorders>
          </w:tcPr>
          <w:p w14:paraId="597D88AB" w14:textId="62CAB7EA" w:rsidR="0088311D" w:rsidRPr="001462ED" w:rsidRDefault="00823939" w:rsidP="00613ABF">
            <w:pPr>
              <w:spacing w:after="240"/>
              <w:rPr>
                <w:rFonts w:cstheme="minorHAnsi"/>
                <w:b/>
                <w:bCs/>
              </w:rPr>
            </w:pPr>
            <w:r w:rsidRPr="001462ED">
              <w:rPr>
                <w:rFonts w:cstheme="minorHAnsi"/>
                <w:b/>
                <w:bCs/>
              </w:rPr>
              <w:t>1,831,814</w:t>
            </w:r>
          </w:p>
        </w:tc>
        <w:tc>
          <w:tcPr>
            <w:tcW w:w="682" w:type="pct"/>
            <w:tcBorders>
              <w:top w:val="single" w:sz="4" w:space="0" w:color="auto"/>
              <w:bottom w:val="single" w:sz="12" w:space="0" w:color="auto"/>
              <w:right w:val="single" w:sz="12" w:space="0" w:color="auto"/>
            </w:tcBorders>
          </w:tcPr>
          <w:p w14:paraId="3FF0FF1C" w14:textId="6A1FF87B" w:rsidR="0088311D" w:rsidRPr="001462ED" w:rsidRDefault="00CD17FF" w:rsidP="00613ABF">
            <w:pPr>
              <w:spacing w:after="240"/>
              <w:rPr>
                <w:rFonts w:cstheme="minorHAnsi"/>
                <w:b/>
                <w:bCs/>
              </w:rPr>
            </w:pPr>
            <w:r w:rsidRPr="001462ED">
              <w:rPr>
                <w:rFonts w:cstheme="minorHAnsi"/>
                <w:b/>
                <w:bCs/>
              </w:rPr>
              <w:t>15,922,689</w:t>
            </w:r>
          </w:p>
        </w:tc>
      </w:tr>
      <w:tr w:rsidR="0088311D" w14:paraId="5DF66EBA" w14:textId="77777777" w:rsidTr="00382DF1">
        <w:tc>
          <w:tcPr>
            <w:tcW w:w="900" w:type="pct"/>
            <w:tcBorders>
              <w:top w:val="single" w:sz="12" w:space="0" w:color="auto"/>
              <w:left w:val="single" w:sz="12" w:space="0" w:color="auto"/>
              <w:bottom w:val="single" w:sz="12" w:space="0" w:color="auto"/>
            </w:tcBorders>
          </w:tcPr>
          <w:p w14:paraId="56517C7D" w14:textId="290F8E2E" w:rsidR="0088311D" w:rsidRPr="001462ED" w:rsidRDefault="00CD17FF" w:rsidP="00613ABF">
            <w:pPr>
              <w:spacing w:after="240"/>
              <w:rPr>
                <w:rFonts w:cstheme="minorHAnsi"/>
                <w:b/>
                <w:bCs/>
              </w:rPr>
            </w:pPr>
            <w:r w:rsidRPr="001462ED">
              <w:rPr>
                <w:rFonts w:cstheme="minorHAnsi"/>
                <w:b/>
                <w:bCs/>
              </w:rPr>
              <w:t>Total</w:t>
            </w:r>
          </w:p>
        </w:tc>
        <w:tc>
          <w:tcPr>
            <w:tcW w:w="683" w:type="pct"/>
            <w:tcBorders>
              <w:top w:val="single" w:sz="12" w:space="0" w:color="auto"/>
              <w:bottom w:val="single" w:sz="12" w:space="0" w:color="auto"/>
            </w:tcBorders>
          </w:tcPr>
          <w:p w14:paraId="0F21B449" w14:textId="486CF3D3" w:rsidR="0088311D" w:rsidRPr="001462ED" w:rsidRDefault="00982F8E" w:rsidP="00613ABF">
            <w:pPr>
              <w:spacing w:after="240"/>
              <w:rPr>
                <w:rFonts w:cstheme="minorHAnsi"/>
                <w:b/>
                <w:bCs/>
              </w:rPr>
            </w:pPr>
            <w:r w:rsidRPr="001462ED">
              <w:rPr>
                <w:rFonts w:cstheme="minorHAnsi"/>
                <w:b/>
                <w:bCs/>
              </w:rPr>
              <w:t>5,</w:t>
            </w:r>
            <w:r w:rsidR="00457684" w:rsidRPr="001462ED">
              <w:rPr>
                <w:rFonts w:cstheme="minorHAnsi"/>
                <w:b/>
                <w:bCs/>
              </w:rPr>
              <w:t>737,938</w:t>
            </w:r>
          </w:p>
        </w:tc>
        <w:tc>
          <w:tcPr>
            <w:tcW w:w="683" w:type="pct"/>
            <w:tcBorders>
              <w:top w:val="single" w:sz="12" w:space="0" w:color="auto"/>
              <w:bottom w:val="single" w:sz="12" w:space="0" w:color="auto"/>
            </w:tcBorders>
          </w:tcPr>
          <w:p w14:paraId="1B0E0513" w14:textId="6A0EBF41" w:rsidR="0088311D" w:rsidRPr="001462ED" w:rsidRDefault="00457684" w:rsidP="00613ABF">
            <w:pPr>
              <w:spacing w:after="240"/>
              <w:rPr>
                <w:rFonts w:cstheme="minorHAnsi"/>
                <w:b/>
                <w:bCs/>
              </w:rPr>
            </w:pPr>
            <w:r w:rsidRPr="001462ED">
              <w:rPr>
                <w:rFonts w:cstheme="minorHAnsi"/>
                <w:b/>
                <w:bCs/>
              </w:rPr>
              <w:t>7,565,988</w:t>
            </w:r>
          </w:p>
        </w:tc>
        <w:tc>
          <w:tcPr>
            <w:tcW w:w="684" w:type="pct"/>
            <w:tcBorders>
              <w:top w:val="single" w:sz="12" w:space="0" w:color="auto"/>
              <w:bottom w:val="single" w:sz="12" w:space="0" w:color="auto"/>
            </w:tcBorders>
          </w:tcPr>
          <w:p w14:paraId="03E5785B" w14:textId="3E1DD4C5" w:rsidR="0088311D" w:rsidRPr="001462ED" w:rsidRDefault="00AA274E" w:rsidP="00613ABF">
            <w:pPr>
              <w:spacing w:after="240"/>
              <w:rPr>
                <w:rFonts w:cstheme="minorHAnsi"/>
                <w:b/>
                <w:bCs/>
              </w:rPr>
            </w:pPr>
            <w:r w:rsidRPr="001462ED">
              <w:rPr>
                <w:rFonts w:cstheme="minorHAnsi"/>
                <w:b/>
                <w:bCs/>
              </w:rPr>
              <w:t>5,917,</w:t>
            </w:r>
            <w:r w:rsidR="00382DF1" w:rsidRPr="001462ED">
              <w:rPr>
                <w:rFonts w:cstheme="minorHAnsi"/>
                <w:b/>
                <w:bCs/>
              </w:rPr>
              <w:t>623</w:t>
            </w:r>
          </w:p>
        </w:tc>
        <w:tc>
          <w:tcPr>
            <w:tcW w:w="684" w:type="pct"/>
            <w:tcBorders>
              <w:top w:val="single" w:sz="12" w:space="0" w:color="auto"/>
              <w:bottom w:val="single" w:sz="12" w:space="0" w:color="auto"/>
            </w:tcBorders>
          </w:tcPr>
          <w:p w14:paraId="1546F55B" w14:textId="0647F237" w:rsidR="0088311D" w:rsidRPr="001462ED" w:rsidRDefault="00382DF1" w:rsidP="00613ABF">
            <w:pPr>
              <w:spacing w:after="240"/>
              <w:rPr>
                <w:rFonts w:cstheme="minorHAnsi"/>
                <w:b/>
                <w:bCs/>
              </w:rPr>
            </w:pPr>
            <w:r w:rsidRPr="001462ED">
              <w:rPr>
                <w:rFonts w:cstheme="minorHAnsi"/>
                <w:b/>
                <w:bCs/>
              </w:rPr>
              <w:t>5,548,275</w:t>
            </w:r>
          </w:p>
        </w:tc>
        <w:tc>
          <w:tcPr>
            <w:tcW w:w="684" w:type="pct"/>
            <w:tcBorders>
              <w:top w:val="single" w:sz="12" w:space="0" w:color="auto"/>
              <w:bottom w:val="single" w:sz="12" w:space="0" w:color="auto"/>
              <w:right w:val="single" w:sz="4" w:space="0" w:color="auto"/>
            </w:tcBorders>
          </w:tcPr>
          <w:p w14:paraId="5E3F63AC" w14:textId="191D3C55" w:rsidR="0088311D" w:rsidRPr="001462ED" w:rsidRDefault="00382DF1" w:rsidP="00613ABF">
            <w:pPr>
              <w:spacing w:after="240"/>
              <w:rPr>
                <w:rFonts w:cstheme="minorHAnsi"/>
                <w:b/>
                <w:bCs/>
              </w:rPr>
            </w:pPr>
            <w:r w:rsidRPr="001462ED">
              <w:rPr>
                <w:rFonts w:cstheme="minorHAnsi"/>
                <w:b/>
                <w:bCs/>
              </w:rPr>
              <w:t>3,220,077</w:t>
            </w:r>
          </w:p>
        </w:tc>
        <w:tc>
          <w:tcPr>
            <w:tcW w:w="682" w:type="pct"/>
            <w:tcBorders>
              <w:top w:val="single" w:sz="12" w:space="0" w:color="auto"/>
              <w:left w:val="single" w:sz="4" w:space="0" w:color="auto"/>
              <w:bottom w:val="single" w:sz="12" w:space="0" w:color="auto"/>
              <w:right w:val="single" w:sz="12" w:space="0" w:color="auto"/>
            </w:tcBorders>
          </w:tcPr>
          <w:p w14:paraId="40DF9F7E" w14:textId="7BA93AC0" w:rsidR="0088311D" w:rsidRPr="001462ED" w:rsidRDefault="00382DF1" w:rsidP="00613ABF">
            <w:pPr>
              <w:spacing w:after="240"/>
              <w:rPr>
                <w:rFonts w:cstheme="minorHAnsi"/>
                <w:b/>
                <w:bCs/>
              </w:rPr>
            </w:pPr>
            <w:r w:rsidRPr="001462ED">
              <w:rPr>
                <w:rFonts w:cstheme="minorHAnsi"/>
                <w:b/>
                <w:bCs/>
              </w:rPr>
              <w:t>27,989,902</w:t>
            </w:r>
          </w:p>
        </w:tc>
      </w:tr>
    </w:tbl>
    <w:p w14:paraId="6FDA7319" w14:textId="7587F62E" w:rsidR="0088311D" w:rsidRDefault="000541B8" w:rsidP="00613ABF">
      <w:pPr>
        <w:spacing w:after="240"/>
        <w:rPr>
          <w:rFonts w:cstheme="minorHAnsi"/>
        </w:rPr>
      </w:pPr>
      <w:r>
        <w:rPr>
          <w:rFonts w:cstheme="minorHAnsi"/>
        </w:rPr>
        <w:t>* The provision for 2022 reflects a full year equivalent under the assumption that the staff members will remain for at least 6 months in 2025</w:t>
      </w:r>
    </w:p>
    <w:p w14:paraId="16EDA4C7" w14:textId="1912CBAE" w:rsidR="00BD39C8" w:rsidRPr="00BD39C8" w:rsidRDefault="000541B8" w:rsidP="00613ABF">
      <w:pPr>
        <w:spacing w:after="240"/>
        <w:rPr>
          <w:rFonts w:cstheme="minorHAnsi"/>
        </w:rPr>
      </w:pPr>
      <w:r>
        <w:rPr>
          <w:rFonts w:cstheme="minorHAnsi"/>
        </w:rPr>
        <w:t>** The total cost will be distributed across the years based on the INC schedule and regional consultations</w:t>
      </w:r>
    </w:p>
    <w:sectPr w:rsidR="00BD39C8" w:rsidRPr="00BD39C8" w:rsidSect="00741A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ABEA2" w14:textId="77777777" w:rsidR="000F02E5" w:rsidRDefault="000F02E5" w:rsidP="00FF072D">
      <w:r>
        <w:separator/>
      </w:r>
    </w:p>
    <w:p w14:paraId="2F703621" w14:textId="77777777" w:rsidR="000F02E5" w:rsidRDefault="000F02E5" w:rsidP="00FF072D"/>
  </w:endnote>
  <w:endnote w:type="continuationSeparator" w:id="0">
    <w:p w14:paraId="712EB031" w14:textId="77777777" w:rsidR="000F02E5" w:rsidRDefault="000F02E5" w:rsidP="00FF072D">
      <w:r>
        <w:continuationSeparator/>
      </w:r>
    </w:p>
    <w:p w14:paraId="272A38B8" w14:textId="77777777" w:rsidR="000F02E5" w:rsidRDefault="000F02E5" w:rsidP="00FF072D"/>
  </w:endnote>
  <w:endnote w:type="continuationNotice" w:id="1">
    <w:p w14:paraId="2AD550D6" w14:textId="77777777" w:rsidR="000F02E5" w:rsidRDefault="000F02E5"/>
    <w:p w14:paraId="548AEC25" w14:textId="77777777" w:rsidR="000F02E5" w:rsidRDefault="000F0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0083646"/>
      <w:docPartObj>
        <w:docPartGallery w:val="Page Numbers (Bottom of Page)"/>
        <w:docPartUnique/>
      </w:docPartObj>
    </w:sdtPr>
    <w:sdtEndPr>
      <w:rPr>
        <w:noProof/>
      </w:rPr>
    </w:sdtEndPr>
    <w:sdtContent>
      <w:p w14:paraId="41BF136A" w14:textId="174E2A2F" w:rsidR="00C34F9E" w:rsidRDefault="00C34F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C58080" w14:textId="5C092105" w:rsidR="00F43BAA" w:rsidRDefault="00F43BAA" w:rsidP="00231BB3">
    <w:pPr>
      <w:pStyle w:val="Footer"/>
      <w:tabs>
        <w:tab w:val="left" w:pos="5745"/>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29263" w14:textId="1DCAAD79" w:rsidR="00231BB3" w:rsidRDefault="00231BB3">
    <w:pPr>
      <w:pStyle w:val="Footer"/>
      <w:jc w:val="center"/>
    </w:pPr>
    <w:r>
      <w:fldChar w:fldCharType="begin"/>
    </w:r>
    <w:r>
      <w:instrText xml:space="preserve"> PAGE   \* MERGEFORMAT </w:instrText>
    </w:r>
    <w:r>
      <w:fldChar w:fldCharType="separate"/>
    </w:r>
    <w:r>
      <w:rPr>
        <w:noProof/>
      </w:rPr>
      <w:t>2</w:t>
    </w:r>
    <w:r>
      <w:rPr>
        <w:noProof/>
      </w:rPr>
      <w:fldChar w:fldCharType="end"/>
    </w:r>
  </w:p>
  <w:p w14:paraId="7074BF8A" w14:textId="77777777" w:rsidR="00231BB3" w:rsidRDefault="00231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53CC5" w14:textId="77777777" w:rsidR="000F02E5" w:rsidRDefault="000F02E5" w:rsidP="00FF072D">
      <w:r>
        <w:separator/>
      </w:r>
    </w:p>
    <w:p w14:paraId="116912C1" w14:textId="77777777" w:rsidR="000F02E5" w:rsidRDefault="000F02E5" w:rsidP="00FF072D"/>
  </w:footnote>
  <w:footnote w:type="continuationSeparator" w:id="0">
    <w:p w14:paraId="51A862E8" w14:textId="77777777" w:rsidR="000F02E5" w:rsidRDefault="000F02E5" w:rsidP="00FF072D">
      <w:r>
        <w:continuationSeparator/>
      </w:r>
    </w:p>
    <w:p w14:paraId="43E7490E" w14:textId="77777777" w:rsidR="000F02E5" w:rsidRDefault="000F02E5" w:rsidP="00FF072D"/>
  </w:footnote>
  <w:footnote w:type="continuationNotice" w:id="1">
    <w:p w14:paraId="2F18FB81" w14:textId="77777777" w:rsidR="000F02E5" w:rsidRDefault="000F02E5"/>
    <w:p w14:paraId="6C755A07" w14:textId="77777777" w:rsidR="000F02E5" w:rsidRDefault="000F02E5"/>
  </w:footnote>
  <w:footnote w:id="2">
    <w:p w14:paraId="46116F42" w14:textId="0C91BD3D" w:rsidR="00523246" w:rsidRDefault="00523246">
      <w:pPr>
        <w:pStyle w:val="FootnoteText"/>
      </w:pPr>
      <w:r>
        <w:rPr>
          <w:rStyle w:val="FootnoteReference"/>
        </w:rPr>
        <w:footnoteRef/>
      </w:r>
      <w:r>
        <w:t xml:space="preserve"> </w:t>
      </w:r>
      <w:r w:rsidRPr="000E0D1E">
        <w:t>FCDO disability inclusion and rights strategy 2022 to 2030. Building an inclusive future for all: a sustainable rights-based approach - GOV.UK (www.gov.uk)</w:t>
      </w:r>
    </w:p>
  </w:footnote>
  <w:footnote w:id="3">
    <w:p w14:paraId="3F2578F0" w14:textId="77777777" w:rsidR="00D36E5E" w:rsidRDefault="00D36E5E" w:rsidP="00D36E5E">
      <w:pPr>
        <w:pStyle w:val="FootnoteText"/>
      </w:pPr>
      <w:r>
        <w:rPr>
          <w:rStyle w:val="FootnoteReference"/>
        </w:rPr>
        <w:footnoteRef/>
      </w:r>
      <w:r>
        <w:t xml:space="preserve"> </w:t>
      </w:r>
      <w:r w:rsidRPr="000E0D1E">
        <w:t>United Nations: Gender equality and women's empowerment</w:t>
      </w:r>
    </w:p>
  </w:footnote>
  <w:footnote w:id="4">
    <w:p w14:paraId="1B9D53B6" w14:textId="77777777" w:rsidR="00D36E5E" w:rsidRDefault="00D36E5E" w:rsidP="00D36E5E">
      <w:pPr>
        <w:pStyle w:val="FootnoteText"/>
      </w:pPr>
      <w:r>
        <w:rPr>
          <w:rStyle w:val="FootnoteReference"/>
        </w:rPr>
        <w:footnoteRef/>
      </w:r>
      <w:r>
        <w:t xml:space="preserve"> </w:t>
      </w:r>
      <w:r w:rsidRPr="000E0D1E">
        <w:t>Sustainable cities and human settlements | Department of Economic and Social Affairs (un.org)</w:t>
      </w:r>
    </w:p>
  </w:footnote>
  <w:footnote w:id="5">
    <w:p w14:paraId="7DA1380B" w14:textId="77777777" w:rsidR="00D36E5E" w:rsidRDefault="00D36E5E" w:rsidP="00D36E5E">
      <w:pPr>
        <w:pStyle w:val="FootnoteText"/>
      </w:pPr>
      <w:r>
        <w:rPr>
          <w:rStyle w:val="FootnoteReference"/>
        </w:rPr>
        <w:footnoteRef/>
      </w:r>
      <w:r>
        <w:t xml:space="preserve"> </w:t>
      </w:r>
      <w:r w:rsidRPr="000E0D1E">
        <w:t>UN Disability Inclusion Strategy</w:t>
      </w:r>
    </w:p>
  </w:footnote>
  <w:footnote w:id="6">
    <w:p w14:paraId="39E26F71" w14:textId="5592D4E2" w:rsidR="00CB1B4E" w:rsidRDefault="00CB1B4E">
      <w:pPr>
        <w:pStyle w:val="FootnoteText"/>
      </w:pPr>
      <w:r>
        <w:rPr>
          <w:rStyle w:val="FootnoteReference"/>
        </w:rPr>
        <w:footnoteRef/>
      </w:r>
      <w:r>
        <w:t xml:space="preserve"> </w:t>
      </w:r>
      <w:r w:rsidRPr="00CB1B4E">
        <w:rPr>
          <w:rFonts w:cstheme="minorHAnsi"/>
          <w:lang w:eastAsia="en-GB"/>
        </w:rPr>
        <w:t>Antigua and Barbuda, Barbados, Abu Dhabi, Algeria, Antigua &amp; Barbados, Bangladesh, Belize, Benin, Bhutan, Burkina Faso, Côte d’Ivoire, Cameroon, Eswatini, Gambia, Ghana, India, Indonesia, Kenya, Liberia, Madagascar, Mauritius, Malaysia, Nigeria, Pakistan, Philippines, Rwanda, Saint Lucia, Senegal, Sierra Leone, South Africa, South Sudan, Uganda, Tanzania, Thailand, Zambia and Zimbabwe</w:t>
      </w:r>
    </w:p>
  </w:footnote>
  <w:footnote w:id="7">
    <w:p w14:paraId="0A2B2F62" w14:textId="45CA6083" w:rsidR="0009786E" w:rsidRDefault="0009786E">
      <w:pPr>
        <w:pStyle w:val="FootnoteText"/>
      </w:pPr>
      <w:r>
        <w:rPr>
          <w:rStyle w:val="FootnoteReference"/>
        </w:rPr>
        <w:footnoteRef/>
      </w:r>
      <w:r>
        <w:t xml:space="preserve"> </w:t>
      </w:r>
      <w:hyperlink r:id="rId1" w:history="1">
        <w:r w:rsidR="00754D50">
          <w:rPr>
            <w:rStyle w:val="Hyperlink"/>
          </w:rPr>
          <w:t>TTC Evaluation Report HR 1.pdf (tide-turners.org)</w:t>
        </w:r>
      </w:hyperlink>
    </w:p>
  </w:footnote>
  <w:footnote w:id="8">
    <w:p w14:paraId="1DC5B5B3" w14:textId="57D9927E" w:rsidR="00785F55" w:rsidRDefault="00785F55">
      <w:pPr>
        <w:pStyle w:val="FootnoteText"/>
      </w:pPr>
      <w:r>
        <w:rPr>
          <w:rStyle w:val="FootnoteReference"/>
        </w:rPr>
        <w:footnoteRef/>
      </w:r>
      <w:r>
        <w:t xml:space="preserve"> INC 1: FY22/23</w:t>
      </w:r>
    </w:p>
    <w:p w14:paraId="50D5D81E" w14:textId="4FE54503" w:rsidR="00785F55" w:rsidRDefault="00785F55">
      <w:pPr>
        <w:pStyle w:val="FootnoteText"/>
      </w:pPr>
      <w:r>
        <w:t>INC 2 &amp; 3: FY23/24</w:t>
      </w:r>
    </w:p>
    <w:p w14:paraId="29955CF5" w14:textId="5164CE90" w:rsidR="00785F55" w:rsidRDefault="00785F55">
      <w:pPr>
        <w:pStyle w:val="FootnoteText"/>
      </w:pPr>
      <w:r>
        <w:t>INC 4 &amp; 5: FY24/25</w:t>
      </w:r>
    </w:p>
  </w:footnote>
  <w:footnote w:id="9">
    <w:p w14:paraId="448F7BD5" w14:textId="45603ED3" w:rsidR="0058699C" w:rsidRDefault="0058699C">
      <w:pPr>
        <w:pStyle w:val="FootnoteText"/>
      </w:pPr>
      <w:r>
        <w:rPr>
          <w:rStyle w:val="FootnoteReference"/>
        </w:rPr>
        <w:footnoteRef/>
      </w:r>
      <w:r>
        <w:t xml:space="preserve"> </w:t>
      </w:r>
      <w:r w:rsidR="00323D08" w:rsidRPr="00323D08">
        <w:t>https://www.pewtrusts.org/-/media/assets/2020/10/breakingtheplasticwave_distilledreport.pdf</w:t>
      </w:r>
    </w:p>
  </w:footnote>
  <w:footnote w:id="10">
    <w:p w14:paraId="73661252" w14:textId="5FEF217C" w:rsidR="00C964C2" w:rsidRDefault="00C964C2">
      <w:pPr>
        <w:pStyle w:val="FootnoteText"/>
      </w:pPr>
      <w:r>
        <w:rPr>
          <w:rStyle w:val="FootnoteReference"/>
        </w:rPr>
        <w:footnoteRef/>
      </w:r>
      <w:r>
        <w:t xml:space="preserve"> </w:t>
      </w:r>
      <w:r w:rsidR="00DC1831" w:rsidRPr="00DC1831">
        <w:t>Kühn, S., Bravo Rebolledo, E.L., van Franeker, J.A. (2015). Deleterious Effects of Litter on Marine Life. In: Bergmann, M., Gutow, L., Klages, M. (eds) Marine Anthropogenic Litter. Springer, Cham. https://doi.org/10.1007/978-3-319-16510-3_4</w:t>
      </w:r>
    </w:p>
  </w:footnote>
  <w:footnote w:id="11">
    <w:p w14:paraId="69BF8470" w14:textId="55AFA81A" w:rsidR="00FA5C9E" w:rsidRDefault="00FA5C9E">
      <w:pPr>
        <w:pStyle w:val="FootnoteText"/>
      </w:pPr>
      <w:r>
        <w:rPr>
          <w:rStyle w:val="FootnoteReference"/>
        </w:rPr>
        <w:footnoteRef/>
      </w:r>
      <w:r>
        <w:t xml:space="preserve"> </w:t>
      </w:r>
      <w:r w:rsidRPr="00FA5C9E">
        <w:t>NOAA. (2015) Impact of ‘Ghost Fishing’ via Derelict Fishing Gear. URL: http://marinedebris.noaa.gov/impact-ghost-fishing-derelict-fishing-gear</w:t>
      </w:r>
    </w:p>
  </w:footnote>
  <w:footnote w:id="12">
    <w:p w14:paraId="27FF0299" w14:textId="583509E0" w:rsidR="00FA5C9E" w:rsidRDefault="00FA5C9E">
      <w:pPr>
        <w:pStyle w:val="FootnoteText"/>
      </w:pPr>
      <w:r>
        <w:rPr>
          <w:rStyle w:val="FootnoteReference"/>
        </w:rPr>
        <w:footnoteRef/>
      </w:r>
      <w:r>
        <w:t xml:space="preserve"> </w:t>
      </w:r>
      <w:r w:rsidRPr="00FA5C9E">
        <w:t>NOAA. (2015) Impact of ‘Ghost Fishing’ via Derelict Fishing Gear. URL: http://marinedebris.noaa.gov/impact-ghost-fishing-derelict-fishing-gear</w:t>
      </w:r>
    </w:p>
  </w:footnote>
  <w:footnote w:id="13">
    <w:p w14:paraId="0AF5B8E4" w14:textId="468D97A4" w:rsidR="00BF4CBA" w:rsidRDefault="00BF4CBA">
      <w:pPr>
        <w:pStyle w:val="FootnoteText"/>
      </w:pPr>
      <w:r>
        <w:rPr>
          <w:rStyle w:val="FootnoteReference"/>
        </w:rPr>
        <w:footnoteRef/>
      </w:r>
      <w:r>
        <w:t xml:space="preserve"> </w:t>
      </w:r>
      <w:r w:rsidRPr="00BF4CBA">
        <w:t>https://www.unep.org/resources/report/single-use-plastics-roadmap-sustainability</w:t>
      </w:r>
    </w:p>
  </w:footnote>
  <w:footnote w:id="14">
    <w:p w14:paraId="2D070F82" w14:textId="5B84E535" w:rsidR="00162EF4" w:rsidRPr="00595499" w:rsidRDefault="00162EF4" w:rsidP="00162EF4">
      <w:pPr>
        <w:pStyle w:val="FootnoteText"/>
        <w:rPr>
          <w:rFonts w:cstheme="minorHAnsi"/>
          <w:szCs w:val="16"/>
        </w:rPr>
      </w:pPr>
      <w:r w:rsidRPr="00595499">
        <w:rPr>
          <w:rStyle w:val="FootnoteReference"/>
          <w:rFonts w:cstheme="minorHAnsi"/>
          <w:szCs w:val="16"/>
        </w:rPr>
        <w:footnoteRef/>
      </w:r>
      <w:r w:rsidRPr="00595499">
        <w:rPr>
          <w:rFonts w:cstheme="minorHAnsi"/>
          <w:szCs w:val="16"/>
        </w:rPr>
        <w:t xml:space="preserve"> </w:t>
      </w:r>
      <w:r w:rsidR="006F5709" w:rsidRPr="00595499">
        <w:rPr>
          <w:rFonts w:cstheme="minorHAnsi"/>
          <w:szCs w:val="16"/>
        </w:rPr>
        <w:t>T</w:t>
      </w:r>
      <w:r w:rsidRPr="00595499">
        <w:rPr>
          <w:rFonts w:cstheme="minorHAnsi"/>
          <w:szCs w:val="16"/>
        </w:rPr>
        <w:t>here are wider costs to the (marine) environment and society beyond the price which consumers and producers pay.</w:t>
      </w:r>
    </w:p>
  </w:footnote>
  <w:footnote w:id="15">
    <w:p w14:paraId="02EAB2B7" w14:textId="77777777" w:rsidR="00162EF4" w:rsidRPr="00595499" w:rsidRDefault="00162EF4" w:rsidP="00162EF4">
      <w:pPr>
        <w:pStyle w:val="NoSpacing"/>
        <w:rPr>
          <w:rFonts w:cstheme="minorHAnsi"/>
          <w:sz w:val="16"/>
          <w:szCs w:val="16"/>
        </w:rPr>
      </w:pPr>
      <w:r w:rsidRPr="00595499">
        <w:rPr>
          <w:rStyle w:val="FootnoteReference"/>
          <w:rFonts w:cstheme="minorHAnsi"/>
          <w:sz w:val="16"/>
          <w:szCs w:val="16"/>
        </w:rPr>
        <w:footnoteRef/>
      </w:r>
      <w:r w:rsidRPr="00595499">
        <w:rPr>
          <w:rFonts w:cstheme="minorHAnsi"/>
          <w:sz w:val="16"/>
          <w:szCs w:val="16"/>
        </w:rPr>
        <w:t xml:space="preserve"> Trucost,UNEP (2014) https://www.trucost.com/publication/valuing-plastic/ </w:t>
      </w:r>
    </w:p>
  </w:footnote>
  <w:footnote w:id="16">
    <w:p w14:paraId="4B2B4C62" w14:textId="28615263" w:rsidR="00162EF4" w:rsidRPr="00595499" w:rsidRDefault="00162EF4" w:rsidP="00162EF4">
      <w:pPr>
        <w:pStyle w:val="FootnoteText"/>
        <w:rPr>
          <w:rFonts w:cstheme="minorHAnsi"/>
          <w:szCs w:val="16"/>
        </w:rPr>
      </w:pPr>
      <w:r w:rsidRPr="00595499">
        <w:rPr>
          <w:rStyle w:val="FootnoteReference"/>
          <w:rFonts w:cstheme="minorHAnsi"/>
          <w:szCs w:val="16"/>
        </w:rPr>
        <w:footnoteRef/>
      </w:r>
      <w:r w:rsidRPr="00595499">
        <w:rPr>
          <w:rFonts w:cstheme="minorHAnsi"/>
          <w:szCs w:val="16"/>
        </w:rPr>
        <w:t xml:space="preserve"> Marine litter refers to the human generated waste discharged into the marine environment, and plastic pollution is the accumulation of plastic in the environment to the point of being harmful to wildlife and humans. The two terms may be used interchangeably in the context of this business case.</w:t>
      </w:r>
    </w:p>
  </w:footnote>
  <w:footnote w:id="17">
    <w:p w14:paraId="571E3924" w14:textId="77777777" w:rsidR="00162EF4" w:rsidRPr="00595499" w:rsidRDefault="00162EF4" w:rsidP="00162EF4">
      <w:pPr>
        <w:pStyle w:val="FootnoteText"/>
        <w:rPr>
          <w:rFonts w:cstheme="minorHAnsi"/>
          <w:szCs w:val="16"/>
        </w:rPr>
      </w:pPr>
      <w:r w:rsidRPr="00595499">
        <w:rPr>
          <w:rStyle w:val="FootnoteReference"/>
          <w:rFonts w:cstheme="minorHAnsi"/>
          <w:szCs w:val="16"/>
        </w:rPr>
        <w:footnoteRef/>
      </w:r>
      <w:r w:rsidRPr="00595499">
        <w:rPr>
          <w:rFonts w:cstheme="minorHAnsi"/>
          <w:szCs w:val="16"/>
        </w:rPr>
        <w:t xml:space="preserve"> https://news.un.org/en/story/2016/12/547032-new-un-report-finds-marine-debris-harming-more-800-species-costing-countries</w:t>
      </w:r>
    </w:p>
  </w:footnote>
  <w:footnote w:id="18">
    <w:p w14:paraId="3D82F63E" w14:textId="145A00E4" w:rsidR="00162EF4" w:rsidRPr="00595499" w:rsidRDefault="00162EF4" w:rsidP="00E00022">
      <w:pPr>
        <w:pStyle w:val="FootnoteText"/>
        <w:jc w:val="left"/>
        <w:rPr>
          <w:rFonts w:cstheme="minorHAnsi"/>
          <w:szCs w:val="16"/>
        </w:rPr>
      </w:pPr>
      <w:r w:rsidRPr="00595499">
        <w:rPr>
          <w:rStyle w:val="FootnoteReference"/>
          <w:rFonts w:cstheme="minorHAnsi"/>
          <w:szCs w:val="16"/>
        </w:rPr>
        <w:footnoteRef/>
      </w:r>
      <w:r w:rsidR="004D4A72" w:rsidRPr="00595499">
        <w:rPr>
          <w:rFonts w:cstheme="minorHAnsi"/>
          <w:szCs w:val="16"/>
        </w:rPr>
        <w:t xml:space="preserve"> </w:t>
      </w:r>
      <w:r w:rsidRPr="00595499">
        <w:rPr>
          <w:rFonts w:cstheme="minorHAnsi"/>
          <w:szCs w:val="16"/>
        </w:rPr>
        <w:t>https://www.greenpeace.org/static/planet4-international-stateless/2019/11/8f290a4f-ghostgearfishingreport2019_greenpeace.pdf</w:t>
      </w:r>
    </w:p>
  </w:footnote>
  <w:footnote w:id="19">
    <w:p w14:paraId="40FE8EF9" w14:textId="77777777" w:rsidR="00AA4B4B" w:rsidRPr="00217F59" w:rsidRDefault="00AA4B4B" w:rsidP="00AA4B4B">
      <w:pPr>
        <w:pStyle w:val="NoSpacing"/>
        <w:rPr>
          <w:rFonts w:cstheme="minorHAnsi"/>
          <w:sz w:val="18"/>
          <w:szCs w:val="18"/>
        </w:rPr>
      </w:pPr>
      <w:r w:rsidRPr="00217F59">
        <w:rPr>
          <w:rStyle w:val="FootnoteReference"/>
          <w:rFonts w:cstheme="minorHAnsi"/>
          <w:sz w:val="18"/>
          <w:szCs w:val="18"/>
        </w:rPr>
        <w:footnoteRef/>
      </w:r>
      <w:r w:rsidRPr="00217F59">
        <w:rPr>
          <w:rFonts w:cstheme="minorHAnsi"/>
          <w:sz w:val="18"/>
          <w:szCs w:val="18"/>
        </w:rPr>
        <w:t xml:space="preserve"> </w:t>
      </w:r>
      <w:r w:rsidRPr="00595499">
        <w:rPr>
          <w:rFonts w:cstheme="minorHAnsi"/>
          <w:sz w:val="16"/>
          <w:szCs w:val="16"/>
        </w:rPr>
        <w:t>https://assets.publishing.service.gov.uk/government/uploads/system/uploads/attachment_data/file/693158/25-year-environment-plan.pdf</w:t>
      </w:r>
    </w:p>
  </w:footnote>
  <w:footnote w:id="20">
    <w:p w14:paraId="72D2F453" w14:textId="77777777" w:rsidR="00E2100C" w:rsidRPr="000354B5" w:rsidRDefault="00E2100C" w:rsidP="00E2100C">
      <w:pPr>
        <w:pStyle w:val="FootnoteText"/>
        <w:rPr>
          <w:rFonts w:cstheme="minorHAnsi"/>
          <w:sz w:val="18"/>
          <w:szCs w:val="18"/>
        </w:rPr>
      </w:pPr>
      <w:r w:rsidRPr="000354B5">
        <w:rPr>
          <w:rStyle w:val="FootnoteReference"/>
          <w:rFonts w:cstheme="minorHAnsi"/>
          <w:sz w:val="18"/>
          <w:szCs w:val="18"/>
        </w:rPr>
        <w:footnoteRef/>
      </w:r>
      <w:r w:rsidRPr="000354B5">
        <w:rPr>
          <w:rFonts w:cstheme="minorHAnsi"/>
          <w:sz w:val="18"/>
          <w:szCs w:val="18"/>
        </w:rPr>
        <w:t xml:space="preserve"> 24-YO Removes 700 kg of Waste From River; Helps Turtles &amp; Crocs Regain Their Home. (2022). Retrieved 15 July 2022, from </w:t>
      </w:r>
      <w:hyperlink r:id="rId2" w:history="1">
        <w:r w:rsidRPr="000354B5">
          <w:rPr>
            <w:rStyle w:val="Hyperlink"/>
            <w:rFonts w:cstheme="minorHAnsi"/>
            <w:color w:val="auto"/>
            <w:sz w:val="18"/>
            <w:szCs w:val="18"/>
          </w:rPr>
          <w:t>https://www.thebetterindia.com/268757/waste-recycle-gujarat-river-clean-up-sneha-shahi-unep-plastic-tide-turner/</w:t>
        </w:r>
      </w:hyperlink>
      <w:r w:rsidRPr="000354B5">
        <w:rPr>
          <w:rFonts w:cstheme="minorHAnsi"/>
          <w:sz w:val="18"/>
          <w:szCs w:val="18"/>
        </w:rPr>
        <w:t xml:space="preserve"> </w:t>
      </w:r>
    </w:p>
  </w:footnote>
  <w:footnote w:id="21">
    <w:p w14:paraId="21F411A9" w14:textId="77777777" w:rsidR="00E2100C" w:rsidRDefault="00E2100C" w:rsidP="00E2100C">
      <w:pPr>
        <w:pStyle w:val="FootnoteText"/>
      </w:pPr>
      <w:r>
        <w:rPr>
          <w:rStyle w:val="FootnoteReference"/>
        </w:rPr>
        <w:footnoteRef/>
      </w:r>
      <w:r>
        <w:t xml:space="preserve"> Using the 2022 UK BEIS Carbon Value (£107.38).</w:t>
      </w:r>
    </w:p>
  </w:footnote>
  <w:footnote w:id="22">
    <w:p w14:paraId="1478D777" w14:textId="12D3155D" w:rsidR="00E52D65" w:rsidRDefault="00E52D65">
      <w:pPr>
        <w:pStyle w:val="FootnoteText"/>
      </w:pPr>
      <w:r>
        <w:rPr>
          <w:rStyle w:val="FootnoteReference"/>
        </w:rPr>
        <w:footnoteRef/>
      </w:r>
      <w:r>
        <w:t xml:space="preserve"> </w:t>
      </w:r>
      <w:r w:rsidRPr="00E52D65">
        <w:t>https://www.weforum.org/agenda/2021/05/gender-women-plastics-ghana/</w:t>
      </w:r>
    </w:p>
  </w:footnote>
  <w:footnote w:id="23">
    <w:p w14:paraId="131C19F5" w14:textId="3F43111B" w:rsidR="002F62ED" w:rsidRPr="002F62ED" w:rsidRDefault="002F62ED" w:rsidP="002F62ED">
      <w:pPr>
        <w:pStyle w:val="FootnoteText"/>
        <w:rPr>
          <w:rFonts w:cstheme="minorHAnsi"/>
          <w:sz w:val="18"/>
          <w:szCs w:val="18"/>
        </w:rPr>
      </w:pPr>
      <w:r w:rsidRPr="002F62ED">
        <w:rPr>
          <w:rStyle w:val="FootnoteReference"/>
          <w:rFonts w:cstheme="minorHAnsi"/>
          <w:sz w:val="18"/>
          <w:szCs w:val="18"/>
        </w:rPr>
        <w:footnoteRef/>
      </w:r>
      <w:r w:rsidRPr="002F62ED">
        <w:rPr>
          <w:rFonts w:cstheme="minorHAnsi"/>
          <w:sz w:val="18"/>
          <w:szCs w:val="18"/>
        </w:rPr>
        <w:t xml:space="preserve"> </w:t>
      </w:r>
      <w:r w:rsidRPr="000354B5">
        <w:rPr>
          <w:rFonts w:eastAsia="Times New Roman" w:cstheme="minorHAnsi"/>
          <w:sz w:val="18"/>
          <w:szCs w:val="18"/>
          <w:lang w:eastAsia="en-GB"/>
        </w:rPr>
        <w:t xml:space="preserve">Number of </w:t>
      </w:r>
      <w:r w:rsidRPr="000354B5">
        <w:rPr>
          <w:rFonts w:cstheme="minorHAnsi"/>
          <w:sz w:val="18"/>
          <w:szCs w:val="18"/>
        </w:rPr>
        <w:t xml:space="preserve">people supported to participate in one of Tide Turner’s programmes: </w:t>
      </w:r>
      <w:r w:rsidRPr="002F62ED">
        <w:rPr>
          <w:rFonts w:cstheme="minorHAnsi"/>
          <w:sz w:val="18"/>
          <w:szCs w:val="18"/>
        </w:rPr>
        <w:t>Level 1 (</w:t>
      </w:r>
      <w:r w:rsidRPr="002F62ED">
        <w:rPr>
          <w:rFonts w:cstheme="minorHAnsi"/>
          <w:sz w:val="18"/>
          <w:szCs w:val="18"/>
          <w:shd w:val="clear" w:color="auto" w:fill="FFFFFF"/>
        </w:rPr>
        <w:t>Entry level), Level 2 (leader level), Level 3 (champion level), and Level 4 (hero level, which is focused on advocacy and called 'Wave Makers’).</w:t>
      </w:r>
    </w:p>
  </w:footnote>
  <w:footnote w:id="24">
    <w:p w14:paraId="2C46E408" w14:textId="77777777" w:rsidR="004E6744" w:rsidRPr="008870F1" w:rsidRDefault="004E6744" w:rsidP="004E6744">
      <w:pPr>
        <w:pStyle w:val="FootnoteText"/>
        <w:rPr>
          <w:rFonts w:cstheme="minorHAnsi"/>
          <w:sz w:val="18"/>
          <w:szCs w:val="18"/>
        </w:rPr>
      </w:pPr>
      <w:r w:rsidRPr="008870F1">
        <w:rPr>
          <w:rStyle w:val="FootnoteReference"/>
          <w:rFonts w:cstheme="minorHAnsi"/>
          <w:sz w:val="18"/>
          <w:szCs w:val="18"/>
        </w:rPr>
        <w:footnoteRef/>
      </w:r>
      <w:r w:rsidRPr="008870F1">
        <w:rPr>
          <w:rFonts w:cstheme="minorHAnsi"/>
          <w:sz w:val="18"/>
          <w:szCs w:val="18"/>
        </w:rPr>
        <w:t xml:space="preserve"> All funding scenarios will support </w:t>
      </w:r>
      <w:r w:rsidRPr="008870F1">
        <w:rPr>
          <w:rFonts w:cstheme="minorHAnsi"/>
          <w:sz w:val="18"/>
          <w:szCs w:val="18"/>
          <w:highlight w:val="white"/>
        </w:rPr>
        <w:t>Captain Planet Foundation (CPF), Girl Guides (WAGGGS), WWF India and CEE India).</w:t>
      </w:r>
    </w:p>
  </w:footnote>
  <w:footnote w:id="25">
    <w:p w14:paraId="36A6E1A5" w14:textId="77777777" w:rsidR="004E6744" w:rsidRPr="008870F1" w:rsidRDefault="004E6744" w:rsidP="000354B5">
      <w:pPr>
        <w:pStyle w:val="NormalWeb"/>
        <w:shd w:val="clear" w:color="auto" w:fill="FFFFFF"/>
        <w:spacing w:before="0" w:beforeAutospacing="0" w:after="0" w:afterAutospacing="0"/>
        <w:rPr>
          <w:rFonts w:asciiTheme="minorHAnsi" w:hAnsiTheme="minorHAnsi" w:cstheme="minorHAnsi"/>
          <w:color w:val="000000"/>
          <w:sz w:val="28"/>
          <w:szCs w:val="28"/>
        </w:rPr>
      </w:pPr>
      <w:r w:rsidRPr="008870F1">
        <w:rPr>
          <w:rStyle w:val="FootnoteReference"/>
          <w:rFonts w:asciiTheme="minorHAnsi" w:hAnsiTheme="minorHAnsi" w:cstheme="minorHAnsi"/>
          <w:sz w:val="18"/>
          <w:szCs w:val="18"/>
        </w:rPr>
        <w:footnoteRef/>
      </w:r>
      <w:r w:rsidRPr="008870F1">
        <w:rPr>
          <w:rFonts w:asciiTheme="minorHAnsi" w:hAnsiTheme="minorHAnsi" w:cstheme="minorHAnsi"/>
          <w:sz w:val="18"/>
          <w:szCs w:val="18"/>
        </w:rPr>
        <w:t xml:space="preserve"> The reason that Tide Turners have been able to train nearly 500,000 participants with the UK’s £1.3m investment to date (at a cost of £2.60/participant), but only project to train an additional 125,000 participants per year with a further £1m invested per year (at a cost of £8/participant), because in this scenario there is a strong focus on advocacy and communications interventions, rather than direct training of participants. In addition, the impact of training an individual at level 3 or 4 compared to level 1 is expected to be significantly different with communication and advocacy training having a much greater impact</w:t>
      </w:r>
      <w:r>
        <w:rPr>
          <w:rFonts w:asciiTheme="minorHAnsi" w:hAnsiTheme="minorHAnsi" w:cstheme="minorHAnsi"/>
          <w:sz w:val="18"/>
          <w:szCs w:val="18"/>
        </w:rPr>
        <w:t>.</w:t>
      </w:r>
    </w:p>
  </w:footnote>
  <w:footnote w:id="26">
    <w:p w14:paraId="197529EE" w14:textId="14792DD5" w:rsidR="002A05A8" w:rsidRPr="00DA7948" w:rsidRDefault="002A05A8" w:rsidP="002A05A8">
      <w:pPr>
        <w:pStyle w:val="FootnoteText"/>
        <w:rPr>
          <w:rFonts w:cstheme="minorHAnsi"/>
          <w:sz w:val="18"/>
          <w:szCs w:val="18"/>
        </w:rPr>
      </w:pPr>
      <w:r w:rsidRPr="00DA7948">
        <w:rPr>
          <w:rStyle w:val="FootnoteReference"/>
          <w:rFonts w:cstheme="minorHAnsi"/>
          <w:sz w:val="18"/>
          <w:szCs w:val="18"/>
        </w:rPr>
        <w:footnoteRef/>
      </w:r>
      <w:r w:rsidRPr="00DA7948">
        <w:rPr>
          <w:rFonts w:cstheme="minorHAnsi"/>
          <w:sz w:val="18"/>
          <w:szCs w:val="18"/>
        </w:rPr>
        <w:t xml:space="preserve"> The App will help </w:t>
      </w:r>
      <w:r w:rsidR="002605A0">
        <w:rPr>
          <w:rFonts w:cstheme="minorHAnsi"/>
          <w:sz w:val="18"/>
          <w:szCs w:val="18"/>
        </w:rPr>
        <w:t>identify</w:t>
      </w:r>
      <w:r w:rsidR="002605A0" w:rsidRPr="00D954F6">
        <w:rPr>
          <w:rFonts w:cstheme="minorHAnsi"/>
          <w:sz w:val="18"/>
          <w:szCs w:val="18"/>
        </w:rPr>
        <w:t xml:space="preserve"> </w:t>
      </w:r>
      <w:r w:rsidRPr="00DA7948">
        <w:rPr>
          <w:rFonts w:cstheme="minorHAnsi"/>
          <w:sz w:val="18"/>
          <w:szCs w:val="18"/>
        </w:rPr>
        <w:t>success stories from the communities</w:t>
      </w:r>
    </w:p>
  </w:footnote>
  <w:footnote w:id="27">
    <w:p w14:paraId="0B4818B0" w14:textId="5985E473" w:rsidR="00EB30F4" w:rsidRPr="000354B5" w:rsidRDefault="00EB30F4">
      <w:pPr>
        <w:pStyle w:val="FootnoteText"/>
        <w:rPr>
          <w:rFonts w:cstheme="minorHAnsi"/>
          <w:sz w:val="18"/>
          <w:szCs w:val="18"/>
        </w:rPr>
      </w:pPr>
      <w:r w:rsidRPr="000354B5">
        <w:rPr>
          <w:rStyle w:val="FootnoteReference"/>
          <w:rFonts w:cstheme="minorHAnsi"/>
          <w:sz w:val="18"/>
          <w:szCs w:val="18"/>
        </w:rPr>
        <w:footnoteRef/>
      </w:r>
      <w:r w:rsidR="005934AB" w:rsidRPr="000354B5">
        <w:rPr>
          <w:rFonts w:cstheme="minorHAnsi"/>
          <w:sz w:val="18"/>
          <w:szCs w:val="18"/>
        </w:rPr>
        <w:t>Assuming all plastic straws weigh 0.55g -</w:t>
      </w:r>
      <w:r w:rsidRPr="000354B5">
        <w:rPr>
          <w:rFonts w:cstheme="minorHAnsi"/>
          <w:sz w:val="18"/>
          <w:szCs w:val="18"/>
        </w:rPr>
        <w:t xml:space="preserve"> </w:t>
      </w:r>
      <w:hyperlink r:id="rId3" w:history="1">
        <w:r w:rsidRPr="000354B5">
          <w:rPr>
            <w:rStyle w:val="Hyperlink"/>
            <w:rFonts w:cstheme="minorHAnsi"/>
            <w:color w:val="auto"/>
            <w:sz w:val="18"/>
            <w:szCs w:val="18"/>
          </w:rPr>
          <w:t>Impact Assessment (defra.gov.uk)</w:t>
        </w:r>
      </w:hyperlink>
    </w:p>
  </w:footnote>
  <w:footnote w:id="28">
    <w:p w14:paraId="2BF5E283" w14:textId="72BEFC7C" w:rsidR="00ED274F" w:rsidRPr="000354B5" w:rsidRDefault="00ED274F">
      <w:pPr>
        <w:pStyle w:val="FootnoteText"/>
        <w:rPr>
          <w:rFonts w:cstheme="minorHAnsi"/>
          <w:sz w:val="18"/>
          <w:szCs w:val="18"/>
        </w:rPr>
      </w:pPr>
      <w:r w:rsidRPr="000354B5">
        <w:rPr>
          <w:rStyle w:val="FootnoteReference"/>
          <w:rFonts w:cstheme="minorHAnsi"/>
          <w:sz w:val="18"/>
          <w:szCs w:val="18"/>
        </w:rPr>
        <w:footnoteRef/>
      </w:r>
      <w:r w:rsidRPr="000354B5">
        <w:rPr>
          <w:rFonts w:cstheme="minorHAnsi"/>
          <w:sz w:val="18"/>
          <w:szCs w:val="18"/>
        </w:rPr>
        <w:t xml:space="preserve"> </w:t>
      </w:r>
      <w:hyperlink r:id="rId4" w:history="1">
        <w:r w:rsidRPr="000354B5">
          <w:rPr>
            <w:rStyle w:val="Hyperlink"/>
            <w:rFonts w:cstheme="minorHAnsi"/>
            <w:color w:val="auto"/>
            <w:sz w:val="18"/>
            <w:szCs w:val="18"/>
          </w:rPr>
          <w:t>UNITED (unep.org)</w:t>
        </w:r>
      </w:hyperlink>
    </w:p>
  </w:footnote>
  <w:footnote w:id="29">
    <w:p w14:paraId="2CDA0AE4" w14:textId="77777777" w:rsidR="004F0296" w:rsidRDefault="004F0296" w:rsidP="004F0296">
      <w:pPr>
        <w:pStyle w:val="FootnoteText"/>
      </w:pPr>
      <w:r>
        <w:rPr>
          <w:rStyle w:val="FootnoteReference"/>
        </w:rPr>
        <w:footnoteRef/>
      </w:r>
      <w:r>
        <w:t xml:space="preserve"> </w:t>
      </w:r>
      <w:r w:rsidRPr="004F0296">
        <w:t>https://www.un.org/Depts/ptd/sites/www.un.org.Depts.ptd/files/files/attachment/page/pdf/pm.pdf</w:t>
      </w:r>
    </w:p>
  </w:footnote>
  <w:footnote w:id="30">
    <w:p w14:paraId="1BD9B1CA" w14:textId="1C782475" w:rsidR="00977717" w:rsidRDefault="00977717">
      <w:pPr>
        <w:pStyle w:val="FootnoteText"/>
      </w:pPr>
      <w:r>
        <w:rPr>
          <w:rStyle w:val="FootnoteReference"/>
        </w:rPr>
        <w:footnoteRef/>
      </w:r>
      <w:r w:rsidRPr="00977717">
        <w:rPr>
          <w:rFonts w:cstheme="minorHAnsi"/>
        </w:rPr>
        <w:t>https://www.unep.org/about-un-environment-programme/policies-and-strategies/misconduct-and-anti-fraud-policies</w:t>
      </w:r>
    </w:p>
  </w:footnote>
  <w:footnote w:id="31">
    <w:p w14:paraId="457E0E26" w14:textId="4D1CEB60" w:rsidR="00977717" w:rsidRDefault="00977717">
      <w:pPr>
        <w:pStyle w:val="FootnoteText"/>
      </w:pPr>
      <w:r>
        <w:rPr>
          <w:rStyle w:val="FootnoteReference"/>
        </w:rPr>
        <w:footnoteRef/>
      </w:r>
      <w:r>
        <w:t xml:space="preserve"> </w:t>
      </w:r>
      <w:r w:rsidRPr="00977717">
        <w:t>https://www.unenvironment.org/about-un-environment/policies-and-strategies/reporting-wrongdoing</w:t>
      </w:r>
    </w:p>
  </w:footnote>
  <w:footnote w:id="32">
    <w:p w14:paraId="2E225142" w14:textId="77777777" w:rsidR="00B4536E" w:rsidRDefault="00B4536E" w:rsidP="00B4536E">
      <w:pPr>
        <w:pStyle w:val="FootnoteText"/>
      </w:pPr>
      <w:r>
        <w:rPr>
          <w:rStyle w:val="FootnoteReference"/>
        </w:rPr>
        <w:footnoteRef/>
      </w:r>
      <w:r>
        <w:t xml:space="preserve"> </w:t>
      </w:r>
      <w:r w:rsidRPr="003720A2">
        <w:rPr>
          <w:rFonts w:cstheme="minorHAnsi"/>
        </w:rPr>
        <w:t>https://www.un.org/Depts/ptd/about-us/un-supplier-code-conduct</w:t>
      </w:r>
    </w:p>
  </w:footnote>
  <w:footnote w:id="33">
    <w:p w14:paraId="759416BB" w14:textId="77777777" w:rsidR="00B4536E" w:rsidRDefault="00B4536E" w:rsidP="00B4536E">
      <w:pPr>
        <w:pStyle w:val="FootnoteText"/>
      </w:pPr>
      <w:r>
        <w:rPr>
          <w:rStyle w:val="FootnoteReference"/>
        </w:rPr>
        <w:footnoteRef/>
      </w:r>
      <w:r>
        <w:t xml:space="preserve"> </w:t>
      </w:r>
      <w:r w:rsidRPr="003720A2">
        <w:rPr>
          <w:rFonts w:cstheme="minorHAnsi"/>
        </w:rPr>
        <w:t>https://www.un.org/Depts/ptd/about-us/conditions-contract</w:t>
      </w:r>
    </w:p>
  </w:footnote>
  <w:footnote w:id="34">
    <w:p w14:paraId="6E8F6F26" w14:textId="77777777" w:rsidR="00E00022" w:rsidRPr="00F47664" w:rsidRDefault="00E00022" w:rsidP="00E00022">
      <w:pPr>
        <w:pStyle w:val="FootnoteText"/>
        <w:rPr>
          <w:rFonts w:cstheme="minorHAnsi"/>
        </w:rPr>
      </w:pPr>
      <w:r w:rsidRPr="00F47664">
        <w:rPr>
          <w:rStyle w:val="FootnoteReference"/>
          <w:rFonts w:cstheme="minorHAnsi"/>
          <w:szCs w:val="16"/>
        </w:rPr>
        <w:footnoteRef/>
      </w:r>
      <w:r w:rsidRPr="00F47664">
        <w:rPr>
          <w:rFonts w:cstheme="minorHAnsi"/>
          <w:szCs w:val="16"/>
        </w:rPr>
        <w:t xml:space="preserve"> Based on an assessment of likelihood and impact. Green is low risk, amber is medium risk, red is high risk.</w:t>
      </w:r>
    </w:p>
  </w:footnote>
  <w:footnote w:id="35">
    <w:p w14:paraId="113AD2D0" w14:textId="77777777" w:rsidR="003A60A4" w:rsidRPr="00EC3F9D" w:rsidRDefault="003A60A4" w:rsidP="003A60A4">
      <w:pPr>
        <w:pStyle w:val="FootnoteText"/>
        <w:rPr>
          <w:sz w:val="20"/>
          <w:szCs w:val="28"/>
        </w:rPr>
      </w:pPr>
      <w:r w:rsidRPr="00EC3F9D">
        <w:rPr>
          <w:rStyle w:val="FootnoteReference"/>
          <w:sz w:val="20"/>
          <w:szCs w:val="28"/>
        </w:rPr>
        <w:footnoteRef/>
      </w:r>
      <w:r w:rsidRPr="00EC3F9D">
        <w:rPr>
          <w:sz w:val="20"/>
          <w:szCs w:val="28"/>
        </w:rPr>
        <w:t xml:space="preserve"> Based on staff costs at the time of writing. Please note, staff costs are likely to change over</w:t>
      </w:r>
      <w:r>
        <w:rPr>
          <w:sz w:val="20"/>
          <w:szCs w:val="28"/>
        </w:rPr>
        <w:t xml:space="preserve"> 3</w:t>
      </w:r>
      <w:r w:rsidRPr="00EC3F9D">
        <w:rPr>
          <w:sz w:val="20"/>
          <w:szCs w:val="28"/>
        </w:rPr>
        <w:t xml:space="preserve"> years.</w:t>
      </w:r>
    </w:p>
  </w:footnote>
  <w:footnote w:id="36">
    <w:p w14:paraId="000E7A9B" w14:textId="615E3241" w:rsidR="006B015F" w:rsidRPr="00364227" w:rsidRDefault="006B015F" w:rsidP="006B015F">
      <w:pPr>
        <w:pStyle w:val="FootnoteText"/>
        <w:rPr>
          <w:rFonts w:ascii="Arial" w:hAnsi="Arial" w:cs="Arial"/>
        </w:rPr>
      </w:pPr>
      <w:r w:rsidRPr="00364227">
        <w:rPr>
          <w:rStyle w:val="FootnoteReference"/>
          <w:rFonts w:ascii="Arial" w:hAnsi="Arial" w:cs="Arial"/>
          <w:sz w:val="18"/>
          <w:szCs w:val="18"/>
        </w:rPr>
        <w:footnoteRef/>
      </w:r>
      <w:r w:rsidRPr="00364227">
        <w:rPr>
          <w:rFonts w:ascii="Arial" w:hAnsi="Arial" w:cs="Arial"/>
          <w:sz w:val="18"/>
          <w:szCs w:val="18"/>
        </w:rPr>
        <w:t xml:space="preserve"> Includes economist</w:t>
      </w:r>
      <w:r w:rsidR="003A60A4">
        <w:rPr>
          <w:rFonts w:ascii="Arial" w:hAnsi="Arial" w:cs="Arial"/>
          <w:sz w:val="18"/>
          <w:szCs w:val="18"/>
        </w:rPr>
        <w:t>, MEL</w:t>
      </w:r>
      <w:r w:rsidRPr="00364227">
        <w:rPr>
          <w:rFonts w:ascii="Arial" w:hAnsi="Arial" w:cs="Arial"/>
          <w:sz w:val="18"/>
          <w:szCs w:val="18"/>
        </w:rPr>
        <w:t xml:space="preserve"> and policy</w:t>
      </w:r>
    </w:p>
  </w:footnote>
  <w:footnote w:id="37">
    <w:p w14:paraId="7624AFE9" w14:textId="77777777" w:rsidR="00CB7B5A" w:rsidRPr="00A63E65" w:rsidRDefault="00CB7B5A" w:rsidP="00CB7B5A">
      <w:pPr>
        <w:pStyle w:val="FootnoteText"/>
        <w:rPr>
          <w:rFonts w:cs="Arial"/>
          <w:color w:val="000000" w:themeColor="text1"/>
          <w:sz w:val="18"/>
          <w:szCs w:val="18"/>
        </w:rPr>
      </w:pPr>
      <w:r w:rsidRPr="00A63E65">
        <w:rPr>
          <w:rStyle w:val="FootnoteReference"/>
          <w:rFonts w:cs="Arial"/>
          <w:color w:val="000000" w:themeColor="text1"/>
          <w:sz w:val="18"/>
          <w:szCs w:val="18"/>
        </w:rPr>
        <w:footnoteRef/>
      </w:r>
      <w:hyperlink w:history="1">
        <w:r w:rsidRPr="00E77494">
          <w:rPr>
            <w:rStyle w:val="Hyperlink"/>
            <w:rFonts w:cs="Arial"/>
            <w:sz w:val="18"/>
            <w:szCs w:val="18"/>
          </w:rPr>
          <w:t>https://assets-global.website files.com/5da42e2cae7ebd3f8bde353c/5dda924905da587992a064ba_Conservative%202019%20Manifesto.pdf</w:t>
        </w:r>
      </w:hyperlink>
      <w:r w:rsidRPr="00A63E65">
        <w:rPr>
          <w:rFonts w:cs="Arial"/>
          <w:color w:val="000000" w:themeColor="text1"/>
          <w:sz w:val="18"/>
          <w:szCs w:val="18"/>
        </w:rPr>
        <w:t xml:space="preserve"> </w:t>
      </w:r>
    </w:p>
  </w:footnote>
  <w:footnote w:id="38">
    <w:p w14:paraId="787D6AF6" w14:textId="77777777" w:rsidR="00CB7B5A" w:rsidRPr="00A63E65" w:rsidRDefault="00CB7B5A" w:rsidP="00CB7B5A">
      <w:pPr>
        <w:pStyle w:val="FootnoteText"/>
        <w:rPr>
          <w:rFonts w:cs="Arial"/>
          <w:color w:val="000000" w:themeColor="text1"/>
          <w:sz w:val="18"/>
          <w:szCs w:val="18"/>
        </w:rPr>
      </w:pPr>
      <w:r w:rsidRPr="00A63E65">
        <w:rPr>
          <w:rStyle w:val="FootnoteReference"/>
          <w:rFonts w:cs="Arial"/>
          <w:color w:val="000000" w:themeColor="text1"/>
          <w:sz w:val="18"/>
          <w:szCs w:val="18"/>
        </w:rPr>
        <w:footnoteRef/>
      </w:r>
      <w:r w:rsidRPr="00A63E65">
        <w:rPr>
          <w:rFonts w:cs="Arial"/>
          <w:color w:val="000000" w:themeColor="text1"/>
          <w:sz w:val="18"/>
          <w:szCs w:val="18"/>
        </w:rPr>
        <w:t xml:space="preserve"> </w:t>
      </w:r>
      <w:hyperlink r:id="rId5" w:history="1">
        <w:r w:rsidRPr="00A63E65">
          <w:rPr>
            <w:rStyle w:val="Hyperlink"/>
            <w:rFonts w:cs="Arial"/>
            <w:color w:val="000000" w:themeColor="text1"/>
            <w:sz w:val="18"/>
            <w:szCs w:val="18"/>
          </w:rPr>
          <w:t>https://www.conservatives.com/news/vote-blue-go-green</w:t>
        </w:r>
      </w:hyperlink>
      <w:r w:rsidRPr="00A63E65">
        <w:rPr>
          <w:rFonts w:cs="Arial"/>
          <w:color w:val="000000" w:themeColor="text1"/>
          <w:sz w:val="18"/>
          <w:szCs w:val="18"/>
        </w:rPr>
        <w:t xml:space="preserve"> </w:t>
      </w:r>
    </w:p>
  </w:footnote>
  <w:footnote w:id="39">
    <w:p w14:paraId="2F41D8B1" w14:textId="77777777" w:rsidR="00EA6165" w:rsidRPr="008870F1" w:rsidRDefault="00EA6165" w:rsidP="00EA6165">
      <w:pPr>
        <w:pStyle w:val="FootnoteText"/>
        <w:rPr>
          <w:rFonts w:cstheme="minorHAnsi"/>
          <w:sz w:val="18"/>
          <w:szCs w:val="18"/>
        </w:rPr>
      </w:pPr>
      <w:r w:rsidRPr="008870F1">
        <w:rPr>
          <w:rStyle w:val="FootnoteReference"/>
          <w:rFonts w:cstheme="minorHAnsi"/>
          <w:sz w:val="18"/>
          <w:szCs w:val="18"/>
        </w:rPr>
        <w:footnoteRef/>
      </w:r>
      <w:r w:rsidRPr="008870F1">
        <w:rPr>
          <w:rFonts w:cstheme="minorHAnsi"/>
          <w:sz w:val="18"/>
          <w:szCs w:val="18"/>
        </w:rPr>
        <w:t xml:space="preserve"> </w:t>
      </w:r>
      <w:r>
        <w:rPr>
          <w:rFonts w:cstheme="minorHAnsi"/>
          <w:sz w:val="18"/>
          <w:szCs w:val="18"/>
        </w:rPr>
        <w:t>Level 1 (</w:t>
      </w:r>
      <w:r w:rsidRPr="008870F1">
        <w:rPr>
          <w:rFonts w:cstheme="minorHAnsi"/>
          <w:sz w:val="18"/>
          <w:szCs w:val="18"/>
          <w:shd w:val="clear" w:color="auto" w:fill="FFFFFF"/>
        </w:rPr>
        <w:t>Entry level</w:t>
      </w:r>
      <w:r>
        <w:rPr>
          <w:rFonts w:cstheme="minorHAnsi"/>
          <w:sz w:val="18"/>
          <w:szCs w:val="18"/>
          <w:shd w:val="clear" w:color="auto" w:fill="FFFFFF"/>
        </w:rPr>
        <w:t>)</w:t>
      </w:r>
      <w:r w:rsidRPr="008870F1">
        <w:rPr>
          <w:rFonts w:cstheme="minorHAnsi"/>
          <w:sz w:val="18"/>
          <w:szCs w:val="18"/>
          <w:shd w:val="clear" w:color="auto" w:fill="FFFFFF"/>
        </w:rPr>
        <w:t xml:space="preserve">, </w:t>
      </w:r>
      <w:r>
        <w:rPr>
          <w:rFonts w:cstheme="minorHAnsi"/>
          <w:sz w:val="18"/>
          <w:szCs w:val="18"/>
          <w:shd w:val="clear" w:color="auto" w:fill="FFFFFF"/>
        </w:rPr>
        <w:t>Level 2 (</w:t>
      </w:r>
      <w:r w:rsidRPr="008870F1">
        <w:rPr>
          <w:rFonts w:cstheme="minorHAnsi"/>
          <w:sz w:val="18"/>
          <w:szCs w:val="18"/>
          <w:shd w:val="clear" w:color="auto" w:fill="FFFFFF"/>
        </w:rPr>
        <w:t>leader level</w:t>
      </w:r>
      <w:r>
        <w:rPr>
          <w:rFonts w:cstheme="minorHAnsi"/>
          <w:sz w:val="18"/>
          <w:szCs w:val="18"/>
          <w:shd w:val="clear" w:color="auto" w:fill="FFFFFF"/>
        </w:rPr>
        <w:t>), Level 3 (</w:t>
      </w:r>
      <w:r w:rsidRPr="008870F1">
        <w:rPr>
          <w:rFonts w:cstheme="minorHAnsi"/>
          <w:sz w:val="18"/>
          <w:szCs w:val="18"/>
          <w:shd w:val="clear" w:color="auto" w:fill="FFFFFF"/>
        </w:rPr>
        <w:t>champion level</w:t>
      </w:r>
      <w:r>
        <w:rPr>
          <w:rFonts w:cstheme="minorHAnsi"/>
          <w:sz w:val="18"/>
          <w:szCs w:val="18"/>
          <w:shd w:val="clear" w:color="auto" w:fill="FFFFFF"/>
        </w:rPr>
        <w:t>)</w:t>
      </w:r>
      <w:r w:rsidRPr="008870F1">
        <w:rPr>
          <w:rFonts w:cstheme="minorHAnsi"/>
          <w:sz w:val="18"/>
          <w:szCs w:val="18"/>
          <w:shd w:val="clear" w:color="auto" w:fill="FFFFFF"/>
        </w:rPr>
        <w:t xml:space="preserve">, </w:t>
      </w:r>
      <w:r>
        <w:rPr>
          <w:rFonts w:cstheme="minorHAnsi"/>
          <w:sz w:val="18"/>
          <w:szCs w:val="18"/>
          <w:shd w:val="clear" w:color="auto" w:fill="FFFFFF"/>
        </w:rPr>
        <w:t>and Level 4 (</w:t>
      </w:r>
      <w:r w:rsidRPr="008870F1">
        <w:rPr>
          <w:rFonts w:cstheme="minorHAnsi"/>
          <w:sz w:val="18"/>
          <w:szCs w:val="18"/>
          <w:shd w:val="clear" w:color="auto" w:fill="FFFFFF"/>
        </w:rPr>
        <w:t>hero level</w:t>
      </w:r>
      <w:r>
        <w:rPr>
          <w:rFonts w:cstheme="minorHAnsi"/>
          <w:sz w:val="18"/>
          <w:szCs w:val="18"/>
          <w:shd w:val="clear" w:color="auto" w:fill="FFFFFF"/>
        </w:rPr>
        <w:t>, which is</w:t>
      </w:r>
      <w:r w:rsidRPr="008870F1">
        <w:rPr>
          <w:rFonts w:cstheme="minorHAnsi"/>
          <w:sz w:val="18"/>
          <w:szCs w:val="18"/>
          <w:shd w:val="clear" w:color="auto" w:fill="FFFFFF"/>
        </w:rPr>
        <w:t xml:space="preserve"> focused on advocacy and called 'Wave Makers’</w:t>
      </w:r>
      <w:r>
        <w:rPr>
          <w:rFonts w:cstheme="minorHAnsi"/>
          <w:sz w:val="18"/>
          <w:szCs w:val="18"/>
          <w:shd w:val="clear" w:color="auto" w:fill="FFFFFF"/>
        </w:rPr>
        <w:t>)</w:t>
      </w:r>
      <w:r w:rsidRPr="008870F1">
        <w:rPr>
          <w:rFonts w:cstheme="minorHAnsi"/>
          <w:sz w:val="18"/>
          <w:szCs w:val="18"/>
          <w:shd w:val="clear" w:color="auto" w:fill="FFFFFF"/>
        </w:rPr>
        <w:t>.</w:t>
      </w:r>
    </w:p>
  </w:footnote>
  <w:footnote w:id="40">
    <w:p w14:paraId="0C22DC44" w14:textId="77777777" w:rsidR="00EA6165" w:rsidRPr="008870F1" w:rsidRDefault="00EA6165" w:rsidP="00EA6165">
      <w:pPr>
        <w:pStyle w:val="NoSpacing"/>
        <w:rPr>
          <w:rFonts w:cstheme="minorHAnsi"/>
          <w:sz w:val="18"/>
          <w:szCs w:val="18"/>
        </w:rPr>
      </w:pPr>
      <w:r w:rsidRPr="008870F1">
        <w:rPr>
          <w:rStyle w:val="FootnoteReference"/>
          <w:rFonts w:cstheme="minorHAnsi"/>
          <w:sz w:val="18"/>
          <w:szCs w:val="18"/>
        </w:rPr>
        <w:footnoteRef/>
      </w:r>
      <w:r w:rsidRPr="008870F1">
        <w:rPr>
          <w:rFonts w:cstheme="minorHAnsi"/>
          <w:sz w:val="18"/>
          <w:szCs w:val="18"/>
        </w:rPr>
        <w:t xml:space="preserve"> The Pew Charitable Trust, SYSTEMIQ, </w:t>
      </w:r>
      <w:hyperlink r:id="rId6" w:history="1">
        <w:r w:rsidRPr="008870F1">
          <w:rPr>
            <w:rStyle w:val="Hyperlink"/>
            <w:rFonts w:cstheme="minorHAnsi"/>
            <w:color w:val="auto"/>
            <w:sz w:val="18"/>
            <w:szCs w:val="18"/>
          </w:rPr>
          <w:t>Breaking the Plastic Wave</w:t>
        </w:r>
      </w:hyperlink>
      <w:r w:rsidRPr="008870F1">
        <w:rPr>
          <w:rFonts w:cstheme="minorHAnsi"/>
          <w:sz w:val="18"/>
          <w:szCs w:val="18"/>
        </w:rPr>
        <w:t xml:space="preserve">, 2020 </w:t>
      </w:r>
    </w:p>
  </w:footnote>
  <w:footnote w:id="41">
    <w:p w14:paraId="3068C7A3" w14:textId="77777777" w:rsidR="00EA6165" w:rsidRPr="008870F1" w:rsidRDefault="00EA6165" w:rsidP="00EA6165">
      <w:pPr>
        <w:pStyle w:val="FootnoteText"/>
        <w:rPr>
          <w:rFonts w:cstheme="minorHAnsi"/>
          <w:sz w:val="18"/>
          <w:szCs w:val="18"/>
        </w:rPr>
      </w:pPr>
      <w:r w:rsidRPr="008870F1">
        <w:rPr>
          <w:rStyle w:val="FootnoteReference"/>
          <w:rFonts w:cstheme="minorHAnsi"/>
          <w:sz w:val="18"/>
          <w:szCs w:val="18"/>
        </w:rPr>
        <w:footnoteRef/>
      </w:r>
      <w:r w:rsidRPr="008870F1">
        <w:rPr>
          <w:rFonts w:cstheme="minorHAnsi"/>
          <w:sz w:val="18"/>
          <w:szCs w:val="18"/>
        </w:rPr>
        <w:t xml:space="preserve"> Noting the figures for total mismanaged waste are much higher – it is only a proportion which is assumed to end up in the ocean. </w:t>
      </w:r>
    </w:p>
  </w:footnote>
  <w:footnote w:id="42">
    <w:p w14:paraId="3EBF9520" w14:textId="77777777" w:rsidR="00EA6165" w:rsidRPr="008870F1" w:rsidRDefault="00EA6165" w:rsidP="00EA6165">
      <w:pPr>
        <w:pStyle w:val="FootnoteText"/>
        <w:rPr>
          <w:rFonts w:cstheme="minorHAnsi"/>
          <w:sz w:val="18"/>
          <w:szCs w:val="18"/>
        </w:rPr>
      </w:pPr>
      <w:r w:rsidRPr="008870F1">
        <w:rPr>
          <w:rStyle w:val="FootnoteReference"/>
          <w:rFonts w:cstheme="minorHAnsi"/>
          <w:sz w:val="18"/>
          <w:szCs w:val="18"/>
        </w:rPr>
        <w:footnoteRef/>
      </w:r>
      <w:r w:rsidRPr="008870F1">
        <w:rPr>
          <w:rFonts w:cstheme="minorHAnsi"/>
          <w:sz w:val="18"/>
          <w:szCs w:val="18"/>
        </w:rPr>
        <w:t xml:space="preserve"> The Pew Charitable Trust, SYSTEMIQ, </w:t>
      </w:r>
      <w:hyperlink r:id="rId7" w:history="1">
        <w:r w:rsidRPr="008870F1">
          <w:rPr>
            <w:rStyle w:val="Hyperlink"/>
            <w:rFonts w:cstheme="minorHAnsi"/>
            <w:color w:val="auto"/>
            <w:sz w:val="18"/>
            <w:szCs w:val="18"/>
          </w:rPr>
          <w:t>Breaking the Plastic Wave</w:t>
        </w:r>
      </w:hyperlink>
      <w:r w:rsidRPr="008870F1">
        <w:rPr>
          <w:rFonts w:cstheme="minorHAnsi"/>
          <w:sz w:val="18"/>
          <w:szCs w:val="18"/>
        </w:rPr>
        <w:t xml:space="preserve">, 2020 </w:t>
      </w:r>
    </w:p>
  </w:footnote>
  <w:footnote w:id="43">
    <w:p w14:paraId="56C8CF74" w14:textId="77777777" w:rsidR="00EA6165" w:rsidRPr="008870F1" w:rsidRDefault="00EA6165" w:rsidP="00EA6165">
      <w:pPr>
        <w:pStyle w:val="FootnoteText"/>
        <w:rPr>
          <w:rFonts w:cstheme="minorHAnsi"/>
          <w:sz w:val="18"/>
          <w:szCs w:val="18"/>
        </w:rPr>
      </w:pPr>
      <w:r w:rsidRPr="008870F1">
        <w:rPr>
          <w:rStyle w:val="FootnoteReference"/>
          <w:rFonts w:cstheme="minorHAnsi"/>
          <w:sz w:val="18"/>
          <w:szCs w:val="18"/>
        </w:rPr>
        <w:footnoteRef/>
      </w:r>
      <w:r w:rsidRPr="008870F1">
        <w:rPr>
          <w:rFonts w:cstheme="minorHAnsi"/>
          <w:sz w:val="18"/>
          <w:szCs w:val="18"/>
        </w:rPr>
        <w:t xml:space="preserve"> Neumann B, Vafeidis AT, Zimmermann J, Nicholls RJ (2015) Future Coastal Population Growth and Exposure to Sea-Level Rise and Coastal Flooding - A Global Assessment. PLoS ONE 10(3): e0118571. doi:10.1371/journal.pone.0118571. Asian countries such as China, India, Bangladesh, Indonesia and Vietnam are estimated to have the highest total coastal population exposure in the baseline year (2000) and this ranking is expected to remain largely unchanged in the future. However, Africa is expected to experience the highest rates of population growth and urbanisation in the coastal zone, particularly in Egypt and sub-Saharan countries in Western and Eastern Africa.</w:t>
      </w:r>
    </w:p>
  </w:footnote>
  <w:footnote w:id="44">
    <w:p w14:paraId="130F1A01" w14:textId="77777777" w:rsidR="009C3E69" w:rsidRPr="008870F1" w:rsidRDefault="009C3E69" w:rsidP="009C3E69">
      <w:pPr>
        <w:pStyle w:val="FootnoteText"/>
        <w:rPr>
          <w:rFonts w:cstheme="minorHAnsi"/>
          <w:sz w:val="18"/>
          <w:szCs w:val="18"/>
        </w:rPr>
      </w:pPr>
      <w:r w:rsidRPr="008870F1">
        <w:rPr>
          <w:rStyle w:val="FootnoteReference"/>
          <w:rFonts w:cstheme="minorHAnsi"/>
          <w:sz w:val="18"/>
          <w:szCs w:val="18"/>
        </w:rPr>
        <w:footnoteRef/>
      </w:r>
      <w:r w:rsidRPr="008870F1">
        <w:rPr>
          <w:rFonts w:cstheme="minorHAnsi"/>
          <w:sz w:val="18"/>
          <w:szCs w:val="18"/>
        </w:rPr>
        <w:t xml:space="preserve"> </w:t>
      </w:r>
      <w:hyperlink r:id="rId8" w:history="1">
        <w:r w:rsidRPr="008870F1">
          <w:rPr>
            <w:rStyle w:val="Hyperlink"/>
            <w:rFonts w:cstheme="minorHAnsi"/>
            <w:color w:val="auto"/>
            <w:sz w:val="18"/>
            <w:szCs w:val="18"/>
          </w:rPr>
          <w:t>Global ecological, social and economic impacts of marine plastic - ScienceDirect</w:t>
        </w:r>
      </w:hyperlink>
    </w:p>
  </w:footnote>
  <w:footnote w:id="45">
    <w:p w14:paraId="45654E29" w14:textId="77777777" w:rsidR="009C3E69" w:rsidRPr="008870F1" w:rsidRDefault="009C3E69" w:rsidP="009C3E69">
      <w:pPr>
        <w:pStyle w:val="FootnoteText"/>
        <w:rPr>
          <w:rFonts w:cstheme="minorHAnsi"/>
          <w:sz w:val="18"/>
          <w:szCs w:val="18"/>
        </w:rPr>
      </w:pPr>
      <w:r w:rsidRPr="008870F1">
        <w:rPr>
          <w:rStyle w:val="FootnoteReference"/>
          <w:rFonts w:cstheme="minorHAnsi"/>
          <w:sz w:val="18"/>
          <w:szCs w:val="18"/>
        </w:rPr>
        <w:footnoteRef/>
      </w:r>
      <w:r w:rsidRPr="008870F1">
        <w:rPr>
          <w:rFonts w:cstheme="minorHAnsi"/>
          <w:sz w:val="18"/>
          <w:szCs w:val="18"/>
        </w:rPr>
        <w:t xml:space="preserve"> </w:t>
      </w:r>
      <w:hyperlink r:id="rId9" w:history="1">
        <w:r w:rsidRPr="008870F1">
          <w:rPr>
            <w:rStyle w:val="Hyperlink"/>
            <w:rFonts w:cstheme="minorHAnsi"/>
            <w:color w:val="auto"/>
            <w:sz w:val="18"/>
            <w:szCs w:val="18"/>
          </w:rPr>
          <w:t>breakingtheplasticwave_summary.pdf (pewtrusts.org)</w:t>
        </w:r>
      </w:hyperlink>
      <w:r w:rsidRPr="008870F1">
        <w:rPr>
          <w:rFonts w:cstheme="minorHAnsi"/>
          <w:sz w:val="18"/>
          <w:szCs w:val="18"/>
        </w:rPr>
        <w:t xml:space="preserve"> </w:t>
      </w:r>
    </w:p>
  </w:footnote>
  <w:footnote w:id="46">
    <w:p w14:paraId="0FE00B01" w14:textId="77777777" w:rsidR="00EA6165" w:rsidRPr="008870F1" w:rsidRDefault="00EA6165" w:rsidP="00EA6165">
      <w:pPr>
        <w:pStyle w:val="NormalWeb"/>
        <w:shd w:val="clear" w:color="auto" w:fill="FFFFFF"/>
        <w:rPr>
          <w:rFonts w:asciiTheme="minorHAnsi" w:hAnsiTheme="minorHAnsi" w:cstheme="minorHAnsi"/>
          <w:color w:val="000000"/>
          <w:sz w:val="28"/>
          <w:szCs w:val="28"/>
        </w:rPr>
      </w:pPr>
      <w:r w:rsidRPr="008870F1">
        <w:rPr>
          <w:rStyle w:val="FootnoteReference"/>
          <w:rFonts w:asciiTheme="minorHAnsi" w:hAnsiTheme="minorHAnsi" w:cstheme="minorHAnsi"/>
          <w:sz w:val="18"/>
          <w:szCs w:val="18"/>
        </w:rPr>
        <w:footnoteRef/>
      </w:r>
      <w:r w:rsidRPr="008870F1">
        <w:rPr>
          <w:rFonts w:asciiTheme="minorHAnsi" w:hAnsiTheme="minorHAnsi" w:cstheme="minorHAnsi"/>
          <w:sz w:val="18"/>
          <w:szCs w:val="18"/>
        </w:rPr>
        <w:t xml:space="preserve"> The reason that Tide Turners have been able to train nearly 500,000 participants with the UK’s £1.3m investment to date (at a cost of £2.60/participant), but only project to train an additional 125,000 participants per year with a further £1m invested per year (at a cost of £8/participant), because in this scenario there is a strong focus on advocacy and communications interventions, rather than direct training of participants. In addition, the impact of training an individual at level 3 or 4 compared to level 1 is expected to be significantly different with communication and advocacy training having a much greater impact</w:t>
      </w:r>
      <w:r>
        <w:rPr>
          <w:rFonts w:asciiTheme="minorHAnsi"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6898F" w14:textId="3F368442" w:rsidR="00070C56" w:rsidRDefault="00DC047F" w:rsidP="00DC047F">
    <w:pPr>
      <w:pStyle w:val="Header"/>
      <w:jc w:val="center"/>
    </w:pPr>
    <w:r>
      <w:t>Championing Inclusivity on Plastic Pollution</w:t>
    </w:r>
    <w:r w:rsidR="004E3D4A">
      <w:t xml:space="preserve"> (CHIPP)</w:t>
    </w:r>
    <w:r>
      <w:t xml:space="preserve"> – Blue Planet Fund Business Case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1A1"/>
    <w:multiLevelType w:val="multilevel"/>
    <w:tmpl w:val="63147DC8"/>
    <w:styleLink w:val="CurrentList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8C2163"/>
    <w:multiLevelType w:val="multilevel"/>
    <w:tmpl w:val="20C44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2338CA"/>
    <w:multiLevelType w:val="hybridMultilevel"/>
    <w:tmpl w:val="9AEA8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4613E3"/>
    <w:multiLevelType w:val="hybridMultilevel"/>
    <w:tmpl w:val="90E89F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364627"/>
    <w:multiLevelType w:val="hybridMultilevel"/>
    <w:tmpl w:val="6C1E1F56"/>
    <w:lvl w:ilvl="0" w:tplc="CAE89E54">
      <w:numFmt w:val="bullet"/>
      <w:lvlText w:val="-"/>
      <w:lvlJc w:val="left"/>
      <w:pPr>
        <w:ind w:left="720" w:hanging="360"/>
      </w:pPr>
      <w:rPr>
        <w:rFonts w:ascii="HelveticaNeueLT Pro 45 Lt" w:eastAsiaTheme="majorEastAsia" w:hAnsi="HelveticaNeueLT Pro 45 Lt" w:cstheme="minorHAnsi" w:hint="default"/>
      </w:rPr>
    </w:lvl>
    <w:lvl w:ilvl="1" w:tplc="651EBA68" w:tentative="1">
      <w:start w:val="1"/>
      <w:numFmt w:val="bullet"/>
      <w:lvlText w:val="o"/>
      <w:lvlJc w:val="left"/>
      <w:pPr>
        <w:ind w:left="1440" w:hanging="360"/>
      </w:pPr>
      <w:rPr>
        <w:rFonts w:ascii="Courier New" w:hAnsi="Courier New" w:cs="Courier New" w:hint="default"/>
      </w:rPr>
    </w:lvl>
    <w:lvl w:ilvl="2" w:tplc="BE2E8404" w:tentative="1">
      <w:start w:val="1"/>
      <w:numFmt w:val="bullet"/>
      <w:lvlText w:val=""/>
      <w:lvlJc w:val="left"/>
      <w:pPr>
        <w:ind w:left="2160" w:hanging="360"/>
      </w:pPr>
      <w:rPr>
        <w:rFonts w:ascii="Wingdings" w:hAnsi="Wingdings" w:hint="default"/>
      </w:rPr>
    </w:lvl>
    <w:lvl w:ilvl="3" w:tplc="07ACB8D4" w:tentative="1">
      <w:start w:val="1"/>
      <w:numFmt w:val="bullet"/>
      <w:lvlText w:val=""/>
      <w:lvlJc w:val="left"/>
      <w:pPr>
        <w:ind w:left="2880" w:hanging="360"/>
      </w:pPr>
      <w:rPr>
        <w:rFonts w:ascii="Symbol" w:hAnsi="Symbol" w:hint="default"/>
      </w:rPr>
    </w:lvl>
    <w:lvl w:ilvl="4" w:tplc="40940014" w:tentative="1">
      <w:start w:val="1"/>
      <w:numFmt w:val="bullet"/>
      <w:lvlText w:val="o"/>
      <w:lvlJc w:val="left"/>
      <w:pPr>
        <w:ind w:left="3600" w:hanging="360"/>
      </w:pPr>
      <w:rPr>
        <w:rFonts w:ascii="Courier New" w:hAnsi="Courier New" w:cs="Courier New" w:hint="default"/>
      </w:rPr>
    </w:lvl>
    <w:lvl w:ilvl="5" w:tplc="480445DA" w:tentative="1">
      <w:start w:val="1"/>
      <w:numFmt w:val="bullet"/>
      <w:lvlText w:val=""/>
      <w:lvlJc w:val="left"/>
      <w:pPr>
        <w:ind w:left="4320" w:hanging="360"/>
      </w:pPr>
      <w:rPr>
        <w:rFonts w:ascii="Wingdings" w:hAnsi="Wingdings" w:hint="default"/>
      </w:rPr>
    </w:lvl>
    <w:lvl w:ilvl="6" w:tplc="0772113A" w:tentative="1">
      <w:start w:val="1"/>
      <w:numFmt w:val="bullet"/>
      <w:lvlText w:val=""/>
      <w:lvlJc w:val="left"/>
      <w:pPr>
        <w:ind w:left="5040" w:hanging="360"/>
      </w:pPr>
      <w:rPr>
        <w:rFonts w:ascii="Symbol" w:hAnsi="Symbol" w:hint="default"/>
      </w:rPr>
    </w:lvl>
    <w:lvl w:ilvl="7" w:tplc="32B0EBE2" w:tentative="1">
      <w:start w:val="1"/>
      <w:numFmt w:val="bullet"/>
      <w:lvlText w:val="o"/>
      <w:lvlJc w:val="left"/>
      <w:pPr>
        <w:ind w:left="5760" w:hanging="360"/>
      </w:pPr>
      <w:rPr>
        <w:rFonts w:ascii="Courier New" w:hAnsi="Courier New" w:cs="Courier New" w:hint="default"/>
      </w:rPr>
    </w:lvl>
    <w:lvl w:ilvl="8" w:tplc="C0FAAC68" w:tentative="1">
      <w:start w:val="1"/>
      <w:numFmt w:val="bullet"/>
      <w:lvlText w:val=""/>
      <w:lvlJc w:val="left"/>
      <w:pPr>
        <w:ind w:left="6480" w:hanging="360"/>
      </w:pPr>
      <w:rPr>
        <w:rFonts w:ascii="Wingdings" w:hAnsi="Wingdings" w:hint="default"/>
      </w:rPr>
    </w:lvl>
  </w:abstractNum>
  <w:abstractNum w:abstractNumId="5" w15:restartNumberingAfterBreak="0">
    <w:nsid w:val="052506CB"/>
    <w:multiLevelType w:val="hybridMultilevel"/>
    <w:tmpl w:val="A8A082BC"/>
    <w:lvl w:ilvl="0" w:tplc="3E5A5A40">
      <w:start w:val="1"/>
      <w:numFmt w:val="bullet"/>
      <w:lvlText w:val=""/>
      <w:lvlJc w:val="left"/>
      <w:pPr>
        <w:ind w:left="720" w:hanging="360"/>
      </w:pPr>
      <w:rPr>
        <w:rFonts w:ascii="Symbol" w:hAnsi="Symbol" w:hint="default"/>
      </w:rPr>
    </w:lvl>
    <w:lvl w:ilvl="1" w:tplc="D9703D38" w:tentative="1">
      <w:start w:val="1"/>
      <w:numFmt w:val="bullet"/>
      <w:lvlText w:val="o"/>
      <w:lvlJc w:val="left"/>
      <w:pPr>
        <w:ind w:left="1440" w:hanging="360"/>
      </w:pPr>
      <w:rPr>
        <w:rFonts w:ascii="Courier New" w:hAnsi="Courier New" w:cs="Courier New" w:hint="default"/>
      </w:rPr>
    </w:lvl>
    <w:lvl w:ilvl="2" w:tplc="0992A73A" w:tentative="1">
      <w:start w:val="1"/>
      <w:numFmt w:val="bullet"/>
      <w:lvlText w:val=""/>
      <w:lvlJc w:val="left"/>
      <w:pPr>
        <w:ind w:left="2160" w:hanging="360"/>
      </w:pPr>
      <w:rPr>
        <w:rFonts w:ascii="Wingdings" w:hAnsi="Wingdings" w:hint="default"/>
      </w:rPr>
    </w:lvl>
    <w:lvl w:ilvl="3" w:tplc="E99A6096" w:tentative="1">
      <w:start w:val="1"/>
      <w:numFmt w:val="bullet"/>
      <w:lvlText w:val=""/>
      <w:lvlJc w:val="left"/>
      <w:pPr>
        <w:ind w:left="2880" w:hanging="360"/>
      </w:pPr>
      <w:rPr>
        <w:rFonts w:ascii="Symbol" w:hAnsi="Symbol" w:hint="default"/>
      </w:rPr>
    </w:lvl>
    <w:lvl w:ilvl="4" w:tplc="D918013A" w:tentative="1">
      <w:start w:val="1"/>
      <w:numFmt w:val="bullet"/>
      <w:lvlText w:val="o"/>
      <w:lvlJc w:val="left"/>
      <w:pPr>
        <w:ind w:left="3600" w:hanging="360"/>
      </w:pPr>
      <w:rPr>
        <w:rFonts w:ascii="Courier New" w:hAnsi="Courier New" w:cs="Courier New" w:hint="default"/>
      </w:rPr>
    </w:lvl>
    <w:lvl w:ilvl="5" w:tplc="5946431E" w:tentative="1">
      <w:start w:val="1"/>
      <w:numFmt w:val="bullet"/>
      <w:lvlText w:val=""/>
      <w:lvlJc w:val="left"/>
      <w:pPr>
        <w:ind w:left="4320" w:hanging="360"/>
      </w:pPr>
      <w:rPr>
        <w:rFonts w:ascii="Wingdings" w:hAnsi="Wingdings" w:hint="default"/>
      </w:rPr>
    </w:lvl>
    <w:lvl w:ilvl="6" w:tplc="4FA031AE" w:tentative="1">
      <w:start w:val="1"/>
      <w:numFmt w:val="bullet"/>
      <w:lvlText w:val=""/>
      <w:lvlJc w:val="left"/>
      <w:pPr>
        <w:ind w:left="5040" w:hanging="360"/>
      </w:pPr>
      <w:rPr>
        <w:rFonts w:ascii="Symbol" w:hAnsi="Symbol" w:hint="default"/>
      </w:rPr>
    </w:lvl>
    <w:lvl w:ilvl="7" w:tplc="25465F82" w:tentative="1">
      <w:start w:val="1"/>
      <w:numFmt w:val="bullet"/>
      <w:lvlText w:val="o"/>
      <w:lvlJc w:val="left"/>
      <w:pPr>
        <w:ind w:left="5760" w:hanging="360"/>
      </w:pPr>
      <w:rPr>
        <w:rFonts w:ascii="Courier New" w:hAnsi="Courier New" w:cs="Courier New" w:hint="default"/>
      </w:rPr>
    </w:lvl>
    <w:lvl w:ilvl="8" w:tplc="730C0ABA" w:tentative="1">
      <w:start w:val="1"/>
      <w:numFmt w:val="bullet"/>
      <w:lvlText w:val=""/>
      <w:lvlJc w:val="left"/>
      <w:pPr>
        <w:ind w:left="6480" w:hanging="360"/>
      </w:pPr>
      <w:rPr>
        <w:rFonts w:ascii="Wingdings" w:hAnsi="Wingdings" w:hint="default"/>
      </w:rPr>
    </w:lvl>
  </w:abstractNum>
  <w:abstractNum w:abstractNumId="6" w15:restartNumberingAfterBreak="0">
    <w:nsid w:val="06117302"/>
    <w:multiLevelType w:val="multilevel"/>
    <w:tmpl w:val="E948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695B60"/>
    <w:multiLevelType w:val="hybridMultilevel"/>
    <w:tmpl w:val="60A04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8A1329"/>
    <w:multiLevelType w:val="hybridMultilevel"/>
    <w:tmpl w:val="66D45682"/>
    <w:lvl w:ilvl="0" w:tplc="E6E4699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334434"/>
    <w:multiLevelType w:val="hybridMultilevel"/>
    <w:tmpl w:val="FE26C4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DA21F8"/>
    <w:multiLevelType w:val="hybridMultilevel"/>
    <w:tmpl w:val="A08456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57442B"/>
    <w:multiLevelType w:val="multilevel"/>
    <w:tmpl w:val="48183AE4"/>
    <w:styleLink w:val="CurrentList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F111F47"/>
    <w:multiLevelType w:val="hybridMultilevel"/>
    <w:tmpl w:val="092ADB0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A5509A"/>
    <w:multiLevelType w:val="hybridMultilevel"/>
    <w:tmpl w:val="DFD6C322"/>
    <w:lvl w:ilvl="0" w:tplc="A7B8CE70">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705A7D"/>
    <w:multiLevelType w:val="hybridMultilevel"/>
    <w:tmpl w:val="63A66D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3845EE8"/>
    <w:multiLevelType w:val="multilevel"/>
    <w:tmpl w:val="8D7EB9E2"/>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876170"/>
    <w:multiLevelType w:val="multilevel"/>
    <w:tmpl w:val="A20AFBE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9174EC4"/>
    <w:multiLevelType w:val="hybridMultilevel"/>
    <w:tmpl w:val="9872B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26013D"/>
    <w:multiLevelType w:val="hybridMultilevel"/>
    <w:tmpl w:val="8B90A580"/>
    <w:lvl w:ilvl="0" w:tplc="C9648068">
      <w:start w:val="1"/>
      <w:numFmt w:val="decimal"/>
      <w:lvlText w:val="%1."/>
      <w:lvlJc w:val="left"/>
      <w:pPr>
        <w:ind w:left="720" w:hanging="360"/>
      </w:pPr>
      <w:rPr>
        <w:rFonts w:hint="default"/>
        <w:b w:val="0"/>
        <w:bCs w:val="0"/>
      </w:rPr>
    </w:lvl>
    <w:lvl w:ilvl="1" w:tplc="E6E4699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9BB4139"/>
    <w:multiLevelType w:val="hybridMultilevel"/>
    <w:tmpl w:val="AD562E12"/>
    <w:lvl w:ilvl="0" w:tplc="A7B8CE70">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9C67538"/>
    <w:multiLevelType w:val="hybridMultilevel"/>
    <w:tmpl w:val="8F00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AE3348B"/>
    <w:multiLevelType w:val="hybridMultilevel"/>
    <w:tmpl w:val="F3440F90"/>
    <w:lvl w:ilvl="0" w:tplc="60AE8FA4">
      <w:start w:val="1"/>
      <w:numFmt w:val="bullet"/>
      <w:lvlText w:val=""/>
      <w:lvlJc w:val="left"/>
      <w:pPr>
        <w:ind w:left="720" w:hanging="360"/>
      </w:pPr>
      <w:rPr>
        <w:rFonts w:ascii="Symbol" w:hAnsi="Symbol" w:hint="default"/>
      </w:rPr>
    </w:lvl>
    <w:lvl w:ilvl="1" w:tplc="114C1340" w:tentative="1">
      <w:start w:val="1"/>
      <w:numFmt w:val="bullet"/>
      <w:lvlText w:val="o"/>
      <w:lvlJc w:val="left"/>
      <w:pPr>
        <w:ind w:left="1440" w:hanging="360"/>
      </w:pPr>
      <w:rPr>
        <w:rFonts w:ascii="Courier New" w:hAnsi="Courier New" w:cs="Courier New" w:hint="default"/>
      </w:rPr>
    </w:lvl>
    <w:lvl w:ilvl="2" w:tplc="BEC4E272" w:tentative="1">
      <w:start w:val="1"/>
      <w:numFmt w:val="bullet"/>
      <w:lvlText w:val=""/>
      <w:lvlJc w:val="left"/>
      <w:pPr>
        <w:ind w:left="2160" w:hanging="360"/>
      </w:pPr>
      <w:rPr>
        <w:rFonts w:ascii="Wingdings" w:hAnsi="Wingdings" w:hint="default"/>
      </w:rPr>
    </w:lvl>
    <w:lvl w:ilvl="3" w:tplc="D968EB18" w:tentative="1">
      <w:start w:val="1"/>
      <w:numFmt w:val="bullet"/>
      <w:lvlText w:val=""/>
      <w:lvlJc w:val="left"/>
      <w:pPr>
        <w:ind w:left="2880" w:hanging="360"/>
      </w:pPr>
      <w:rPr>
        <w:rFonts w:ascii="Symbol" w:hAnsi="Symbol" w:hint="default"/>
      </w:rPr>
    </w:lvl>
    <w:lvl w:ilvl="4" w:tplc="A3209838" w:tentative="1">
      <w:start w:val="1"/>
      <w:numFmt w:val="bullet"/>
      <w:lvlText w:val="o"/>
      <w:lvlJc w:val="left"/>
      <w:pPr>
        <w:ind w:left="3600" w:hanging="360"/>
      </w:pPr>
      <w:rPr>
        <w:rFonts w:ascii="Courier New" w:hAnsi="Courier New" w:cs="Courier New" w:hint="default"/>
      </w:rPr>
    </w:lvl>
    <w:lvl w:ilvl="5" w:tplc="03F4E9E2" w:tentative="1">
      <w:start w:val="1"/>
      <w:numFmt w:val="bullet"/>
      <w:lvlText w:val=""/>
      <w:lvlJc w:val="left"/>
      <w:pPr>
        <w:ind w:left="4320" w:hanging="360"/>
      </w:pPr>
      <w:rPr>
        <w:rFonts w:ascii="Wingdings" w:hAnsi="Wingdings" w:hint="default"/>
      </w:rPr>
    </w:lvl>
    <w:lvl w:ilvl="6" w:tplc="45C619B0" w:tentative="1">
      <w:start w:val="1"/>
      <w:numFmt w:val="bullet"/>
      <w:lvlText w:val=""/>
      <w:lvlJc w:val="left"/>
      <w:pPr>
        <w:ind w:left="5040" w:hanging="360"/>
      </w:pPr>
      <w:rPr>
        <w:rFonts w:ascii="Symbol" w:hAnsi="Symbol" w:hint="default"/>
      </w:rPr>
    </w:lvl>
    <w:lvl w:ilvl="7" w:tplc="EE222E38" w:tentative="1">
      <w:start w:val="1"/>
      <w:numFmt w:val="bullet"/>
      <w:lvlText w:val="o"/>
      <w:lvlJc w:val="left"/>
      <w:pPr>
        <w:ind w:left="5760" w:hanging="360"/>
      </w:pPr>
      <w:rPr>
        <w:rFonts w:ascii="Courier New" w:hAnsi="Courier New" w:cs="Courier New" w:hint="default"/>
      </w:rPr>
    </w:lvl>
    <w:lvl w:ilvl="8" w:tplc="77A0DB02" w:tentative="1">
      <w:start w:val="1"/>
      <w:numFmt w:val="bullet"/>
      <w:lvlText w:val=""/>
      <w:lvlJc w:val="left"/>
      <w:pPr>
        <w:ind w:left="6480" w:hanging="360"/>
      </w:pPr>
      <w:rPr>
        <w:rFonts w:ascii="Wingdings" w:hAnsi="Wingdings" w:hint="default"/>
      </w:rPr>
    </w:lvl>
  </w:abstractNum>
  <w:abstractNum w:abstractNumId="22" w15:restartNumberingAfterBreak="0">
    <w:nsid w:val="1C5D5E3D"/>
    <w:multiLevelType w:val="hybridMultilevel"/>
    <w:tmpl w:val="3CB2E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682F36"/>
    <w:multiLevelType w:val="hybridMultilevel"/>
    <w:tmpl w:val="C6AE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192750"/>
    <w:multiLevelType w:val="hybridMultilevel"/>
    <w:tmpl w:val="CEE499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E144C3"/>
    <w:multiLevelType w:val="multilevel"/>
    <w:tmpl w:val="82D0C65A"/>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26" w15:restartNumberingAfterBreak="0">
    <w:nsid w:val="20326050"/>
    <w:multiLevelType w:val="hybridMultilevel"/>
    <w:tmpl w:val="6CE61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435BAE"/>
    <w:multiLevelType w:val="multilevel"/>
    <w:tmpl w:val="BD3C4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DC4975"/>
    <w:multiLevelType w:val="hybridMultilevel"/>
    <w:tmpl w:val="881AC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0E11395"/>
    <w:multiLevelType w:val="multilevel"/>
    <w:tmpl w:val="F2182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17D689C"/>
    <w:multiLevelType w:val="hybridMultilevel"/>
    <w:tmpl w:val="E4A4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ED4392"/>
    <w:multiLevelType w:val="hybridMultilevel"/>
    <w:tmpl w:val="F874FE48"/>
    <w:lvl w:ilvl="0" w:tplc="A7B8CE7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2BA714C"/>
    <w:multiLevelType w:val="multilevel"/>
    <w:tmpl w:val="865296E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2EF761A"/>
    <w:multiLevelType w:val="multilevel"/>
    <w:tmpl w:val="4CFE3C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23564093"/>
    <w:multiLevelType w:val="multilevel"/>
    <w:tmpl w:val="0E7E4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36D41AF"/>
    <w:multiLevelType w:val="multilevel"/>
    <w:tmpl w:val="72C0B94A"/>
    <w:lvl w:ilvl="0">
      <w:start w:val="1"/>
      <w:numFmt w:val="decimal"/>
      <w:lvlText w:val="%1."/>
      <w:lvlJc w:val="left"/>
      <w:pPr>
        <w:ind w:left="432" w:hanging="432"/>
      </w:pPr>
      <w:rPr>
        <w:rFonts w:asciiTheme="minorHAnsi" w:eastAsiaTheme="minorEastAsia" w:hAnsiTheme="minorHAnsi" w:cstheme="minorHAnsi"/>
      </w:rPr>
    </w:lvl>
    <w:lvl w:ilvl="1">
      <w:start w:val="1"/>
      <w:numFmt w:val="decimal"/>
      <w:lvlText w:val="%1.%2"/>
      <w:lvlJc w:val="left"/>
      <w:pPr>
        <w:ind w:left="576" w:hanging="576"/>
      </w:pPr>
      <w:rPr>
        <w:rFonts w:hint="default"/>
        <w:sz w:val="24"/>
        <w:szCs w:val="18"/>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23CA3D64"/>
    <w:multiLevelType w:val="multilevel"/>
    <w:tmpl w:val="B4ACB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24255760"/>
    <w:multiLevelType w:val="hybridMultilevel"/>
    <w:tmpl w:val="8A74FC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72D261D"/>
    <w:multiLevelType w:val="hybridMultilevel"/>
    <w:tmpl w:val="27FEB9A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800465B"/>
    <w:multiLevelType w:val="hybridMultilevel"/>
    <w:tmpl w:val="9B546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93C2455"/>
    <w:multiLevelType w:val="hybridMultilevel"/>
    <w:tmpl w:val="02A861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97B1255"/>
    <w:multiLevelType w:val="multilevel"/>
    <w:tmpl w:val="01AC87C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2" w15:restartNumberingAfterBreak="0">
    <w:nsid w:val="2EA537C9"/>
    <w:multiLevelType w:val="hybridMultilevel"/>
    <w:tmpl w:val="4238EDF0"/>
    <w:lvl w:ilvl="0" w:tplc="0AC45F3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1D568A3"/>
    <w:multiLevelType w:val="hybridMultilevel"/>
    <w:tmpl w:val="26724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2360E5D"/>
    <w:multiLevelType w:val="multilevel"/>
    <w:tmpl w:val="4FA85D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3964D3"/>
    <w:multiLevelType w:val="multilevel"/>
    <w:tmpl w:val="A3323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32D267A5"/>
    <w:multiLevelType w:val="hybridMultilevel"/>
    <w:tmpl w:val="C7DCC32E"/>
    <w:lvl w:ilvl="0" w:tplc="A7B8CE7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3881F01"/>
    <w:multiLevelType w:val="hybridMultilevel"/>
    <w:tmpl w:val="23B407F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3A90FB6"/>
    <w:multiLevelType w:val="multilevel"/>
    <w:tmpl w:val="D6D06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33B42EA2"/>
    <w:multiLevelType w:val="hybridMultilevel"/>
    <w:tmpl w:val="63E85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5C202A1"/>
    <w:multiLevelType w:val="hybridMultilevel"/>
    <w:tmpl w:val="13CCC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906602D"/>
    <w:multiLevelType w:val="hybridMultilevel"/>
    <w:tmpl w:val="D50A79B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9CD20EB"/>
    <w:multiLevelType w:val="hybridMultilevel"/>
    <w:tmpl w:val="268AC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3AA750BD"/>
    <w:multiLevelType w:val="hybridMultilevel"/>
    <w:tmpl w:val="BAF85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C6105B0"/>
    <w:multiLevelType w:val="multilevel"/>
    <w:tmpl w:val="E126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CBD6F4D"/>
    <w:multiLevelType w:val="hybridMultilevel"/>
    <w:tmpl w:val="45982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3D34281B"/>
    <w:multiLevelType w:val="hybridMultilevel"/>
    <w:tmpl w:val="775C9E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F170C2F"/>
    <w:multiLevelType w:val="multilevel"/>
    <w:tmpl w:val="4CFE3C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8" w15:restartNumberingAfterBreak="0">
    <w:nsid w:val="40F4118B"/>
    <w:multiLevelType w:val="hybridMultilevel"/>
    <w:tmpl w:val="3F340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10A62A8"/>
    <w:multiLevelType w:val="hybridMultilevel"/>
    <w:tmpl w:val="9D2E9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261340C"/>
    <w:multiLevelType w:val="hybridMultilevel"/>
    <w:tmpl w:val="9FB2D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32A6130"/>
    <w:multiLevelType w:val="hybridMultilevel"/>
    <w:tmpl w:val="5EF42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44274045"/>
    <w:multiLevelType w:val="hybridMultilevel"/>
    <w:tmpl w:val="A8FA3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43A37C9"/>
    <w:multiLevelType w:val="hybridMultilevel"/>
    <w:tmpl w:val="856E5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5981353"/>
    <w:multiLevelType w:val="multilevel"/>
    <w:tmpl w:val="00401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47932777"/>
    <w:multiLevelType w:val="hybridMultilevel"/>
    <w:tmpl w:val="8D2C3992"/>
    <w:lvl w:ilvl="0" w:tplc="A7B8CE70">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47EF4FA2"/>
    <w:multiLevelType w:val="hybridMultilevel"/>
    <w:tmpl w:val="68F6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BD0388F"/>
    <w:multiLevelType w:val="hybridMultilevel"/>
    <w:tmpl w:val="86CCE2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CB32B68"/>
    <w:multiLevelType w:val="multilevel"/>
    <w:tmpl w:val="510CA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E9D14E6"/>
    <w:multiLevelType w:val="multilevel"/>
    <w:tmpl w:val="AD2E692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F57158"/>
    <w:multiLevelType w:val="hybridMultilevel"/>
    <w:tmpl w:val="092ADB0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4451A84"/>
    <w:multiLevelType w:val="multilevel"/>
    <w:tmpl w:val="2F009CE4"/>
    <w:styleLink w:val="CurrentList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2" w15:restartNumberingAfterBreak="0">
    <w:nsid w:val="554B53C0"/>
    <w:multiLevelType w:val="multilevel"/>
    <w:tmpl w:val="C5141358"/>
    <w:lvl w:ilvl="0">
      <w:start w:val="3"/>
      <w:numFmt w:val="decimal"/>
      <w:lvlText w:val="%1."/>
      <w:lvlJc w:val="left"/>
      <w:pPr>
        <w:ind w:left="360" w:hanging="360"/>
      </w:pPr>
      <w:rPr>
        <w:rFonts w:hint="default"/>
        <w:sz w:val="28"/>
        <w:szCs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73" w15:restartNumberingAfterBreak="0">
    <w:nsid w:val="55BB3630"/>
    <w:multiLevelType w:val="multilevel"/>
    <w:tmpl w:val="077EC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55FE3CA8"/>
    <w:multiLevelType w:val="hybridMultilevel"/>
    <w:tmpl w:val="DAC4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896452E"/>
    <w:multiLevelType w:val="hybridMultilevel"/>
    <w:tmpl w:val="7D800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94B5B19"/>
    <w:multiLevelType w:val="hybridMultilevel"/>
    <w:tmpl w:val="4FACF272"/>
    <w:lvl w:ilvl="0" w:tplc="A7B8CE70">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59D4691A"/>
    <w:multiLevelType w:val="multilevel"/>
    <w:tmpl w:val="5BF2C1EC"/>
    <w:styleLink w:val="CurrentList1"/>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C336BE"/>
    <w:multiLevelType w:val="hybridMultilevel"/>
    <w:tmpl w:val="89BA2EAE"/>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79" w15:restartNumberingAfterBreak="0">
    <w:nsid w:val="5ADC7058"/>
    <w:multiLevelType w:val="hybridMultilevel"/>
    <w:tmpl w:val="65888BE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5B296A7B"/>
    <w:multiLevelType w:val="hybridMultilevel"/>
    <w:tmpl w:val="5B86A9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5B552031"/>
    <w:multiLevelType w:val="hybridMultilevel"/>
    <w:tmpl w:val="690C7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C3D5F90"/>
    <w:multiLevelType w:val="hybridMultilevel"/>
    <w:tmpl w:val="9F6A455A"/>
    <w:lvl w:ilvl="0" w:tplc="A7B8CE70">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3" w15:restartNumberingAfterBreak="0">
    <w:nsid w:val="5C421D33"/>
    <w:multiLevelType w:val="hybridMultilevel"/>
    <w:tmpl w:val="BFF8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D1B17CD"/>
    <w:multiLevelType w:val="hybridMultilevel"/>
    <w:tmpl w:val="B4663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E0D5C7D"/>
    <w:multiLevelType w:val="hybridMultilevel"/>
    <w:tmpl w:val="FC18D812"/>
    <w:lvl w:ilvl="0" w:tplc="9B964B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0241DC5"/>
    <w:multiLevelType w:val="hybridMultilevel"/>
    <w:tmpl w:val="694E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0310E54"/>
    <w:multiLevelType w:val="hybridMultilevel"/>
    <w:tmpl w:val="CFA238AC"/>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88" w15:restartNumberingAfterBreak="0">
    <w:nsid w:val="613C78FE"/>
    <w:multiLevelType w:val="hybridMultilevel"/>
    <w:tmpl w:val="FC4C93E6"/>
    <w:lvl w:ilvl="0" w:tplc="1E38D30C">
      <w:start w:val="1"/>
      <w:numFmt w:val="bullet"/>
      <w:lvlText w:val=""/>
      <w:lvlJc w:val="left"/>
      <w:pPr>
        <w:ind w:left="720" w:hanging="360"/>
      </w:pPr>
      <w:rPr>
        <w:rFonts w:ascii="Symbol" w:hAnsi="Symbol" w:hint="default"/>
      </w:rPr>
    </w:lvl>
    <w:lvl w:ilvl="1" w:tplc="FDA64DB2" w:tentative="1">
      <w:start w:val="1"/>
      <w:numFmt w:val="bullet"/>
      <w:lvlText w:val="o"/>
      <w:lvlJc w:val="left"/>
      <w:pPr>
        <w:ind w:left="1440" w:hanging="360"/>
      </w:pPr>
      <w:rPr>
        <w:rFonts w:ascii="Courier New" w:hAnsi="Courier New" w:cs="Courier New" w:hint="default"/>
      </w:rPr>
    </w:lvl>
    <w:lvl w:ilvl="2" w:tplc="FA88ED9A" w:tentative="1">
      <w:start w:val="1"/>
      <w:numFmt w:val="bullet"/>
      <w:lvlText w:val=""/>
      <w:lvlJc w:val="left"/>
      <w:pPr>
        <w:ind w:left="2160" w:hanging="360"/>
      </w:pPr>
      <w:rPr>
        <w:rFonts w:ascii="Wingdings" w:hAnsi="Wingdings" w:hint="default"/>
      </w:rPr>
    </w:lvl>
    <w:lvl w:ilvl="3" w:tplc="BCEEA65A" w:tentative="1">
      <w:start w:val="1"/>
      <w:numFmt w:val="bullet"/>
      <w:lvlText w:val=""/>
      <w:lvlJc w:val="left"/>
      <w:pPr>
        <w:ind w:left="2880" w:hanging="360"/>
      </w:pPr>
      <w:rPr>
        <w:rFonts w:ascii="Symbol" w:hAnsi="Symbol" w:hint="default"/>
      </w:rPr>
    </w:lvl>
    <w:lvl w:ilvl="4" w:tplc="6450ED6E" w:tentative="1">
      <w:start w:val="1"/>
      <w:numFmt w:val="bullet"/>
      <w:lvlText w:val="o"/>
      <w:lvlJc w:val="left"/>
      <w:pPr>
        <w:ind w:left="3600" w:hanging="360"/>
      </w:pPr>
      <w:rPr>
        <w:rFonts w:ascii="Courier New" w:hAnsi="Courier New" w:cs="Courier New" w:hint="default"/>
      </w:rPr>
    </w:lvl>
    <w:lvl w:ilvl="5" w:tplc="4E2A0812" w:tentative="1">
      <w:start w:val="1"/>
      <w:numFmt w:val="bullet"/>
      <w:lvlText w:val=""/>
      <w:lvlJc w:val="left"/>
      <w:pPr>
        <w:ind w:left="4320" w:hanging="360"/>
      </w:pPr>
      <w:rPr>
        <w:rFonts w:ascii="Wingdings" w:hAnsi="Wingdings" w:hint="default"/>
      </w:rPr>
    </w:lvl>
    <w:lvl w:ilvl="6" w:tplc="F44802A4" w:tentative="1">
      <w:start w:val="1"/>
      <w:numFmt w:val="bullet"/>
      <w:lvlText w:val=""/>
      <w:lvlJc w:val="left"/>
      <w:pPr>
        <w:ind w:left="5040" w:hanging="360"/>
      </w:pPr>
      <w:rPr>
        <w:rFonts w:ascii="Symbol" w:hAnsi="Symbol" w:hint="default"/>
      </w:rPr>
    </w:lvl>
    <w:lvl w:ilvl="7" w:tplc="8D300BEC" w:tentative="1">
      <w:start w:val="1"/>
      <w:numFmt w:val="bullet"/>
      <w:lvlText w:val="o"/>
      <w:lvlJc w:val="left"/>
      <w:pPr>
        <w:ind w:left="5760" w:hanging="360"/>
      </w:pPr>
      <w:rPr>
        <w:rFonts w:ascii="Courier New" w:hAnsi="Courier New" w:cs="Courier New" w:hint="default"/>
      </w:rPr>
    </w:lvl>
    <w:lvl w:ilvl="8" w:tplc="D8B64CD4" w:tentative="1">
      <w:start w:val="1"/>
      <w:numFmt w:val="bullet"/>
      <w:lvlText w:val=""/>
      <w:lvlJc w:val="left"/>
      <w:pPr>
        <w:ind w:left="6480" w:hanging="360"/>
      </w:pPr>
      <w:rPr>
        <w:rFonts w:ascii="Wingdings" w:hAnsi="Wingdings" w:hint="default"/>
      </w:rPr>
    </w:lvl>
  </w:abstractNum>
  <w:abstractNum w:abstractNumId="89" w15:restartNumberingAfterBreak="0">
    <w:nsid w:val="61472B7D"/>
    <w:multiLevelType w:val="hybridMultilevel"/>
    <w:tmpl w:val="35927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1B40E6E"/>
    <w:multiLevelType w:val="multilevel"/>
    <w:tmpl w:val="7F5A0A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1" w15:restartNumberingAfterBreak="0">
    <w:nsid w:val="66CA311B"/>
    <w:multiLevelType w:val="hybridMultilevel"/>
    <w:tmpl w:val="1C16B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8153E5E"/>
    <w:multiLevelType w:val="hybridMultilevel"/>
    <w:tmpl w:val="BC5A3A9A"/>
    <w:lvl w:ilvl="0" w:tplc="A7B8CE70">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69164C50"/>
    <w:multiLevelType w:val="multilevel"/>
    <w:tmpl w:val="B38A5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69D155AC"/>
    <w:multiLevelType w:val="hybridMultilevel"/>
    <w:tmpl w:val="F8D213E2"/>
    <w:lvl w:ilvl="0" w:tplc="9B964B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AB144FC"/>
    <w:multiLevelType w:val="hybridMultilevel"/>
    <w:tmpl w:val="51DAA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AC71896"/>
    <w:multiLevelType w:val="hybridMultilevel"/>
    <w:tmpl w:val="D08868E4"/>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97" w15:restartNumberingAfterBreak="0">
    <w:nsid w:val="6D8B3210"/>
    <w:multiLevelType w:val="multilevel"/>
    <w:tmpl w:val="88BE7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6E9B7DA8"/>
    <w:multiLevelType w:val="hybridMultilevel"/>
    <w:tmpl w:val="E7A6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EB84AF7"/>
    <w:multiLevelType w:val="hybridMultilevel"/>
    <w:tmpl w:val="723E44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0" w15:restartNumberingAfterBreak="0">
    <w:nsid w:val="6ED83410"/>
    <w:multiLevelType w:val="hybridMultilevel"/>
    <w:tmpl w:val="0F5449D0"/>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01" w15:restartNumberingAfterBreak="0">
    <w:nsid w:val="700956E3"/>
    <w:multiLevelType w:val="hybridMultilevel"/>
    <w:tmpl w:val="EFFAF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177352E"/>
    <w:multiLevelType w:val="hybridMultilevel"/>
    <w:tmpl w:val="A20880C8"/>
    <w:lvl w:ilvl="0" w:tplc="1BF62138">
      <w:start w:val="1"/>
      <w:numFmt w:val="decimal"/>
      <w:lvlText w:val="%1."/>
      <w:lvlJc w:val="left"/>
      <w:pPr>
        <w:ind w:left="720" w:hanging="360"/>
      </w:pPr>
      <w:rPr>
        <w:rFonts w:ascii="Calibri" w:eastAsiaTheme="minorEastAsia" w:hAnsi="Calibri" w:cs="Calibri" w:hint="default"/>
        <w:b w:val="0"/>
        <w:i w:val="0"/>
        <w:color w:val="008938"/>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2BC6FDA"/>
    <w:multiLevelType w:val="hybridMultilevel"/>
    <w:tmpl w:val="913C4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2E92123"/>
    <w:multiLevelType w:val="multilevel"/>
    <w:tmpl w:val="63147DC8"/>
    <w:styleLink w:val="CurrentList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9A0376E"/>
    <w:multiLevelType w:val="hybridMultilevel"/>
    <w:tmpl w:val="8B943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B8E5134"/>
    <w:multiLevelType w:val="hybridMultilevel"/>
    <w:tmpl w:val="1E1A0FC6"/>
    <w:lvl w:ilvl="0" w:tplc="33801A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D0F0865"/>
    <w:multiLevelType w:val="multilevel"/>
    <w:tmpl w:val="48183AE4"/>
    <w:styleLink w:val="CurrentList5"/>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D8E0EF3"/>
    <w:multiLevelType w:val="hybridMultilevel"/>
    <w:tmpl w:val="84509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0443079">
    <w:abstractNumId w:val="68"/>
  </w:num>
  <w:num w:numId="2" w16cid:durableId="1745571133">
    <w:abstractNumId w:val="96"/>
  </w:num>
  <w:num w:numId="3" w16cid:durableId="1733649096">
    <w:abstractNumId w:val="84"/>
  </w:num>
  <w:num w:numId="4" w16cid:durableId="1376155943">
    <w:abstractNumId w:val="5"/>
  </w:num>
  <w:num w:numId="5" w16cid:durableId="24405615">
    <w:abstractNumId w:val="88"/>
  </w:num>
  <w:num w:numId="6" w16cid:durableId="175581424">
    <w:abstractNumId w:val="69"/>
  </w:num>
  <w:num w:numId="7" w16cid:durableId="159126089">
    <w:abstractNumId w:val="53"/>
  </w:num>
  <w:num w:numId="8" w16cid:durableId="2003459198">
    <w:abstractNumId w:val="44"/>
  </w:num>
  <w:num w:numId="9" w16cid:durableId="1953320810">
    <w:abstractNumId w:val="3"/>
  </w:num>
  <w:num w:numId="10" w16cid:durableId="318308683">
    <w:abstractNumId w:val="55"/>
  </w:num>
  <w:num w:numId="11" w16cid:durableId="1493568132">
    <w:abstractNumId w:val="73"/>
  </w:num>
  <w:num w:numId="12" w16cid:durableId="1342314266">
    <w:abstractNumId w:val="29"/>
  </w:num>
  <w:num w:numId="13" w16cid:durableId="1531260140">
    <w:abstractNumId w:val="47"/>
  </w:num>
  <w:num w:numId="14" w16cid:durableId="475880236">
    <w:abstractNumId w:val="81"/>
  </w:num>
  <w:num w:numId="15" w16cid:durableId="2039818862">
    <w:abstractNumId w:val="61"/>
  </w:num>
  <w:num w:numId="16" w16cid:durableId="1032070790">
    <w:abstractNumId w:val="63"/>
  </w:num>
  <w:num w:numId="17" w16cid:durableId="34695904">
    <w:abstractNumId w:val="33"/>
  </w:num>
  <w:num w:numId="18" w16cid:durableId="2088725967">
    <w:abstractNumId w:val="100"/>
  </w:num>
  <w:num w:numId="19" w16cid:durableId="1506214185">
    <w:abstractNumId w:val="49"/>
  </w:num>
  <w:num w:numId="20" w16cid:durableId="415174371">
    <w:abstractNumId w:val="83"/>
  </w:num>
  <w:num w:numId="21" w16cid:durableId="1360014465">
    <w:abstractNumId w:val="74"/>
  </w:num>
  <w:num w:numId="22" w16cid:durableId="764616889">
    <w:abstractNumId w:val="20"/>
  </w:num>
  <w:num w:numId="23" w16cid:durableId="217713402">
    <w:abstractNumId w:val="89"/>
  </w:num>
  <w:num w:numId="24" w16cid:durableId="261837281">
    <w:abstractNumId w:val="75"/>
  </w:num>
  <w:num w:numId="25" w16cid:durableId="795874953">
    <w:abstractNumId w:val="98"/>
  </w:num>
  <w:num w:numId="26" w16cid:durableId="319234824">
    <w:abstractNumId w:val="58"/>
  </w:num>
  <w:num w:numId="27" w16cid:durableId="1497186562">
    <w:abstractNumId w:val="87"/>
  </w:num>
  <w:num w:numId="28" w16cid:durableId="1316030812">
    <w:abstractNumId w:val="18"/>
  </w:num>
  <w:num w:numId="29" w16cid:durableId="809901106">
    <w:abstractNumId w:val="8"/>
  </w:num>
  <w:num w:numId="30" w16cid:durableId="2077780074">
    <w:abstractNumId w:val="21"/>
  </w:num>
  <w:num w:numId="31" w16cid:durableId="1226792842">
    <w:abstractNumId w:val="19"/>
  </w:num>
  <w:num w:numId="32" w16cid:durableId="773939772">
    <w:abstractNumId w:val="92"/>
  </w:num>
  <w:num w:numId="33" w16cid:durableId="1711997303">
    <w:abstractNumId w:val="76"/>
  </w:num>
  <w:num w:numId="34" w16cid:durableId="1034430263">
    <w:abstractNumId w:val="46"/>
  </w:num>
  <w:num w:numId="35" w16cid:durableId="685327100">
    <w:abstractNumId w:val="31"/>
  </w:num>
  <w:num w:numId="36" w16cid:durableId="1757898666">
    <w:abstractNumId w:val="65"/>
  </w:num>
  <w:num w:numId="37" w16cid:durableId="2000574389">
    <w:abstractNumId w:val="82"/>
  </w:num>
  <w:num w:numId="38" w16cid:durableId="916521578">
    <w:abstractNumId w:val="13"/>
  </w:num>
  <w:num w:numId="39" w16cid:durableId="1588005156">
    <w:abstractNumId w:val="72"/>
  </w:num>
  <w:num w:numId="40" w16cid:durableId="43022567">
    <w:abstractNumId w:val="35"/>
  </w:num>
  <w:num w:numId="41" w16cid:durableId="858854540">
    <w:abstractNumId w:val="77"/>
  </w:num>
  <w:num w:numId="42" w16cid:durableId="210699133">
    <w:abstractNumId w:val="0"/>
  </w:num>
  <w:num w:numId="43" w16cid:durableId="355159261">
    <w:abstractNumId w:val="104"/>
  </w:num>
  <w:num w:numId="44" w16cid:durableId="508376261">
    <w:abstractNumId w:val="11"/>
  </w:num>
  <w:num w:numId="45" w16cid:durableId="1107236940">
    <w:abstractNumId w:val="107"/>
  </w:num>
  <w:num w:numId="46" w16cid:durableId="404181002">
    <w:abstractNumId w:val="71"/>
  </w:num>
  <w:num w:numId="47" w16cid:durableId="621110564">
    <w:abstractNumId w:val="16"/>
  </w:num>
  <w:num w:numId="48" w16cid:durableId="1986012112">
    <w:abstractNumId w:val="15"/>
  </w:num>
  <w:num w:numId="49" w16cid:durableId="2052612774">
    <w:abstractNumId w:val="16"/>
  </w:num>
  <w:num w:numId="50" w16cid:durableId="147554103">
    <w:abstractNumId w:val="67"/>
  </w:num>
  <w:num w:numId="51" w16cid:durableId="464549440">
    <w:abstractNumId w:val="50"/>
  </w:num>
  <w:num w:numId="52" w16cid:durableId="1574706121">
    <w:abstractNumId w:val="42"/>
  </w:num>
  <w:num w:numId="53" w16cid:durableId="116147730">
    <w:abstractNumId w:val="95"/>
  </w:num>
  <w:num w:numId="54" w16cid:durableId="1750229545">
    <w:abstractNumId w:val="24"/>
  </w:num>
  <w:num w:numId="55" w16cid:durableId="549726812">
    <w:abstractNumId w:val="51"/>
  </w:num>
  <w:num w:numId="56" w16cid:durableId="636230214">
    <w:abstractNumId w:val="106"/>
  </w:num>
  <w:num w:numId="57" w16cid:durableId="1569074574">
    <w:abstractNumId w:val="37"/>
  </w:num>
  <w:num w:numId="58" w16cid:durableId="1762875882">
    <w:abstractNumId w:val="41"/>
  </w:num>
  <w:num w:numId="59" w16cid:durableId="213543117">
    <w:abstractNumId w:val="38"/>
  </w:num>
  <w:num w:numId="60" w16cid:durableId="1285766292">
    <w:abstractNumId w:val="108"/>
  </w:num>
  <w:num w:numId="61" w16cid:durableId="2108847247">
    <w:abstractNumId w:val="41"/>
  </w:num>
  <w:num w:numId="62" w16cid:durableId="1012225695">
    <w:abstractNumId w:val="54"/>
  </w:num>
  <w:num w:numId="63" w16cid:durableId="196429999">
    <w:abstractNumId w:val="10"/>
  </w:num>
  <w:num w:numId="64" w16cid:durableId="369035548">
    <w:abstractNumId w:val="39"/>
  </w:num>
  <w:num w:numId="65" w16cid:durableId="1588265162">
    <w:abstractNumId w:val="86"/>
  </w:num>
  <w:num w:numId="66" w16cid:durableId="1360282400">
    <w:abstractNumId w:val="23"/>
  </w:num>
  <w:num w:numId="67" w16cid:durableId="859196942">
    <w:abstractNumId w:val="91"/>
  </w:num>
  <w:num w:numId="68" w16cid:durableId="154497624">
    <w:abstractNumId w:val="64"/>
  </w:num>
  <w:num w:numId="69" w16cid:durableId="748773556">
    <w:abstractNumId w:val="22"/>
  </w:num>
  <w:num w:numId="70" w16cid:durableId="756440796">
    <w:abstractNumId w:val="94"/>
  </w:num>
  <w:num w:numId="71" w16cid:durableId="663899043">
    <w:abstractNumId w:val="85"/>
  </w:num>
  <w:num w:numId="72" w16cid:durableId="852377753">
    <w:abstractNumId w:val="36"/>
  </w:num>
  <w:num w:numId="73" w16cid:durableId="1165823565">
    <w:abstractNumId w:val="97"/>
  </w:num>
  <w:num w:numId="74" w16cid:durableId="1088893218">
    <w:abstractNumId w:val="45"/>
  </w:num>
  <w:num w:numId="75" w16cid:durableId="603612473">
    <w:abstractNumId w:val="101"/>
  </w:num>
  <w:num w:numId="76" w16cid:durableId="624427748">
    <w:abstractNumId w:val="25"/>
  </w:num>
  <w:num w:numId="77" w16cid:durableId="933704740">
    <w:abstractNumId w:val="102"/>
  </w:num>
  <w:num w:numId="78" w16cid:durableId="1405954539">
    <w:abstractNumId w:val="70"/>
  </w:num>
  <w:num w:numId="79" w16cid:durableId="1476534062">
    <w:abstractNumId w:val="80"/>
  </w:num>
  <w:num w:numId="80" w16cid:durableId="380637890">
    <w:abstractNumId w:val="34"/>
  </w:num>
  <w:num w:numId="81" w16cid:durableId="613900374">
    <w:abstractNumId w:val="48"/>
  </w:num>
  <w:num w:numId="82" w16cid:durableId="1947467782">
    <w:abstractNumId w:val="1"/>
  </w:num>
  <w:num w:numId="83" w16cid:durableId="1236743364">
    <w:abstractNumId w:val="90"/>
  </w:num>
  <w:num w:numId="84" w16cid:durableId="873692422">
    <w:abstractNumId w:val="93"/>
  </w:num>
  <w:num w:numId="85" w16cid:durableId="604581416">
    <w:abstractNumId w:val="32"/>
  </w:num>
  <w:num w:numId="86" w16cid:durableId="476266599">
    <w:abstractNumId w:val="7"/>
  </w:num>
  <w:num w:numId="87" w16cid:durableId="310410525">
    <w:abstractNumId w:val="105"/>
  </w:num>
  <w:num w:numId="88" w16cid:durableId="1003701281">
    <w:abstractNumId w:val="57"/>
  </w:num>
  <w:num w:numId="89" w16cid:durableId="1387414974">
    <w:abstractNumId w:val="12"/>
  </w:num>
  <w:num w:numId="90" w16cid:durableId="330061871">
    <w:abstractNumId w:val="26"/>
  </w:num>
  <w:num w:numId="91" w16cid:durableId="1319964907">
    <w:abstractNumId w:val="4"/>
  </w:num>
  <w:num w:numId="92" w16cid:durableId="1574075402">
    <w:abstractNumId w:val="60"/>
  </w:num>
  <w:num w:numId="93" w16cid:durableId="182985236">
    <w:abstractNumId w:val="14"/>
  </w:num>
  <w:num w:numId="94" w16cid:durableId="1713187977">
    <w:abstractNumId w:val="103"/>
  </w:num>
  <w:num w:numId="95" w16cid:durableId="1806124098">
    <w:abstractNumId w:val="52"/>
  </w:num>
  <w:num w:numId="96" w16cid:durableId="1904635044">
    <w:abstractNumId w:val="62"/>
  </w:num>
  <w:num w:numId="97" w16cid:durableId="1639605849">
    <w:abstractNumId w:val="2"/>
  </w:num>
  <w:num w:numId="98" w16cid:durableId="1268778406">
    <w:abstractNumId w:val="56"/>
  </w:num>
  <w:num w:numId="99" w16cid:durableId="156119736">
    <w:abstractNumId w:val="66"/>
  </w:num>
  <w:num w:numId="100" w16cid:durableId="532959704">
    <w:abstractNumId w:val="40"/>
  </w:num>
  <w:num w:numId="101" w16cid:durableId="525213283">
    <w:abstractNumId w:val="59"/>
  </w:num>
  <w:num w:numId="102" w16cid:durableId="269170341">
    <w:abstractNumId w:val="79"/>
  </w:num>
  <w:num w:numId="103" w16cid:durableId="1846163209">
    <w:abstractNumId w:val="99"/>
  </w:num>
  <w:num w:numId="104" w16cid:durableId="873153472">
    <w:abstractNumId w:val="30"/>
  </w:num>
  <w:num w:numId="105" w16cid:durableId="746223357">
    <w:abstractNumId w:val="78"/>
  </w:num>
  <w:num w:numId="106" w16cid:durableId="1513454557">
    <w:abstractNumId w:val="17"/>
  </w:num>
  <w:num w:numId="107" w16cid:durableId="723913021">
    <w:abstractNumId w:val="43"/>
  </w:num>
  <w:num w:numId="108" w16cid:durableId="1998412801">
    <w:abstractNumId w:val="28"/>
  </w:num>
  <w:num w:numId="109" w16cid:durableId="491146998">
    <w:abstractNumId w:val="27"/>
    <w:lvlOverride w:ilvl="0">
      <w:startOverride w:val="1"/>
    </w:lvlOverride>
  </w:num>
  <w:num w:numId="110" w16cid:durableId="1158766855">
    <w:abstractNumId w:val="9"/>
  </w:num>
  <w:num w:numId="111" w16cid:durableId="46223795">
    <w:abstractNumId w:val="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2D"/>
    <w:rsid w:val="00000171"/>
    <w:rsid w:val="00000711"/>
    <w:rsid w:val="000011AD"/>
    <w:rsid w:val="0000126C"/>
    <w:rsid w:val="00002368"/>
    <w:rsid w:val="000028A2"/>
    <w:rsid w:val="00003041"/>
    <w:rsid w:val="00003B23"/>
    <w:rsid w:val="00003EBC"/>
    <w:rsid w:val="00004683"/>
    <w:rsid w:val="00004F97"/>
    <w:rsid w:val="00005613"/>
    <w:rsid w:val="000059F7"/>
    <w:rsid w:val="00005C51"/>
    <w:rsid w:val="00005FC2"/>
    <w:rsid w:val="00007505"/>
    <w:rsid w:val="00007B44"/>
    <w:rsid w:val="00007CE2"/>
    <w:rsid w:val="00011134"/>
    <w:rsid w:val="00011A8B"/>
    <w:rsid w:val="0001204F"/>
    <w:rsid w:val="00012ABC"/>
    <w:rsid w:val="000136AD"/>
    <w:rsid w:val="00013D21"/>
    <w:rsid w:val="00014055"/>
    <w:rsid w:val="0001430A"/>
    <w:rsid w:val="000143E6"/>
    <w:rsid w:val="00014B2D"/>
    <w:rsid w:val="00014B62"/>
    <w:rsid w:val="00015893"/>
    <w:rsid w:val="000159A3"/>
    <w:rsid w:val="000159B6"/>
    <w:rsid w:val="000160ED"/>
    <w:rsid w:val="0001710C"/>
    <w:rsid w:val="00020131"/>
    <w:rsid w:val="000204B3"/>
    <w:rsid w:val="0002054D"/>
    <w:rsid w:val="0002063B"/>
    <w:rsid w:val="0002113F"/>
    <w:rsid w:val="00021C48"/>
    <w:rsid w:val="00021DDE"/>
    <w:rsid w:val="00022B2D"/>
    <w:rsid w:val="00022BDB"/>
    <w:rsid w:val="00022C98"/>
    <w:rsid w:val="00022D56"/>
    <w:rsid w:val="00022E3D"/>
    <w:rsid w:val="00022FAC"/>
    <w:rsid w:val="000230B4"/>
    <w:rsid w:val="00023D03"/>
    <w:rsid w:val="00023E41"/>
    <w:rsid w:val="000243AB"/>
    <w:rsid w:val="00024411"/>
    <w:rsid w:val="0002524A"/>
    <w:rsid w:val="00025ABB"/>
    <w:rsid w:val="00025CCE"/>
    <w:rsid w:val="0002748B"/>
    <w:rsid w:val="00031307"/>
    <w:rsid w:val="000317DA"/>
    <w:rsid w:val="000321E6"/>
    <w:rsid w:val="00032AEE"/>
    <w:rsid w:val="00032FA0"/>
    <w:rsid w:val="00032FD4"/>
    <w:rsid w:val="0003313D"/>
    <w:rsid w:val="00033DCA"/>
    <w:rsid w:val="00033E8B"/>
    <w:rsid w:val="00034467"/>
    <w:rsid w:val="00034826"/>
    <w:rsid w:val="00034848"/>
    <w:rsid w:val="0003496E"/>
    <w:rsid w:val="000354B5"/>
    <w:rsid w:val="000355EF"/>
    <w:rsid w:val="000359BF"/>
    <w:rsid w:val="00036709"/>
    <w:rsid w:val="00037116"/>
    <w:rsid w:val="000373A6"/>
    <w:rsid w:val="00037547"/>
    <w:rsid w:val="00037C5A"/>
    <w:rsid w:val="00037D0B"/>
    <w:rsid w:val="00040317"/>
    <w:rsid w:val="000404D9"/>
    <w:rsid w:val="00040816"/>
    <w:rsid w:val="0004218D"/>
    <w:rsid w:val="0004355E"/>
    <w:rsid w:val="0004436C"/>
    <w:rsid w:val="00044F27"/>
    <w:rsid w:val="000452B4"/>
    <w:rsid w:val="00045769"/>
    <w:rsid w:val="000460B9"/>
    <w:rsid w:val="000464C0"/>
    <w:rsid w:val="00046B0C"/>
    <w:rsid w:val="0004700F"/>
    <w:rsid w:val="00047329"/>
    <w:rsid w:val="00047FD0"/>
    <w:rsid w:val="000509A1"/>
    <w:rsid w:val="00050EC0"/>
    <w:rsid w:val="00052923"/>
    <w:rsid w:val="00052B27"/>
    <w:rsid w:val="0005308C"/>
    <w:rsid w:val="000530CA"/>
    <w:rsid w:val="0005363D"/>
    <w:rsid w:val="000541B8"/>
    <w:rsid w:val="000547D2"/>
    <w:rsid w:val="00054F2F"/>
    <w:rsid w:val="00054F55"/>
    <w:rsid w:val="00055070"/>
    <w:rsid w:val="0005625F"/>
    <w:rsid w:val="00056386"/>
    <w:rsid w:val="00056668"/>
    <w:rsid w:val="0005737E"/>
    <w:rsid w:val="0005750F"/>
    <w:rsid w:val="000576E6"/>
    <w:rsid w:val="000577FB"/>
    <w:rsid w:val="000603BD"/>
    <w:rsid w:val="000606B3"/>
    <w:rsid w:val="00060F9B"/>
    <w:rsid w:val="000610A1"/>
    <w:rsid w:val="00061638"/>
    <w:rsid w:val="00061CA6"/>
    <w:rsid w:val="00062237"/>
    <w:rsid w:val="0006261E"/>
    <w:rsid w:val="00062B68"/>
    <w:rsid w:val="00062BA6"/>
    <w:rsid w:val="00063458"/>
    <w:rsid w:val="00063DE4"/>
    <w:rsid w:val="00064274"/>
    <w:rsid w:val="00064427"/>
    <w:rsid w:val="00065265"/>
    <w:rsid w:val="00065546"/>
    <w:rsid w:val="00065C43"/>
    <w:rsid w:val="00065D00"/>
    <w:rsid w:val="0006634F"/>
    <w:rsid w:val="000676DE"/>
    <w:rsid w:val="00067FD6"/>
    <w:rsid w:val="00070A9D"/>
    <w:rsid w:val="00070C56"/>
    <w:rsid w:val="00070F7B"/>
    <w:rsid w:val="00071050"/>
    <w:rsid w:val="000710E2"/>
    <w:rsid w:val="00071A58"/>
    <w:rsid w:val="00072B6F"/>
    <w:rsid w:val="0007355D"/>
    <w:rsid w:val="00073BCB"/>
    <w:rsid w:val="00073E88"/>
    <w:rsid w:val="00074AC6"/>
    <w:rsid w:val="00074B17"/>
    <w:rsid w:val="00074BC4"/>
    <w:rsid w:val="00074E7B"/>
    <w:rsid w:val="00075B30"/>
    <w:rsid w:val="00075E22"/>
    <w:rsid w:val="00075F86"/>
    <w:rsid w:val="000763F0"/>
    <w:rsid w:val="000768FA"/>
    <w:rsid w:val="0007735B"/>
    <w:rsid w:val="000777B6"/>
    <w:rsid w:val="000779B1"/>
    <w:rsid w:val="00077B3F"/>
    <w:rsid w:val="000806C2"/>
    <w:rsid w:val="00080B3C"/>
    <w:rsid w:val="00081270"/>
    <w:rsid w:val="00081E04"/>
    <w:rsid w:val="0008298E"/>
    <w:rsid w:val="00082CD2"/>
    <w:rsid w:val="000834FF"/>
    <w:rsid w:val="00083F9D"/>
    <w:rsid w:val="00084484"/>
    <w:rsid w:val="00084784"/>
    <w:rsid w:val="000850BA"/>
    <w:rsid w:val="00085AA2"/>
    <w:rsid w:val="00085B5E"/>
    <w:rsid w:val="000865C8"/>
    <w:rsid w:val="00086976"/>
    <w:rsid w:val="0008711D"/>
    <w:rsid w:val="00087C1B"/>
    <w:rsid w:val="00087DBF"/>
    <w:rsid w:val="00090951"/>
    <w:rsid w:val="00090B3B"/>
    <w:rsid w:val="000914B0"/>
    <w:rsid w:val="000918F4"/>
    <w:rsid w:val="0009222C"/>
    <w:rsid w:val="00092AD6"/>
    <w:rsid w:val="00092CEF"/>
    <w:rsid w:val="0009317B"/>
    <w:rsid w:val="00093956"/>
    <w:rsid w:val="00093EE6"/>
    <w:rsid w:val="000940D5"/>
    <w:rsid w:val="00094F6A"/>
    <w:rsid w:val="00095041"/>
    <w:rsid w:val="000954BE"/>
    <w:rsid w:val="00095B0F"/>
    <w:rsid w:val="0009786E"/>
    <w:rsid w:val="00097D3D"/>
    <w:rsid w:val="00097F9A"/>
    <w:rsid w:val="000A04D7"/>
    <w:rsid w:val="000A15C3"/>
    <w:rsid w:val="000A1A2C"/>
    <w:rsid w:val="000A2A52"/>
    <w:rsid w:val="000A3239"/>
    <w:rsid w:val="000A3820"/>
    <w:rsid w:val="000A3FD9"/>
    <w:rsid w:val="000A4CCA"/>
    <w:rsid w:val="000A549B"/>
    <w:rsid w:val="000A5CAA"/>
    <w:rsid w:val="000A5CBB"/>
    <w:rsid w:val="000A5DA6"/>
    <w:rsid w:val="000A6B7D"/>
    <w:rsid w:val="000A6B8A"/>
    <w:rsid w:val="000A6F6C"/>
    <w:rsid w:val="000A7036"/>
    <w:rsid w:val="000A7A9B"/>
    <w:rsid w:val="000B09F2"/>
    <w:rsid w:val="000B257C"/>
    <w:rsid w:val="000B37C9"/>
    <w:rsid w:val="000B380A"/>
    <w:rsid w:val="000B3908"/>
    <w:rsid w:val="000B4E73"/>
    <w:rsid w:val="000B5ED9"/>
    <w:rsid w:val="000B6092"/>
    <w:rsid w:val="000B65F2"/>
    <w:rsid w:val="000B74A9"/>
    <w:rsid w:val="000B7BCC"/>
    <w:rsid w:val="000C0AC4"/>
    <w:rsid w:val="000C10D9"/>
    <w:rsid w:val="000C1393"/>
    <w:rsid w:val="000C1561"/>
    <w:rsid w:val="000C1B26"/>
    <w:rsid w:val="000C1C90"/>
    <w:rsid w:val="000C1F71"/>
    <w:rsid w:val="000C227B"/>
    <w:rsid w:val="000C245C"/>
    <w:rsid w:val="000C27DD"/>
    <w:rsid w:val="000C27ED"/>
    <w:rsid w:val="000C2956"/>
    <w:rsid w:val="000C2AA6"/>
    <w:rsid w:val="000C4CAA"/>
    <w:rsid w:val="000C6DCB"/>
    <w:rsid w:val="000C7BC0"/>
    <w:rsid w:val="000C7E33"/>
    <w:rsid w:val="000D0B62"/>
    <w:rsid w:val="000D1387"/>
    <w:rsid w:val="000D252C"/>
    <w:rsid w:val="000D2B62"/>
    <w:rsid w:val="000D2D57"/>
    <w:rsid w:val="000D37CF"/>
    <w:rsid w:val="000D37D1"/>
    <w:rsid w:val="000D3D0F"/>
    <w:rsid w:val="000D4169"/>
    <w:rsid w:val="000D47BA"/>
    <w:rsid w:val="000D4BA2"/>
    <w:rsid w:val="000D4C4D"/>
    <w:rsid w:val="000D5D27"/>
    <w:rsid w:val="000D5FCF"/>
    <w:rsid w:val="000D728E"/>
    <w:rsid w:val="000E0764"/>
    <w:rsid w:val="000E0B7B"/>
    <w:rsid w:val="000E0D1E"/>
    <w:rsid w:val="000E1227"/>
    <w:rsid w:val="000E16E4"/>
    <w:rsid w:val="000E2E4B"/>
    <w:rsid w:val="000E3248"/>
    <w:rsid w:val="000E3825"/>
    <w:rsid w:val="000E3AAF"/>
    <w:rsid w:val="000E3EA0"/>
    <w:rsid w:val="000E46A5"/>
    <w:rsid w:val="000E4905"/>
    <w:rsid w:val="000E59D6"/>
    <w:rsid w:val="000E6000"/>
    <w:rsid w:val="000E6953"/>
    <w:rsid w:val="000E7638"/>
    <w:rsid w:val="000E7980"/>
    <w:rsid w:val="000E7CE3"/>
    <w:rsid w:val="000E7E64"/>
    <w:rsid w:val="000F02E5"/>
    <w:rsid w:val="000F0B85"/>
    <w:rsid w:val="000F0F82"/>
    <w:rsid w:val="000F13EA"/>
    <w:rsid w:val="000F28C3"/>
    <w:rsid w:val="000F2DDC"/>
    <w:rsid w:val="000F354A"/>
    <w:rsid w:val="000F3C48"/>
    <w:rsid w:val="000F4D58"/>
    <w:rsid w:val="000F5B6F"/>
    <w:rsid w:val="000F6475"/>
    <w:rsid w:val="000F6650"/>
    <w:rsid w:val="000F6BD3"/>
    <w:rsid w:val="0010007E"/>
    <w:rsid w:val="0010105D"/>
    <w:rsid w:val="00101BF1"/>
    <w:rsid w:val="00102948"/>
    <w:rsid w:val="001030B3"/>
    <w:rsid w:val="0010333C"/>
    <w:rsid w:val="0010356D"/>
    <w:rsid w:val="00103F04"/>
    <w:rsid w:val="00104297"/>
    <w:rsid w:val="001042A2"/>
    <w:rsid w:val="00106318"/>
    <w:rsid w:val="00106653"/>
    <w:rsid w:val="001067F9"/>
    <w:rsid w:val="00106DDF"/>
    <w:rsid w:val="001074FF"/>
    <w:rsid w:val="0010754E"/>
    <w:rsid w:val="00107E8C"/>
    <w:rsid w:val="00107F74"/>
    <w:rsid w:val="001108E1"/>
    <w:rsid w:val="00111848"/>
    <w:rsid w:val="00112076"/>
    <w:rsid w:val="001121E8"/>
    <w:rsid w:val="001123C1"/>
    <w:rsid w:val="00112705"/>
    <w:rsid w:val="00112886"/>
    <w:rsid w:val="00112A27"/>
    <w:rsid w:val="00112AB1"/>
    <w:rsid w:val="00112C16"/>
    <w:rsid w:val="001131A4"/>
    <w:rsid w:val="00113497"/>
    <w:rsid w:val="001135DD"/>
    <w:rsid w:val="00113B03"/>
    <w:rsid w:val="00114673"/>
    <w:rsid w:val="001165DC"/>
    <w:rsid w:val="00116F7B"/>
    <w:rsid w:val="001206AD"/>
    <w:rsid w:val="0012126C"/>
    <w:rsid w:val="00122522"/>
    <w:rsid w:val="001233C5"/>
    <w:rsid w:val="0012346B"/>
    <w:rsid w:val="00123B32"/>
    <w:rsid w:val="00123EBF"/>
    <w:rsid w:val="001245ED"/>
    <w:rsid w:val="00124F46"/>
    <w:rsid w:val="00125C91"/>
    <w:rsid w:val="00126065"/>
    <w:rsid w:val="001262FD"/>
    <w:rsid w:val="00126646"/>
    <w:rsid w:val="00126AB1"/>
    <w:rsid w:val="00126B6A"/>
    <w:rsid w:val="0012705C"/>
    <w:rsid w:val="00131629"/>
    <w:rsid w:val="00132868"/>
    <w:rsid w:val="0013302C"/>
    <w:rsid w:val="001339FB"/>
    <w:rsid w:val="00134412"/>
    <w:rsid w:val="00136BEE"/>
    <w:rsid w:val="00137827"/>
    <w:rsid w:val="001378BC"/>
    <w:rsid w:val="00137CE1"/>
    <w:rsid w:val="00140B8D"/>
    <w:rsid w:val="00140BF0"/>
    <w:rsid w:val="001414BD"/>
    <w:rsid w:val="00141528"/>
    <w:rsid w:val="001417BB"/>
    <w:rsid w:val="00142C30"/>
    <w:rsid w:val="00143139"/>
    <w:rsid w:val="0014317D"/>
    <w:rsid w:val="00143D9D"/>
    <w:rsid w:val="00144742"/>
    <w:rsid w:val="00145641"/>
    <w:rsid w:val="00145B90"/>
    <w:rsid w:val="00145CAF"/>
    <w:rsid w:val="00145E30"/>
    <w:rsid w:val="00145E57"/>
    <w:rsid w:val="001462AD"/>
    <w:rsid w:val="001462ED"/>
    <w:rsid w:val="0014633D"/>
    <w:rsid w:val="0014771A"/>
    <w:rsid w:val="00147E17"/>
    <w:rsid w:val="00150103"/>
    <w:rsid w:val="001504A4"/>
    <w:rsid w:val="001517BC"/>
    <w:rsid w:val="0015189D"/>
    <w:rsid w:val="001523FA"/>
    <w:rsid w:val="00152482"/>
    <w:rsid w:val="00152590"/>
    <w:rsid w:val="0015473D"/>
    <w:rsid w:val="00154C0D"/>
    <w:rsid w:val="00154C51"/>
    <w:rsid w:val="001561CC"/>
    <w:rsid w:val="001567F2"/>
    <w:rsid w:val="0015735C"/>
    <w:rsid w:val="00157587"/>
    <w:rsid w:val="00157F31"/>
    <w:rsid w:val="00157F32"/>
    <w:rsid w:val="00160301"/>
    <w:rsid w:val="00160E40"/>
    <w:rsid w:val="001611F1"/>
    <w:rsid w:val="00161246"/>
    <w:rsid w:val="0016158F"/>
    <w:rsid w:val="00161618"/>
    <w:rsid w:val="0016170B"/>
    <w:rsid w:val="001626D7"/>
    <w:rsid w:val="00162EF4"/>
    <w:rsid w:val="0016358B"/>
    <w:rsid w:val="00163BE5"/>
    <w:rsid w:val="00163D32"/>
    <w:rsid w:val="00164440"/>
    <w:rsid w:val="001644E8"/>
    <w:rsid w:val="0016482F"/>
    <w:rsid w:val="00164899"/>
    <w:rsid w:val="001651D8"/>
    <w:rsid w:val="00165283"/>
    <w:rsid w:val="0016578E"/>
    <w:rsid w:val="00165EBA"/>
    <w:rsid w:val="00166022"/>
    <w:rsid w:val="00166B2A"/>
    <w:rsid w:val="00167F14"/>
    <w:rsid w:val="00171528"/>
    <w:rsid w:val="0017280B"/>
    <w:rsid w:val="001729C0"/>
    <w:rsid w:val="00172BE5"/>
    <w:rsid w:val="00172FEA"/>
    <w:rsid w:val="00175346"/>
    <w:rsid w:val="0017568D"/>
    <w:rsid w:val="0017652A"/>
    <w:rsid w:val="00176846"/>
    <w:rsid w:val="00176AB5"/>
    <w:rsid w:val="00176C49"/>
    <w:rsid w:val="00177778"/>
    <w:rsid w:val="001814B2"/>
    <w:rsid w:val="0018196D"/>
    <w:rsid w:val="00181FED"/>
    <w:rsid w:val="00182810"/>
    <w:rsid w:val="00182E6C"/>
    <w:rsid w:val="0018378A"/>
    <w:rsid w:val="00183A22"/>
    <w:rsid w:val="001844EF"/>
    <w:rsid w:val="00184BA9"/>
    <w:rsid w:val="00185370"/>
    <w:rsid w:val="0018540F"/>
    <w:rsid w:val="001862A1"/>
    <w:rsid w:val="00186B38"/>
    <w:rsid w:val="00187200"/>
    <w:rsid w:val="00187E52"/>
    <w:rsid w:val="0019027A"/>
    <w:rsid w:val="001903CC"/>
    <w:rsid w:val="001904DF"/>
    <w:rsid w:val="00191B1B"/>
    <w:rsid w:val="00191C94"/>
    <w:rsid w:val="0019245E"/>
    <w:rsid w:val="0019320F"/>
    <w:rsid w:val="00193F0A"/>
    <w:rsid w:val="001945BE"/>
    <w:rsid w:val="001955AA"/>
    <w:rsid w:val="00195C2A"/>
    <w:rsid w:val="00195E47"/>
    <w:rsid w:val="00195FC8"/>
    <w:rsid w:val="001967A9"/>
    <w:rsid w:val="001969A3"/>
    <w:rsid w:val="00196BF6"/>
    <w:rsid w:val="001A149D"/>
    <w:rsid w:val="001A1C27"/>
    <w:rsid w:val="001A26E4"/>
    <w:rsid w:val="001A4D74"/>
    <w:rsid w:val="001A513C"/>
    <w:rsid w:val="001A6432"/>
    <w:rsid w:val="001A669E"/>
    <w:rsid w:val="001A6C1D"/>
    <w:rsid w:val="001A761F"/>
    <w:rsid w:val="001B0989"/>
    <w:rsid w:val="001B0F6C"/>
    <w:rsid w:val="001B2223"/>
    <w:rsid w:val="001B2796"/>
    <w:rsid w:val="001B298B"/>
    <w:rsid w:val="001B2E4D"/>
    <w:rsid w:val="001B32BC"/>
    <w:rsid w:val="001B3441"/>
    <w:rsid w:val="001B36F7"/>
    <w:rsid w:val="001B3B09"/>
    <w:rsid w:val="001B3B74"/>
    <w:rsid w:val="001B4620"/>
    <w:rsid w:val="001B4EFC"/>
    <w:rsid w:val="001B5390"/>
    <w:rsid w:val="001B5518"/>
    <w:rsid w:val="001B56B6"/>
    <w:rsid w:val="001B5735"/>
    <w:rsid w:val="001B7107"/>
    <w:rsid w:val="001C00B2"/>
    <w:rsid w:val="001C05C1"/>
    <w:rsid w:val="001C0AAE"/>
    <w:rsid w:val="001C0EB8"/>
    <w:rsid w:val="001C2133"/>
    <w:rsid w:val="001C26A4"/>
    <w:rsid w:val="001C40C6"/>
    <w:rsid w:val="001C4F74"/>
    <w:rsid w:val="001C52F1"/>
    <w:rsid w:val="001C5C80"/>
    <w:rsid w:val="001C5D31"/>
    <w:rsid w:val="001C685F"/>
    <w:rsid w:val="001C74EE"/>
    <w:rsid w:val="001C769D"/>
    <w:rsid w:val="001C7AF0"/>
    <w:rsid w:val="001C7C41"/>
    <w:rsid w:val="001D0525"/>
    <w:rsid w:val="001D0993"/>
    <w:rsid w:val="001D1A3D"/>
    <w:rsid w:val="001D1AEB"/>
    <w:rsid w:val="001D23B7"/>
    <w:rsid w:val="001D276B"/>
    <w:rsid w:val="001D3272"/>
    <w:rsid w:val="001D372E"/>
    <w:rsid w:val="001D3DC2"/>
    <w:rsid w:val="001D4BA5"/>
    <w:rsid w:val="001D5936"/>
    <w:rsid w:val="001D5F79"/>
    <w:rsid w:val="001D6ABB"/>
    <w:rsid w:val="001D7910"/>
    <w:rsid w:val="001D7B85"/>
    <w:rsid w:val="001E0691"/>
    <w:rsid w:val="001E06D0"/>
    <w:rsid w:val="001E0877"/>
    <w:rsid w:val="001E099C"/>
    <w:rsid w:val="001E0E9F"/>
    <w:rsid w:val="001E0EF9"/>
    <w:rsid w:val="001E1139"/>
    <w:rsid w:val="001E1440"/>
    <w:rsid w:val="001E29B4"/>
    <w:rsid w:val="001E2C36"/>
    <w:rsid w:val="001E2CBD"/>
    <w:rsid w:val="001E3100"/>
    <w:rsid w:val="001E51BE"/>
    <w:rsid w:val="001E565B"/>
    <w:rsid w:val="001E573C"/>
    <w:rsid w:val="001E5BAB"/>
    <w:rsid w:val="001E6431"/>
    <w:rsid w:val="001E64E2"/>
    <w:rsid w:val="001E7B95"/>
    <w:rsid w:val="001E7CD3"/>
    <w:rsid w:val="001F061C"/>
    <w:rsid w:val="001F24DB"/>
    <w:rsid w:val="001F29B3"/>
    <w:rsid w:val="001F2A49"/>
    <w:rsid w:val="001F2C24"/>
    <w:rsid w:val="001F2EA0"/>
    <w:rsid w:val="001F3C88"/>
    <w:rsid w:val="001F41D7"/>
    <w:rsid w:val="001F4DEC"/>
    <w:rsid w:val="001F5BF7"/>
    <w:rsid w:val="001F6D78"/>
    <w:rsid w:val="001F704B"/>
    <w:rsid w:val="001F7F88"/>
    <w:rsid w:val="00200A44"/>
    <w:rsid w:val="00201426"/>
    <w:rsid w:val="00201C9E"/>
    <w:rsid w:val="00201E7B"/>
    <w:rsid w:val="002032D5"/>
    <w:rsid w:val="00203D0C"/>
    <w:rsid w:val="00203E5B"/>
    <w:rsid w:val="002045C9"/>
    <w:rsid w:val="002050B7"/>
    <w:rsid w:val="002057F8"/>
    <w:rsid w:val="002065C7"/>
    <w:rsid w:val="002069DF"/>
    <w:rsid w:val="00206B77"/>
    <w:rsid w:val="00207D74"/>
    <w:rsid w:val="00207DAE"/>
    <w:rsid w:val="00207F61"/>
    <w:rsid w:val="00210671"/>
    <w:rsid w:val="00210D47"/>
    <w:rsid w:val="002111EA"/>
    <w:rsid w:val="0021136F"/>
    <w:rsid w:val="002115CC"/>
    <w:rsid w:val="0021256E"/>
    <w:rsid w:val="00212E03"/>
    <w:rsid w:val="00214546"/>
    <w:rsid w:val="00214816"/>
    <w:rsid w:val="002148A5"/>
    <w:rsid w:val="00214CDE"/>
    <w:rsid w:val="00214F57"/>
    <w:rsid w:val="002150F6"/>
    <w:rsid w:val="00215373"/>
    <w:rsid w:val="002158AC"/>
    <w:rsid w:val="00215B4C"/>
    <w:rsid w:val="00215D52"/>
    <w:rsid w:val="002160B4"/>
    <w:rsid w:val="002160D9"/>
    <w:rsid w:val="00216685"/>
    <w:rsid w:val="00217B5B"/>
    <w:rsid w:val="00217F59"/>
    <w:rsid w:val="0022077C"/>
    <w:rsid w:val="00220A66"/>
    <w:rsid w:val="00220D16"/>
    <w:rsid w:val="002215E8"/>
    <w:rsid w:val="00221C99"/>
    <w:rsid w:val="0022205A"/>
    <w:rsid w:val="002226A2"/>
    <w:rsid w:val="002228FE"/>
    <w:rsid w:val="002229AA"/>
    <w:rsid w:val="002242CA"/>
    <w:rsid w:val="00224496"/>
    <w:rsid w:val="0022450B"/>
    <w:rsid w:val="0022467F"/>
    <w:rsid w:val="002246F7"/>
    <w:rsid w:val="00224CEB"/>
    <w:rsid w:val="00225642"/>
    <w:rsid w:val="002273D7"/>
    <w:rsid w:val="002274A6"/>
    <w:rsid w:val="00227F21"/>
    <w:rsid w:val="00230220"/>
    <w:rsid w:val="00230CD6"/>
    <w:rsid w:val="0023112D"/>
    <w:rsid w:val="0023154E"/>
    <w:rsid w:val="00231BB3"/>
    <w:rsid w:val="00231F60"/>
    <w:rsid w:val="00232292"/>
    <w:rsid w:val="0023230B"/>
    <w:rsid w:val="0023239F"/>
    <w:rsid w:val="002324F2"/>
    <w:rsid w:val="002327F7"/>
    <w:rsid w:val="00232918"/>
    <w:rsid w:val="00233020"/>
    <w:rsid w:val="00233E38"/>
    <w:rsid w:val="00234665"/>
    <w:rsid w:val="002363F4"/>
    <w:rsid w:val="0023693D"/>
    <w:rsid w:val="00236A1B"/>
    <w:rsid w:val="00236BF3"/>
    <w:rsid w:val="00236C52"/>
    <w:rsid w:val="00236F48"/>
    <w:rsid w:val="0023713C"/>
    <w:rsid w:val="00237BDC"/>
    <w:rsid w:val="00240E11"/>
    <w:rsid w:val="00240ED5"/>
    <w:rsid w:val="00241111"/>
    <w:rsid w:val="00241C84"/>
    <w:rsid w:val="002423F9"/>
    <w:rsid w:val="00242B92"/>
    <w:rsid w:val="002435CF"/>
    <w:rsid w:val="0024372E"/>
    <w:rsid w:val="00243B15"/>
    <w:rsid w:val="00243CCE"/>
    <w:rsid w:val="0024599C"/>
    <w:rsid w:val="00245E1A"/>
    <w:rsid w:val="00246447"/>
    <w:rsid w:val="002468DA"/>
    <w:rsid w:val="00247307"/>
    <w:rsid w:val="0024760E"/>
    <w:rsid w:val="00247C03"/>
    <w:rsid w:val="0025036D"/>
    <w:rsid w:val="00250428"/>
    <w:rsid w:val="0025112C"/>
    <w:rsid w:val="00251910"/>
    <w:rsid w:val="00251C32"/>
    <w:rsid w:val="00252254"/>
    <w:rsid w:val="002525B9"/>
    <w:rsid w:val="002530D9"/>
    <w:rsid w:val="00254FF8"/>
    <w:rsid w:val="00255DF4"/>
    <w:rsid w:val="00256039"/>
    <w:rsid w:val="00256EA5"/>
    <w:rsid w:val="00257B12"/>
    <w:rsid w:val="002605A0"/>
    <w:rsid w:val="00261166"/>
    <w:rsid w:val="0026126D"/>
    <w:rsid w:val="00261CFF"/>
    <w:rsid w:val="002621CF"/>
    <w:rsid w:val="00262338"/>
    <w:rsid w:val="00262393"/>
    <w:rsid w:val="00262706"/>
    <w:rsid w:val="00262B41"/>
    <w:rsid w:val="002644B9"/>
    <w:rsid w:val="00264D9C"/>
    <w:rsid w:val="00264F17"/>
    <w:rsid w:val="0026505D"/>
    <w:rsid w:val="00265346"/>
    <w:rsid w:val="00265406"/>
    <w:rsid w:val="0026554A"/>
    <w:rsid w:val="00265A3F"/>
    <w:rsid w:val="00265E5A"/>
    <w:rsid w:val="0026651D"/>
    <w:rsid w:val="00266969"/>
    <w:rsid w:val="00266DDF"/>
    <w:rsid w:val="00266E87"/>
    <w:rsid w:val="00267590"/>
    <w:rsid w:val="00267CBA"/>
    <w:rsid w:val="00267DA6"/>
    <w:rsid w:val="00267E99"/>
    <w:rsid w:val="0027079C"/>
    <w:rsid w:val="00270C36"/>
    <w:rsid w:val="00270DFF"/>
    <w:rsid w:val="002711FD"/>
    <w:rsid w:val="00271F1F"/>
    <w:rsid w:val="00272329"/>
    <w:rsid w:val="00273E65"/>
    <w:rsid w:val="0027418B"/>
    <w:rsid w:val="00275666"/>
    <w:rsid w:val="00275A7A"/>
    <w:rsid w:val="00275B03"/>
    <w:rsid w:val="00276277"/>
    <w:rsid w:val="002762CE"/>
    <w:rsid w:val="002763BA"/>
    <w:rsid w:val="00276B0C"/>
    <w:rsid w:val="00276E7F"/>
    <w:rsid w:val="002771BF"/>
    <w:rsid w:val="002777E4"/>
    <w:rsid w:val="00281960"/>
    <w:rsid w:val="002819E9"/>
    <w:rsid w:val="002826A6"/>
    <w:rsid w:val="00283814"/>
    <w:rsid w:val="00283D4E"/>
    <w:rsid w:val="00283E9F"/>
    <w:rsid w:val="00284727"/>
    <w:rsid w:val="002856B3"/>
    <w:rsid w:val="002856CE"/>
    <w:rsid w:val="00285EA4"/>
    <w:rsid w:val="00285F31"/>
    <w:rsid w:val="00286290"/>
    <w:rsid w:val="002871D1"/>
    <w:rsid w:val="002874AE"/>
    <w:rsid w:val="002875F6"/>
    <w:rsid w:val="002876A0"/>
    <w:rsid w:val="00287FDF"/>
    <w:rsid w:val="00290334"/>
    <w:rsid w:val="00290486"/>
    <w:rsid w:val="00292D24"/>
    <w:rsid w:val="00293F92"/>
    <w:rsid w:val="002949B2"/>
    <w:rsid w:val="002954FE"/>
    <w:rsid w:val="002962FB"/>
    <w:rsid w:val="002965EC"/>
    <w:rsid w:val="00296706"/>
    <w:rsid w:val="002971DE"/>
    <w:rsid w:val="00297482"/>
    <w:rsid w:val="00297A70"/>
    <w:rsid w:val="002A05A8"/>
    <w:rsid w:val="002A07EA"/>
    <w:rsid w:val="002A192B"/>
    <w:rsid w:val="002A19FE"/>
    <w:rsid w:val="002A201A"/>
    <w:rsid w:val="002A217D"/>
    <w:rsid w:val="002A21DF"/>
    <w:rsid w:val="002A2657"/>
    <w:rsid w:val="002A36D5"/>
    <w:rsid w:val="002A419A"/>
    <w:rsid w:val="002A4DCE"/>
    <w:rsid w:val="002A7AB7"/>
    <w:rsid w:val="002B0E9C"/>
    <w:rsid w:val="002B1081"/>
    <w:rsid w:val="002B1C5F"/>
    <w:rsid w:val="002B2787"/>
    <w:rsid w:val="002B2819"/>
    <w:rsid w:val="002B2E07"/>
    <w:rsid w:val="002B35A1"/>
    <w:rsid w:val="002B41AB"/>
    <w:rsid w:val="002B4EA7"/>
    <w:rsid w:val="002B50DE"/>
    <w:rsid w:val="002B541E"/>
    <w:rsid w:val="002B7ACF"/>
    <w:rsid w:val="002C03BD"/>
    <w:rsid w:val="002C0CFD"/>
    <w:rsid w:val="002C1403"/>
    <w:rsid w:val="002C1C0A"/>
    <w:rsid w:val="002C1DAC"/>
    <w:rsid w:val="002C1DDD"/>
    <w:rsid w:val="002C1F87"/>
    <w:rsid w:val="002C22DA"/>
    <w:rsid w:val="002C2D17"/>
    <w:rsid w:val="002C2D6E"/>
    <w:rsid w:val="002C397D"/>
    <w:rsid w:val="002C3E73"/>
    <w:rsid w:val="002C5E0D"/>
    <w:rsid w:val="002C601F"/>
    <w:rsid w:val="002C6420"/>
    <w:rsid w:val="002C6C08"/>
    <w:rsid w:val="002C7500"/>
    <w:rsid w:val="002C79A6"/>
    <w:rsid w:val="002C79F7"/>
    <w:rsid w:val="002C7B22"/>
    <w:rsid w:val="002D0079"/>
    <w:rsid w:val="002D00EA"/>
    <w:rsid w:val="002D02CD"/>
    <w:rsid w:val="002D1113"/>
    <w:rsid w:val="002D1596"/>
    <w:rsid w:val="002D16D2"/>
    <w:rsid w:val="002D1E65"/>
    <w:rsid w:val="002D2228"/>
    <w:rsid w:val="002D2627"/>
    <w:rsid w:val="002D34C7"/>
    <w:rsid w:val="002D58AD"/>
    <w:rsid w:val="002D5EEB"/>
    <w:rsid w:val="002D63C1"/>
    <w:rsid w:val="002D650B"/>
    <w:rsid w:val="002D6B50"/>
    <w:rsid w:val="002D77A5"/>
    <w:rsid w:val="002D7E83"/>
    <w:rsid w:val="002D7F79"/>
    <w:rsid w:val="002E1FB0"/>
    <w:rsid w:val="002E22C0"/>
    <w:rsid w:val="002E26E8"/>
    <w:rsid w:val="002E308B"/>
    <w:rsid w:val="002E345C"/>
    <w:rsid w:val="002E360F"/>
    <w:rsid w:val="002E3AC2"/>
    <w:rsid w:val="002E3BAF"/>
    <w:rsid w:val="002E4323"/>
    <w:rsid w:val="002E4AE2"/>
    <w:rsid w:val="002E4ED1"/>
    <w:rsid w:val="002E5C72"/>
    <w:rsid w:val="002E668D"/>
    <w:rsid w:val="002E6CF7"/>
    <w:rsid w:val="002E717E"/>
    <w:rsid w:val="002E7AAA"/>
    <w:rsid w:val="002F1946"/>
    <w:rsid w:val="002F1E89"/>
    <w:rsid w:val="002F1F19"/>
    <w:rsid w:val="002F3E83"/>
    <w:rsid w:val="002F5702"/>
    <w:rsid w:val="002F5FDC"/>
    <w:rsid w:val="002F617B"/>
    <w:rsid w:val="002F62ED"/>
    <w:rsid w:val="002F7542"/>
    <w:rsid w:val="0030056D"/>
    <w:rsid w:val="0030126A"/>
    <w:rsid w:val="00301D04"/>
    <w:rsid w:val="00302ECD"/>
    <w:rsid w:val="0030468A"/>
    <w:rsid w:val="003046B8"/>
    <w:rsid w:val="003047DD"/>
    <w:rsid w:val="00305513"/>
    <w:rsid w:val="003058C6"/>
    <w:rsid w:val="00305B51"/>
    <w:rsid w:val="0030600B"/>
    <w:rsid w:val="00306740"/>
    <w:rsid w:val="00307379"/>
    <w:rsid w:val="003102C1"/>
    <w:rsid w:val="003104FE"/>
    <w:rsid w:val="00310AC5"/>
    <w:rsid w:val="00310B1F"/>
    <w:rsid w:val="00312103"/>
    <w:rsid w:val="00312D41"/>
    <w:rsid w:val="003135AC"/>
    <w:rsid w:val="00313886"/>
    <w:rsid w:val="00313F8B"/>
    <w:rsid w:val="0031409C"/>
    <w:rsid w:val="003145FC"/>
    <w:rsid w:val="003153F8"/>
    <w:rsid w:val="0031567A"/>
    <w:rsid w:val="00315BB6"/>
    <w:rsid w:val="00316FE2"/>
    <w:rsid w:val="003170BE"/>
    <w:rsid w:val="00317162"/>
    <w:rsid w:val="003171FE"/>
    <w:rsid w:val="003178D6"/>
    <w:rsid w:val="00317E2F"/>
    <w:rsid w:val="00317F11"/>
    <w:rsid w:val="003201C3"/>
    <w:rsid w:val="00320DE3"/>
    <w:rsid w:val="00321796"/>
    <w:rsid w:val="003218CE"/>
    <w:rsid w:val="00321CBE"/>
    <w:rsid w:val="00321E15"/>
    <w:rsid w:val="003223B2"/>
    <w:rsid w:val="00322975"/>
    <w:rsid w:val="00323954"/>
    <w:rsid w:val="00323CC4"/>
    <w:rsid w:val="00323D08"/>
    <w:rsid w:val="0032432B"/>
    <w:rsid w:val="00324D2D"/>
    <w:rsid w:val="00324ED4"/>
    <w:rsid w:val="00325551"/>
    <w:rsid w:val="00326008"/>
    <w:rsid w:val="00326466"/>
    <w:rsid w:val="0032685A"/>
    <w:rsid w:val="00327795"/>
    <w:rsid w:val="00327863"/>
    <w:rsid w:val="00330304"/>
    <w:rsid w:val="00330465"/>
    <w:rsid w:val="003306BE"/>
    <w:rsid w:val="0033075D"/>
    <w:rsid w:val="00330FA5"/>
    <w:rsid w:val="003310F1"/>
    <w:rsid w:val="00331B66"/>
    <w:rsid w:val="00331BEF"/>
    <w:rsid w:val="00331F36"/>
    <w:rsid w:val="00332CD3"/>
    <w:rsid w:val="00332E7B"/>
    <w:rsid w:val="0033383F"/>
    <w:rsid w:val="00333B22"/>
    <w:rsid w:val="00334275"/>
    <w:rsid w:val="003346BF"/>
    <w:rsid w:val="00334A39"/>
    <w:rsid w:val="00334D3E"/>
    <w:rsid w:val="003353D4"/>
    <w:rsid w:val="0033626A"/>
    <w:rsid w:val="003364C9"/>
    <w:rsid w:val="00337CEC"/>
    <w:rsid w:val="00337D79"/>
    <w:rsid w:val="0034051B"/>
    <w:rsid w:val="00341370"/>
    <w:rsid w:val="003417D2"/>
    <w:rsid w:val="00343232"/>
    <w:rsid w:val="00343E30"/>
    <w:rsid w:val="003443D4"/>
    <w:rsid w:val="0034447C"/>
    <w:rsid w:val="00344F27"/>
    <w:rsid w:val="003457F0"/>
    <w:rsid w:val="0034595D"/>
    <w:rsid w:val="0034611B"/>
    <w:rsid w:val="00346342"/>
    <w:rsid w:val="00346E74"/>
    <w:rsid w:val="00347AA5"/>
    <w:rsid w:val="00347B75"/>
    <w:rsid w:val="003514DF"/>
    <w:rsid w:val="00351876"/>
    <w:rsid w:val="00353DE9"/>
    <w:rsid w:val="003540C7"/>
    <w:rsid w:val="00354390"/>
    <w:rsid w:val="003547F9"/>
    <w:rsid w:val="00354A04"/>
    <w:rsid w:val="00354E43"/>
    <w:rsid w:val="00355D60"/>
    <w:rsid w:val="00355F40"/>
    <w:rsid w:val="00356208"/>
    <w:rsid w:val="003562FA"/>
    <w:rsid w:val="0035693B"/>
    <w:rsid w:val="003573C9"/>
    <w:rsid w:val="00357906"/>
    <w:rsid w:val="003609D0"/>
    <w:rsid w:val="00362244"/>
    <w:rsid w:val="00362F90"/>
    <w:rsid w:val="00363DF5"/>
    <w:rsid w:val="00365095"/>
    <w:rsid w:val="00365889"/>
    <w:rsid w:val="003660A5"/>
    <w:rsid w:val="00366343"/>
    <w:rsid w:val="00366DA8"/>
    <w:rsid w:val="00366E39"/>
    <w:rsid w:val="003676E8"/>
    <w:rsid w:val="003677FF"/>
    <w:rsid w:val="0036795C"/>
    <w:rsid w:val="00367D94"/>
    <w:rsid w:val="00370945"/>
    <w:rsid w:val="0037171E"/>
    <w:rsid w:val="00371C25"/>
    <w:rsid w:val="003720A2"/>
    <w:rsid w:val="0037397E"/>
    <w:rsid w:val="00373D39"/>
    <w:rsid w:val="00374EA7"/>
    <w:rsid w:val="003755B3"/>
    <w:rsid w:val="00375E10"/>
    <w:rsid w:val="003760A1"/>
    <w:rsid w:val="0037610C"/>
    <w:rsid w:val="00377C4B"/>
    <w:rsid w:val="00377F3C"/>
    <w:rsid w:val="00377FCF"/>
    <w:rsid w:val="00380A29"/>
    <w:rsid w:val="00380CA0"/>
    <w:rsid w:val="00381225"/>
    <w:rsid w:val="00382400"/>
    <w:rsid w:val="003825FF"/>
    <w:rsid w:val="00382DF1"/>
    <w:rsid w:val="003836D4"/>
    <w:rsid w:val="00383775"/>
    <w:rsid w:val="0038395C"/>
    <w:rsid w:val="00383ED7"/>
    <w:rsid w:val="0038532F"/>
    <w:rsid w:val="0038640B"/>
    <w:rsid w:val="00386FD7"/>
    <w:rsid w:val="0038741C"/>
    <w:rsid w:val="00387FDB"/>
    <w:rsid w:val="00390FFD"/>
    <w:rsid w:val="00391136"/>
    <w:rsid w:val="00391FB7"/>
    <w:rsid w:val="00392ACD"/>
    <w:rsid w:val="00393362"/>
    <w:rsid w:val="00393513"/>
    <w:rsid w:val="0039362A"/>
    <w:rsid w:val="00393805"/>
    <w:rsid w:val="00393945"/>
    <w:rsid w:val="0039448B"/>
    <w:rsid w:val="00394499"/>
    <w:rsid w:val="00394945"/>
    <w:rsid w:val="00394C1D"/>
    <w:rsid w:val="00394E0C"/>
    <w:rsid w:val="00395459"/>
    <w:rsid w:val="003959BD"/>
    <w:rsid w:val="00395A24"/>
    <w:rsid w:val="00395B2A"/>
    <w:rsid w:val="00395D15"/>
    <w:rsid w:val="003974A2"/>
    <w:rsid w:val="003A00C3"/>
    <w:rsid w:val="003A023A"/>
    <w:rsid w:val="003A049F"/>
    <w:rsid w:val="003A0598"/>
    <w:rsid w:val="003A0F05"/>
    <w:rsid w:val="003A17A3"/>
    <w:rsid w:val="003A19AB"/>
    <w:rsid w:val="003A1C76"/>
    <w:rsid w:val="003A2196"/>
    <w:rsid w:val="003A23DC"/>
    <w:rsid w:val="003A28B1"/>
    <w:rsid w:val="003A33E1"/>
    <w:rsid w:val="003A343A"/>
    <w:rsid w:val="003A37B1"/>
    <w:rsid w:val="003A3840"/>
    <w:rsid w:val="003A3889"/>
    <w:rsid w:val="003A4372"/>
    <w:rsid w:val="003A4620"/>
    <w:rsid w:val="003A51F3"/>
    <w:rsid w:val="003A5E23"/>
    <w:rsid w:val="003A5F67"/>
    <w:rsid w:val="003A60A4"/>
    <w:rsid w:val="003A672E"/>
    <w:rsid w:val="003A77EA"/>
    <w:rsid w:val="003B08BD"/>
    <w:rsid w:val="003B31DE"/>
    <w:rsid w:val="003B3DCE"/>
    <w:rsid w:val="003B4388"/>
    <w:rsid w:val="003B4C64"/>
    <w:rsid w:val="003B4E34"/>
    <w:rsid w:val="003B4F5E"/>
    <w:rsid w:val="003B5346"/>
    <w:rsid w:val="003B585D"/>
    <w:rsid w:val="003B63A2"/>
    <w:rsid w:val="003B64F1"/>
    <w:rsid w:val="003B7413"/>
    <w:rsid w:val="003C0ADD"/>
    <w:rsid w:val="003C1A3B"/>
    <w:rsid w:val="003C2327"/>
    <w:rsid w:val="003C2F15"/>
    <w:rsid w:val="003C32F8"/>
    <w:rsid w:val="003C39CF"/>
    <w:rsid w:val="003C3D08"/>
    <w:rsid w:val="003C47C0"/>
    <w:rsid w:val="003C5492"/>
    <w:rsid w:val="003C5B26"/>
    <w:rsid w:val="003C62F1"/>
    <w:rsid w:val="003C6380"/>
    <w:rsid w:val="003C7B15"/>
    <w:rsid w:val="003D0172"/>
    <w:rsid w:val="003D0494"/>
    <w:rsid w:val="003D0AA7"/>
    <w:rsid w:val="003D1142"/>
    <w:rsid w:val="003D17FA"/>
    <w:rsid w:val="003D1821"/>
    <w:rsid w:val="003D3189"/>
    <w:rsid w:val="003D4083"/>
    <w:rsid w:val="003D43E1"/>
    <w:rsid w:val="003D48C8"/>
    <w:rsid w:val="003D4B0D"/>
    <w:rsid w:val="003D4EE0"/>
    <w:rsid w:val="003D5872"/>
    <w:rsid w:val="003D66E3"/>
    <w:rsid w:val="003D6E18"/>
    <w:rsid w:val="003D6E48"/>
    <w:rsid w:val="003E0A44"/>
    <w:rsid w:val="003E1162"/>
    <w:rsid w:val="003E1404"/>
    <w:rsid w:val="003E1A46"/>
    <w:rsid w:val="003E1B9C"/>
    <w:rsid w:val="003E20AE"/>
    <w:rsid w:val="003E25C7"/>
    <w:rsid w:val="003E2F1A"/>
    <w:rsid w:val="003E317E"/>
    <w:rsid w:val="003E34A8"/>
    <w:rsid w:val="003E36AF"/>
    <w:rsid w:val="003E381D"/>
    <w:rsid w:val="003E4763"/>
    <w:rsid w:val="003E5131"/>
    <w:rsid w:val="003E5404"/>
    <w:rsid w:val="003E5583"/>
    <w:rsid w:val="003E5A3B"/>
    <w:rsid w:val="003E5AE8"/>
    <w:rsid w:val="003E5B87"/>
    <w:rsid w:val="003E61E9"/>
    <w:rsid w:val="003E66E1"/>
    <w:rsid w:val="003E69F4"/>
    <w:rsid w:val="003E6BA1"/>
    <w:rsid w:val="003E7211"/>
    <w:rsid w:val="003E7303"/>
    <w:rsid w:val="003E74EF"/>
    <w:rsid w:val="003E7B27"/>
    <w:rsid w:val="003E7F44"/>
    <w:rsid w:val="003F033F"/>
    <w:rsid w:val="003F036E"/>
    <w:rsid w:val="003F042D"/>
    <w:rsid w:val="003F073F"/>
    <w:rsid w:val="003F0973"/>
    <w:rsid w:val="003F0BE5"/>
    <w:rsid w:val="003F1D3F"/>
    <w:rsid w:val="003F1ECF"/>
    <w:rsid w:val="003F208E"/>
    <w:rsid w:val="003F21F4"/>
    <w:rsid w:val="003F2454"/>
    <w:rsid w:val="003F2C67"/>
    <w:rsid w:val="003F2EBB"/>
    <w:rsid w:val="003F31E3"/>
    <w:rsid w:val="003F32B0"/>
    <w:rsid w:val="003F332F"/>
    <w:rsid w:val="003F3C99"/>
    <w:rsid w:val="003F4671"/>
    <w:rsid w:val="003F4B42"/>
    <w:rsid w:val="003F5357"/>
    <w:rsid w:val="003F6643"/>
    <w:rsid w:val="003F7249"/>
    <w:rsid w:val="003F764B"/>
    <w:rsid w:val="003F7F58"/>
    <w:rsid w:val="00400365"/>
    <w:rsid w:val="0040068D"/>
    <w:rsid w:val="00400B02"/>
    <w:rsid w:val="004010AE"/>
    <w:rsid w:val="0040159E"/>
    <w:rsid w:val="00401AE4"/>
    <w:rsid w:val="00401CBD"/>
    <w:rsid w:val="00402635"/>
    <w:rsid w:val="0040288E"/>
    <w:rsid w:val="00403A65"/>
    <w:rsid w:val="00404A7B"/>
    <w:rsid w:val="00404D73"/>
    <w:rsid w:val="00407B04"/>
    <w:rsid w:val="0041047E"/>
    <w:rsid w:val="00410735"/>
    <w:rsid w:val="00411224"/>
    <w:rsid w:val="004118C2"/>
    <w:rsid w:val="00412151"/>
    <w:rsid w:val="004139D1"/>
    <w:rsid w:val="00413C96"/>
    <w:rsid w:val="00413CDC"/>
    <w:rsid w:val="00414062"/>
    <w:rsid w:val="004141B9"/>
    <w:rsid w:val="004151F4"/>
    <w:rsid w:val="004159B0"/>
    <w:rsid w:val="00415E35"/>
    <w:rsid w:val="004162CF"/>
    <w:rsid w:val="004168E0"/>
    <w:rsid w:val="00417B72"/>
    <w:rsid w:val="00420987"/>
    <w:rsid w:val="0042109A"/>
    <w:rsid w:val="00421314"/>
    <w:rsid w:val="0042167F"/>
    <w:rsid w:val="004216CF"/>
    <w:rsid w:val="00421D14"/>
    <w:rsid w:val="004229E7"/>
    <w:rsid w:val="0042332E"/>
    <w:rsid w:val="004238FE"/>
    <w:rsid w:val="00423938"/>
    <w:rsid w:val="00423BBB"/>
    <w:rsid w:val="00423C06"/>
    <w:rsid w:val="00423EDF"/>
    <w:rsid w:val="004243A5"/>
    <w:rsid w:val="0042459F"/>
    <w:rsid w:val="0042658C"/>
    <w:rsid w:val="004266E6"/>
    <w:rsid w:val="004267B6"/>
    <w:rsid w:val="00426D94"/>
    <w:rsid w:val="00426ED0"/>
    <w:rsid w:val="00427157"/>
    <w:rsid w:val="004303C4"/>
    <w:rsid w:val="00430994"/>
    <w:rsid w:val="00430A13"/>
    <w:rsid w:val="00431866"/>
    <w:rsid w:val="00431B4C"/>
    <w:rsid w:val="00432403"/>
    <w:rsid w:val="00432660"/>
    <w:rsid w:val="004327F9"/>
    <w:rsid w:val="004328F5"/>
    <w:rsid w:val="00433B66"/>
    <w:rsid w:val="00434090"/>
    <w:rsid w:val="004343D3"/>
    <w:rsid w:val="00434B38"/>
    <w:rsid w:val="00434D29"/>
    <w:rsid w:val="00435A99"/>
    <w:rsid w:val="004370DF"/>
    <w:rsid w:val="0043791F"/>
    <w:rsid w:val="004403F4"/>
    <w:rsid w:val="0044116D"/>
    <w:rsid w:val="004412A5"/>
    <w:rsid w:val="00441DFF"/>
    <w:rsid w:val="00442887"/>
    <w:rsid w:val="00442C77"/>
    <w:rsid w:val="004434E3"/>
    <w:rsid w:val="0044376D"/>
    <w:rsid w:val="0044399E"/>
    <w:rsid w:val="00443FC0"/>
    <w:rsid w:val="004444EB"/>
    <w:rsid w:val="0044521A"/>
    <w:rsid w:val="004455A6"/>
    <w:rsid w:val="0044594C"/>
    <w:rsid w:val="00445CE2"/>
    <w:rsid w:val="004460F3"/>
    <w:rsid w:val="00446267"/>
    <w:rsid w:val="004466E4"/>
    <w:rsid w:val="00446B22"/>
    <w:rsid w:val="00446FC8"/>
    <w:rsid w:val="00447712"/>
    <w:rsid w:val="00447FF0"/>
    <w:rsid w:val="00450A17"/>
    <w:rsid w:val="00450A82"/>
    <w:rsid w:val="00450CA0"/>
    <w:rsid w:val="00451637"/>
    <w:rsid w:val="00451BD3"/>
    <w:rsid w:val="00451D1C"/>
    <w:rsid w:val="00451E5D"/>
    <w:rsid w:val="00453BE5"/>
    <w:rsid w:val="00454B95"/>
    <w:rsid w:val="00454BD3"/>
    <w:rsid w:val="004556C8"/>
    <w:rsid w:val="00455A50"/>
    <w:rsid w:val="00455A8B"/>
    <w:rsid w:val="00456932"/>
    <w:rsid w:val="00456A34"/>
    <w:rsid w:val="0045721A"/>
    <w:rsid w:val="00457684"/>
    <w:rsid w:val="00457AD7"/>
    <w:rsid w:val="0046006F"/>
    <w:rsid w:val="00460AE9"/>
    <w:rsid w:val="00460E88"/>
    <w:rsid w:val="00460EA9"/>
    <w:rsid w:val="004614C7"/>
    <w:rsid w:val="0046159B"/>
    <w:rsid w:val="0046195D"/>
    <w:rsid w:val="00461D8E"/>
    <w:rsid w:val="00462327"/>
    <w:rsid w:val="00462B12"/>
    <w:rsid w:val="004633C8"/>
    <w:rsid w:val="00464802"/>
    <w:rsid w:val="0046481B"/>
    <w:rsid w:val="0046567C"/>
    <w:rsid w:val="00466AB4"/>
    <w:rsid w:val="004674E3"/>
    <w:rsid w:val="0046760B"/>
    <w:rsid w:val="0046772D"/>
    <w:rsid w:val="00467B44"/>
    <w:rsid w:val="00470268"/>
    <w:rsid w:val="00470AB5"/>
    <w:rsid w:val="00470BC5"/>
    <w:rsid w:val="00470E46"/>
    <w:rsid w:val="00471547"/>
    <w:rsid w:val="00471C5D"/>
    <w:rsid w:val="00471ECE"/>
    <w:rsid w:val="00472406"/>
    <w:rsid w:val="00472C60"/>
    <w:rsid w:val="00473CCF"/>
    <w:rsid w:val="004746AF"/>
    <w:rsid w:val="00474E8A"/>
    <w:rsid w:val="0047504B"/>
    <w:rsid w:val="004752F3"/>
    <w:rsid w:val="00475BDC"/>
    <w:rsid w:val="00475FBE"/>
    <w:rsid w:val="004774FB"/>
    <w:rsid w:val="00477AF2"/>
    <w:rsid w:val="00477D56"/>
    <w:rsid w:val="004803F1"/>
    <w:rsid w:val="00481429"/>
    <w:rsid w:val="004817D3"/>
    <w:rsid w:val="004818ED"/>
    <w:rsid w:val="0048191C"/>
    <w:rsid w:val="00481F2A"/>
    <w:rsid w:val="00482454"/>
    <w:rsid w:val="00482877"/>
    <w:rsid w:val="00482A40"/>
    <w:rsid w:val="00483512"/>
    <w:rsid w:val="004840AC"/>
    <w:rsid w:val="004845A2"/>
    <w:rsid w:val="004846AA"/>
    <w:rsid w:val="00484E5C"/>
    <w:rsid w:val="00485358"/>
    <w:rsid w:val="00485EEB"/>
    <w:rsid w:val="00486541"/>
    <w:rsid w:val="00486BD3"/>
    <w:rsid w:val="004870EA"/>
    <w:rsid w:val="00487152"/>
    <w:rsid w:val="004871CC"/>
    <w:rsid w:val="00487F17"/>
    <w:rsid w:val="00487F72"/>
    <w:rsid w:val="00490940"/>
    <w:rsid w:val="00490AE6"/>
    <w:rsid w:val="00491866"/>
    <w:rsid w:val="004920C1"/>
    <w:rsid w:val="004925D0"/>
    <w:rsid w:val="00493144"/>
    <w:rsid w:val="004931FF"/>
    <w:rsid w:val="0049359D"/>
    <w:rsid w:val="004945FF"/>
    <w:rsid w:val="0049588E"/>
    <w:rsid w:val="0049602E"/>
    <w:rsid w:val="0049660B"/>
    <w:rsid w:val="00496E17"/>
    <w:rsid w:val="00497423"/>
    <w:rsid w:val="004978CC"/>
    <w:rsid w:val="004979DB"/>
    <w:rsid w:val="004A04F4"/>
    <w:rsid w:val="004A0BA0"/>
    <w:rsid w:val="004A1FF5"/>
    <w:rsid w:val="004A2CD6"/>
    <w:rsid w:val="004A33A9"/>
    <w:rsid w:val="004A3CB0"/>
    <w:rsid w:val="004A446D"/>
    <w:rsid w:val="004A523D"/>
    <w:rsid w:val="004A5B85"/>
    <w:rsid w:val="004A5C0A"/>
    <w:rsid w:val="004A5E19"/>
    <w:rsid w:val="004A6235"/>
    <w:rsid w:val="004A6327"/>
    <w:rsid w:val="004A6A2F"/>
    <w:rsid w:val="004B0393"/>
    <w:rsid w:val="004B0798"/>
    <w:rsid w:val="004B1C4F"/>
    <w:rsid w:val="004B2C3D"/>
    <w:rsid w:val="004B2D9E"/>
    <w:rsid w:val="004B31DA"/>
    <w:rsid w:val="004B37A6"/>
    <w:rsid w:val="004B449D"/>
    <w:rsid w:val="004B44FA"/>
    <w:rsid w:val="004B5184"/>
    <w:rsid w:val="004B5189"/>
    <w:rsid w:val="004B5217"/>
    <w:rsid w:val="004B525C"/>
    <w:rsid w:val="004B65B6"/>
    <w:rsid w:val="004B6D9F"/>
    <w:rsid w:val="004B7C69"/>
    <w:rsid w:val="004C052F"/>
    <w:rsid w:val="004C0C48"/>
    <w:rsid w:val="004C1280"/>
    <w:rsid w:val="004C2673"/>
    <w:rsid w:val="004C3546"/>
    <w:rsid w:val="004C39E1"/>
    <w:rsid w:val="004C3BB2"/>
    <w:rsid w:val="004C3DA8"/>
    <w:rsid w:val="004C400A"/>
    <w:rsid w:val="004C5EA6"/>
    <w:rsid w:val="004C61DF"/>
    <w:rsid w:val="004C7D2C"/>
    <w:rsid w:val="004D154F"/>
    <w:rsid w:val="004D1971"/>
    <w:rsid w:val="004D1A48"/>
    <w:rsid w:val="004D1B94"/>
    <w:rsid w:val="004D1E8B"/>
    <w:rsid w:val="004D2082"/>
    <w:rsid w:val="004D2921"/>
    <w:rsid w:val="004D2C98"/>
    <w:rsid w:val="004D30C1"/>
    <w:rsid w:val="004D318B"/>
    <w:rsid w:val="004D3C8C"/>
    <w:rsid w:val="004D4661"/>
    <w:rsid w:val="004D4A72"/>
    <w:rsid w:val="004D544A"/>
    <w:rsid w:val="004D5BDA"/>
    <w:rsid w:val="004D5DD4"/>
    <w:rsid w:val="004D694F"/>
    <w:rsid w:val="004D7833"/>
    <w:rsid w:val="004D7D68"/>
    <w:rsid w:val="004E0A82"/>
    <w:rsid w:val="004E1327"/>
    <w:rsid w:val="004E15D8"/>
    <w:rsid w:val="004E15F4"/>
    <w:rsid w:val="004E1BC5"/>
    <w:rsid w:val="004E218E"/>
    <w:rsid w:val="004E226E"/>
    <w:rsid w:val="004E3328"/>
    <w:rsid w:val="004E35B5"/>
    <w:rsid w:val="004E3D4A"/>
    <w:rsid w:val="004E5B69"/>
    <w:rsid w:val="004E6393"/>
    <w:rsid w:val="004E64E2"/>
    <w:rsid w:val="004E6744"/>
    <w:rsid w:val="004E6EFD"/>
    <w:rsid w:val="004F0296"/>
    <w:rsid w:val="004F157A"/>
    <w:rsid w:val="004F1D69"/>
    <w:rsid w:val="004F267F"/>
    <w:rsid w:val="004F3878"/>
    <w:rsid w:val="004F490D"/>
    <w:rsid w:val="004F4B8D"/>
    <w:rsid w:val="004F5AD5"/>
    <w:rsid w:val="004F62E5"/>
    <w:rsid w:val="004F6FC7"/>
    <w:rsid w:val="004F704F"/>
    <w:rsid w:val="004F7CDB"/>
    <w:rsid w:val="0050017D"/>
    <w:rsid w:val="0050019F"/>
    <w:rsid w:val="005005A9"/>
    <w:rsid w:val="00500D73"/>
    <w:rsid w:val="005011C7"/>
    <w:rsid w:val="00501A61"/>
    <w:rsid w:val="005026BC"/>
    <w:rsid w:val="005032BF"/>
    <w:rsid w:val="00503CB8"/>
    <w:rsid w:val="00504A39"/>
    <w:rsid w:val="00504BD9"/>
    <w:rsid w:val="005056CE"/>
    <w:rsid w:val="00505D2C"/>
    <w:rsid w:val="00506E94"/>
    <w:rsid w:val="005072B7"/>
    <w:rsid w:val="005079D6"/>
    <w:rsid w:val="00507D09"/>
    <w:rsid w:val="00507FB7"/>
    <w:rsid w:val="00510400"/>
    <w:rsid w:val="00510505"/>
    <w:rsid w:val="00510769"/>
    <w:rsid w:val="00510B3B"/>
    <w:rsid w:val="00511258"/>
    <w:rsid w:val="00511950"/>
    <w:rsid w:val="00511DA6"/>
    <w:rsid w:val="0051206D"/>
    <w:rsid w:val="0051229F"/>
    <w:rsid w:val="0051292E"/>
    <w:rsid w:val="00512B52"/>
    <w:rsid w:val="00512E35"/>
    <w:rsid w:val="00513556"/>
    <w:rsid w:val="005138B2"/>
    <w:rsid w:val="00513A12"/>
    <w:rsid w:val="00514491"/>
    <w:rsid w:val="00514BC1"/>
    <w:rsid w:val="005159B4"/>
    <w:rsid w:val="00517503"/>
    <w:rsid w:val="005201FB"/>
    <w:rsid w:val="00521932"/>
    <w:rsid w:val="00521AD1"/>
    <w:rsid w:val="00521C9B"/>
    <w:rsid w:val="005229CB"/>
    <w:rsid w:val="005230C2"/>
    <w:rsid w:val="00523246"/>
    <w:rsid w:val="005236A1"/>
    <w:rsid w:val="00524626"/>
    <w:rsid w:val="00524BBD"/>
    <w:rsid w:val="005256B3"/>
    <w:rsid w:val="005256C3"/>
    <w:rsid w:val="00525725"/>
    <w:rsid w:val="00526F8E"/>
    <w:rsid w:val="005316C2"/>
    <w:rsid w:val="00531980"/>
    <w:rsid w:val="00531A0C"/>
    <w:rsid w:val="00531C62"/>
    <w:rsid w:val="0053293D"/>
    <w:rsid w:val="00533071"/>
    <w:rsid w:val="00533B76"/>
    <w:rsid w:val="00534038"/>
    <w:rsid w:val="0053440F"/>
    <w:rsid w:val="00535AA7"/>
    <w:rsid w:val="00535D98"/>
    <w:rsid w:val="00536184"/>
    <w:rsid w:val="00536234"/>
    <w:rsid w:val="00536BD1"/>
    <w:rsid w:val="00536C55"/>
    <w:rsid w:val="00536CB4"/>
    <w:rsid w:val="00536FAE"/>
    <w:rsid w:val="0053783A"/>
    <w:rsid w:val="0054115A"/>
    <w:rsid w:val="00541678"/>
    <w:rsid w:val="00543488"/>
    <w:rsid w:val="00544156"/>
    <w:rsid w:val="00545394"/>
    <w:rsid w:val="0054582C"/>
    <w:rsid w:val="0054606D"/>
    <w:rsid w:val="00546475"/>
    <w:rsid w:val="00546A1F"/>
    <w:rsid w:val="0054736A"/>
    <w:rsid w:val="00547556"/>
    <w:rsid w:val="00547722"/>
    <w:rsid w:val="005478B0"/>
    <w:rsid w:val="005506E3"/>
    <w:rsid w:val="005509EF"/>
    <w:rsid w:val="00551394"/>
    <w:rsid w:val="0055216E"/>
    <w:rsid w:val="00552BB3"/>
    <w:rsid w:val="00554042"/>
    <w:rsid w:val="0055430A"/>
    <w:rsid w:val="0055555D"/>
    <w:rsid w:val="0055584D"/>
    <w:rsid w:val="005564BD"/>
    <w:rsid w:val="005568FF"/>
    <w:rsid w:val="00556A46"/>
    <w:rsid w:val="00557366"/>
    <w:rsid w:val="00557640"/>
    <w:rsid w:val="005578D2"/>
    <w:rsid w:val="00557C09"/>
    <w:rsid w:val="00560983"/>
    <w:rsid w:val="00560ECE"/>
    <w:rsid w:val="00560FD9"/>
    <w:rsid w:val="0056127D"/>
    <w:rsid w:val="005619DC"/>
    <w:rsid w:val="00561B6D"/>
    <w:rsid w:val="00562420"/>
    <w:rsid w:val="0056365A"/>
    <w:rsid w:val="005639A5"/>
    <w:rsid w:val="005645E3"/>
    <w:rsid w:val="00564932"/>
    <w:rsid w:val="005658C7"/>
    <w:rsid w:val="00565C95"/>
    <w:rsid w:val="00565E6E"/>
    <w:rsid w:val="00565E76"/>
    <w:rsid w:val="0056619E"/>
    <w:rsid w:val="0056660D"/>
    <w:rsid w:val="00566635"/>
    <w:rsid w:val="00567485"/>
    <w:rsid w:val="005677DE"/>
    <w:rsid w:val="00567E81"/>
    <w:rsid w:val="005700E5"/>
    <w:rsid w:val="005705E5"/>
    <w:rsid w:val="00570854"/>
    <w:rsid w:val="00570CAE"/>
    <w:rsid w:val="00571D04"/>
    <w:rsid w:val="0057255F"/>
    <w:rsid w:val="005732EE"/>
    <w:rsid w:val="00573612"/>
    <w:rsid w:val="0057370B"/>
    <w:rsid w:val="0057375C"/>
    <w:rsid w:val="00573980"/>
    <w:rsid w:val="00573E2C"/>
    <w:rsid w:val="005740ED"/>
    <w:rsid w:val="00574B7E"/>
    <w:rsid w:val="00574FB8"/>
    <w:rsid w:val="0057573D"/>
    <w:rsid w:val="00575988"/>
    <w:rsid w:val="005769C5"/>
    <w:rsid w:val="0057708D"/>
    <w:rsid w:val="00577106"/>
    <w:rsid w:val="0057731C"/>
    <w:rsid w:val="00577557"/>
    <w:rsid w:val="00577CC9"/>
    <w:rsid w:val="00577E89"/>
    <w:rsid w:val="00580C60"/>
    <w:rsid w:val="00580FDB"/>
    <w:rsid w:val="005814EE"/>
    <w:rsid w:val="005819AF"/>
    <w:rsid w:val="00582657"/>
    <w:rsid w:val="00582E59"/>
    <w:rsid w:val="00583120"/>
    <w:rsid w:val="0058385E"/>
    <w:rsid w:val="00583BF7"/>
    <w:rsid w:val="00584C2F"/>
    <w:rsid w:val="0058537B"/>
    <w:rsid w:val="005853BD"/>
    <w:rsid w:val="0058657B"/>
    <w:rsid w:val="0058699C"/>
    <w:rsid w:val="0059005B"/>
    <w:rsid w:val="00590508"/>
    <w:rsid w:val="00590733"/>
    <w:rsid w:val="00590B74"/>
    <w:rsid w:val="0059116C"/>
    <w:rsid w:val="00591D59"/>
    <w:rsid w:val="00592FDC"/>
    <w:rsid w:val="00593053"/>
    <w:rsid w:val="00593247"/>
    <w:rsid w:val="0059332E"/>
    <w:rsid w:val="005934AB"/>
    <w:rsid w:val="00594492"/>
    <w:rsid w:val="00595499"/>
    <w:rsid w:val="005963A2"/>
    <w:rsid w:val="00596701"/>
    <w:rsid w:val="00596B07"/>
    <w:rsid w:val="005A04E3"/>
    <w:rsid w:val="005A0581"/>
    <w:rsid w:val="005A0A3A"/>
    <w:rsid w:val="005A0BE1"/>
    <w:rsid w:val="005A11D6"/>
    <w:rsid w:val="005A128E"/>
    <w:rsid w:val="005A12EF"/>
    <w:rsid w:val="005A1946"/>
    <w:rsid w:val="005A1A10"/>
    <w:rsid w:val="005A2545"/>
    <w:rsid w:val="005A2567"/>
    <w:rsid w:val="005A2AD4"/>
    <w:rsid w:val="005A2CA3"/>
    <w:rsid w:val="005A2D4B"/>
    <w:rsid w:val="005A3798"/>
    <w:rsid w:val="005A3D42"/>
    <w:rsid w:val="005A4951"/>
    <w:rsid w:val="005A4BA8"/>
    <w:rsid w:val="005A4F99"/>
    <w:rsid w:val="005A53ED"/>
    <w:rsid w:val="005A588D"/>
    <w:rsid w:val="005A65D3"/>
    <w:rsid w:val="005A7B0F"/>
    <w:rsid w:val="005B0354"/>
    <w:rsid w:val="005B091F"/>
    <w:rsid w:val="005B1522"/>
    <w:rsid w:val="005B1BE1"/>
    <w:rsid w:val="005B2613"/>
    <w:rsid w:val="005B2642"/>
    <w:rsid w:val="005B274A"/>
    <w:rsid w:val="005B2F27"/>
    <w:rsid w:val="005B33E4"/>
    <w:rsid w:val="005B4108"/>
    <w:rsid w:val="005B4815"/>
    <w:rsid w:val="005B4A88"/>
    <w:rsid w:val="005B4AAB"/>
    <w:rsid w:val="005B54D4"/>
    <w:rsid w:val="005B5B93"/>
    <w:rsid w:val="005B67CF"/>
    <w:rsid w:val="005B67D3"/>
    <w:rsid w:val="005B6F54"/>
    <w:rsid w:val="005B6F93"/>
    <w:rsid w:val="005B7129"/>
    <w:rsid w:val="005B724A"/>
    <w:rsid w:val="005B775A"/>
    <w:rsid w:val="005B78FA"/>
    <w:rsid w:val="005C045D"/>
    <w:rsid w:val="005C104B"/>
    <w:rsid w:val="005C22F7"/>
    <w:rsid w:val="005C25BE"/>
    <w:rsid w:val="005C2CE1"/>
    <w:rsid w:val="005C37ED"/>
    <w:rsid w:val="005C5069"/>
    <w:rsid w:val="005C5234"/>
    <w:rsid w:val="005C58AE"/>
    <w:rsid w:val="005C60DE"/>
    <w:rsid w:val="005C6334"/>
    <w:rsid w:val="005C6C6A"/>
    <w:rsid w:val="005C6D20"/>
    <w:rsid w:val="005D051B"/>
    <w:rsid w:val="005D0A09"/>
    <w:rsid w:val="005D26B1"/>
    <w:rsid w:val="005D2B6D"/>
    <w:rsid w:val="005D2DF0"/>
    <w:rsid w:val="005D4395"/>
    <w:rsid w:val="005D484D"/>
    <w:rsid w:val="005D4975"/>
    <w:rsid w:val="005D49B3"/>
    <w:rsid w:val="005D4CE6"/>
    <w:rsid w:val="005D4D04"/>
    <w:rsid w:val="005D57A8"/>
    <w:rsid w:val="005D5A02"/>
    <w:rsid w:val="005D5CF7"/>
    <w:rsid w:val="005D60F2"/>
    <w:rsid w:val="005D729F"/>
    <w:rsid w:val="005D7B6F"/>
    <w:rsid w:val="005D7EEB"/>
    <w:rsid w:val="005D7FFC"/>
    <w:rsid w:val="005E00D8"/>
    <w:rsid w:val="005E053E"/>
    <w:rsid w:val="005E06D2"/>
    <w:rsid w:val="005E070C"/>
    <w:rsid w:val="005E130E"/>
    <w:rsid w:val="005E1CB5"/>
    <w:rsid w:val="005E225B"/>
    <w:rsid w:val="005E5356"/>
    <w:rsid w:val="005E548F"/>
    <w:rsid w:val="005E5863"/>
    <w:rsid w:val="005E6214"/>
    <w:rsid w:val="005E6BB0"/>
    <w:rsid w:val="005E7944"/>
    <w:rsid w:val="005E7F1C"/>
    <w:rsid w:val="005F00AE"/>
    <w:rsid w:val="005F048F"/>
    <w:rsid w:val="005F0A7F"/>
    <w:rsid w:val="005F0F02"/>
    <w:rsid w:val="005F0F76"/>
    <w:rsid w:val="005F159E"/>
    <w:rsid w:val="005F1BDE"/>
    <w:rsid w:val="005F1BE2"/>
    <w:rsid w:val="005F21DD"/>
    <w:rsid w:val="005F2AEB"/>
    <w:rsid w:val="005F2CA3"/>
    <w:rsid w:val="005F2DDD"/>
    <w:rsid w:val="005F2F73"/>
    <w:rsid w:val="005F3068"/>
    <w:rsid w:val="005F3079"/>
    <w:rsid w:val="005F4362"/>
    <w:rsid w:val="005F45D7"/>
    <w:rsid w:val="005F47BB"/>
    <w:rsid w:val="005F4ACA"/>
    <w:rsid w:val="005F4FAB"/>
    <w:rsid w:val="005F6108"/>
    <w:rsid w:val="005F63D0"/>
    <w:rsid w:val="005F656D"/>
    <w:rsid w:val="005F7282"/>
    <w:rsid w:val="005F794C"/>
    <w:rsid w:val="006006FA"/>
    <w:rsid w:val="0060195B"/>
    <w:rsid w:val="00601F15"/>
    <w:rsid w:val="00602062"/>
    <w:rsid w:val="0060222E"/>
    <w:rsid w:val="006023D4"/>
    <w:rsid w:val="00602765"/>
    <w:rsid w:val="00602815"/>
    <w:rsid w:val="00602AA1"/>
    <w:rsid w:val="0060309A"/>
    <w:rsid w:val="006033DE"/>
    <w:rsid w:val="006042E7"/>
    <w:rsid w:val="00604332"/>
    <w:rsid w:val="00604402"/>
    <w:rsid w:val="006049FE"/>
    <w:rsid w:val="006050C5"/>
    <w:rsid w:val="00605610"/>
    <w:rsid w:val="006056A0"/>
    <w:rsid w:val="00605A58"/>
    <w:rsid w:val="00605F34"/>
    <w:rsid w:val="00606051"/>
    <w:rsid w:val="0060671D"/>
    <w:rsid w:val="00606DD1"/>
    <w:rsid w:val="006071B7"/>
    <w:rsid w:val="00607371"/>
    <w:rsid w:val="006074D6"/>
    <w:rsid w:val="00607744"/>
    <w:rsid w:val="0060775D"/>
    <w:rsid w:val="00607AB4"/>
    <w:rsid w:val="00611BF8"/>
    <w:rsid w:val="00611D90"/>
    <w:rsid w:val="00612076"/>
    <w:rsid w:val="0061278A"/>
    <w:rsid w:val="006127CF"/>
    <w:rsid w:val="006128ED"/>
    <w:rsid w:val="00612FF6"/>
    <w:rsid w:val="00613ABF"/>
    <w:rsid w:val="0061408A"/>
    <w:rsid w:val="00614240"/>
    <w:rsid w:val="0061429D"/>
    <w:rsid w:val="00614B81"/>
    <w:rsid w:val="0061531D"/>
    <w:rsid w:val="006155F6"/>
    <w:rsid w:val="00615728"/>
    <w:rsid w:val="00615E57"/>
    <w:rsid w:val="00616992"/>
    <w:rsid w:val="00616B1A"/>
    <w:rsid w:val="00616DFE"/>
    <w:rsid w:val="00616EE3"/>
    <w:rsid w:val="00617D25"/>
    <w:rsid w:val="00617F68"/>
    <w:rsid w:val="0062010B"/>
    <w:rsid w:val="00620C8E"/>
    <w:rsid w:val="00621FDE"/>
    <w:rsid w:val="006237DA"/>
    <w:rsid w:val="006251FE"/>
    <w:rsid w:val="006253DA"/>
    <w:rsid w:val="00626416"/>
    <w:rsid w:val="00626A66"/>
    <w:rsid w:val="00626E2C"/>
    <w:rsid w:val="00627E42"/>
    <w:rsid w:val="0063180B"/>
    <w:rsid w:val="006327CF"/>
    <w:rsid w:val="00633837"/>
    <w:rsid w:val="006341AB"/>
    <w:rsid w:val="0063425F"/>
    <w:rsid w:val="00634F3B"/>
    <w:rsid w:val="006358BF"/>
    <w:rsid w:val="00635934"/>
    <w:rsid w:val="00636438"/>
    <w:rsid w:val="006364ED"/>
    <w:rsid w:val="00640000"/>
    <w:rsid w:val="00640299"/>
    <w:rsid w:val="00640755"/>
    <w:rsid w:val="006407C0"/>
    <w:rsid w:val="00641652"/>
    <w:rsid w:val="00641754"/>
    <w:rsid w:val="006446E2"/>
    <w:rsid w:val="00644B05"/>
    <w:rsid w:val="006450E2"/>
    <w:rsid w:val="0064536F"/>
    <w:rsid w:val="006455D5"/>
    <w:rsid w:val="00645984"/>
    <w:rsid w:val="00645A10"/>
    <w:rsid w:val="00645B9D"/>
    <w:rsid w:val="00645EC0"/>
    <w:rsid w:val="00646117"/>
    <w:rsid w:val="00647354"/>
    <w:rsid w:val="006473CE"/>
    <w:rsid w:val="00647D97"/>
    <w:rsid w:val="00650059"/>
    <w:rsid w:val="006504BF"/>
    <w:rsid w:val="00650C7E"/>
    <w:rsid w:val="00651697"/>
    <w:rsid w:val="00651E56"/>
    <w:rsid w:val="00651F16"/>
    <w:rsid w:val="006524D3"/>
    <w:rsid w:val="00652835"/>
    <w:rsid w:val="00652C09"/>
    <w:rsid w:val="00652D10"/>
    <w:rsid w:val="00653E6D"/>
    <w:rsid w:val="00655B9B"/>
    <w:rsid w:val="00656C8A"/>
    <w:rsid w:val="00657CC3"/>
    <w:rsid w:val="00657E7D"/>
    <w:rsid w:val="006608F8"/>
    <w:rsid w:val="0066099D"/>
    <w:rsid w:val="00660D17"/>
    <w:rsid w:val="00661593"/>
    <w:rsid w:val="0066184F"/>
    <w:rsid w:val="00662C5B"/>
    <w:rsid w:val="00663078"/>
    <w:rsid w:val="00663785"/>
    <w:rsid w:val="00664122"/>
    <w:rsid w:val="00665336"/>
    <w:rsid w:val="00665BA9"/>
    <w:rsid w:val="0066721A"/>
    <w:rsid w:val="0066763E"/>
    <w:rsid w:val="00667700"/>
    <w:rsid w:val="00667B5D"/>
    <w:rsid w:val="00667F3D"/>
    <w:rsid w:val="006705EA"/>
    <w:rsid w:val="00671C6B"/>
    <w:rsid w:val="006721FC"/>
    <w:rsid w:val="0067248F"/>
    <w:rsid w:val="006739A7"/>
    <w:rsid w:val="006745E3"/>
    <w:rsid w:val="00674B2E"/>
    <w:rsid w:val="00674CEB"/>
    <w:rsid w:val="00675CBC"/>
    <w:rsid w:val="00676714"/>
    <w:rsid w:val="00676717"/>
    <w:rsid w:val="006768B8"/>
    <w:rsid w:val="00676989"/>
    <w:rsid w:val="00676D74"/>
    <w:rsid w:val="0067709A"/>
    <w:rsid w:val="00677C4D"/>
    <w:rsid w:val="00680CF2"/>
    <w:rsid w:val="00681038"/>
    <w:rsid w:val="006811E3"/>
    <w:rsid w:val="00682335"/>
    <w:rsid w:val="006823B7"/>
    <w:rsid w:val="00683104"/>
    <w:rsid w:val="00683DD9"/>
    <w:rsid w:val="00684143"/>
    <w:rsid w:val="006849DE"/>
    <w:rsid w:val="00684B1A"/>
    <w:rsid w:val="00684CC0"/>
    <w:rsid w:val="006853D1"/>
    <w:rsid w:val="00685BA8"/>
    <w:rsid w:val="006860B6"/>
    <w:rsid w:val="006875AC"/>
    <w:rsid w:val="00687A90"/>
    <w:rsid w:val="006904F0"/>
    <w:rsid w:val="00690971"/>
    <w:rsid w:val="00690F33"/>
    <w:rsid w:val="006917E9"/>
    <w:rsid w:val="006928E2"/>
    <w:rsid w:val="0069325C"/>
    <w:rsid w:val="00694094"/>
    <w:rsid w:val="006942DC"/>
    <w:rsid w:val="006943C9"/>
    <w:rsid w:val="00694520"/>
    <w:rsid w:val="00694D90"/>
    <w:rsid w:val="00694E6C"/>
    <w:rsid w:val="006955FE"/>
    <w:rsid w:val="006958F0"/>
    <w:rsid w:val="00696783"/>
    <w:rsid w:val="00696956"/>
    <w:rsid w:val="006976A4"/>
    <w:rsid w:val="00697C71"/>
    <w:rsid w:val="006A037E"/>
    <w:rsid w:val="006A1066"/>
    <w:rsid w:val="006A1114"/>
    <w:rsid w:val="006A11C1"/>
    <w:rsid w:val="006A176F"/>
    <w:rsid w:val="006A1C25"/>
    <w:rsid w:val="006A293C"/>
    <w:rsid w:val="006A31D7"/>
    <w:rsid w:val="006A4251"/>
    <w:rsid w:val="006A4476"/>
    <w:rsid w:val="006A4F1A"/>
    <w:rsid w:val="006A6740"/>
    <w:rsid w:val="006A6C20"/>
    <w:rsid w:val="006A77B8"/>
    <w:rsid w:val="006A7AEA"/>
    <w:rsid w:val="006B015F"/>
    <w:rsid w:val="006B0B64"/>
    <w:rsid w:val="006B0BBB"/>
    <w:rsid w:val="006B3519"/>
    <w:rsid w:val="006B3603"/>
    <w:rsid w:val="006B3C74"/>
    <w:rsid w:val="006B3F70"/>
    <w:rsid w:val="006B420E"/>
    <w:rsid w:val="006B4AFC"/>
    <w:rsid w:val="006B5009"/>
    <w:rsid w:val="006B5AC1"/>
    <w:rsid w:val="006B5C1F"/>
    <w:rsid w:val="006B626F"/>
    <w:rsid w:val="006B6324"/>
    <w:rsid w:val="006B6F19"/>
    <w:rsid w:val="006B785E"/>
    <w:rsid w:val="006C0782"/>
    <w:rsid w:val="006C1229"/>
    <w:rsid w:val="006C3065"/>
    <w:rsid w:val="006C56C9"/>
    <w:rsid w:val="006C5AF8"/>
    <w:rsid w:val="006C5CA9"/>
    <w:rsid w:val="006C713F"/>
    <w:rsid w:val="006C754D"/>
    <w:rsid w:val="006C78D9"/>
    <w:rsid w:val="006C7D0E"/>
    <w:rsid w:val="006C7E63"/>
    <w:rsid w:val="006D22C9"/>
    <w:rsid w:val="006D26DE"/>
    <w:rsid w:val="006D2BBB"/>
    <w:rsid w:val="006D34E0"/>
    <w:rsid w:val="006D37D8"/>
    <w:rsid w:val="006D4124"/>
    <w:rsid w:val="006D450E"/>
    <w:rsid w:val="006D473A"/>
    <w:rsid w:val="006D521B"/>
    <w:rsid w:val="006D5E6C"/>
    <w:rsid w:val="006D5FBF"/>
    <w:rsid w:val="006D6E43"/>
    <w:rsid w:val="006D77D8"/>
    <w:rsid w:val="006D78B0"/>
    <w:rsid w:val="006D7ED3"/>
    <w:rsid w:val="006E042B"/>
    <w:rsid w:val="006E09A3"/>
    <w:rsid w:val="006E0ADD"/>
    <w:rsid w:val="006E0BC6"/>
    <w:rsid w:val="006E1163"/>
    <w:rsid w:val="006E17F9"/>
    <w:rsid w:val="006E1852"/>
    <w:rsid w:val="006E1BDA"/>
    <w:rsid w:val="006E1F38"/>
    <w:rsid w:val="006E33AB"/>
    <w:rsid w:val="006E34A6"/>
    <w:rsid w:val="006E3786"/>
    <w:rsid w:val="006E3E4B"/>
    <w:rsid w:val="006E422D"/>
    <w:rsid w:val="006E42EF"/>
    <w:rsid w:val="006E605D"/>
    <w:rsid w:val="006E6448"/>
    <w:rsid w:val="006E7423"/>
    <w:rsid w:val="006E74CC"/>
    <w:rsid w:val="006E7F43"/>
    <w:rsid w:val="006F01F4"/>
    <w:rsid w:val="006F0445"/>
    <w:rsid w:val="006F0C42"/>
    <w:rsid w:val="006F106D"/>
    <w:rsid w:val="006F1E44"/>
    <w:rsid w:val="006F31CA"/>
    <w:rsid w:val="006F36E0"/>
    <w:rsid w:val="006F3AAC"/>
    <w:rsid w:val="006F4AEE"/>
    <w:rsid w:val="006F4CC6"/>
    <w:rsid w:val="006F52C1"/>
    <w:rsid w:val="006F5709"/>
    <w:rsid w:val="006F62AD"/>
    <w:rsid w:val="006F6654"/>
    <w:rsid w:val="006F6A3A"/>
    <w:rsid w:val="006F6C49"/>
    <w:rsid w:val="006F6D7A"/>
    <w:rsid w:val="006F7A5C"/>
    <w:rsid w:val="007005BF"/>
    <w:rsid w:val="00700B36"/>
    <w:rsid w:val="00700C96"/>
    <w:rsid w:val="00701654"/>
    <w:rsid w:val="0070290B"/>
    <w:rsid w:val="00703109"/>
    <w:rsid w:val="00703119"/>
    <w:rsid w:val="007031B4"/>
    <w:rsid w:val="0070333A"/>
    <w:rsid w:val="007034B1"/>
    <w:rsid w:val="00704390"/>
    <w:rsid w:val="007048A3"/>
    <w:rsid w:val="00704C57"/>
    <w:rsid w:val="00704DEA"/>
    <w:rsid w:val="00704E23"/>
    <w:rsid w:val="00705480"/>
    <w:rsid w:val="00705BCF"/>
    <w:rsid w:val="00705EF8"/>
    <w:rsid w:val="007063C8"/>
    <w:rsid w:val="0070686B"/>
    <w:rsid w:val="00706C4A"/>
    <w:rsid w:val="00706D34"/>
    <w:rsid w:val="0070744C"/>
    <w:rsid w:val="0070765C"/>
    <w:rsid w:val="0070788A"/>
    <w:rsid w:val="00707B21"/>
    <w:rsid w:val="007102BB"/>
    <w:rsid w:val="007106F4"/>
    <w:rsid w:val="007120EC"/>
    <w:rsid w:val="00714E29"/>
    <w:rsid w:val="0071520B"/>
    <w:rsid w:val="00715269"/>
    <w:rsid w:val="0071578E"/>
    <w:rsid w:val="0071674D"/>
    <w:rsid w:val="00716995"/>
    <w:rsid w:val="00716CA9"/>
    <w:rsid w:val="00716F54"/>
    <w:rsid w:val="007201A1"/>
    <w:rsid w:val="007204A3"/>
    <w:rsid w:val="0072181B"/>
    <w:rsid w:val="007218F6"/>
    <w:rsid w:val="00721992"/>
    <w:rsid w:val="00721AA1"/>
    <w:rsid w:val="0072231A"/>
    <w:rsid w:val="007232DB"/>
    <w:rsid w:val="00723DCA"/>
    <w:rsid w:val="00724B5B"/>
    <w:rsid w:val="007264CB"/>
    <w:rsid w:val="00726DBE"/>
    <w:rsid w:val="00726F03"/>
    <w:rsid w:val="00730645"/>
    <w:rsid w:val="007307DB"/>
    <w:rsid w:val="007310CD"/>
    <w:rsid w:val="0073137A"/>
    <w:rsid w:val="007316E3"/>
    <w:rsid w:val="007320C6"/>
    <w:rsid w:val="0073296E"/>
    <w:rsid w:val="00732B9C"/>
    <w:rsid w:val="00732EA8"/>
    <w:rsid w:val="007331A7"/>
    <w:rsid w:val="00734B64"/>
    <w:rsid w:val="00734E63"/>
    <w:rsid w:val="0073562B"/>
    <w:rsid w:val="00735B54"/>
    <w:rsid w:val="00736406"/>
    <w:rsid w:val="00736D55"/>
    <w:rsid w:val="007375E2"/>
    <w:rsid w:val="007408BB"/>
    <w:rsid w:val="00740AFC"/>
    <w:rsid w:val="007410E9"/>
    <w:rsid w:val="007411AB"/>
    <w:rsid w:val="00741AE8"/>
    <w:rsid w:val="0074202A"/>
    <w:rsid w:val="0074237C"/>
    <w:rsid w:val="00742F4F"/>
    <w:rsid w:val="00743B23"/>
    <w:rsid w:val="00743B65"/>
    <w:rsid w:val="00743B71"/>
    <w:rsid w:val="007444B8"/>
    <w:rsid w:val="00744B9D"/>
    <w:rsid w:val="0074574C"/>
    <w:rsid w:val="0074596A"/>
    <w:rsid w:val="00746CB3"/>
    <w:rsid w:val="007472BB"/>
    <w:rsid w:val="007476D9"/>
    <w:rsid w:val="00747EE5"/>
    <w:rsid w:val="00750F80"/>
    <w:rsid w:val="00751964"/>
    <w:rsid w:val="007522AA"/>
    <w:rsid w:val="00753014"/>
    <w:rsid w:val="007535CD"/>
    <w:rsid w:val="007537F9"/>
    <w:rsid w:val="0075475C"/>
    <w:rsid w:val="00754D50"/>
    <w:rsid w:val="007550E1"/>
    <w:rsid w:val="00755812"/>
    <w:rsid w:val="00756A3A"/>
    <w:rsid w:val="00756F47"/>
    <w:rsid w:val="00757107"/>
    <w:rsid w:val="00757692"/>
    <w:rsid w:val="00757C32"/>
    <w:rsid w:val="007618C2"/>
    <w:rsid w:val="0076198E"/>
    <w:rsid w:val="00762914"/>
    <w:rsid w:val="0076292D"/>
    <w:rsid w:val="00762C4F"/>
    <w:rsid w:val="00762DFB"/>
    <w:rsid w:val="0076310C"/>
    <w:rsid w:val="007631A5"/>
    <w:rsid w:val="0076376B"/>
    <w:rsid w:val="00764483"/>
    <w:rsid w:val="0076490C"/>
    <w:rsid w:val="00764E69"/>
    <w:rsid w:val="00765154"/>
    <w:rsid w:val="007652D3"/>
    <w:rsid w:val="007659C1"/>
    <w:rsid w:val="00765F95"/>
    <w:rsid w:val="007664AD"/>
    <w:rsid w:val="00766904"/>
    <w:rsid w:val="0076791C"/>
    <w:rsid w:val="0077073F"/>
    <w:rsid w:val="007708A0"/>
    <w:rsid w:val="00770947"/>
    <w:rsid w:val="007710E7"/>
    <w:rsid w:val="00771109"/>
    <w:rsid w:val="00771CA4"/>
    <w:rsid w:val="00771E34"/>
    <w:rsid w:val="00771EF4"/>
    <w:rsid w:val="007722BA"/>
    <w:rsid w:val="00772E11"/>
    <w:rsid w:val="00773B11"/>
    <w:rsid w:val="00774A17"/>
    <w:rsid w:val="0077536C"/>
    <w:rsid w:val="00775931"/>
    <w:rsid w:val="00777165"/>
    <w:rsid w:val="0077749F"/>
    <w:rsid w:val="00777846"/>
    <w:rsid w:val="007804B9"/>
    <w:rsid w:val="00780ADF"/>
    <w:rsid w:val="00780DB0"/>
    <w:rsid w:val="00781487"/>
    <w:rsid w:val="007819F1"/>
    <w:rsid w:val="00782AFE"/>
    <w:rsid w:val="007831E2"/>
    <w:rsid w:val="0078394D"/>
    <w:rsid w:val="00783A5C"/>
    <w:rsid w:val="0078560A"/>
    <w:rsid w:val="00785F55"/>
    <w:rsid w:val="007860AF"/>
    <w:rsid w:val="007860E2"/>
    <w:rsid w:val="007875E0"/>
    <w:rsid w:val="007876D5"/>
    <w:rsid w:val="00787920"/>
    <w:rsid w:val="00790BE1"/>
    <w:rsid w:val="007910A0"/>
    <w:rsid w:val="00791426"/>
    <w:rsid w:val="00791937"/>
    <w:rsid w:val="00791A06"/>
    <w:rsid w:val="007925B8"/>
    <w:rsid w:val="00792CD1"/>
    <w:rsid w:val="00792E0D"/>
    <w:rsid w:val="00793312"/>
    <w:rsid w:val="00793AC3"/>
    <w:rsid w:val="00793AD2"/>
    <w:rsid w:val="00794283"/>
    <w:rsid w:val="00794871"/>
    <w:rsid w:val="0079587A"/>
    <w:rsid w:val="007958FE"/>
    <w:rsid w:val="00795D83"/>
    <w:rsid w:val="00795F88"/>
    <w:rsid w:val="00796C75"/>
    <w:rsid w:val="00796D8E"/>
    <w:rsid w:val="00796DE9"/>
    <w:rsid w:val="00797B2D"/>
    <w:rsid w:val="007A0134"/>
    <w:rsid w:val="007A0C92"/>
    <w:rsid w:val="007A1232"/>
    <w:rsid w:val="007A1F70"/>
    <w:rsid w:val="007A2361"/>
    <w:rsid w:val="007A25F7"/>
    <w:rsid w:val="007A2ABA"/>
    <w:rsid w:val="007A2D64"/>
    <w:rsid w:val="007A321E"/>
    <w:rsid w:val="007A4137"/>
    <w:rsid w:val="007A4272"/>
    <w:rsid w:val="007A43FB"/>
    <w:rsid w:val="007A48EF"/>
    <w:rsid w:val="007A4F65"/>
    <w:rsid w:val="007A55A7"/>
    <w:rsid w:val="007A58B5"/>
    <w:rsid w:val="007A7A02"/>
    <w:rsid w:val="007B159E"/>
    <w:rsid w:val="007B1876"/>
    <w:rsid w:val="007B2FC0"/>
    <w:rsid w:val="007B3C9A"/>
    <w:rsid w:val="007B456B"/>
    <w:rsid w:val="007B54D2"/>
    <w:rsid w:val="007B5AAF"/>
    <w:rsid w:val="007B670B"/>
    <w:rsid w:val="007B6804"/>
    <w:rsid w:val="007B7079"/>
    <w:rsid w:val="007B744E"/>
    <w:rsid w:val="007B7891"/>
    <w:rsid w:val="007B7C15"/>
    <w:rsid w:val="007B7E4A"/>
    <w:rsid w:val="007C0483"/>
    <w:rsid w:val="007C0D34"/>
    <w:rsid w:val="007C1736"/>
    <w:rsid w:val="007C1A5D"/>
    <w:rsid w:val="007C256A"/>
    <w:rsid w:val="007C2C6A"/>
    <w:rsid w:val="007C302F"/>
    <w:rsid w:val="007C3478"/>
    <w:rsid w:val="007C3CAA"/>
    <w:rsid w:val="007C3D6C"/>
    <w:rsid w:val="007C4187"/>
    <w:rsid w:val="007C4FE6"/>
    <w:rsid w:val="007C50B5"/>
    <w:rsid w:val="007C5B6A"/>
    <w:rsid w:val="007C6CE6"/>
    <w:rsid w:val="007C6F28"/>
    <w:rsid w:val="007C7950"/>
    <w:rsid w:val="007C79C1"/>
    <w:rsid w:val="007D0BB3"/>
    <w:rsid w:val="007D1BA9"/>
    <w:rsid w:val="007D1C91"/>
    <w:rsid w:val="007D1FA0"/>
    <w:rsid w:val="007D21A5"/>
    <w:rsid w:val="007D2E25"/>
    <w:rsid w:val="007D2E9B"/>
    <w:rsid w:val="007D3218"/>
    <w:rsid w:val="007D36EA"/>
    <w:rsid w:val="007D3776"/>
    <w:rsid w:val="007D38C6"/>
    <w:rsid w:val="007D3968"/>
    <w:rsid w:val="007D39C8"/>
    <w:rsid w:val="007D41F7"/>
    <w:rsid w:val="007D461F"/>
    <w:rsid w:val="007D4DD6"/>
    <w:rsid w:val="007D552C"/>
    <w:rsid w:val="007D67DE"/>
    <w:rsid w:val="007D6FED"/>
    <w:rsid w:val="007E0FEC"/>
    <w:rsid w:val="007E137E"/>
    <w:rsid w:val="007E165C"/>
    <w:rsid w:val="007E1830"/>
    <w:rsid w:val="007E1F39"/>
    <w:rsid w:val="007E23AC"/>
    <w:rsid w:val="007E2D75"/>
    <w:rsid w:val="007E3E78"/>
    <w:rsid w:val="007E415D"/>
    <w:rsid w:val="007E42C4"/>
    <w:rsid w:val="007E48CB"/>
    <w:rsid w:val="007E490B"/>
    <w:rsid w:val="007E4C77"/>
    <w:rsid w:val="007E563E"/>
    <w:rsid w:val="007E572D"/>
    <w:rsid w:val="007E57F4"/>
    <w:rsid w:val="007E5958"/>
    <w:rsid w:val="007E6B0D"/>
    <w:rsid w:val="007E7162"/>
    <w:rsid w:val="007E7C99"/>
    <w:rsid w:val="007F0139"/>
    <w:rsid w:val="007F089E"/>
    <w:rsid w:val="007F0AE8"/>
    <w:rsid w:val="007F1247"/>
    <w:rsid w:val="007F137A"/>
    <w:rsid w:val="007F154D"/>
    <w:rsid w:val="007F1898"/>
    <w:rsid w:val="007F210C"/>
    <w:rsid w:val="007F3166"/>
    <w:rsid w:val="007F3A9B"/>
    <w:rsid w:val="007F3D8E"/>
    <w:rsid w:val="007F3ECB"/>
    <w:rsid w:val="007F41F7"/>
    <w:rsid w:val="007F4D95"/>
    <w:rsid w:val="007F4F58"/>
    <w:rsid w:val="007F55D7"/>
    <w:rsid w:val="007F6166"/>
    <w:rsid w:val="007F7623"/>
    <w:rsid w:val="007F77D8"/>
    <w:rsid w:val="007F7AC7"/>
    <w:rsid w:val="007F7DBC"/>
    <w:rsid w:val="007F7F7C"/>
    <w:rsid w:val="00800857"/>
    <w:rsid w:val="00800EFA"/>
    <w:rsid w:val="008016DD"/>
    <w:rsid w:val="00801D4D"/>
    <w:rsid w:val="00802134"/>
    <w:rsid w:val="0080295B"/>
    <w:rsid w:val="008034C3"/>
    <w:rsid w:val="00804DFE"/>
    <w:rsid w:val="008053B0"/>
    <w:rsid w:val="00805C72"/>
    <w:rsid w:val="00806308"/>
    <w:rsid w:val="00806E7E"/>
    <w:rsid w:val="00807DA0"/>
    <w:rsid w:val="00810716"/>
    <w:rsid w:val="00810C32"/>
    <w:rsid w:val="00810CFD"/>
    <w:rsid w:val="00810FC7"/>
    <w:rsid w:val="00811272"/>
    <w:rsid w:val="00811ADC"/>
    <w:rsid w:val="00811BD2"/>
    <w:rsid w:val="00811CFC"/>
    <w:rsid w:val="00812945"/>
    <w:rsid w:val="00812BD1"/>
    <w:rsid w:val="0081422C"/>
    <w:rsid w:val="00814959"/>
    <w:rsid w:val="00814D85"/>
    <w:rsid w:val="00815329"/>
    <w:rsid w:val="00815FDE"/>
    <w:rsid w:val="0081627B"/>
    <w:rsid w:val="008162E0"/>
    <w:rsid w:val="00816756"/>
    <w:rsid w:val="00816A88"/>
    <w:rsid w:val="00817D63"/>
    <w:rsid w:val="00817F28"/>
    <w:rsid w:val="00820380"/>
    <w:rsid w:val="00820974"/>
    <w:rsid w:val="00820B21"/>
    <w:rsid w:val="0082113F"/>
    <w:rsid w:val="00821144"/>
    <w:rsid w:val="0082136D"/>
    <w:rsid w:val="008215BC"/>
    <w:rsid w:val="0082236F"/>
    <w:rsid w:val="0082248A"/>
    <w:rsid w:val="0082270B"/>
    <w:rsid w:val="00822880"/>
    <w:rsid w:val="008228B0"/>
    <w:rsid w:val="00822B0B"/>
    <w:rsid w:val="00823430"/>
    <w:rsid w:val="0082377E"/>
    <w:rsid w:val="00823939"/>
    <w:rsid w:val="0082477E"/>
    <w:rsid w:val="00824893"/>
    <w:rsid w:val="00825009"/>
    <w:rsid w:val="00825467"/>
    <w:rsid w:val="0082666C"/>
    <w:rsid w:val="00827351"/>
    <w:rsid w:val="00827A86"/>
    <w:rsid w:val="00827A99"/>
    <w:rsid w:val="00827B0F"/>
    <w:rsid w:val="00830194"/>
    <w:rsid w:val="00830CC0"/>
    <w:rsid w:val="0083186B"/>
    <w:rsid w:val="00831E86"/>
    <w:rsid w:val="00832E7E"/>
    <w:rsid w:val="00833798"/>
    <w:rsid w:val="00833860"/>
    <w:rsid w:val="00834309"/>
    <w:rsid w:val="008346EF"/>
    <w:rsid w:val="00834FE8"/>
    <w:rsid w:val="00835083"/>
    <w:rsid w:val="008357A2"/>
    <w:rsid w:val="00835D8D"/>
    <w:rsid w:val="0083605D"/>
    <w:rsid w:val="00837760"/>
    <w:rsid w:val="00837B60"/>
    <w:rsid w:val="00837EEE"/>
    <w:rsid w:val="00840344"/>
    <w:rsid w:val="00840DAE"/>
    <w:rsid w:val="00841286"/>
    <w:rsid w:val="008423E0"/>
    <w:rsid w:val="008427C3"/>
    <w:rsid w:val="00843AB7"/>
    <w:rsid w:val="0084405A"/>
    <w:rsid w:val="00844CBF"/>
    <w:rsid w:val="0084538F"/>
    <w:rsid w:val="00845A08"/>
    <w:rsid w:val="00845A93"/>
    <w:rsid w:val="008467D5"/>
    <w:rsid w:val="00846F34"/>
    <w:rsid w:val="00847A11"/>
    <w:rsid w:val="00847DBD"/>
    <w:rsid w:val="00850124"/>
    <w:rsid w:val="0085073F"/>
    <w:rsid w:val="0085148E"/>
    <w:rsid w:val="008523B9"/>
    <w:rsid w:val="00852613"/>
    <w:rsid w:val="008528F0"/>
    <w:rsid w:val="00852BA6"/>
    <w:rsid w:val="00853892"/>
    <w:rsid w:val="008539F0"/>
    <w:rsid w:val="00853E17"/>
    <w:rsid w:val="00853E48"/>
    <w:rsid w:val="00853EF2"/>
    <w:rsid w:val="0085566F"/>
    <w:rsid w:val="00856527"/>
    <w:rsid w:val="00856D17"/>
    <w:rsid w:val="00856E5E"/>
    <w:rsid w:val="00860841"/>
    <w:rsid w:val="008612D4"/>
    <w:rsid w:val="00861469"/>
    <w:rsid w:val="008616C4"/>
    <w:rsid w:val="0086261E"/>
    <w:rsid w:val="00862E13"/>
    <w:rsid w:val="008632E2"/>
    <w:rsid w:val="00863386"/>
    <w:rsid w:val="0086422E"/>
    <w:rsid w:val="008646EE"/>
    <w:rsid w:val="00865CBA"/>
    <w:rsid w:val="0086633D"/>
    <w:rsid w:val="008676DA"/>
    <w:rsid w:val="008700CD"/>
    <w:rsid w:val="00870734"/>
    <w:rsid w:val="00871FE8"/>
    <w:rsid w:val="00872382"/>
    <w:rsid w:val="00873C7B"/>
    <w:rsid w:val="00873DCC"/>
    <w:rsid w:val="008741D4"/>
    <w:rsid w:val="008741EA"/>
    <w:rsid w:val="008746E7"/>
    <w:rsid w:val="00874AA6"/>
    <w:rsid w:val="008750DA"/>
    <w:rsid w:val="00876C10"/>
    <w:rsid w:val="0087728F"/>
    <w:rsid w:val="008776E8"/>
    <w:rsid w:val="00880593"/>
    <w:rsid w:val="00880F33"/>
    <w:rsid w:val="00881178"/>
    <w:rsid w:val="0088118D"/>
    <w:rsid w:val="00881B02"/>
    <w:rsid w:val="00881FBC"/>
    <w:rsid w:val="008822CC"/>
    <w:rsid w:val="008829C9"/>
    <w:rsid w:val="00882DB3"/>
    <w:rsid w:val="00882DBC"/>
    <w:rsid w:val="00883008"/>
    <w:rsid w:val="0088311D"/>
    <w:rsid w:val="008848C2"/>
    <w:rsid w:val="008854B9"/>
    <w:rsid w:val="008856DB"/>
    <w:rsid w:val="008856DE"/>
    <w:rsid w:val="00885705"/>
    <w:rsid w:val="00885A08"/>
    <w:rsid w:val="00885EEB"/>
    <w:rsid w:val="00885F2D"/>
    <w:rsid w:val="00887393"/>
    <w:rsid w:val="00887F7C"/>
    <w:rsid w:val="00890405"/>
    <w:rsid w:val="00890B10"/>
    <w:rsid w:val="00891D2A"/>
    <w:rsid w:val="008922F3"/>
    <w:rsid w:val="00892959"/>
    <w:rsid w:val="00892A4C"/>
    <w:rsid w:val="00892ACE"/>
    <w:rsid w:val="00893444"/>
    <w:rsid w:val="00893640"/>
    <w:rsid w:val="008937ED"/>
    <w:rsid w:val="00893C43"/>
    <w:rsid w:val="0089470E"/>
    <w:rsid w:val="008949F8"/>
    <w:rsid w:val="00895165"/>
    <w:rsid w:val="00895D58"/>
    <w:rsid w:val="008972FA"/>
    <w:rsid w:val="00897CC6"/>
    <w:rsid w:val="00897EB7"/>
    <w:rsid w:val="008A0374"/>
    <w:rsid w:val="008A03B2"/>
    <w:rsid w:val="008A06D8"/>
    <w:rsid w:val="008A0C55"/>
    <w:rsid w:val="008A0DFE"/>
    <w:rsid w:val="008A14EC"/>
    <w:rsid w:val="008A1F04"/>
    <w:rsid w:val="008A296B"/>
    <w:rsid w:val="008A2D5A"/>
    <w:rsid w:val="008A3D04"/>
    <w:rsid w:val="008A4552"/>
    <w:rsid w:val="008A4C3C"/>
    <w:rsid w:val="008A5FE0"/>
    <w:rsid w:val="008A622B"/>
    <w:rsid w:val="008A6564"/>
    <w:rsid w:val="008A6E85"/>
    <w:rsid w:val="008A7B9A"/>
    <w:rsid w:val="008A7BB2"/>
    <w:rsid w:val="008B07D8"/>
    <w:rsid w:val="008B0A1F"/>
    <w:rsid w:val="008B0DEC"/>
    <w:rsid w:val="008B1973"/>
    <w:rsid w:val="008B1CBA"/>
    <w:rsid w:val="008B214C"/>
    <w:rsid w:val="008B2345"/>
    <w:rsid w:val="008B258E"/>
    <w:rsid w:val="008B2B64"/>
    <w:rsid w:val="008B2C35"/>
    <w:rsid w:val="008B4234"/>
    <w:rsid w:val="008B4E2D"/>
    <w:rsid w:val="008B4F3C"/>
    <w:rsid w:val="008B4F95"/>
    <w:rsid w:val="008B5225"/>
    <w:rsid w:val="008B53E2"/>
    <w:rsid w:val="008B5C9C"/>
    <w:rsid w:val="008B5CA9"/>
    <w:rsid w:val="008B629B"/>
    <w:rsid w:val="008B6E5E"/>
    <w:rsid w:val="008B70C6"/>
    <w:rsid w:val="008B755C"/>
    <w:rsid w:val="008B79EE"/>
    <w:rsid w:val="008C02DA"/>
    <w:rsid w:val="008C05C6"/>
    <w:rsid w:val="008C0C99"/>
    <w:rsid w:val="008C14F8"/>
    <w:rsid w:val="008C156C"/>
    <w:rsid w:val="008C195C"/>
    <w:rsid w:val="008C1A74"/>
    <w:rsid w:val="008C2348"/>
    <w:rsid w:val="008C2460"/>
    <w:rsid w:val="008C265A"/>
    <w:rsid w:val="008C35C2"/>
    <w:rsid w:val="008C371C"/>
    <w:rsid w:val="008C4838"/>
    <w:rsid w:val="008C4CE2"/>
    <w:rsid w:val="008C4E23"/>
    <w:rsid w:val="008C50F4"/>
    <w:rsid w:val="008C5341"/>
    <w:rsid w:val="008C67B8"/>
    <w:rsid w:val="008C6A08"/>
    <w:rsid w:val="008C7A22"/>
    <w:rsid w:val="008D00CA"/>
    <w:rsid w:val="008D108E"/>
    <w:rsid w:val="008D1358"/>
    <w:rsid w:val="008D23E3"/>
    <w:rsid w:val="008D303E"/>
    <w:rsid w:val="008D3EC3"/>
    <w:rsid w:val="008D4448"/>
    <w:rsid w:val="008D4767"/>
    <w:rsid w:val="008D4DD7"/>
    <w:rsid w:val="008D51B9"/>
    <w:rsid w:val="008D5D66"/>
    <w:rsid w:val="008D6369"/>
    <w:rsid w:val="008D6586"/>
    <w:rsid w:val="008D698B"/>
    <w:rsid w:val="008D7B7B"/>
    <w:rsid w:val="008E0B8E"/>
    <w:rsid w:val="008E0D03"/>
    <w:rsid w:val="008E0DA0"/>
    <w:rsid w:val="008E1DCA"/>
    <w:rsid w:val="008E2BC6"/>
    <w:rsid w:val="008E2E4F"/>
    <w:rsid w:val="008E36A8"/>
    <w:rsid w:val="008E3CD1"/>
    <w:rsid w:val="008E3FF5"/>
    <w:rsid w:val="008E5068"/>
    <w:rsid w:val="008E56C9"/>
    <w:rsid w:val="008E5D76"/>
    <w:rsid w:val="008E6011"/>
    <w:rsid w:val="008E7234"/>
    <w:rsid w:val="008E766C"/>
    <w:rsid w:val="008F070B"/>
    <w:rsid w:val="008F0A13"/>
    <w:rsid w:val="008F0B98"/>
    <w:rsid w:val="008F0D3F"/>
    <w:rsid w:val="008F0EAE"/>
    <w:rsid w:val="008F2310"/>
    <w:rsid w:val="008F27A3"/>
    <w:rsid w:val="008F28BB"/>
    <w:rsid w:val="008F32F6"/>
    <w:rsid w:val="008F42D1"/>
    <w:rsid w:val="008F48BC"/>
    <w:rsid w:val="008F4AFE"/>
    <w:rsid w:val="008F56AD"/>
    <w:rsid w:val="008F57FA"/>
    <w:rsid w:val="008F5DD0"/>
    <w:rsid w:val="008F7699"/>
    <w:rsid w:val="0090055A"/>
    <w:rsid w:val="00900A34"/>
    <w:rsid w:val="00900DE4"/>
    <w:rsid w:val="009010F2"/>
    <w:rsid w:val="00902193"/>
    <w:rsid w:val="0090227E"/>
    <w:rsid w:val="009023CB"/>
    <w:rsid w:val="0090250E"/>
    <w:rsid w:val="00902FCF"/>
    <w:rsid w:val="00903014"/>
    <w:rsid w:val="00903D8F"/>
    <w:rsid w:val="00904688"/>
    <w:rsid w:val="00904B22"/>
    <w:rsid w:val="00904C66"/>
    <w:rsid w:val="00905206"/>
    <w:rsid w:val="0090565A"/>
    <w:rsid w:val="009059CA"/>
    <w:rsid w:val="00905ABB"/>
    <w:rsid w:val="00905EE0"/>
    <w:rsid w:val="00906D99"/>
    <w:rsid w:val="00906E5B"/>
    <w:rsid w:val="00907500"/>
    <w:rsid w:val="009102B4"/>
    <w:rsid w:val="00910F46"/>
    <w:rsid w:val="00912536"/>
    <w:rsid w:val="00913D66"/>
    <w:rsid w:val="009145B0"/>
    <w:rsid w:val="0091526B"/>
    <w:rsid w:val="00915959"/>
    <w:rsid w:val="00915D10"/>
    <w:rsid w:val="00915F98"/>
    <w:rsid w:val="00916369"/>
    <w:rsid w:val="00916578"/>
    <w:rsid w:val="00916F94"/>
    <w:rsid w:val="00917872"/>
    <w:rsid w:val="00917C7C"/>
    <w:rsid w:val="009202B4"/>
    <w:rsid w:val="009207E1"/>
    <w:rsid w:val="0092113F"/>
    <w:rsid w:val="009212D1"/>
    <w:rsid w:val="00921444"/>
    <w:rsid w:val="009218F9"/>
    <w:rsid w:val="0092207C"/>
    <w:rsid w:val="009228DF"/>
    <w:rsid w:val="00922B3E"/>
    <w:rsid w:val="00922D3E"/>
    <w:rsid w:val="009255A5"/>
    <w:rsid w:val="00925B3F"/>
    <w:rsid w:val="0092732E"/>
    <w:rsid w:val="00927AC0"/>
    <w:rsid w:val="00927E84"/>
    <w:rsid w:val="00927F5A"/>
    <w:rsid w:val="00930082"/>
    <w:rsid w:val="00930668"/>
    <w:rsid w:val="00930AEB"/>
    <w:rsid w:val="009310CC"/>
    <w:rsid w:val="00931587"/>
    <w:rsid w:val="00931792"/>
    <w:rsid w:val="009317D2"/>
    <w:rsid w:val="00931D34"/>
    <w:rsid w:val="00931F60"/>
    <w:rsid w:val="009320B9"/>
    <w:rsid w:val="00932D56"/>
    <w:rsid w:val="00933976"/>
    <w:rsid w:val="0093445E"/>
    <w:rsid w:val="0093474F"/>
    <w:rsid w:val="00934BB0"/>
    <w:rsid w:val="00935AA8"/>
    <w:rsid w:val="00935C95"/>
    <w:rsid w:val="00935D30"/>
    <w:rsid w:val="0093608F"/>
    <w:rsid w:val="009360F3"/>
    <w:rsid w:val="009376A1"/>
    <w:rsid w:val="00937BB3"/>
    <w:rsid w:val="00937DA1"/>
    <w:rsid w:val="0094005C"/>
    <w:rsid w:val="00940235"/>
    <w:rsid w:val="00940460"/>
    <w:rsid w:val="00940F60"/>
    <w:rsid w:val="00941873"/>
    <w:rsid w:val="00941AB5"/>
    <w:rsid w:val="0094254C"/>
    <w:rsid w:val="00942D82"/>
    <w:rsid w:val="00943057"/>
    <w:rsid w:val="00943EDA"/>
    <w:rsid w:val="0094401E"/>
    <w:rsid w:val="0094432B"/>
    <w:rsid w:val="0094463F"/>
    <w:rsid w:val="00945347"/>
    <w:rsid w:val="00945566"/>
    <w:rsid w:val="009456D9"/>
    <w:rsid w:val="00945B18"/>
    <w:rsid w:val="00946181"/>
    <w:rsid w:val="009468AF"/>
    <w:rsid w:val="0094693A"/>
    <w:rsid w:val="00946B6D"/>
    <w:rsid w:val="00946E60"/>
    <w:rsid w:val="00947004"/>
    <w:rsid w:val="0094710F"/>
    <w:rsid w:val="009476CF"/>
    <w:rsid w:val="00947E4C"/>
    <w:rsid w:val="00951051"/>
    <w:rsid w:val="0095199C"/>
    <w:rsid w:val="00951F41"/>
    <w:rsid w:val="00953273"/>
    <w:rsid w:val="009541AF"/>
    <w:rsid w:val="009548B5"/>
    <w:rsid w:val="00954C20"/>
    <w:rsid w:val="00954E7A"/>
    <w:rsid w:val="00955099"/>
    <w:rsid w:val="00955BE7"/>
    <w:rsid w:val="00956482"/>
    <w:rsid w:val="009566CE"/>
    <w:rsid w:val="0095686D"/>
    <w:rsid w:val="00957090"/>
    <w:rsid w:val="00957FCF"/>
    <w:rsid w:val="00960147"/>
    <w:rsid w:val="009602B5"/>
    <w:rsid w:val="00960451"/>
    <w:rsid w:val="0096094A"/>
    <w:rsid w:val="00961D6C"/>
    <w:rsid w:val="00961EB5"/>
    <w:rsid w:val="00962F7C"/>
    <w:rsid w:val="009630C7"/>
    <w:rsid w:val="00963D18"/>
    <w:rsid w:val="00964184"/>
    <w:rsid w:val="00964CEA"/>
    <w:rsid w:val="00964F22"/>
    <w:rsid w:val="009650ED"/>
    <w:rsid w:val="00965263"/>
    <w:rsid w:val="00965558"/>
    <w:rsid w:val="0096703E"/>
    <w:rsid w:val="00967360"/>
    <w:rsid w:val="009709A5"/>
    <w:rsid w:val="00972436"/>
    <w:rsid w:val="00972889"/>
    <w:rsid w:val="00973266"/>
    <w:rsid w:val="009733B5"/>
    <w:rsid w:val="00974627"/>
    <w:rsid w:val="009748D2"/>
    <w:rsid w:val="009749B7"/>
    <w:rsid w:val="009753CE"/>
    <w:rsid w:val="00977717"/>
    <w:rsid w:val="00980817"/>
    <w:rsid w:val="0098099D"/>
    <w:rsid w:val="00981D0D"/>
    <w:rsid w:val="009829A6"/>
    <w:rsid w:val="00982AA6"/>
    <w:rsid w:val="00982F8E"/>
    <w:rsid w:val="00984077"/>
    <w:rsid w:val="009846AE"/>
    <w:rsid w:val="0098498D"/>
    <w:rsid w:val="00984C6D"/>
    <w:rsid w:val="0098509B"/>
    <w:rsid w:val="00985440"/>
    <w:rsid w:val="00985B16"/>
    <w:rsid w:val="00985DC9"/>
    <w:rsid w:val="00986128"/>
    <w:rsid w:val="0098642D"/>
    <w:rsid w:val="00986899"/>
    <w:rsid w:val="00987216"/>
    <w:rsid w:val="0098798A"/>
    <w:rsid w:val="00987A43"/>
    <w:rsid w:val="00987DB7"/>
    <w:rsid w:val="00991CCB"/>
    <w:rsid w:val="009920C8"/>
    <w:rsid w:val="0099311C"/>
    <w:rsid w:val="00993755"/>
    <w:rsid w:val="00994094"/>
    <w:rsid w:val="009941E8"/>
    <w:rsid w:val="009955BD"/>
    <w:rsid w:val="00995B2B"/>
    <w:rsid w:val="0099640D"/>
    <w:rsid w:val="00996596"/>
    <w:rsid w:val="00996E9C"/>
    <w:rsid w:val="00997538"/>
    <w:rsid w:val="00997B51"/>
    <w:rsid w:val="00997C78"/>
    <w:rsid w:val="00997E35"/>
    <w:rsid w:val="009A0C3A"/>
    <w:rsid w:val="009A102A"/>
    <w:rsid w:val="009A20BE"/>
    <w:rsid w:val="009A2219"/>
    <w:rsid w:val="009A25B7"/>
    <w:rsid w:val="009A40E9"/>
    <w:rsid w:val="009A4642"/>
    <w:rsid w:val="009A54F8"/>
    <w:rsid w:val="009A6295"/>
    <w:rsid w:val="009A6749"/>
    <w:rsid w:val="009A6D0C"/>
    <w:rsid w:val="009A7575"/>
    <w:rsid w:val="009A7732"/>
    <w:rsid w:val="009A7926"/>
    <w:rsid w:val="009A792E"/>
    <w:rsid w:val="009A79E5"/>
    <w:rsid w:val="009B02F0"/>
    <w:rsid w:val="009B0CD3"/>
    <w:rsid w:val="009B1AAB"/>
    <w:rsid w:val="009B21E7"/>
    <w:rsid w:val="009B362A"/>
    <w:rsid w:val="009B3A0F"/>
    <w:rsid w:val="009B3A66"/>
    <w:rsid w:val="009B3ADD"/>
    <w:rsid w:val="009B48A4"/>
    <w:rsid w:val="009B4FFC"/>
    <w:rsid w:val="009B53B5"/>
    <w:rsid w:val="009B5767"/>
    <w:rsid w:val="009B5C07"/>
    <w:rsid w:val="009B7549"/>
    <w:rsid w:val="009C0DE6"/>
    <w:rsid w:val="009C10AD"/>
    <w:rsid w:val="009C17F7"/>
    <w:rsid w:val="009C2113"/>
    <w:rsid w:val="009C2EE1"/>
    <w:rsid w:val="009C3E69"/>
    <w:rsid w:val="009C4290"/>
    <w:rsid w:val="009C5C3A"/>
    <w:rsid w:val="009C63FA"/>
    <w:rsid w:val="009D0135"/>
    <w:rsid w:val="009D04B6"/>
    <w:rsid w:val="009D0DCA"/>
    <w:rsid w:val="009D1046"/>
    <w:rsid w:val="009D15E4"/>
    <w:rsid w:val="009D1C65"/>
    <w:rsid w:val="009D35EA"/>
    <w:rsid w:val="009D3A1C"/>
    <w:rsid w:val="009D4219"/>
    <w:rsid w:val="009D471F"/>
    <w:rsid w:val="009D4B85"/>
    <w:rsid w:val="009D4E65"/>
    <w:rsid w:val="009D5520"/>
    <w:rsid w:val="009D5A9B"/>
    <w:rsid w:val="009D642A"/>
    <w:rsid w:val="009D6D57"/>
    <w:rsid w:val="009D7CD7"/>
    <w:rsid w:val="009E0117"/>
    <w:rsid w:val="009E0736"/>
    <w:rsid w:val="009E0AFB"/>
    <w:rsid w:val="009E0BBB"/>
    <w:rsid w:val="009E2019"/>
    <w:rsid w:val="009E2326"/>
    <w:rsid w:val="009E3923"/>
    <w:rsid w:val="009E3B73"/>
    <w:rsid w:val="009E3BBB"/>
    <w:rsid w:val="009E4F51"/>
    <w:rsid w:val="009E52DC"/>
    <w:rsid w:val="009E5F1D"/>
    <w:rsid w:val="009E65E8"/>
    <w:rsid w:val="009E75F9"/>
    <w:rsid w:val="009E7931"/>
    <w:rsid w:val="009E7A75"/>
    <w:rsid w:val="009E7B58"/>
    <w:rsid w:val="009E7D84"/>
    <w:rsid w:val="009F0C6A"/>
    <w:rsid w:val="009F122D"/>
    <w:rsid w:val="009F287F"/>
    <w:rsid w:val="009F291A"/>
    <w:rsid w:val="009F3AFC"/>
    <w:rsid w:val="009F4268"/>
    <w:rsid w:val="009F428F"/>
    <w:rsid w:val="009F5304"/>
    <w:rsid w:val="009F5686"/>
    <w:rsid w:val="009F63DC"/>
    <w:rsid w:val="009F6BA1"/>
    <w:rsid w:val="009F753A"/>
    <w:rsid w:val="00A0053F"/>
    <w:rsid w:val="00A00643"/>
    <w:rsid w:val="00A0071E"/>
    <w:rsid w:val="00A00F6B"/>
    <w:rsid w:val="00A012FD"/>
    <w:rsid w:val="00A028BD"/>
    <w:rsid w:val="00A0302F"/>
    <w:rsid w:val="00A0372B"/>
    <w:rsid w:val="00A03CDD"/>
    <w:rsid w:val="00A0446C"/>
    <w:rsid w:val="00A0590C"/>
    <w:rsid w:val="00A1057E"/>
    <w:rsid w:val="00A106BC"/>
    <w:rsid w:val="00A10784"/>
    <w:rsid w:val="00A10A9B"/>
    <w:rsid w:val="00A10B41"/>
    <w:rsid w:val="00A10B97"/>
    <w:rsid w:val="00A10B9D"/>
    <w:rsid w:val="00A10D57"/>
    <w:rsid w:val="00A11006"/>
    <w:rsid w:val="00A11962"/>
    <w:rsid w:val="00A11E7F"/>
    <w:rsid w:val="00A1206E"/>
    <w:rsid w:val="00A1211A"/>
    <w:rsid w:val="00A12CC0"/>
    <w:rsid w:val="00A12E33"/>
    <w:rsid w:val="00A135AB"/>
    <w:rsid w:val="00A135C9"/>
    <w:rsid w:val="00A13946"/>
    <w:rsid w:val="00A13C59"/>
    <w:rsid w:val="00A13D62"/>
    <w:rsid w:val="00A13FF0"/>
    <w:rsid w:val="00A14686"/>
    <w:rsid w:val="00A14733"/>
    <w:rsid w:val="00A14BEE"/>
    <w:rsid w:val="00A14C6F"/>
    <w:rsid w:val="00A15944"/>
    <w:rsid w:val="00A15A92"/>
    <w:rsid w:val="00A16E59"/>
    <w:rsid w:val="00A16F0D"/>
    <w:rsid w:val="00A173F8"/>
    <w:rsid w:val="00A209A8"/>
    <w:rsid w:val="00A20E3E"/>
    <w:rsid w:val="00A212D4"/>
    <w:rsid w:val="00A213D7"/>
    <w:rsid w:val="00A21DB4"/>
    <w:rsid w:val="00A21DF3"/>
    <w:rsid w:val="00A2253D"/>
    <w:rsid w:val="00A22960"/>
    <w:rsid w:val="00A23100"/>
    <w:rsid w:val="00A235BC"/>
    <w:rsid w:val="00A2433B"/>
    <w:rsid w:val="00A24B2E"/>
    <w:rsid w:val="00A259D0"/>
    <w:rsid w:val="00A265DB"/>
    <w:rsid w:val="00A26EB4"/>
    <w:rsid w:val="00A278BE"/>
    <w:rsid w:val="00A317C7"/>
    <w:rsid w:val="00A31A3F"/>
    <w:rsid w:val="00A31B09"/>
    <w:rsid w:val="00A31BDA"/>
    <w:rsid w:val="00A31D19"/>
    <w:rsid w:val="00A31FCC"/>
    <w:rsid w:val="00A327F5"/>
    <w:rsid w:val="00A33504"/>
    <w:rsid w:val="00A3360B"/>
    <w:rsid w:val="00A3466D"/>
    <w:rsid w:val="00A350E2"/>
    <w:rsid w:val="00A356E5"/>
    <w:rsid w:val="00A358D0"/>
    <w:rsid w:val="00A37082"/>
    <w:rsid w:val="00A370CB"/>
    <w:rsid w:val="00A370EF"/>
    <w:rsid w:val="00A37597"/>
    <w:rsid w:val="00A37BD7"/>
    <w:rsid w:val="00A40CCB"/>
    <w:rsid w:val="00A40E69"/>
    <w:rsid w:val="00A418D1"/>
    <w:rsid w:val="00A41BD1"/>
    <w:rsid w:val="00A41D81"/>
    <w:rsid w:val="00A42089"/>
    <w:rsid w:val="00A42592"/>
    <w:rsid w:val="00A4316B"/>
    <w:rsid w:val="00A43F05"/>
    <w:rsid w:val="00A44061"/>
    <w:rsid w:val="00A44317"/>
    <w:rsid w:val="00A445B3"/>
    <w:rsid w:val="00A4490D"/>
    <w:rsid w:val="00A44F3D"/>
    <w:rsid w:val="00A45A5A"/>
    <w:rsid w:val="00A4765D"/>
    <w:rsid w:val="00A47A66"/>
    <w:rsid w:val="00A5047F"/>
    <w:rsid w:val="00A51899"/>
    <w:rsid w:val="00A51985"/>
    <w:rsid w:val="00A5293B"/>
    <w:rsid w:val="00A5375A"/>
    <w:rsid w:val="00A537BC"/>
    <w:rsid w:val="00A53FF9"/>
    <w:rsid w:val="00A5409D"/>
    <w:rsid w:val="00A544CD"/>
    <w:rsid w:val="00A546C9"/>
    <w:rsid w:val="00A54CC2"/>
    <w:rsid w:val="00A558E6"/>
    <w:rsid w:val="00A56DB2"/>
    <w:rsid w:val="00A60162"/>
    <w:rsid w:val="00A601EB"/>
    <w:rsid w:val="00A60598"/>
    <w:rsid w:val="00A60C79"/>
    <w:rsid w:val="00A60F76"/>
    <w:rsid w:val="00A6102E"/>
    <w:rsid w:val="00A6161C"/>
    <w:rsid w:val="00A61C64"/>
    <w:rsid w:val="00A62C10"/>
    <w:rsid w:val="00A62F17"/>
    <w:rsid w:val="00A633E9"/>
    <w:rsid w:val="00A649C4"/>
    <w:rsid w:val="00A64C91"/>
    <w:rsid w:val="00A64E17"/>
    <w:rsid w:val="00A6522C"/>
    <w:rsid w:val="00A654F5"/>
    <w:rsid w:val="00A655B1"/>
    <w:rsid w:val="00A65F68"/>
    <w:rsid w:val="00A66215"/>
    <w:rsid w:val="00A66375"/>
    <w:rsid w:val="00A663E5"/>
    <w:rsid w:val="00A67437"/>
    <w:rsid w:val="00A679AB"/>
    <w:rsid w:val="00A67F96"/>
    <w:rsid w:val="00A70DF8"/>
    <w:rsid w:val="00A71249"/>
    <w:rsid w:val="00A7217C"/>
    <w:rsid w:val="00A727D6"/>
    <w:rsid w:val="00A72FCC"/>
    <w:rsid w:val="00A7317E"/>
    <w:rsid w:val="00A73213"/>
    <w:rsid w:val="00A73EE1"/>
    <w:rsid w:val="00A742E1"/>
    <w:rsid w:val="00A74AB4"/>
    <w:rsid w:val="00A74DE2"/>
    <w:rsid w:val="00A74EE3"/>
    <w:rsid w:val="00A75AEC"/>
    <w:rsid w:val="00A75C2B"/>
    <w:rsid w:val="00A76564"/>
    <w:rsid w:val="00A76EFC"/>
    <w:rsid w:val="00A7731A"/>
    <w:rsid w:val="00A7774A"/>
    <w:rsid w:val="00A77988"/>
    <w:rsid w:val="00A7799E"/>
    <w:rsid w:val="00A80555"/>
    <w:rsid w:val="00A8063D"/>
    <w:rsid w:val="00A8123D"/>
    <w:rsid w:val="00A81307"/>
    <w:rsid w:val="00A81BD7"/>
    <w:rsid w:val="00A81DB0"/>
    <w:rsid w:val="00A824C3"/>
    <w:rsid w:val="00A824CE"/>
    <w:rsid w:val="00A83B18"/>
    <w:rsid w:val="00A846DC"/>
    <w:rsid w:val="00A8498B"/>
    <w:rsid w:val="00A850F0"/>
    <w:rsid w:val="00A852B1"/>
    <w:rsid w:val="00A852D3"/>
    <w:rsid w:val="00A85A41"/>
    <w:rsid w:val="00A862B3"/>
    <w:rsid w:val="00A86F72"/>
    <w:rsid w:val="00A87477"/>
    <w:rsid w:val="00A8755F"/>
    <w:rsid w:val="00A8758E"/>
    <w:rsid w:val="00A876A9"/>
    <w:rsid w:val="00A87C8B"/>
    <w:rsid w:val="00A9011F"/>
    <w:rsid w:val="00A9030A"/>
    <w:rsid w:val="00A9087F"/>
    <w:rsid w:val="00A91441"/>
    <w:rsid w:val="00A9148D"/>
    <w:rsid w:val="00A9149F"/>
    <w:rsid w:val="00A91C3C"/>
    <w:rsid w:val="00A9203C"/>
    <w:rsid w:val="00A9249F"/>
    <w:rsid w:val="00A92A40"/>
    <w:rsid w:val="00A92F3E"/>
    <w:rsid w:val="00A93296"/>
    <w:rsid w:val="00A9367A"/>
    <w:rsid w:val="00A940D7"/>
    <w:rsid w:val="00A9444F"/>
    <w:rsid w:val="00A94949"/>
    <w:rsid w:val="00A956BD"/>
    <w:rsid w:val="00A95756"/>
    <w:rsid w:val="00A95882"/>
    <w:rsid w:val="00A95970"/>
    <w:rsid w:val="00A96948"/>
    <w:rsid w:val="00A97938"/>
    <w:rsid w:val="00AA07F5"/>
    <w:rsid w:val="00AA0AAC"/>
    <w:rsid w:val="00AA1664"/>
    <w:rsid w:val="00AA1ADE"/>
    <w:rsid w:val="00AA220F"/>
    <w:rsid w:val="00AA2690"/>
    <w:rsid w:val="00AA274E"/>
    <w:rsid w:val="00AA3C1C"/>
    <w:rsid w:val="00AA3CFB"/>
    <w:rsid w:val="00AA41E5"/>
    <w:rsid w:val="00AA45D0"/>
    <w:rsid w:val="00AA4B4B"/>
    <w:rsid w:val="00AA5BA8"/>
    <w:rsid w:val="00AA5D07"/>
    <w:rsid w:val="00AA6CB1"/>
    <w:rsid w:val="00AA729F"/>
    <w:rsid w:val="00AA7302"/>
    <w:rsid w:val="00AA7924"/>
    <w:rsid w:val="00AA7C75"/>
    <w:rsid w:val="00AB0194"/>
    <w:rsid w:val="00AB0866"/>
    <w:rsid w:val="00AB091A"/>
    <w:rsid w:val="00AB121C"/>
    <w:rsid w:val="00AB1AFC"/>
    <w:rsid w:val="00AB1E6C"/>
    <w:rsid w:val="00AB2713"/>
    <w:rsid w:val="00AB2A45"/>
    <w:rsid w:val="00AB3688"/>
    <w:rsid w:val="00AB376B"/>
    <w:rsid w:val="00AB4955"/>
    <w:rsid w:val="00AB4C2D"/>
    <w:rsid w:val="00AB52FF"/>
    <w:rsid w:val="00AB5FF5"/>
    <w:rsid w:val="00AB608E"/>
    <w:rsid w:val="00AB64F2"/>
    <w:rsid w:val="00AB6526"/>
    <w:rsid w:val="00AB6A96"/>
    <w:rsid w:val="00AB6F4E"/>
    <w:rsid w:val="00AB7130"/>
    <w:rsid w:val="00AB71AE"/>
    <w:rsid w:val="00AB71DE"/>
    <w:rsid w:val="00AB7518"/>
    <w:rsid w:val="00AB76B8"/>
    <w:rsid w:val="00AB7F3C"/>
    <w:rsid w:val="00AC1DB8"/>
    <w:rsid w:val="00AC2B26"/>
    <w:rsid w:val="00AC327E"/>
    <w:rsid w:val="00AC32EF"/>
    <w:rsid w:val="00AC33E9"/>
    <w:rsid w:val="00AC362B"/>
    <w:rsid w:val="00AC4236"/>
    <w:rsid w:val="00AC4E71"/>
    <w:rsid w:val="00AC51AC"/>
    <w:rsid w:val="00AC53C9"/>
    <w:rsid w:val="00AC53EB"/>
    <w:rsid w:val="00AC57A3"/>
    <w:rsid w:val="00AC5A48"/>
    <w:rsid w:val="00AC5D32"/>
    <w:rsid w:val="00AC60C0"/>
    <w:rsid w:val="00AC6178"/>
    <w:rsid w:val="00AC61E3"/>
    <w:rsid w:val="00AC678D"/>
    <w:rsid w:val="00AC702B"/>
    <w:rsid w:val="00AD0080"/>
    <w:rsid w:val="00AD05A2"/>
    <w:rsid w:val="00AD0B84"/>
    <w:rsid w:val="00AD0C74"/>
    <w:rsid w:val="00AD0D49"/>
    <w:rsid w:val="00AD0F5E"/>
    <w:rsid w:val="00AD34B2"/>
    <w:rsid w:val="00AD3ADA"/>
    <w:rsid w:val="00AD3BE6"/>
    <w:rsid w:val="00AD3C61"/>
    <w:rsid w:val="00AD41F9"/>
    <w:rsid w:val="00AD43C4"/>
    <w:rsid w:val="00AD458D"/>
    <w:rsid w:val="00AD46BF"/>
    <w:rsid w:val="00AD4A5B"/>
    <w:rsid w:val="00AD4F94"/>
    <w:rsid w:val="00AD5104"/>
    <w:rsid w:val="00AD53B3"/>
    <w:rsid w:val="00AD64BA"/>
    <w:rsid w:val="00AD6DA0"/>
    <w:rsid w:val="00AD73E1"/>
    <w:rsid w:val="00AD7509"/>
    <w:rsid w:val="00AD7AF8"/>
    <w:rsid w:val="00AD7D03"/>
    <w:rsid w:val="00AD7DE2"/>
    <w:rsid w:val="00AE0759"/>
    <w:rsid w:val="00AE11B5"/>
    <w:rsid w:val="00AE13AE"/>
    <w:rsid w:val="00AE15DE"/>
    <w:rsid w:val="00AE1B45"/>
    <w:rsid w:val="00AE2773"/>
    <w:rsid w:val="00AE2939"/>
    <w:rsid w:val="00AE31F9"/>
    <w:rsid w:val="00AE3618"/>
    <w:rsid w:val="00AE3854"/>
    <w:rsid w:val="00AE3F23"/>
    <w:rsid w:val="00AE404E"/>
    <w:rsid w:val="00AE4830"/>
    <w:rsid w:val="00AE49B9"/>
    <w:rsid w:val="00AE4B98"/>
    <w:rsid w:val="00AE5CD5"/>
    <w:rsid w:val="00AE6131"/>
    <w:rsid w:val="00AE636B"/>
    <w:rsid w:val="00AE69B5"/>
    <w:rsid w:val="00AE7220"/>
    <w:rsid w:val="00AE73A7"/>
    <w:rsid w:val="00AE769E"/>
    <w:rsid w:val="00AE79F1"/>
    <w:rsid w:val="00AE7D4F"/>
    <w:rsid w:val="00AF0B98"/>
    <w:rsid w:val="00AF1C52"/>
    <w:rsid w:val="00AF2E5A"/>
    <w:rsid w:val="00AF3312"/>
    <w:rsid w:val="00AF39A7"/>
    <w:rsid w:val="00AF4AB7"/>
    <w:rsid w:val="00AF4B89"/>
    <w:rsid w:val="00AF5F22"/>
    <w:rsid w:val="00AF6368"/>
    <w:rsid w:val="00AF7EA1"/>
    <w:rsid w:val="00B00412"/>
    <w:rsid w:val="00B0062D"/>
    <w:rsid w:val="00B00B6F"/>
    <w:rsid w:val="00B018CE"/>
    <w:rsid w:val="00B01F9F"/>
    <w:rsid w:val="00B039B3"/>
    <w:rsid w:val="00B03C45"/>
    <w:rsid w:val="00B03DC6"/>
    <w:rsid w:val="00B0420A"/>
    <w:rsid w:val="00B04B71"/>
    <w:rsid w:val="00B05078"/>
    <w:rsid w:val="00B052F8"/>
    <w:rsid w:val="00B069F3"/>
    <w:rsid w:val="00B06EE3"/>
    <w:rsid w:val="00B075F1"/>
    <w:rsid w:val="00B07CA3"/>
    <w:rsid w:val="00B10163"/>
    <w:rsid w:val="00B102FB"/>
    <w:rsid w:val="00B10FD2"/>
    <w:rsid w:val="00B11178"/>
    <w:rsid w:val="00B12082"/>
    <w:rsid w:val="00B12AAA"/>
    <w:rsid w:val="00B12D8A"/>
    <w:rsid w:val="00B1316A"/>
    <w:rsid w:val="00B13783"/>
    <w:rsid w:val="00B1393A"/>
    <w:rsid w:val="00B1421D"/>
    <w:rsid w:val="00B143A7"/>
    <w:rsid w:val="00B14724"/>
    <w:rsid w:val="00B15283"/>
    <w:rsid w:val="00B15938"/>
    <w:rsid w:val="00B160FC"/>
    <w:rsid w:val="00B164DB"/>
    <w:rsid w:val="00B168AC"/>
    <w:rsid w:val="00B17520"/>
    <w:rsid w:val="00B176DE"/>
    <w:rsid w:val="00B177D6"/>
    <w:rsid w:val="00B17B63"/>
    <w:rsid w:val="00B17F39"/>
    <w:rsid w:val="00B20A59"/>
    <w:rsid w:val="00B215E1"/>
    <w:rsid w:val="00B21B4D"/>
    <w:rsid w:val="00B23380"/>
    <w:rsid w:val="00B24151"/>
    <w:rsid w:val="00B24BA8"/>
    <w:rsid w:val="00B25B71"/>
    <w:rsid w:val="00B268B1"/>
    <w:rsid w:val="00B2753B"/>
    <w:rsid w:val="00B3082F"/>
    <w:rsid w:val="00B309BA"/>
    <w:rsid w:val="00B31D0E"/>
    <w:rsid w:val="00B3216A"/>
    <w:rsid w:val="00B32DAD"/>
    <w:rsid w:val="00B33208"/>
    <w:rsid w:val="00B34072"/>
    <w:rsid w:val="00B341BC"/>
    <w:rsid w:val="00B3509A"/>
    <w:rsid w:val="00B35191"/>
    <w:rsid w:val="00B363C4"/>
    <w:rsid w:val="00B3655F"/>
    <w:rsid w:val="00B36A3E"/>
    <w:rsid w:val="00B36AB3"/>
    <w:rsid w:val="00B36C96"/>
    <w:rsid w:val="00B36E7A"/>
    <w:rsid w:val="00B3713E"/>
    <w:rsid w:val="00B37390"/>
    <w:rsid w:val="00B379F9"/>
    <w:rsid w:val="00B37BF8"/>
    <w:rsid w:val="00B37D96"/>
    <w:rsid w:val="00B37F1C"/>
    <w:rsid w:val="00B40315"/>
    <w:rsid w:val="00B40C7F"/>
    <w:rsid w:val="00B40D8A"/>
    <w:rsid w:val="00B41ABF"/>
    <w:rsid w:val="00B422F9"/>
    <w:rsid w:val="00B426CE"/>
    <w:rsid w:val="00B4283B"/>
    <w:rsid w:val="00B43D96"/>
    <w:rsid w:val="00B44632"/>
    <w:rsid w:val="00B4536E"/>
    <w:rsid w:val="00B45B68"/>
    <w:rsid w:val="00B45BB7"/>
    <w:rsid w:val="00B45D8D"/>
    <w:rsid w:val="00B47D1D"/>
    <w:rsid w:val="00B50CDE"/>
    <w:rsid w:val="00B518B8"/>
    <w:rsid w:val="00B51EE5"/>
    <w:rsid w:val="00B523DE"/>
    <w:rsid w:val="00B5272D"/>
    <w:rsid w:val="00B527F4"/>
    <w:rsid w:val="00B5432E"/>
    <w:rsid w:val="00B5507D"/>
    <w:rsid w:val="00B5528D"/>
    <w:rsid w:val="00B55C2F"/>
    <w:rsid w:val="00B57E20"/>
    <w:rsid w:val="00B60DD7"/>
    <w:rsid w:val="00B614EC"/>
    <w:rsid w:val="00B63118"/>
    <w:rsid w:val="00B639D0"/>
    <w:rsid w:val="00B64733"/>
    <w:rsid w:val="00B649A7"/>
    <w:rsid w:val="00B64F02"/>
    <w:rsid w:val="00B6607B"/>
    <w:rsid w:val="00B6676D"/>
    <w:rsid w:val="00B66F89"/>
    <w:rsid w:val="00B6727F"/>
    <w:rsid w:val="00B67E4B"/>
    <w:rsid w:val="00B67E83"/>
    <w:rsid w:val="00B70103"/>
    <w:rsid w:val="00B70CCF"/>
    <w:rsid w:val="00B70CE7"/>
    <w:rsid w:val="00B72434"/>
    <w:rsid w:val="00B73106"/>
    <w:rsid w:val="00B7352F"/>
    <w:rsid w:val="00B73BF1"/>
    <w:rsid w:val="00B73C21"/>
    <w:rsid w:val="00B74E53"/>
    <w:rsid w:val="00B74EBA"/>
    <w:rsid w:val="00B75275"/>
    <w:rsid w:val="00B75E19"/>
    <w:rsid w:val="00B76024"/>
    <w:rsid w:val="00B76A84"/>
    <w:rsid w:val="00B76B65"/>
    <w:rsid w:val="00B76CC3"/>
    <w:rsid w:val="00B76E61"/>
    <w:rsid w:val="00B77191"/>
    <w:rsid w:val="00B774E0"/>
    <w:rsid w:val="00B7794D"/>
    <w:rsid w:val="00B77A4B"/>
    <w:rsid w:val="00B77A7A"/>
    <w:rsid w:val="00B809D7"/>
    <w:rsid w:val="00B81286"/>
    <w:rsid w:val="00B8150D"/>
    <w:rsid w:val="00B81892"/>
    <w:rsid w:val="00B81DDA"/>
    <w:rsid w:val="00B82C0D"/>
    <w:rsid w:val="00B839B7"/>
    <w:rsid w:val="00B84417"/>
    <w:rsid w:val="00B85629"/>
    <w:rsid w:val="00B85765"/>
    <w:rsid w:val="00B85EDA"/>
    <w:rsid w:val="00B8634F"/>
    <w:rsid w:val="00B86992"/>
    <w:rsid w:val="00B86A70"/>
    <w:rsid w:val="00B87CDD"/>
    <w:rsid w:val="00B87E1E"/>
    <w:rsid w:val="00B902B6"/>
    <w:rsid w:val="00B90AC9"/>
    <w:rsid w:val="00B90CC6"/>
    <w:rsid w:val="00B915DB"/>
    <w:rsid w:val="00B9263E"/>
    <w:rsid w:val="00B92A1D"/>
    <w:rsid w:val="00B92C37"/>
    <w:rsid w:val="00B93F11"/>
    <w:rsid w:val="00B940E5"/>
    <w:rsid w:val="00B94F9E"/>
    <w:rsid w:val="00B9562D"/>
    <w:rsid w:val="00B959F1"/>
    <w:rsid w:val="00B95B54"/>
    <w:rsid w:val="00B95C35"/>
    <w:rsid w:val="00B968B0"/>
    <w:rsid w:val="00B96D6C"/>
    <w:rsid w:val="00B97779"/>
    <w:rsid w:val="00BA23ED"/>
    <w:rsid w:val="00BA2760"/>
    <w:rsid w:val="00BA36CC"/>
    <w:rsid w:val="00BA3F08"/>
    <w:rsid w:val="00BA429D"/>
    <w:rsid w:val="00BA47E8"/>
    <w:rsid w:val="00BA6172"/>
    <w:rsid w:val="00BA6574"/>
    <w:rsid w:val="00BA6FE8"/>
    <w:rsid w:val="00BA758E"/>
    <w:rsid w:val="00BA79BF"/>
    <w:rsid w:val="00BB0184"/>
    <w:rsid w:val="00BB0194"/>
    <w:rsid w:val="00BB01E0"/>
    <w:rsid w:val="00BB06B6"/>
    <w:rsid w:val="00BB27EF"/>
    <w:rsid w:val="00BB2B34"/>
    <w:rsid w:val="00BB2E1A"/>
    <w:rsid w:val="00BB33EB"/>
    <w:rsid w:val="00BB3D6E"/>
    <w:rsid w:val="00BB4706"/>
    <w:rsid w:val="00BB5A7A"/>
    <w:rsid w:val="00BB5F48"/>
    <w:rsid w:val="00BB6F90"/>
    <w:rsid w:val="00BB7F1F"/>
    <w:rsid w:val="00BB7F7C"/>
    <w:rsid w:val="00BC00E4"/>
    <w:rsid w:val="00BC0202"/>
    <w:rsid w:val="00BC03BD"/>
    <w:rsid w:val="00BC1042"/>
    <w:rsid w:val="00BC16C9"/>
    <w:rsid w:val="00BC17F6"/>
    <w:rsid w:val="00BC1AE0"/>
    <w:rsid w:val="00BC1C85"/>
    <w:rsid w:val="00BC2360"/>
    <w:rsid w:val="00BC24DF"/>
    <w:rsid w:val="00BC383E"/>
    <w:rsid w:val="00BC3C5A"/>
    <w:rsid w:val="00BC4BE5"/>
    <w:rsid w:val="00BC4C89"/>
    <w:rsid w:val="00BC5707"/>
    <w:rsid w:val="00BC5AC3"/>
    <w:rsid w:val="00BC6290"/>
    <w:rsid w:val="00BC6373"/>
    <w:rsid w:val="00BC6FEE"/>
    <w:rsid w:val="00BD0099"/>
    <w:rsid w:val="00BD0236"/>
    <w:rsid w:val="00BD03F4"/>
    <w:rsid w:val="00BD078F"/>
    <w:rsid w:val="00BD0948"/>
    <w:rsid w:val="00BD0E08"/>
    <w:rsid w:val="00BD1692"/>
    <w:rsid w:val="00BD1D36"/>
    <w:rsid w:val="00BD3245"/>
    <w:rsid w:val="00BD39C8"/>
    <w:rsid w:val="00BD4600"/>
    <w:rsid w:val="00BD46FC"/>
    <w:rsid w:val="00BD4930"/>
    <w:rsid w:val="00BD4F7D"/>
    <w:rsid w:val="00BD50EE"/>
    <w:rsid w:val="00BD58DB"/>
    <w:rsid w:val="00BD5FCC"/>
    <w:rsid w:val="00BD65EA"/>
    <w:rsid w:val="00BD74B2"/>
    <w:rsid w:val="00BE0136"/>
    <w:rsid w:val="00BE0642"/>
    <w:rsid w:val="00BE071E"/>
    <w:rsid w:val="00BE10E9"/>
    <w:rsid w:val="00BE131A"/>
    <w:rsid w:val="00BE24EA"/>
    <w:rsid w:val="00BE25ED"/>
    <w:rsid w:val="00BE2C8E"/>
    <w:rsid w:val="00BE3219"/>
    <w:rsid w:val="00BE3712"/>
    <w:rsid w:val="00BE390C"/>
    <w:rsid w:val="00BE3A6F"/>
    <w:rsid w:val="00BE4CD5"/>
    <w:rsid w:val="00BE5187"/>
    <w:rsid w:val="00BE7901"/>
    <w:rsid w:val="00BF01E6"/>
    <w:rsid w:val="00BF0CF9"/>
    <w:rsid w:val="00BF1D62"/>
    <w:rsid w:val="00BF26DC"/>
    <w:rsid w:val="00BF2D98"/>
    <w:rsid w:val="00BF3AB9"/>
    <w:rsid w:val="00BF44F8"/>
    <w:rsid w:val="00BF4854"/>
    <w:rsid w:val="00BF4CBA"/>
    <w:rsid w:val="00BF56C5"/>
    <w:rsid w:val="00BF5F6A"/>
    <w:rsid w:val="00BF776D"/>
    <w:rsid w:val="00BF7978"/>
    <w:rsid w:val="00C0152D"/>
    <w:rsid w:val="00C01D41"/>
    <w:rsid w:val="00C01ED1"/>
    <w:rsid w:val="00C03059"/>
    <w:rsid w:val="00C041A0"/>
    <w:rsid w:val="00C04270"/>
    <w:rsid w:val="00C049AC"/>
    <w:rsid w:val="00C04F97"/>
    <w:rsid w:val="00C055D5"/>
    <w:rsid w:val="00C05B2D"/>
    <w:rsid w:val="00C06E97"/>
    <w:rsid w:val="00C072B5"/>
    <w:rsid w:val="00C073E2"/>
    <w:rsid w:val="00C07629"/>
    <w:rsid w:val="00C101AE"/>
    <w:rsid w:val="00C10424"/>
    <w:rsid w:val="00C10814"/>
    <w:rsid w:val="00C10D6C"/>
    <w:rsid w:val="00C10E21"/>
    <w:rsid w:val="00C113FF"/>
    <w:rsid w:val="00C1159D"/>
    <w:rsid w:val="00C1172E"/>
    <w:rsid w:val="00C11AC3"/>
    <w:rsid w:val="00C11F37"/>
    <w:rsid w:val="00C12C44"/>
    <w:rsid w:val="00C1398A"/>
    <w:rsid w:val="00C13A02"/>
    <w:rsid w:val="00C13BA9"/>
    <w:rsid w:val="00C13D9D"/>
    <w:rsid w:val="00C156D6"/>
    <w:rsid w:val="00C15853"/>
    <w:rsid w:val="00C15BB5"/>
    <w:rsid w:val="00C16094"/>
    <w:rsid w:val="00C161EA"/>
    <w:rsid w:val="00C16977"/>
    <w:rsid w:val="00C16CE6"/>
    <w:rsid w:val="00C16DF7"/>
    <w:rsid w:val="00C1741D"/>
    <w:rsid w:val="00C175C7"/>
    <w:rsid w:val="00C1760B"/>
    <w:rsid w:val="00C17A0F"/>
    <w:rsid w:val="00C20558"/>
    <w:rsid w:val="00C206D9"/>
    <w:rsid w:val="00C2077B"/>
    <w:rsid w:val="00C20EF5"/>
    <w:rsid w:val="00C213F9"/>
    <w:rsid w:val="00C214AA"/>
    <w:rsid w:val="00C21599"/>
    <w:rsid w:val="00C220C0"/>
    <w:rsid w:val="00C22308"/>
    <w:rsid w:val="00C22402"/>
    <w:rsid w:val="00C227D3"/>
    <w:rsid w:val="00C229AB"/>
    <w:rsid w:val="00C22B03"/>
    <w:rsid w:val="00C23C28"/>
    <w:rsid w:val="00C24449"/>
    <w:rsid w:val="00C2474F"/>
    <w:rsid w:val="00C247E1"/>
    <w:rsid w:val="00C2524B"/>
    <w:rsid w:val="00C253C6"/>
    <w:rsid w:val="00C257A4"/>
    <w:rsid w:val="00C25C78"/>
    <w:rsid w:val="00C26E08"/>
    <w:rsid w:val="00C26F12"/>
    <w:rsid w:val="00C277A6"/>
    <w:rsid w:val="00C31450"/>
    <w:rsid w:val="00C3158E"/>
    <w:rsid w:val="00C31A38"/>
    <w:rsid w:val="00C31B06"/>
    <w:rsid w:val="00C31FB5"/>
    <w:rsid w:val="00C31FBC"/>
    <w:rsid w:val="00C322F5"/>
    <w:rsid w:val="00C330DC"/>
    <w:rsid w:val="00C3324E"/>
    <w:rsid w:val="00C34F9E"/>
    <w:rsid w:val="00C35348"/>
    <w:rsid w:val="00C35AAE"/>
    <w:rsid w:val="00C36009"/>
    <w:rsid w:val="00C36C59"/>
    <w:rsid w:val="00C36DDF"/>
    <w:rsid w:val="00C36DF2"/>
    <w:rsid w:val="00C3760F"/>
    <w:rsid w:val="00C3772A"/>
    <w:rsid w:val="00C37BC1"/>
    <w:rsid w:val="00C409E4"/>
    <w:rsid w:val="00C414C3"/>
    <w:rsid w:val="00C41D78"/>
    <w:rsid w:val="00C42DA9"/>
    <w:rsid w:val="00C4341E"/>
    <w:rsid w:val="00C43EE3"/>
    <w:rsid w:val="00C445B4"/>
    <w:rsid w:val="00C44D9D"/>
    <w:rsid w:val="00C44EA6"/>
    <w:rsid w:val="00C4551E"/>
    <w:rsid w:val="00C461EF"/>
    <w:rsid w:val="00C465E7"/>
    <w:rsid w:val="00C46A13"/>
    <w:rsid w:val="00C46BCF"/>
    <w:rsid w:val="00C46FCC"/>
    <w:rsid w:val="00C475CE"/>
    <w:rsid w:val="00C50070"/>
    <w:rsid w:val="00C506A4"/>
    <w:rsid w:val="00C51370"/>
    <w:rsid w:val="00C5285C"/>
    <w:rsid w:val="00C52AB3"/>
    <w:rsid w:val="00C5321A"/>
    <w:rsid w:val="00C533E2"/>
    <w:rsid w:val="00C540B1"/>
    <w:rsid w:val="00C54509"/>
    <w:rsid w:val="00C55A66"/>
    <w:rsid w:val="00C56FEA"/>
    <w:rsid w:val="00C5798E"/>
    <w:rsid w:val="00C57DC9"/>
    <w:rsid w:val="00C57E9F"/>
    <w:rsid w:val="00C6014B"/>
    <w:rsid w:val="00C60D83"/>
    <w:rsid w:val="00C613E4"/>
    <w:rsid w:val="00C6150D"/>
    <w:rsid w:val="00C61A19"/>
    <w:rsid w:val="00C62DF1"/>
    <w:rsid w:val="00C6433D"/>
    <w:rsid w:val="00C64AD6"/>
    <w:rsid w:val="00C64D68"/>
    <w:rsid w:val="00C652C8"/>
    <w:rsid w:val="00C65FC8"/>
    <w:rsid w:val="00C668DC"/>
    <w:rsid w:val="00C67290"/>
    <w:rsid w:val="00C67439"/>
    <w:rsid w:val="00C676A1"/>
    <w:rsid w:val="00C67A3E"/>
    <w:rsid w:val="00C67AE4"/>
    <w:rsid w:val="00C67CDD"/>
    <w:rsid w:val="00C67EBA"/>
    <w:rsid w:val="00C70992"/>
    <w:rsid w:val="00C70F85"/>
    <w:rsid w:val="00C71678"/>
    <w:rsid w:val="00C71DE1"/>
    <w:rsid w:val="00C7201D"/>
    <w:rsid w:val="00C7284B"/>
    <w:rsid w:val="00C729FB"/>
    <w:rsid w:val="00C72FF7"/>
    <w:rsid w:val="00C73056"/>
    <w:rsid w:val="00C7350A"/>
    <w:rsid w:val="00C7383C"/>
    <w:rsid w:val="00C73E21"/>
    <w:rsid w:val="00C73E66"/>
    <w:rsid w:val="00C73F12"/>
    <w:rsid w:val="00C75089"/>
    <w:rsid w:val="00C75933"/>
    <w:rsid w:val="00C75FAB"/>
    <w:rsid w:val="00C769A2"/>
    <w:rsid w:val="00C76BC5"/>
    <w:rsid w:val="00C76E27"/>
    <w:rsid w:val="00C76FB7"/>
    <w:rsid w:val="00C773AC"/>
    <w:rsid w:val="00C77A2B"/>
    <w:rsid w:val="00C810D3"/>
    <w:rsid w:val="00C810E8"/>
    <w:rsid w:val="00C816E8"/>
    <w:rsid w:val="00C817DF"/>
    <w:rsid w:val="00C827D3"/>
    <w:rsid w:val="00C8280D"/>
    <w:rsid w:val="00C83027"/>
    <w:rsid w:val="00C832CD"/>
    <w:rsid w:val="00C83BB6"/>
    <w:rsid w:val="00C83D8A"/>
    <w:rsid w:val="00C83EA6"/>
    <w:rsid w:val="00C84EEE"/>
    <w:rsid w:val="00C8611B"/>
    <w:rsid w:val="00C865AF"/>
    <w:rsid w:val="00C86982"/>
    <w:rsid w:val="00C872CE"/>
    <w:rsid w:val="00C87BD7"/>
    <w:rsid w:val="00C9036E"/>
    <w:rsid w:val="00C913B4"/>
    <w:rsid w:val="00C913CC"/>
    <w:rsid w:val="00C91652"/>
    <w:rsid w:val="00C91C1F"/>
    <w:rsid w:val="00C91C28"/>
    <w:rsid w:val="00C9263A"/>
    <w:rsid w:val="00C92856"/>
    <w:rsid w:val="00C93F73"/>
    <w:rsid w:val="00C93FD5"/>
    <w:rsid w:val="00C9480F"/>
    <w:rsid w:val="00C94D3C"/>
    <w:rsid w:val="00C956B5"/>
    <w:rsid w:val="00C959AE"/>
    <w:rsid w:val="00C95BE2"/>
    <w:rsid w:val="00C964C2"/>
    <w:rsid w:val="00C9683F"/>
    <w:rsid w:val="00C9708A"/>
    <w:rsid w:val="00C974FD"/>
    <w:rsid w:val="00C975C2"/>
    <w:rsid w:val="00CA07E5"/>
    <w:rsid w:val="00CA0A29"/>
    <w:rsid w:val="00CA0F28"/>
    <w:rsid w:val="00CA138A"/>
    <w:rsid w:val="00CA1500"/>
    <w:rsid w:val="00CA1646"/>
    <w:rsid w:val="00CA3136"/>
    <w:rsid w:val="00CA3DC0"/>
    <w:rsid w:val="00CA3E50"/>
    <w:rsid w:val="00CA4482"/>
    <w:rsid w:val="00CA4907"/>
    <w:rsid w:val="00CA4F53"/>
    <w:rsid w:val="00CA5DE1"/>
    <w:rsid w:val="00CA5E7F"/>
    <w:rsid w:val="00CA6020"/>
    <w:rsid w:val="00CA6B1C"/>
    <w:rsid w:val="00CA6B3E"/>
    <w:rsid w:val="00CA7A5E"/>
    <w:rsid w:val="00CA7A6F"/>
    <w:rsid w:val="00CB08A1"/>
    <w:rsid w:val="00CB1B4E"/>
    <w:rsid w:val="00CB2031"/>
    <w:rsid w:val="00CB24D5"/>
    <w:rsid w:val="00CB4263"/>
    <w:rsid w:val="00CB47AE"/>
    <w:rsid w:val="00CB4B00"/>
    <w:rsid w:val="00CB4B60"/>
    <w:rsid w:val="00CB4EF4"/>
    <w:rsid w:val="00CB55BB"/>
    <w:rsid w:val="00CB57D0"/>
    <w:rsid w:val="00CB57D2"/>
    <w:rsid w:val="00CB5B10"/>
    <w:rsid w:val="00CB6B94"/>
    <w:rsid w:val="00CB6CEA"/>
    <w:rsid w:val="00CB6FEC"/>
    <w:rsid w:val="00CB7B5A"/>
    <w:rsid w:val="00CC1F6D"/>
    <w:rsid w:val="00CC2577"/>
    <w:rsid w:val="00CC25AD"/>
    <w:rsid w:val="00CC3929"/>
    <w:rsid w:val="00CC3F17"/>
    <w:rsid w:val="00CC4392"/>
    <w:rsid w:val="00CC450A"/>
    <w:rsid w:val="00CC484D"/>
    <w:rsid w:val="00CC515F"/>
    <w:rsid w:val="00CC5781"/>
    <w:rsid w:val="00CC6BF3"/>
    <w:rsid w:val="00CC6CFE"/>
    <w:rsid w:val="00CC77E3"/>
    <w:rsid w:val="00CC7809"/>
    <w:rsid w:val="00CD032B"/>
    <w:rsid w:val="00CD0F30"/>
    <w:rsid w:val="00CD0F8C"/>
    <w:rsid w:val="00CD17FF"/>
    <w:rsid w:val="00CD1D59"/>
    <w:rsid w:val="00CD3151"/>
    <w:rsid w:val="00CD5471"/>
    <w:rsid w:val="00CD633E"/>
    <w:rsid w:val="00CD6398"/>
    <w:rsid w:val="00CD6D4C"/>
    <w:rsid w:val="00CD733B"/>
    <w:rsid w:val="00CD78E2"/>
    <w:rsid w:val="00CD7EDD"/>
    <w:rsid w:val="00CE0392"/>
    <w:rsid w:val="00CE0848"/>
    <w:rsid w:val="00CE0C8A"/>
    <w:rsid w:val="00CE2003"/>
    <w:rsid w:val="00CE29F9"/>
    <w:rsid w:val="00CE3F87"/>
    <w:rsid w:val="00CE4725"/>
    <w:rsid w:val="00CE498C"/>
    <w:rsid w:val="00CE49DB"/>
    <w:rsid w:val="00CE5647"/>
    <w:rsid w:val="00CE5F2D"/>
    <w:rsid w:val="00CE6886"/>
    <w:rsid w:val="00CE6A5C"/>
    <w:rsid w:val="00CF0C95"/>
    <w:rsid w:val="00CF0EEC"/>
    <w:rsid w:val="00CF0FF4"/>
    <w:rsid w:val="00CF104E"/>
    <w:rsid w:val="00CF1183"/>
    <w:rsid w:val="00CF1546"/>
    <w:rsid w:val="00CF25CD"/>
    <w:rsid w:val="00CF2701"/>
    <w:rsid w:val="00CF2BE1"/>
    <w:rsid w:val="00CF3F72"/>
    <w:rsid w:val="00CF4465"/>
    <w:rsid w:val="00CF4B3C"/>
    <w:rsid w:val="00CF4DDC"/>
    <w:rsid w:val="00CF6226"/>
    <w:rsid w:val="00CF64BC"/>
    <w:rsid w:val="00CF71D5"/>
    <w:rsid w:val="00CF7420"/>
    <w:rsid w:val="00CF751D"/>
    <w:rsid w:val="00D000C4"/>
    <w:rsid w:val="00D00110"/>
    <w:rsid w:val="00D00627"/>
    <w:rsid w:val="00D015D5"/>
    <w:rsid w:val="00D01AAA"/>
    <w:rsid w:val="00D01EE1"/>
    <w:rsid w:val="00D02150"/>
    <w:rsid w:val="00D02B3B"/>
    <w:rsid w:val="00D03C02"/>
    <w:rsid w:val="00D046BC"/>
    <w:rsid w:val="00D04901"/>
    <w:rsid w:val="00D05550"/>
    <w:rsid w:val="00D06084"/>
    <w:rsid w:val="00D0657B"/>
    <w:rsid w:val="00D067DC"/>
    <w:rsid w:val="00D072A9"/>
    <w:rsid w:val="00D07D99"/>
    <w:rsid w:val="00D10853"/>
    <w:rsid w:val="00D10AEC"/>
    <w:rsid w:val="00D11112"/>
    <w:rsid w:val="00D1233B"/>
    <w:rsid w:val="00D128BA"/>
    <w:rsid w:val="00D12D85"/>
    <w:rsid w:val="00D12EAA"/>
    <w:rsid w:val="00D13FAB"/>
    <w:rsid w:val="00D15E08"/>
    <w:rsid w:val="00D1672A"/>
    <w:rsid w:val="00D16D74"/>
    <w:rsid w:val="00D17363"/>
    <w:rsid w:val="00D17E5F"/>
    <w:rsid w:val="00D20386"/>
    <w:rsid w:val="00D20414"/>
    <w:rsid w:val="00D2055B"/>
    <w:rsid w:val="00D219B0"/>
    <w:rsid w:val="00D21C8F"/>
    <w:rsid w:val="00D21D6E"/>
    <w:rsid w:val="00D22067"/>
    <w:rsid w:val="00D22595"/>
    <w:rsid w:val="00D229DB"/>
    <w:rsid w:val="00D22D2B"/>
    <w:rsid w:val="00D22F92"/>
    <w:rsid w:val="00D2319A"/>
    <w:rsid w:val="00D2322A"/>
    <w:rsid w:val="00D23580"/>
    <w:rsid w:val="00D2438C"/>
    <w:rsid w:val="00D24394"/>
    <w:rsid w:val="00D24A40"/>
    <w:rsid w:val="00D24F2A"/>
    <w:rsid w:val="00D250B6"/>
    <w:rsid w:val="00D25307"/>
    <w:rsid w:val="00D25601"/>
    <w:rsid w:val="00D25A80"/>
    <w:rsid w:val="00D266F3"/>
    <w:rsid w:val="00D27F8E"/>
    <w:rsid w:val="00D300C8"/>
    <w:rsid w:val="00D30141"/>
    <w:rsid w:val="00D30242"/>
    <w:rsid w:val="00D308C5"/>
    <w:rsid w:val="00D30F6A"/>
    <w:rsid w:val="00D31244"/>
    <w:rsid w:val="00D3158E"/>
    <w:rsid w:val="00D32451"/>
    <w:rsid w:val="00D331E5"/>
    <w:rsid w:val="00D338BB"/>
    <w:rsid w:val="00D33938"/>
    <w:rsid w:val="00D34963"/>
    <w:rsid w:val="00D34C50"/>
    <w:rsid w:val="00D34DA4"/>
    <w:rsid w:val="00D35F2C"/>
    <w:rsid w:val="00D36488"/>
    <w:rsid w:val="00D36E5E"/>
    <w:rsid w:val="00D37BEB"/>
    <w:rsid w:val="00D40774"/>
    <w:rsid w:val="00D42963"/>
    <w:rsid w:val="00D42C4D"/>
    <w:rsid w:val="00D43348"/>
    <w:rsid w:val="00D4372C"/>
    <w:rsid w:val="00D43FF8"/>
    <w:rsid w:val="00D44824"/>
    <w:rsid w:val="00D44FD9"/>
    <w:rsid w:val="00D45164"/>
    <w:rsid w:val="00D45820"/>
    <w:rsid w:val="00D45924"/>
    <w:rsid w:val="00D464AC"/>
    <w:rsid w:val="00D46721"/>
    <w:rsid w:val="00D46A3E"/>
    <w:rsid w:val="00D46E8D"/>
    <w:rsid w:val="00D5021A"/>
    <w:rsid w:val="00D51709"/>
    <w:rsid w:val="00D5171B"/>
    <w:rsid w:val="00D5172C"/>
    <w:rsid w:val="00D51F56"/>
    <w:rsid w:val="00D5237D"/>
    <w:rsid w:val="00D5251B"/>
    <w:rsid w:val="00D52E26"/>
    <w:rsid w:val="00D52E98"/>
    <w:rsid w:val="00D52FD8"/>
    <w:rsid w:val="00D5314C"/>
    <w:rsid w:val="00D53237"/>
    <w:rsid w:val="00D541EA"/>
    <w:rsid w:val="00D542F4"/>
    <w:rsid w:val="00D545E1"/>
    <w:rsid w:val="00D55053"/>
    <w:rsid w:val="00D5569E"/>
    <w:rsid w:val="00D558CB"/>
    <w:rsid w:val="00D56221"/>
    <w:rsid w:val="00D562F2"/>
    <w:rsid w:val="00D567AB"/>
    <w:rsid w:val="00D56D28"/>
    <w:rsid w:val="00D5785C"/>
    <w:rsid w:val="00D607EA"/>
    <w:rsid w:val="00D6107D"/>
    <w:rsid w:val="00D62CAC"/>
    <w:rsid w:val="00D62EEB"/>
    <w:rsid w:val="00D63502"/>
    <w:rsid w:val="00D64480"/>
    <w:rsid w:val="00D64A37"/>
    <w:rsid w:val="00D650B3"/>
    <w:rsid w:val="00D669D7"/>
    <w:rsid w:val="00D67DD8"/>
    <w:rsid w:val="00D67F89"/>
    <w:rsid w:val="00D7084F"/>
    <w:rsid w:val="00D71113"/>
    <w:rsid w:val="00D7356C"/>
    <w:rsid w:val="00D73C3B"/>
    <w:rsid w:val="00D745D8"/>
    <w:rsid w:val="00D745FF"/>
    <w:rsid w:val="00D747EB"/>
    <w:rsid w:val="00D7602C"/>
    <w:rsid w:val="00D76D01"/>
    <w:rsid w:val="00D76FA6"/>
    <w:rsid w:val="00D771DA"/>
    <w:rsid w:val="00D7730D"/>
    <w:rsid w:val="00D80484"/>
    <w:rsid w:val="00D81309"/>
    <w:rsid w:val="00D81825"/>
    <w:rsid w:val="00D8199A"/>
    <w:rsid w:val="00D81AA5"/>
    <w:rsid w:val="00D829E4"/>
    <w:rsid w:val="00D830DB"/>
    <w:rsid w:val="00D84138"/>
    <w:rsid w:val="00D8442A"/>
    <w:rsid w:val="00D85C49"/>
    <w:rsid w:val="00D86172"/>
    <w:rsid w:val="00D86D79"/>
    <w:rsid w:val="00D871B7"/>
    <w:rsid w:val="00D87AEB"/>
    <w:rsid w:val="00D87D3B"/>
    <w:rsid w:val="00D87E72"/>
    <w:rsid w:val="00D90A8F"/>
    <w:rsid w:val="00D9194C"/>
    <w:rsid w:val="00D91CE9"/>
    <w:rsid w:val="00D92563"/>
    <w:rsid w:val="00D933CA"/>
    <w:rsid w:val="00D93B81"/>
    <w:rsid w:val="00D94308"/>
    <w:rsid w:val="00D946C1"/>
    <w:rsid w:val="00D9511B"/>
    <w:rsid w:val="00D954F6"/>
    <w:rsid w:val="00D9575E"/>
    <w:rsid w:val="00D95887"/>
    <w:rsid w:val="00D964AE"/>
    <w:rsid w:val="00D9686A"/>
    <w:rsid w:val="00D97236"/>
    <w:rsid w:val="00D9754E"/>
    <w:rsid w:val="00D97E9B"/>
    <w:rsid w:val="00DA0016"/>
    <w:rsid w:val="00DA019A"/>
    <w:rsid w:val="00DA0347"/>
    <w:rsid w:val="00DA0BC0"/>
    <w:rsid w:val="00DA1974"/>
    <w:rsid w:val="00DA1AFD"/>
    <w:rsid w:val="00DA23FB"/>
    <w:rsid w:val="00DA246B"/>
    <w:rsid w:val="00DA2746"/>
    <w:rsid w:val="00DA3091"/>
    <w:rsid w:val="00DA364B"/>
    <w:rsid w:val="00DA3AAB"/>
    <w:rsid w:val="00DA3B94"/>
    <w:rsid w:val="00DA3DD3"/>
    <w:rsid w:val="00DA3FFF"/>
    <w:rsid w:val="00DA4FB8"/>
    <w:rsid w:val="00DA514A"/>
    <w:rsid w:val="00DA68BD"/>
    <w:rsid w:val="00DA6FAF"/>
    <w:rsid w:val="00DA72D6"/>
    <w:rsid w:val="00DA73A9"/>
    <w:rsid w:val="00DB01D4"/>
    <w:rsid w:val="00DB02F8"/>
    <w:rsid w:val="00DB03CD"/>
    <w:rsid w:val="00DB0541"/>
    <w:rsid w:val="00DB16B2"/>
    <w:rsid w:val="00DB1ACB"/>
    <w:rsid w:val="00DB1BB8"/>
    <w:rsid w:val="00DB1BD6"/>
    <w:rsid w:val="00DB1C7C"/>
    <w:rsid w:val="00DB2E63"/>
    <w:rsid w:val="00DB7236"/>
    <w:rsid w:val="00DB7F1E"/>
    <w:rsid w:val="00DC00C6"/>
    <w:rsid w:val="00DC015B"/>
    <w:rsid w:val="00DC047F"/>
    <w:rsid w:val="00DC1058"/>
    <w:rsid w:val="00DC11BD"/>
    <w:rsid w:val="00DC1319"/>
    <w:rsid w:val="00DC1831"/>
    <w:rsid w:val="00DC1B84"/>
    <w:rsid w:val="00DC29B7"/>
    <w:rsid w:val="00DC30ED"/>
    <w:rsid w:val="00DC3488"/>
    <w:rsid w:val="00DC393E"/>
    <w:rsid w:val="00DC458A"/>
    <w:rsid w:val="00DC58B4"/>
    <w:rsid w:val="00DC760E"/>
    <w:rsid w:val="00DC7F4B"/>
    <w:rsid w:val="00DD00E7"/>
    <w:rsid w:val="00DD0236"/>
    <w:rsid w:val="00DD0B2D"/>
    <w:rsid w:val="00DD13E2"/>
    <w:rsid w:val="00DD1518"/>
    <w:rsid w:val="00DD2A58"/>
    <w:rsid w:val="00DD2AC6"/>
    <w:rsid w:val="00DD2C06"/>
    <w:rsid w:val="00DD2EAF"/>
    <w:rsid w:val="00DD3164"/>
    <w:rsid w:val="00DD4097"/>
    <w:rsid w:val="00DD5A24"/>
    <w:rsid w:val="00DD667F"/>
    <w:rsid w:val="00DD66D7"/>
    <w:rsid w:val="00DD6D65"/>
    <w:rsid w:val="00DD71EA"/>
    <w:rsid w:val="00DD7BAB"/>
    <w:rsid w:val="00DD7DD3"/>
    <w:rsid w:val="00DE0A27"/>
    <w:rsid w:val="00DE0A55"/>
    <w:rsid w:val="00DE0ACB"/>
    <w:rsid w:val="00DE0C60"/>
    <w:rsid w:val="00DE16E4"/>
    <w:rsid w:val="00DE23F5"/>
    <w:rsid w:val="00DE2B1B"/>
    <w:rsid w:val="00DE363D"/>
    <w:rsid w:val="00DE41DA"/>
    <w:rsid w:val="00DE4372"/>
    <w:rsid w:val="00DE5545"/>
    <w:rsid w:val="00DE6061"/>
    <w:rsid w:val="00DE631D"/>
    <w:rsid w:val="00DE6F7E"/>
    <w:rsid w:val="00DE79D1"/>
    <w:rsid w:val="00DE7E5A"/>
    <w:rsid w:val="00DE7E76"/>
    <w:rsid w:val="00DF0848"/>
    <w:rsid w:val="00DF0D2E"/>
    <w:rsid w:val="00DF1644"/>
    <w:rsid w:val="00DF18DE"/>
    <w:rsid w:val="00DF1B18"/>
    <w:rsid w:val="00DF235B"/>
    <w:rsid w:val="00DF501D"/>
    <w:rsid w:val="00DF558F"/>
    <w:rsid w:val="00DF597F"/>
    <w:rsid w:val="00DF6A25"/>
    <w:rsid w:val="00DF7212"/>
    <w:rsid w:val="00DF7B7C"/>
    <w:rsid w:val="00DF7FA2"/>
    <w:rsid w:val="00E00022"/>
    <w:rsid w:val="00E00A1A"/>
    <w:rsid w:val="00E00DE7"/>
    <w:rsid w:val="00E01366"/>
    <w:rsid w:val="00E028F9"/>
    <w:rsid w:val="00E02944"/>
    <w:rsid w:val="00E039D5"/>
    <w:rsid w:val="00E03B5C"/>
    <w:rsid w:val="00E051B0"/>
    <w:rsid w:val="00E05E9F"/>
    <w:rsid w:val="00E068A1"/>
    <w:rsid w:val="00E06D7F"/>
    <w:rsid w:val="00E07CF9"/>
    <w:rsid w:val="00E10045"/>
    <w:rsid w:val="00E104E7"/>
    <w:rsid w:val="00E1106C"/>
    <w:rsid w:val="00E117CD"/>
    <w:rsid w:val="00E1186A"/>
    <w:rsid w:val="00E1240A"/>
    <w:rsid w:val="00E12627"/>
    <w:rsid w:val="00E12B0F"/>
    <w:rsid w:val="00E131F7"/>
    <w:rsid w:val="00E13DF1"/>
    <w:rsid w:val="00E14C4F"/>
    <w:rsid w:val="00E15578"/>
    <w:rsid w:val="00E16218"/>
    <w:rsid w:val="00E17141"/>
    <w:rsid w:val="00E17184"/>
    <w:rsid w:val="00E20142"/>
    <w:rsid w:val="00E207C3"/>
    <w:rsid w:val="00E2100C"/>
    <w:rsid w:val="00E211ED"/>
    <w:rsid w:val="00E21FAA"/>
    <w:rsid w:val="00E2218E"/>
    <w:rsid w:val="00E2241A"/>
    <w:rsid w:val="00E22CDC"/>
    <w:rsid w:val="00E2370E"/>
    <w:rsid w:val="00E24461"/>
    <w:rsid w:val="00E24972"/>
    <w:rsid w:val="00E24A6B"/>
    <w:rsid w:val="00E24F8A"/>
    <w:rsid w:val="00E250E4"/>
    <w:rsid w:val="00E259F0"/>
    <w:rsid w:val="00E26275"/>
    <w:rsid w:val="00E2650D"/>
    <w:rsid w:val="00E27343"/>
    <w:rsid w:val="00E276C1"/>
    <w:rsid w:val="00E27A35"/>
    <w:rsid w:val="00E305C5"/>
    <w:rsid w:val="00E307C3"/>
    <w:rsid w:val="00E30A73"/>
    <w:rsid w:val="00E30D8D"/>
    <w:rsid w:val="00E30DBC"/>
    <w:rsid w:val="00E313D3"/>
    <w:rsid w:val="00E3160D"/>
    <w:rsid w:val="00E31692"/>
    <w:rsid w:val="00E31AD8"/>
    <w:rsid w:val="00E31D85"/>
    <w:rsid w:val="00E32670"/>
    <w:rsid w:val="00E335B4"/>
    <w:rsid w:val="00E33880"/>
    <w:rsid w:val="00E34727"/>
    <w:rsid w:val="00E34C2D"/>
    <w:rsid w:val="00E370A2"/>
    <w:rsid w:val="00E37412"/>
    <w:rsid w:val="00E40A5F"/>
    <w:rsid w:val="00E412DD"/>
    <w:rsid w:val="00E42CAB"/>
    <w:rsid w:val="00E42CD2"/>
    <w:rsid w:val="00E42DAF"/>
    <w:rsid w:val="00E439B8"/>
    <w:rsid w:val="00E44D50"/>
    <w:rsid w:val="00E4542C"/>
    <w:rsid w:val="00E4556F"/>
    <w:rsid w:val="00E45CD2"/>
    <w:rsid w:val="00E46972"/>
    <w:rsid w:val="00E46D15"/>
    <w:rsid w:val="00E46D35"/>
    <w:rsid w:val="00E46EB1"/>
    <w:rsid w:val="00E47A6C"/>
    <w:rsid w:val="00E47DF7"/>
    <w:rsid w:val="00E47E15"/>
    <w:rsid w:val="00E47F24"/>
    <w:rsid w:val="00E50644"/>
    <w:rsid w:val="00E50B38"/>
    <w:rsid w:val="00E52BC5"/>
    <w:rsid w:val="00E52D65"/>
    <w:rsid w:val="00E53887"/>
    <w:rsid w:val="00E53D2C"/>
    <w:rsid w:val="00E54EB5"/>
    <w:rsid w:val="00E567A9"/>
    <w:rsid w:val="00E57664"/>
    <w:rsid w:val="00E60E07"/>
    <w:rsid w:val="00E60E7C"/>
    <w:rsid w:val="00E60FF3"/>
    <w:rsid w:val="00E62377"/>
    <w:rsid w:val="00E62938"/>
    <w:rsid w:val="00E63112"/>
    <w:rsid w:val="00E6313D"/>
    <w:rsid w:val="00E63941"/>
    <w:rsid w:val="00E63A56"/>
    <w:rsid w:val="00E64021"/>
    <w:rsid w:val="00E64BA1"/>
    <w:rsid w:val="00E64BAA"/>
    <w:rsid w:val="00E64DE2"/>
    <w:rsid w:val="00E64F9E"/>
    <w:rsid w:val="00E66670"/>
    <w:rsid w:val="00E6740F"/>
    <w:rsid w:val="00E67F0F"/>
    <w:rsid w:val="00E70590"/>
    <w:rsid w:val="00E705A3"/>
    <w:rsid w:val="00E70894"/>
    <w:rsid w:val="00E7093E"/>
    <w:rsid w:val="00E70D9C"/>
    <w:rsid w:val="00E7102A"/>
    <w:rsid w:val="00E715AB"/>
    <w:rsid w:val="00E71E44"/>
    <w:rsid w:val="00E71FC8"/>
    <w:rsid w:val="00E725D9"/>
    <w:rsid w:val="00E72B13"/>
    <w:rsid w:val="00E731C2"/>
    <w:rsid w:val="00E7396D"/>
    <w:rsid w:val="00E74C56"/>
    <w:rsid w:val="00E7520B"/>
    <w:rsid w:val="00E8039F"/>
    <w:rsid w:val="00E80659"/>
    <w:rsid w:val="00E8086F"/>
    <w:rsid w:val="00E80E53"/>
    <w:rsid w:val="00E810F8"/>
    <w:rsid w:val="00E81AE5"/>
    <w:rsid w:val="00E83541"/>
    <w:rsid w:val="00E835A7"/>
    <w:rsid w:val="00E83960"/>
    <w:rsid w:val="00E8481C"/>
    <w:rsid w:val="00E84B66"/>
    <w:rsid w:val="00E84BE6"/>
    <w:rsid w:val="00E852C7"/>
    <w:rsid w:val="00E85FF8"/>
    <w:rsid w:val="00E863CE"/>
    <w:rsid w:val="00E86FEE"/>
    <w:rsid w:val="00E87CF7"/>
    <w:rsid w:val="00E90ADF"/>
    <w:rsid w:val="00E90BD6"/>
    <w:rsid w:val="00E91177"/>
    <w:rsid w:val="00E9240C"/>
    <w:rsid w:val="00E92649"/>
    <w:rsid w:val="00E92713"/>
    <w:rsid w:val="00E92A19"/>
    <w:rsid w:val="00E92E34"/>
    <w:rsid w:val="00E93A8B"/>
    <w:rsid w:val="00E94833"/>
    <w:rsid w:val="00E949AD"/>
    <w:rsid w:val="00E9635A"/>
    <w:rsid w:val="00E96D83"/>
    <w:rsid w:val="00EA0A07"/>
    <w:rsid w:val="00EA0AAA"/>
    <w:rsid w:val="00EA12CC"/>
    <w:rsid w:val="00EA1868"/>
    <w:rsid w:val="00EA1B9C"/>
    <w:rsid w:val="00EA2390"/>
    <w:rsid w:val="00EA2814"/>
    <w:rsid w:val="00EA2E3E"/>
    <w:rsid w:val="00EA3117"/>
    <w:rsid w:val="00EA32E0"/>
    <w:rsid w:val="00EA3722"/>
    <w:rsid w:val="00EA3AC8"/>
    <w:rsid w:val="00EA3D9B"/>
    <w:rsid w:val="00EA435D"/>
    <w:rsid w:val="00EA465D"/>
    <w:rsid w:val="00EA4C01"/>
    <w:rsid w:val="00EA4C4C"/>
    <w:rsid w:val="00EA4D94"/>
    <w:rsid w:val="00EA6165"/>
    <w:rsid w:val="00EA62FA"/>
    <w:rsid w:val="00EA7343"/>
    <w:rsid w:val="00EA7587"/>
    <w:rsid w:val="00EA77E3"/>
    <w:rsid w:val="00EA7A3A"/>
    <w:rsid w:val="00EB08EF"/>
    <w:rsid w:val="00EB0B8F"/>
    <w:rsid w:val="00EB1154"/>
    <w:rsid w:val="00EB1BF1"/>
    <w:rsid w:val="00EB30F4"/>
    <w:rsid w:val="00EB3488"/>
    <w:rsid w:val="00EB3B75"/>
    <w:rsid w:val="00EB40D9"/>
    <w:rsid w:val="00EB42FB"/>
    <w:rsid w:val="00EB4B69"/>
    <w:rsid w:val="00EB4F51"/>
    <w:rsid w:val="00EB5011"/>
    <w:rsid w:val="00EB52E8"/>
    <w:rsid w:val="00EB693F"/>
    <w:rsid w:val="00EB6E9A"/>
    <w:rsid w:val="00EB6F58"/>
    <w:rsid w:val="00EB7771"/>
    <w:rsid w:val="00EC0268"/>
    <w:rsid w:val="00EC042C"/>
    <w:rsid w:val="00EC167F"/>
    <w:rsid w:val="00EC208A"/>
    <w:rsid w:val="00EC436C"/>
    <w:rsid w:val="00EC5EB9"/>
    <w:rsid w:val="00EC762E"/>
    <w:rsid w:val="00ED0228"/>
    <w:rsid w:val="00ED053A"/>
    <w:rsid w:val="00ED0A98"/>
    <w:rsid w:val="00ED0B68"/>
    <w:rsid w:val="00ED0BFF"/>
    <w:rsid w:val="00ED1380"/>
    <w:rsid w:val="00ED1A48"/>
    <w:rsid w:val="00ED1F57"/>
    <w:rsid w:val="00ED2052"/>
    <w:rsid w:val="00ED274F"/>
    <w:rsid w:val="00ED2BE8"/>
    <w:rsid w:val="00ED2E20"/>
    <w:rsid w:val="00ED33B4"/>
    <w:rsid w:val="00ED48AC"/>
    <w:rsid w:val="00ED4CF1"/>
    <w:rsid w:val="00ED5CF6"/>
    <w:rsid w:val="00ED6D28"/>
    <w:rsid w:val="00ED6DB3"/>
    <w:rsid w:val="00ED6FDF"/>
    <w:rsid w:val="00EE007D"/>
    <w:rsid w:val="00EE0A16"/>
    <w:rsid w:val="00EE0BB1"/>
    <w:rsid w:val="00EE151D"/>
    <w:rsid w:val="00EE176C"/>
    <w:rsid w:val="00EE18F1"/>
    <w:rsid w:val="00EE1D3D"/>
    <w:rsid w:val="00EE2FC9"/>
    <w:rsid w:val="00EE3311"/>
    <w:rsid w:val="00EE3487"/>
    <w:rsid w:val="00EE34DE"/>
    <w:rsid w:val="00EE3AC1"/>
    <w:rsid w:val="00EE41BA"/>
    <w:rsid w:val="00EE447B"/>
    <w:rsid w:val="00EE5042"/>
    <w:rsid w:val="00EE541B"/>
    <w:rsid w:val="00EE550A"/>
    <w:rsid w:val="00EE5AD7"/>
    <w:rsid w:val="00EE5B4F"/>
    <w:rsid w:val="00EE6D7F"/>
    <w:rsid w:val="00EE714E"/>
    <w:rsid w:val="00EE78F0"/>
    <w:rsid w:val="00EE7D50"/>
    <w:rsid w:val="00EF1841"/>
    <w:rsid w:val="00EF2399"/>
    <w:rsid w:val="00EF2D40"/>
    <w:rsid w:val="00EF2D93"/>
    <w:rsid w:val="00EF3701"/>
    <w:rsid w:val="00EF393F"/>
    <w:rsid w:val="00EF3A5D"/>
    <w:rsid w:val="00EF3E34"/>
    <w:rsid w:val="00EF492A"/>
    <w:rsid w:val="00EF55E8"/>
    <w:rsid w:val="00EF5B30"/>
    <w:rsid w:val="00EF68D0"/>
    <w:rsid w:val="00EF7DD5"/>
    <w:rsid w:val="00F000E4"/>
    <w:rsid w:val="00F009B0"/>
    <w:rsid w:val="00F00CDA"/>
    <w:rsid w:val="00F016B3"/>
    <w:rsid w:val="00F02B3E"/>
    <w:rsid w:val="00F02F4C"/>
    <w:rsid w:val="00F034CA"/>
    <w:rsid w:val="00F03599"/>
    <w:rsid w:val="00F03862"/>
    <w:rsid w:val="00F04240"/>
    <w:rsid w:val="00F04327"/>
    <w:rsid w:val="00F053F1"/>
    <w:rsid w:val="00F05FC3"/>
    <w:rsid w:val="00F061B2"/>
    <w:rsid w:val="00F061F2"/>
    <w:rsid w:val="00F062A7"/>
    <w:rsid w:val="00F06C87"/>
    <w:rsid w:val="00F1074B"/>
    <w:rsid w:val="00F1080E"/>
    <w:rsid w:val="00F10F0F"/>
    <w:rsid w:val="00F115CF"/>
    <w:rsid w:val="00F125AA"/>
    <w:rsid w:val="00F1262A"/>
    <w:rsid w:val="00F126AE"/>
    <w:rsid w:val="00F128C4"/>
    <w:rsid w:val="00F129D7"/>
    <w:rsid w:val="00F139F8"/>
    <w:rsid w:val="00F13C4A"/>
    <w:rsid w:val="00F13EF6"/>
    <w:rsid w:val="00F1454E"/>
    <w:rsid w:val="00F14CAA"/>
    <w:rsid w:val="00F14EAE"/>
    <w:rsid w:val="00F1553C"/>
    <w:rsid w:val="00F166AE"/>
    <w:rsid w:val="00F168AF"/>
    <w:rsid w:val="00F16CA2"/>
    <w:rsid w:val="00F17330"/>
    <w:rsid w:val="00F1749A"/>
    <w:rsid w:val="00F17947"/>
    <w:rsid w:val="00F17D67"/>
    <w:rsid w:val="00F20341"/>
    <w:rsid w:val="00F2066C"/>
    <w:rsid w:val="00F20B8F"/>
    <w:rsid w:val="00F2127E"/>
    <w:rsid w:val="00F21EA5"/>
    <w:rsid w:val="00F22140"/>
    <w:rsid w:val="00F22B16"/>
    <w:rsid w:val="00F23277"/>
    <w:rsid w:val="00F24EB4"/>
    <w:rsid w:val="00F25B9A"/>
    <w:rsid w:val="00F26010"/>
    <w:rsid w:val="00F260B5"/>
    <w:rsid w:val="00F26EC2"/>
    <w:rsid w:val="00F270EF"/>
    <w:rsid w:val="00F275FD"/>
    <w:rsid w:val="00F27A19"/>
    <w:rsid w:val="00F27DA1"/>
    <w:rsid w:val="00F30149"/>
    <w:rsid w:val="00F308BC"/>
    <w:rsid w:val="00F30F79"/>
    <w:rsid w:val="00F311AE"/>
    <w:rsid w:val="00F32266"/>
    <w:rsid w:val="00F32277"/>
    <w:rsid w:val="00F323A2"/>
    <w:rsid w:val="00F32480"/>
    <w:rsid w:val="00F3299D"/>
    <w:rsid w:val="00F3322D"/>
    <w:rsid w:val="00F33C28"/>
    <w:rsid w:val="00F341AB"/>
    <w:rsid w:val="00F3495F"/>
    <w:rsid w:val="00F34EDF"/>
    <w:rsid w:val="00F35FE9"/>
    <w:rsid w:val="00F35FF2"/>
    <w:rsid w:val="00F361CF"/>
    <w:rsid w:val="00F374D0"/>
    <w:rsid w:val="00F37DE0"/>
    <w:rsid w:val="00F402E6"/>
    <w:rsid w:val="00F40D84"/>
    <w:rsid w:val="00F41AE2"/>
    <w:rsid w:val="00F41EED"/>
    <w:rsid w:val="00F42109"/>
    <w:rsid w:val="00F430B6"/>
    <w:rsid w:val="00F43460"/>
    <w:rsid w:val="00F436F8"/>
    <w:rsid w:val="00F437E0"/>
    <w:rsid w:val="00F43BAA"/>
    <w:rsid w:val="00F43F45"/>
    <w:rsid w:val="00F4406D"/>
    <w:rsid w:val="00F44F24"/>
    <w:rsid w:val="00F454A1"/>
    <w:rsid w:val="00F4600D"/>
    <w:rsid w:val="00F46487"/>
    <w:rsid w:val="00F46D65"/>
    <w:rsid w:val="00F47030"/>
    <w:rsid w:val="00F4711B"/>
    <w:rsid w:val="00F47664"/>
    <w:rsid w:val="00F47E59"/>
    <w:rsid w:val="00F50A6E"/>
    <w:rsid w:val="00F51557"/>
    <w:rsid w:val="00F517B5"/>
    <w:rsid w:val="00F527BC"/>
    <w:rsid w:val="00F52BE7"/>
    <w:rsid w:val="00F52EE7"/>
    <w:rsid w:val="00F53184"/>
    <w:rsid w:val="00F53C7B"/>
    <w:rsid w:val="00F53D74"/>
    <w:rsid w:val="00F54378"/>
    <w:rsid w:val="00F543EE"/>
    <w:rsid w:val="00F54604"/>
    <w:rsid w:val="00F566FD"/>
    <w:rsid w:val="00F57684"/>
    <w:rsid w:val="00F57E78"/>
    <w:rsid w:val="00F60283"/>
    <w:rsid w:val="00F60C3A"/>
    <w:rsid w:val="00F60D87"/>
    <w:rsid w:val="00F60F0F"/>
    <w:rsid w:val="00F6110D"/>
    <w:rsid w:val="00F612DD"/>
    <w:rsid w:val="00F6190D"/>
    <w:rsid w:val="00F62587"/>
    <w:rsid w:val="00F625E7"/>
    <w:rsid w:val="00F62626"/>
    <w:rsid w:val="00F62E8D"/>
    <w:rsid w:val="00F638CC"/>
    <w:rsid w:val="00F63B87"/>
    <w:rsid w:val="00F6449E"/>
    <w:rsid w:val="00F64B82"/>
    <w:rsid w:val="00F65114"/>
    <w:rsid w:val="00F6537C"/>
    <w:rsid w:val="00F65634"/>
    <w:rsid w:val="00F65A28"/>
    <w:rsid w:val="00F65DA4"/>
    <w:rsid w:val="00F65DF4"/>
    <w:rsid w:val="00F66030"/>
    <w:rsid w:val="00F66429"/>
    <w:rsid w:val="00F66AAC"/>
    <w:rsid w:val="00F67600"/>
    <w:rsid w:val="00F677CC"/>
    <w:rsid w:val="00F67DC2"/>
    <w:rsid w:val="00F70005"/>
    <w:rsid w:val="00F703CB"/>
    <w:rsid w:val="00F710C1"/>
    <w:rsid w:val="00F71502"/>
    <w:rsid w:val="00F7240E"/>
    <w:rsid w:val="00F72F57"/>
    <w:rsid w:val="00F74D4B"/>
    <w:rsid w:val="00F74DE6"/>
    <w:rsid w:val="00F7517B"/>
    <w:rsid w:val="00F75A19"/>
    <w:rsid w:val="00F75E8A"/>
    <w:rsid w:val="00F75FBC"/>
    <w:rsid w:val="00F76045"/>
    <w:rsid w:val="00F7608C"/>
    <w:rsid w:val="00F76CF6"/>
    <w:rsid w:val="00F771B5"/>
    <w:rsid w:val="00F77819"/>
    <w:rsid w:val="00F7794A"/>
    <w:rsid w:val="00F805AA"/>
    <w:rsid w:val="00F80972"/>
    <w:rsid w:val="00F811C5"/>
    <w:rsid w:val="00F81261"/>
    <w:rsid w:val="00F81963"/>
    <w:rsid w:val="00F81E02"/>
    <w:rsid w:val="00F821B8"/>
    <w:rsid w:val="00F839DB"/>
    <w:rsid w:val="00F8417D"/>
    <w:rsid w:val="00F84362"/>
    <w:rsid w:val="00F85AAC"/>
    <w:rsid w:val="00F85DB2"/>
    <w:rsid w:val="00F85E07"/>
    <w:rsid w:val="00F863C6"/>
    <w:rsid w:val="00F86473"/>
    <w:rsid w:val="00F86AAC"/>
    <w:rsid w:val="00F87376"/>
    <w:rsid w:val="00F87481"/>
    <w:rsid w:val="00F9019C"/>
    <w:rsid w:val="00F90239"/>
    <w:rsid w:val="00F903E9"/>
    <w:rsid w:val="00F91386"/>
    <w:rsid w:val="00F914E9"/>
    <w:rsid w:val="00F916E3"/>
    <w:rsid w:val="00F94033"/>
    <w:rsid w:val="00F9475A"/>
    <w:rsid w:val="00F94B07"/>
    <w:rsid w:val="00F9565B"/>
    <w:rsid w:val="00F95D20"/>
    <w:rsid w:val="00F96558"/>
    <w:rsid w:val="00F96A9C"/>
    <w:rsid w:val="00F96DF1"/>
    <w:rsid w:val="00F96F1C"/>
    <w:rsid w:val="00FA0188"/>
    <w:rsid w:val="00FA063E"/>
    <w:rsid w:val="00FA089C"/>
    <w:rsid w:val="00FA1501"/>
    <w:rsid w:val="00FA1EA0"/>
    <w:rsid w:val="00FA313F"/>
    <w:rsid w:val="00FA35B6"/>
    <w:rsid w:val="00FA35DB"/>
    <w:rsid w:val="00FA3CB6"/>
    <w:rsid w:val="00FA3FF8"/>
    <w:rsid w:val="00FA41EE"/>
    <w:rsid w:val="00FA5C9E"/>
    <w:rsid w:val="00FA5F91"/>
    <w:rsid w:val="00FA6070"/>
    <w:rsid w:val="00FA6DC4"/>
    <w:rsid w:val="00FA724D"/>
    <w:rsid w:val="00FA7503"/>
    <w:rsid w:val="00FA7D64"/>
    <w:rsid w:val="00FB09EF"/>
    <w:rsid w:val="00FB0EE8"/>
    <w:rsid w:val="00FB10C1"/>
    <w:rsid w:val="00FB1A9E"/>
    <w:rsid w:val="00FB2392"/>
    <w:rsid w:val="00FB29B7"/>
    <w:rsid w:val="00FB2B5D"/>
    <w:rsid w:val="00FB4450"/>
    <w:rsid w:val="00FB4E1A"/>
    <w:rsid w:val="00FB52E4"/>
    <w:rsid w:val="00FB6D1A"/>
    <w:rsid w:val="00FC0155"/>
    <w:rsid w:val="00FC1606"/>
    <w:rsid w:val="00FC1947"/>
    <w:rsid w:val="00FC2393"/>
    <w:rsid w:val="00FC25B3"/>
    <w:rsid w:val="00FC3264"/>
    <w:rsid w:val="00FC3E2F"/>
    <w:rsid w:val="00FC3E37"/>
    <w:rsid w:val="00FC40F8"/>
    <w:rsid w:val="00FC4D50"/>
    <w:rsid w:val="00FC5199"/>
    <w:rsid w:val="00FC51AD"/>
    <w:rsid w:val="00FC5491"/>
    <w:rsid w:val="00FC5DE4"/>
    <w:rsid w:val="00FC696E"/>
    <w:rsid w:val="00FC6B8F"/>
    <w:rsid w:val="00FC7139"/>
    <w:rsid w:val="00FC7D46"/>
    <w:rsid w:val="00FC7D91"/>
    <w:rsid w:val="00FD0632"/>
    <w:rsid w:val="00FD068D"/>
    <w:rsid w:val="00FD10E8"/>
    <w:rsid w:val="00FD1580"/>
    <w:rsid w:val="00FD1F06"/>
    <w:rsid w:val="00FD21DC"/>
    <w:rsid w:val="00FD24F2"/>
    <w:rsid w:val="00FD2927"/>
    <w:rsid w:val="00FD2A79"/>
    <w:rsid w:val="00FD39BC"/>
    <w:rsid w:val="00FD4787"/>
    <w:rsid w:val="00FD4F50"/>
    <w:rsid w:val="00FD57BC"/>
    <w:rsid w:val="00FD5843"/>
    <w:rsid w:val="00FD589C"/>
    <w:rsid w:val="00FD5923"/>
    <w:rsid w:val="00FD5A14"/>
    <w:rsid w:val="00FD68F9"/>
    <w:rsid w:val="00FD6A23"/>
    <w:rsid w:val="00FD6C36"/>
    <w:rsid w:val="00FD7830"/>
    <w:rsid w:val="00FE02F1"/>
    <w:rsid w:val="00FE0A4A"/>
    <w:rsid w:val="00FE0B7B"/>
    <w:rsid w:val="00FE0D5B"/>
    <w:rsid w:val="00FE1747"/>
    <w:rsid w:val="00FE2D7F"/>
    <w:rsid w:val="00FE3693"/>
    <w:rsid w:val="00FE3834"/>
    <w:rsid w:val="00FE3B93"/>
    <w:rsid w:val="00FE5940"/>
    <w:rsid w:val="00FE59D1"/>
    <w:rsid w:val="00FE61F2"/>
    <w:rsid w:val="00FE64CC"/>
    <w:rsid w:val="00FF05A7"/>
    <w:rsid w:val="00FF0624"/>
    <w:rsid w:val="00FF072D"/>
    <w:rsid w:val="00FF0755"/>
    <w:rsid w:val="00FF0A4B"/>
    <w:rsid w:val="00FF2A0B"/>
    <w:rsid w:val="00FF3C7B"/>
    <w:rsid w:val="00FF3D17"/>
    <w:rsid w:val="00FF3F97"/>
    <w:rsid w:val="00FF42D6"/>
    <w:rsid w:val="00FF4429"/>
    <w:rsid w:val="00FF4C55"/>
    <w:rsid w:val="00FF4DB3"/>
    <w:rsid w:val="00FF5BC7"/>
    <w:rsid w:val="00FF5C5D"/>
    <w:rsid w:val="00FF6DCD"/>
    <w:rsid w:val="01BDF112"/>
    <w:rsid w:val="01E108BC"/>
    <w:rsid w:val="023BC1BB"/>
    <w:rsid w:val="025B60CC"/>
    <w:rsid w:val="02781B0F"/>
    <w:rsid w:val="0332D757"/>
    <w:rsid w:val="03451B19"/>
    <w:rsid w:val="0388DDEC"/>
    <w:rsid w:val="03C63F59"/>
    <w:rsid w:val="03E091A8"/>
    <w:rsid w:val="03EF8BD3"/>
    <w:rsid w:val="04D754C0"/>
    <w:rsid w:val="061BB66B"/>
    <w:rsid w:val="0622C643"/>
    <w:rsid w:val="0683D287"/>
    <w:rsid w:val="070AEFC5"/>
    <w:rsid w:val="077079A2"/>
    <w:rsid w:val="07767E34"/>
    <w:rsid w:val="082E05F7"/>
    <w:rsid w:val="0844F56C"/>
    <w:rsid w:val="08CFD717"/>
    <w:rsid w:val="092A4258"/>
    <w:rsid w:val="09391483"/>
    <w:rsid w:val="09A6437E"/>
    <w:rsid w:val="09EC22F1"/>
    <w:rsid w:val="0A953439"/>
    <w:rsid w:val="0ADB1525"/>
    <w:rsid w:val="0B5F9E7F"/>
    <w:rsid w:val="0B9CEF72"/>
    <w:rsid w:val="0BAC8C4D"/>
    <w:rsid w:val="0BB021BE"/>
    <w:rsid w:val="0BD61FCA"/>
    <w:rsid w:val="0C66B8F0"/>
    <w:rsid w:val="0C8B9A29"/>
    <w:rsid w:val="0D4969B6"/>
    <w:rsid w:val="0E2759AE"/>
    <w:rsid w:val="0E874020"/>
    <w:rsid w:val="0FAB789F"/>
    <w:rsid w:val="0FC6892B"/>
    <w:rsid w:val="101D0A4C"/>
    <w:rsid w:val="10B3157E"/>
    <w:rsid w:val="10C1C09F"/>
    <w:rsid w:val="10E1C4B1"/>
    <w:rsid w:val="112C9D69"/>
    <w:rsid w:val="11526DB0"/>
    <w:rsid w:val="11942517"/>
    <w:rsid w:val="11D32386"/>
    <w:rsid w:val="120148B1"/>
    <w:rsid w:val="1395EAEA"/>
    <w:rsid w:val="14232085"/>
    <w:rsid w:val="142B8EB8"/>
    <w:rsid w:val="14CB9F82"/>
    <w:rsid w:val="150D0DB9"/>
    <w:rsid w:val="150F1272"/>
    <w:rsid w:val="15623277"/>
    <w:rsid w:val="1568E4D3"/>
    <w:rsid w:val="1577A713"/>
    <w:rsid w:val="15D83B0E"/>
    <w:rsid w:val="17DAD5F9"/>
    <w:rsid w:val="18AE8BB9"/>
    <w:rsid w:val="1927469B"/>
    <w:rsid w:val="1931D0B8"/>
    <w:rsid w:val="19660668"/>
    <w:rsid w:val="19970390"/>
    <w:rsid w:val="19CD2EC2"/>
    <w:rsid w:val="1A05450D"/>
    <w:rsid w:val="1A1093F5"/>
    <w:rsid w:val="1A2AB871"/>
    <w:rsid w:val="1AAD0DF2"/>
    <w:rsid w:val="1AC8AE45"/>
    <w:rsid w:val="1ADEE14A"/>
    <w:rsid w:val="1B39F397"/>
    <w:rsid w:val="1B7B82E1"/>
    <w:rsid w:val="1BCF7B37"/>
    <w:rsid w:val="1BDA384B"/>
    <w:rsid w:val="1C401225"/>
    <w:rsid w:val="1C770AC5"/>
    <w:rsid w:val="1C9C5E0B"/>
    <w:rsid w:val="1CB89EEE"/>
    <w:rsid w:val="1CF83639"/>
    <w:rsid w:val="1D25083E"/>
    <w:rsid w:val="1D7C6AB8"/>
    <w:rsid w:val="1DB467AC"/>
    <w:rsid w:val="1DD43D2B"/>
    <w:rsid w:val="1DDCA304"/>
    <w:rsid w:val="1DF4353C"/>
    <w:rsid w:val="1F1469BB"/>
    <w:rsid w:val="1F3B2B33"/>
    <w:rsid w:val="1F569101"/>
    <w:rsid w:val="1F7FC09F"/>
    <w:rsid w:val="20687F17"/>
    <w:rsid w:val="206F9ADD"/>
    <w:rsid w:val="20927F5C"/>
    <w:rsid w:val="20CA00AD"/>
    <w:rsid w:val="2100D9B2"/>
    <w:rsid w:val="219902BA"/>
    <w:rsid w:val="21D139E6"/>
    <w:rsid w:val="2231B333"/>
    <w:rsid w:val="228390FA"/>
    <w:rsid w:val="228BEC6F"/>
    <w:rsid w:val="23472D1E"/>
    <w:rsid w:val="235C7F18"/>
    <w:rsid w:val="23BD5A45"/>
    <w:rsid w:val="23C9F2D9"/>
    <w:rsid w:val="23E74725"/>
    <w:rsid w:val="23EC3A25"/>
    <w:rsid w:val="240BD6AD"/>
    <w:rsid w:val="2447B6F1"/>
    <w:rsid w:val="2478BBD8"/>
    <w:rsid w:val="249AAFFE"/>
    <w:rsid w:val="24E5CA9E"/>
    <w:rsid w:val="254A63E7"/>
    <w:rsid w:val="25CB497D"/>
    <w:rsid w:val="25E983C2"/>
    <w:rsid w:val="261FDBDF"/>
    <w:rsid w:val="2638F5E6"/>
    <w:rsid w:val="264B3C0E"/>
    <w:rsid w:val="2650D6B1"/>
    <w:rsid w:val="26D2E467"/>
    <w:rsid w:val="270CBA3F"/>
    <w:rsid w:val="271C439E"/>
    <w:rsid w:val="27961BEC"/>
    <w:rsid w:val="279B57D9"/>
    <w:rsid w:val="27AA4B85"/>
    <w:rsid w:val="27B5DC6E"/>
    <w:rsid w:val="27BDB880"/>
    <w:rsid w:val="27CD8B0E"/>
    <w:rsid w:val="27D8A742"/>
    <w:rsid w:val="2898A37D"/>
    <w:rsid w:val="28AF3B31"/>
    <w:rsid w:val="28D0B18E"/>
    <w:rsid w:val="28F00C8C"/>
    <w:rsid w:val="29A29EE0"/>
    <w:rsid w:val="29A48496"/>
    <w:rsid w:val="29A6C9D4"/>
    <w:rsid w:val="29D62812"/>
    <w:rsid w:val="2A130EFF"/>
    <w:rsid w:val="2A24F157"/>
    <w:rsid w:val="2B30880B"/>
    <w:rsid w:val="2B7E5B7A"/>
    <w:rsid w:val="2BFEE67A"/>
    <w:rsid w:val="2C69CC40"/>
    <w:rsid w:val="2C6E82B2"/>
    <w:rsid w:val="2C70065C"/>
    <w:rsid w:val="2CD31B93"/>
    <w:rsid w:val="2DCD2F07"/>
    <w:rsid w:val="2DE10816"/>
    <w:rsid w:val="2EAD7B89"/>
    <w:rsid w:val="2EEF2CC9"/>
    <w:rsid w:val="2F4381BF"/>
    <w:rsid w:val="2F9E24B3"/>
    <w:rsid w:val="2FA9739B"/>
    <w:rsid w:val="2FBEBC93"/>
    <w:rsid w:val="306692D2"/>
    <w:rsid w:val="30D87839"/>
    <w:rsid w:val="312AF978"/>
    <w:rsid w:val="317AA9B5"/>
    <w:rsid w:val="31C2349F"/>
    <w:rsid w:val="31FA0D9C"/>
    <w:rsid w:val="31FC498A"/>
    <w:rsid w:val="320BD7B8"/>
    <w:rsid w:val="324F7615"/>
    <w:rsid w:val="32AFBF8B"/>
    <w:rsid w:val="33120105"/>
    <w:rsid w:val="331D548A"/>
    <w:rsid w:val="3321ABF4"/>
    <w:rsid w:val="33238AE8"/>
    <w:rsid w:val="333B99F0"/>
    <w:rsid w:val="336AD0F0"/>
    <w:rsid w:val="33952A7E"/>
    <w:rsid w:val="344586A5"/>
    <w:rsid w:val="3485D4DF"/>
    <w:rsid w:val="34A02614"/>
    <w:rsid w:val="35512F62"/>
    <w:rsid w:val="356AA162"/>
    <w:rsid w:val="356CD952"/>
    <w:rsid w:val="3597865F"/>
    <w:rsid w:val="35C87F54"/>
    <w:rsid w:val="3649A1C7"/>
    <w:rsid w:val="36641592"/>
    <w:rsid w:val="36B04FAE"/>
    <w:rsid w:val="36C03534"/>
    <w:rsid w:val="36CCBB51"/>
    <w:rsid w:val="378800C2"/>
    <w:rsid w:val="37D5A2AF"/>
    <w:rsid w:val="3826558E"/>
    <w:rsid w:val="382E4F54"/>
    <w:rsid w:val="3863152F"/>
    <w:rsid w:val="39565278"/>
    <w:rsid w:val="3993566B"/>
    <w:rsid w:val="39BDB6CF"/>
    <w:rsid w:val="39C225EF"/>
    <w:rsid w:val="39C4ED71"/>
    <w:rsid w:val="3AE346F1"/>
    <w:rsid w:val="3B0791B9"/>
    <w:rsid w:val="3B6A80B7"/>
    <w:rsid w:val="3B8031A1"/>
    <w:rsid w:val="3BC2FC8F"/>
    <w:rsid w:val="3BF697C9"/>
    <w:rsid w:val="3BFF5078"/>
    <w:rsid w:val="3D070AB2"/>
    <w:rsid w:val="3D32A8E1"/>
    <w:rsid w:val="3D34FD5B"/>
    <w:rsid w:val="3D9CD6C5"/>
    <w:rsid w:val="3DAD0C91"/>
    <w:rsid w:val="3DAFA834"/>
    <w:rsid w:val="3DD1113B"/>
    <w:rsid w:val="3E16E305"/>
    <w:rsid w:val="3E84AAB7"/>
    <w:rsid w:val="3E92E327"/>
    <w:rsid w:val="3EA2E89A"/>
    <w:rsid w:val="3EC70AEF"/>
    <w:rsid w:val="3F089D0B"/>
    <w:rsid w:val="3F1F5003"/>
    <w:rsid w:val="3F4C383D"/>
    <w:rsid w:val="3F79886E"/>
    <w:rsid w:val="3FD75BB0"/>
    <w:rsid w:val="3FE86251"/>
    <w:rsid w:val="401B611B"/>
    <w:rsid w:val="40E47B20"/>
    <w:rsid w:val="419CB553"/>
    <w:rsid w:val="427A0822"/>
    <w:rsid w:val="42DCFB25"/>
    <w:rsid w:val="430AD2C6"/>
    <w:rsid w:val="43EA391B"/>
    <w:rsid w:val="443C8C42"/>
    <w:rsid w:val="4444AD07"/>
    <w:rsid w:val="4452D3AD"/>
    <w:rsid w:val="446E657D"/>
    <w:rsid w:val="44778040"/>
    <w:rsid w:val="44A91CD9"/>
    <w:rsid w:val="44FB2FA1"/>
    <w:rsid w:val="4566C839"/>
    <w:rsid w:val="459E8FC6"/>
    <w:rsid w:val="45AF3AEB"/>
    <w:rsid w:val="463C57A4"/>
    <w:rsid w:val="46453A85"/>
    <w:rsid w:val="46C88B4D"/>
    <w:rsid w:val="46FF8C86"/>
    <w:rsid w:val="4763F912"/>
    <w:rsid w:val="47887D29"/>
    <w:rsid w:val="47DECA03"/>
    <w:rsid w:val="47E0D780"/>
    <w:rsid w:val="47FCC001"/>
    <w:rsid w:val="482AB15E"/>
    <w:rsid w:val="4838781D"/>
    <w:rsid w:val="4841D122"/>
    <w:rsid w:val="4852D90A"/>
    <w:rsid w:val="485910A1"/>
    <w:rsid w:val="4865A3B8"/>
    <w:rsid w:val="48D63088"/>
    <w:rsid w:val="4943CECE"/>
    <w:rsid w:val="4A2A6700"/>
    <w:rsid w:val="4A321D3C"/>
    <w:rsid w:val="4A7E6763"/>
    <w:rsid w:val="4A82C552"/>
    <w:rsid w:val="4A930B06"/>
    <w:rsid w:val="4AB9FDD6"/>
    <w:rsid w:val="4B2A68DC"/>
    <w:rsid w:val="4B43C8A8"/>
    <w:rsid w:val="4B7018DF"/>
    <w:rsid w:val="4B803425"/>
    <w:rsid w:val="4BC814E4"/>
    <w:rsid w:val="4C2A6288"/>
    <w:rsid w:val="4C64CF37"/>
    <w:rsid w:val="4C8027EA"/>
    <w:rsid w:val="4CC5A52E"/>
    <w:rsid w:val="4D21F804"/>
    <w:rsid w:val="4D9B601A"/>
    <w:rsid w:val="4DB5F636"/>
    <w:rsid w:val="4DC25F95"/>
    <w:rsid w:val="4E291CE8"/>
    <w:rsid w:val="4E2B1667"/>
    <w:rsid w:val="4E706621"/>
    <w:rsid w:val="4ECCB681"/>
    <w:rsid w:val="4F35A293"/>
    <w:rsid w:val="4F83202C"/>
    <w:rsid w:val="500C3682"/>
    <w:rsid w:val="50194266"/>
    <w:rsid w:val="50A898BF"/>
    <w:rsid w:val="50FDA381"/>
    <w:rsid w:val="511F2004"/>
    <w:rsid w:val="51461F54"/>
    <w:rsid w:val="51BAD64C"/>
    <w:rsid w:val="51D5EDA6"/>
    <w:rsid w:val="52446920"/>
    <w:rsid w:val="52DDA432"/>
    <w:rsid w:val="54169BBD"/>
    <w:rsid w:val="541C0190"/>
    <w:rsid w:val="54A75CDB"/>
    <w:rsid w:val="54B77B16"/>
    <w:rsid w:val="5508528E"/>
    <w:rsid w:val="5516F875"/>
    <w:rsid w:val="557D763E"/>
    <w:rsid w:val="55956FAB"/>
    <w:rsid w:val="5611DCC6"/>
    <w:rsid w:val="562E165C"/>
    <w:rsid w:val="56306809"/>
    <w:rsid w:val="56434A68"/>
    <w:rsid w:val="569E572A"/>
    <w:rsid w:val="571CAF81"/>
    <w:rsid w:val="57334E13"/>
    <w:rsid w:val="5834776B"/>
    <w:rsid w:val="5923C7ED"/>
    <w:rsid w:val="593808DC"/>
    <w:rsid w:val="5939D9DC"/>
    <w:rsid w:val="5946B3FD"/>
    <w:rsid w:val="59AE2821"/>
    <w:rsid w:val="5A46C52C"/>
    <w:rsid w:val="5A666FCF"/>
    <w:rsid w:val="5B148977"/>
    <w:rsid w:val="5B976135"/>
    <w:rsid w:val="5BAEF2AE"/>
    <w:rsid w:val="5C1C1321"/>
    <w:rsid w:val="5C486CF1"/>
    <w:rsid w:val="5C9216A9"/>
    <w:rsid w:val="5CA663E3"/>
    <w:rsid w:val="5D317F62"/>
    <w:rsid w:val="5D3ADA93"/>
    <w:rsid w:val="5D5CF761"/>
    <w:rsid w:val="5D762ED5"/>
    <w:rsid w:val="5DBD65A5"/>
    <w:rsid w:val="5DDE8A82"/>
    <w:rsid w:val="5DDFB056"/>
    <w:rsid w:val="5DE83377"/>
    <w:rsid w:val="5E1C75DB"/>
    <w:rsid w:val="5E7B9146"/>
    <w:rsid w:val="5EA45BE1"/>
    <w:rsid w:val="5EEF368B"/>
    <w:rsid w:val="5FD762E6"/>
    <w:rsid w:val="5FEE9AAA"/>
    <w:rsid w:val="606A2B4B"/>
    <w:rsid w:val="611247D7"/>
    <w:rsid w:val="615FF288"/>
    <w:rsid w:val="6169CB48"/>
    <w:rsid w:val="61D80E53"/>
    <w:rsid w:val="625CA137"/>
    <w:rsid w:val="6267433A"/>
    <w:rsid w:val="6303D4DE"/>
    <w:rsid w:val="635AD6F3"/>
    <w:rsid w:val="63A00D11"/>
    <w:rsid w:val="63B93C39"/>
    <w:rsid w:val="6450F334"/>
    <w:rsid w:val="64AC7738"/>
    <w:rsid w:val="65669F94"/>
    <w:rsid w:val="6587E490"/>
    <w:rsid w:val="65A0EF3B"/>
    <w:rsid w:val="65B4FFBD"/>
    <w:rsid w:val="661455A0"/>
    <w:rsid w:val="6672703F"/>
    <w:rsid w:val="66B7B479"/>
    <w:rsid w:val="6867BA49"/>
    <w:rsid w:val="68A61F38"/>
    <w:rsid w:val="68B35D1B"/>
    <w:rsid w:val="68E323B3"/>
    <w:rsid w:val="69D83492"/>
    <w:rsid w:val="69E3B133"/>
    <w:rsid w:val="6A3FDD57"/>
    <w:rsid w:val="6A634F8A"/>
    <w:rsid w:val="6A918970"/>
    <w:rsid w:val="6B220D52"/>
    <w:rsid w:val="6B2F3018"/>
    <w:rsid w:val="6B3B4CCD"/>
    <w:rsid w:val="6B80E81A"/>
    <w:rsid w:val="6C265CEF"/>
    <w:rsid w:val="6C4C9735"/>
    <w:rsid w:val="6CBE2074"/>
    <w:rsid w:val="6D3367BC"/>
    <w:rsid w:val="6D46C438"/>
    <w:rsid w:val="6D4FADDD"/>
    <w:rsid w:val="6D8EA006"/>
    <w:rsid w:val="6E103264"/>
    <w:rsid w:val="6E4C872F"/>
    <w:rsid w:val="6E68469D"/>
    <w:rsid w:val="6EC66B23"/>
    <w:rsid w:val="6ED8F329"/>
    <w:rsid w:val="6F08F600"/>
    <w:rsid w:val="6F658E1C"/>
    <w:rsid w:val="6F8A17B4"/>
    <w:rsid w:val="6F8F3C40"/>
    <w:rsid w:val="70015AD3"/>
    <w:rsid w:val="704115C2"/>
    <w:rsid w:val="70F2A364"/>
    <w:rsid w:val="71B028CF"/>
    <w:rsid w:val="71F53F8E"/>
    <w:rsid w:val="72549B53"/>
    <w:rsid w:val="72573055"/>
    <w:rsid w:val="727723DC"/>
    <w:rsid w:val="733FAB84"/>
    <w:rsid w:val="737BF6EA"/>
    <w:rsid w:val="73CD9A82"/>
    <w:rsid w:val="73F0A2B2"/>
    <w:rsid w:val="7404E26F"/>
    <w:rsid w:val="74B30682"/>
    <w:rsid w:val="7571A082"/>
    <w:rsid w:val="75C6886F"/>
    <w:rsid w:val="75F9CE26"/>
    <w:rsid w:val="762F486C"/>
    <w:rsid w:val="768382DA"/>
    <w:rsid w:val="769CA924"/>
    <w:rsid w:val="76B0DDFB"/>
    <w:rsid w:val="7704E5ED"/>
    <w:rsid w:val="775AA168"/>
    <w:rsid w:val="7771E04A"/>
    <w:rsid w:val="77A6A546"/>
    <w:rsid w:val="77CDF022"/>
    <w:rsid w:val="78160694"/>
    <w:rsid w:val="78206711"/>
    <w:rsid w:val="7845AEE0"/>
    <w:rsid w:val="78601A0B"/>
    <w:rsid w:val="7904ECD1"/>
    <w:rsid w:val="796FD78D"/>
    <w:rsid w:val="79E2D905"/>
    <w:rsid w:val="7A304F7C"/>
    <w:rsid w:val="7A7C4BAE"/>
    <w:rsid w:val="7AA4CFCB"/>
    <w:rsid w:val="7ACBF3E8"/>
    <w:rsid w:val="7AF43A75"/>
    <w:rsid w:val="7B8724EA"/>
    <w:rsid w:val="7B8A672C"/>
    <w:rsid w:val="7BC08D4E"/>
    <w:rsid w:val="7BD7D7C9"/>
    <w:rsid w:val="7BEFC44E"/>
    <w:rsid w:val="7C327918"/>
    <w:rsid w:val="7CCD38A8"/>
    <w:rsid w:val="7CEDF340"/>
    <w:rsid w:val="7CFEAC01"/>
    <w:rsid w:val="7D00EF1F"/>
    <w:rsid w:val="7D12E094"/>
    <w:rsid w:val="7D1778BF"/>
    <w:rsid w:val="7D455437"/>
    <w:rsid w:val="7D494EFD"/>
    <w:rsid w:val="7D586401"/>
    <w:rsid w:val="7D5AFBEE"/>
    <w:rsid w:val="7D9BA9BE"/>
    <w:rsid w:val="7DE05D4B"/>
    <w:rsid w:val="7E0FE4EB"/>
    <w:rsid w:val="7E13D3E7"/>
    <w:rsid w:val="7E2BB528"/>
    <w:rsid w:val="7E9713DD"/>
    <w:rsid w:val="7EB23062"/>
    <w:rsid w:val="7EE2855E"/>
    <w:rsid w:val="7EF14638"/>
    <w:rsid w:val="7F0BA926"/>
    <w:rsid w:val="7F41AA61"/>
    <w:rsid w:val="7F475675"/>
    <w:rsid w:val="7F7372F8"/>
    <w:rsid w:val="7F9559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1A9EC"/>
  <w15:chartTrackingRefBased/>
  <w15:docId w15:val="{AE5357EE-A06B-4561-BB6B-B57E6D5D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72D"/>
    <w:pPr>
      <w:spacing w:after="0" w:line="240" w:lineRule="auto"/>
      <w:jc w:val="both"/>
    </w:pPr>
  </w:style>
  <w:style w:type="paragraph" w:styleId="Heading1">
    <w:name w:val="heading 1"/>
    <w:basedOn w:val="Normal"/>
    <w:next w:val="Normal"/>
    <w:link w:val="Heading1Char"/>
    <w:uiPriority w:val="9"/>
    <w:qFormat/>
    <w:rsid w:val="00FF072D"/>
    <w:pPr>
      <w:numPr>
        <w:numId w:val="47"/>
      </w:numPr>
      <w:shd w:val="clear" w:color="auto" w:fill="008938"/>
      <w:spacing w:after="120" w:line="276" w:lineRule="auto"/>
      <w:outlineLvl w:val="0"/>
    </w:pPr>
    <w:rPr>
      <w:rFonts w:ascii="Calibri" w:eastAsiaTheme="minorEastAsia" w:hAnsi="Calibri" w:cs="Calibri"/>
      <w:b/>
      <w:bCs/>
      <w:caps/>
      <w:color w:val="FFFFFF" w:themeColor="background1"/>
      <w:sz w:val="28"/>
    </w:rPr>
  </w:style>
  <w:style w:type="paragraph" w:styleId="Heading2">
    <w:name w:val="heading 2"/>
    <w:basedOn w:val="Normal"/>
    <w:next w:val="Normal"/>
    <w:link w:val="Heading2Char"/>
    <w:uiPriority w:val="9"/>
    <w:unhideWhenUsed/>
    <w:qFormat/>
    <w:rsid w:val="00FF072D"/>
    <w:pPr>
      <w:numPr>
        <w:ilvl w:val="1"/>
        <w:numId w:val="47"/>
      </w:numPr>
      <w:spacing w:after="120" w:line="276" w:lineRule="auto"/>
      <w:outlineLvl w:val="1"/>
    </w:pPr>
    <w:rPr>
      <w:rFonts w:ascii="Calibri" w:eastAsiaTheme="minorEastAsia" w:hAnsi="Calibri" w:cs="Calibri"/>
      <w:b/>
      <w:caps/>
      <w:noProof/>
      <w:color w:val="008938"/>
      <w:sz w:val="24"/>
      <w:lang w:eastAsia="en-GB"/>
    </w:rPr>
  </w:style>
  <w:style w:type="paragraph" w:styleId="Heading3">
    <w:name w:val="heading 3"/>
    <w:basedOn w:val="Normal"/>
    <w:next w:val="Normal"/>
    <w:link w:val="Heading3Char"/>
    <w:uiPriority w:val="9"/>
    <w:unhideWhenUsed/>
    <w:qFormat/>
    <w:rsid w:val="00A64E17"/>
    <w:pPr>
      <w:spacing w:before="120"/>
      <w:ind w:left="720" w:hanging="720"/>
      <w:outlineLvl w:val="2"/>
    </w:pPr>
    <w:rPr>
      <w:rFonts w:ascii="Calibri" w:eastAsiaTheme="minorEastAsia" w:hAnsi="Calibri" w:cs="Calibri"/>
      <w:caps/>
      <w:color w:val="008938"/>
      <w:spacing w:val="15"/>
      <w:lang w:eastAsia="en-GB"/>
    </w:rPr>
  </w:style>
  <w:style w:type="paragraph" w:styleId="Heading4">
    <w:name w:val="heading 4"/>
    <w:basedOn w:val="Normal"/>
    <w:next w:val="Normal"/>
    <w:link w:val="Heading4Char"/>
    <w:uiPriority w:val="9"/>
    <w:unhideWhenUsed/>
    <w:qFormat/>
    <w:rsid w:val="00CB08A1"/>
    <w:pPr>
      <w:keepNext/>
      <w:keepLines/>
      <w:numPr>
        <w:ilvl w:val="3"/>
        <w:numId w:val="40"/>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A419A"/>
    <w:pPr>
      <w:keepNext/>
      <w:keepLines/>
      <w:numPr>
        <w:ilvl w:val="4"/>
        <w:numId w:val="40"/>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A419A"/>
    <w:pPr>
      <w:keepNext/>
      <w:keepLines/>
      <w:numPr>
        <w:ilvl w:val="5"/>
        <w:numId w:val="40"/>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A419A"/>
    <w:pPr>
      <w:keepNext/>
      <w:keepLines/>
      <w:numPr>
        <w:ilvl w:val="6"/>
        <w:numId w:val="4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A419A"/>
    <w:pPr>
      <w:keepNext/>
      <w:keepLines/>
      <w:numPr>
        <w:ilvl w:val="7"/>
        <w:numId w:val="4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419A"/>
    <w:pPr>
      <w:keepNext/>
      <w:keepLines/>
      <w:numPr>
        <w:ilvl w:val="8"/>
        <w:numId w:val="4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72D"/>
    <w:rPr>
      <w:rFonts w:ascii="Calibri" w:eastAsiaTheme="minorEastAsia" w:hAnsi="Calibri" w:cs="Calibri"/>
      <w:b/>
      <w:bCs/>
      <w:caps/>
      <w:color w:val="FFFFFF" w:themeColor="background1"/>
      <w:sz w:val="28"/>
      <w:shd w:val="clear" w:color="auto" w:fill="008938"/>
    </w:rPr>
  </w:style>
  <w:style w:type="character" w:customStyle="1" w:styleId="Heading2Char">
    <w:name w:val="Heading 2 Char"/>
    <w:basedOn w:val="DefaultParagraphFont"/>
    <w:link w:val="Heading2"/>
    <w:uiPriority w:val="9"/>
    <w:rsid w:val="00FF072D"/>
    <w:rPr>
      <w:rFonts w:ascii="Calibri" w:eastAsiaTheme="minorEastAsia" w:hAnsi="Calibri" w:cs="Calibri"/>
      <w:b/>
      <w:caps/>
      <w:noProof/>
      <w:color w:val="008938"/>
      <w:sz w:val="24"/>
      <w:lang w:eastAsia="en-GB"/>
    </w:rPr>
  </w:style>
  <w:style w:type="character" w:customStyle="1" w:styleId="Heading3Char">
    <w:name w:val="Heading 3 Char"/>
    <w:basedOn w:val="DefaultParagraphFont"/>
    <w:link w:val="Heading3"/>
    <w:uiPriority w:val="9"/>
    <w:rsid w:val="00FF072D"/>
    <w:rPr>
      <w:rFonts w:ascii="Calibri" w:eastAsiaTheme="minorEastAsia" w:hAnsi="Calibri" w:cs="Calibri"/>
      <w:caps/>
      <w:color w:val="008938"/>
      <w:spacing w:val="15"/>
      <w:lang w:eastAsia="en-GB"/>
    </w:rPr>
  </w:style>
  <w:style w:type="paragraph" w:styleId="Title">
    <w:name w:val="Title"/>
    <w:basedOn w:val="Normal"/>
    <w:next w:val="Normal"/>
    <w:link w:val="TitleChar"/>
    <w:uiPriority w:val="10"/>
    <w:qFormat/>
    <w:rsid w:val="00FF072D"/>
    <w:pPr>
      <w:spacing w:line="276" w:lineRule="auto"/>
      <w:jc w:val="center"/>
    </w:pPr>
    <w:rPr>
      <w:rFonts w:asciiTheme="majorHAnsi" w:eastAsiaTheme="majorEastAsia" w:hAnsiTheme="majorHAnsi" w:cstheme="majorBidi"/>
      <w:caps/>
      <w:color w:val="4472C4" w:themeColor="accent1"/>
      <w:spacing w:val="10"/>
      <w:sz w:val="44"/>
    </w:rPr>
  </w:style>
  <w:style w:type="character" w:customStyle="1" w:styleId="TitleChar">
    <w:name w:val="Title Char"/>
    <w:basedOn w:val="DefaultParagraphFont"/>
    <w:link w:val="Title"/>
    <w:uiPriority w:val="10"/>
    <w:rsid w:val="00FF072D"/>
    <w:rPr>
      <w:rFonts w:asciiTheme="majorHAnsi" w:eastAsiaTheme="majorEastAsia" w:hAnsiTheme="majorHAnsi" w:cstheme="majorBidi"/>
      <w:caps/>
      <w:color w:val="4472C4" w:themeColor="accent1"/>
      <w:spacing w:val="10"/>
      <w:sz w:val="44"/>
    </w:rPr>
  </w:style>
  <w:style w:type="table" w:styleId="TableGrid">
    <w:name w:val="Table Grid"/>
    <w:basedOn w:val="TableNormal"/>
    <w:uiPriority w:val="39"/>
    <w:rsid w:val="00FF072D"/>
    <w:pPr>
      <w:spacing w:before="60" w:after="80" w:line="240" w:lineRule="auto"/>
    </w:pPr>
    <w:rPr>
      <w:rFonts w:eastAsiaTheme="minorEastAsia"/>
      <w:sz w:val="20"/>
      <w:szCs w:val="20"/>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paragraph" w:styleId="NoSpacing">
    <w:name w:val="No Spacing"/>
    <w:aliases w:val="Small heading"/>
    <w:link w:val="NoSpacingChar"/>
    <w:uiPriority w:val="1"/>
    <w:qFormat/>
    <w:rsid w:val="00FF072D"/>
    <w:pPr>
      <w:spacing w:after="0" w:line="240" w:lineRule="auto"/>
    </w:pPr>
    <w:rPr>
      <w:rFonts w:eastAsiaTheme="minorEastAsia"/>
      <w:sz w:val="20"/>
      <w:szCs w:val="20"/>
    </w:rPr>
  </w:style>
  <w:style w:type="paragraph" w:styleId="Caption">
    <w:name w:val="caption"/>
    <w:basedOn w:val="Normal"/>
    <w:next w:val="Normal"/>
    <w:uiPriority w:val="35"/>
    <w:unhideWhenUsed/>
    <w:qFormat/>
    <w:rsid w:val="00FF072D"/>
    <w:pPr>
      <w:spacing w:line="276" w:lineRule="auto"/>
    </w:pPr>
    <w:rPr>
      <w:rFonts w:ascii="Calibri" w:eastAsiaTheme="minorEastAsia" w:hAnsi="Calibri" w:cs="Calibri"/>
      <w:bCs/>
      <w:color w:val="008938"/>
      <w:szCs w:val="16"/>
    </w:rPr>
  </w:style>
  <w:style w:type="character" w:customStyle="1" w:styleId="NoSpacingChar">
    <w:name w:val="No Spacing Char"/>
    <w:aliases w:val="Small heading Char"/>
    <w:link w:val="NoSpacing"/>
    <w:uiPriority w:val="1"/>
    <w:rsid w:val="00FF072D"/>
    <w:rPr>
      <w:rFonts w:eastAsiaTheme="minorEastAsia"/>
      <w:sz w:val="20"/>
      <w:szCs w:val="20"/>
    </w:rPr>
  </w:style>
  <w:style w:type="paragraph" w:styleId="ListParagraph">
    <w:name w:val="List Paragraph"/>
    <w:aliases w:val="Numbered Para 1,Dot pt,No Spacing1,List Paragraph Char Char Char,Indicator Text,List Paragraph1,Bullet Points,MAIN CONTENT,List Paragraph12,F5 List Paragraph,OBC Bullet,Bullet 1,List Paragraph11,Colorful List - Accent 11,Normal numbered,L"/>
    <w:basedOn w:val="Normal"/>
    <w:link w:val="ListParagraphChar"/>
    <w:uiPriority w:val="34"/>
    <w:qFormat/>
    <w:rsid w:val="00FF072D"/>
    <w:pPr>
      <w:spacing w:after="120" w:line="276" w:lineRule="auto"/>
      <w:ind w:left="720"/>
      <w:contextualSpacing/>
    </w:pPr>
    <w:rPr>
      <w:rFonts w:ascii="Calibri" w:eastAsiaTheme="minorEastAsia" w:hAnsi="Calibri" w:cs="Calibri"/>
    </w:rPr>
  </w:style>
  <w:style w:type="paragraph" w:styleId="TOCHeading">
    <w:name w:val="TOC Heading"/>
    <w:basedOn w:val="Heading1"/>
    <w:next w:val="Normal"/>
    <w:uiPriority w:val="39"/>
    <w:unhideWhenUsed/>
    <w:qFormat/>
    <w:rsid w:val="00FF072D"/>
    <w:pPr>
      <w:outlineLvl w:val="9"/>
    </w:pPr>
  </w:style>
  <w:style w:type="character" w:styleId="Hyperlink">
    <w:name w:val="Hyperlink"/>
    <w:basedOn w:val="DefaultParagraphFont"/>
    <w:uiPriority w:val="99"/>
    <w:unhideWhenUsed/>
    <w:rsid w:val="00FF072D"/>
    <w:rPr>
      <w:color w:val="013AD9"/>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OBC Bullet Char,L Char"/>
    <w:basedOn w:val="DefaultParagraphFont"/>
    <w:link w:val="ListParagraph"/>
    <w:uiPriority w:val="34"/>
    <w:qFormat/>
    <w:rsid w:val="00FF072D"/>
    <w:rPr>
      <w:rFonts w:ascii="Calibri" w:eastAsiaTheme="minorEastAsia" w:hAnsi="Calibri" w:cs="Calibri"/>
    </w:rPr>
  </w:style>
  <w:style w:type="character" w:styleId="CommentReference">
    <w:name w:val="annotation reference"/>
    <w:basedOn w:val="DefaultParagraphFont"/>
    <w:uiPriority w:val="99"/>
    <w:semiHidden/>
    <w:unhideWhenUsed/>
    <w:rsid w:val="00FF072D"/>
    <w:rPr>
      <w:sz w:val="16"/>
      <w:szCs w:val="16"/>
    </w:rPr>
  </w:style>
  <w:style w:type="paragraph" w:styleId="CommentText">
    <w:name w:val="annotation text"/>
    <w:basedOn w:val="Normal"/>
    <w:link w:val="CommentTextChar"/>
    <w:uiPriority w:val="99"/>
    <w:unhideWhenUsed/>
    <w:rsid w:val="00FF072D"/>
    <w:rPr>
      <w:rFonts w:ascii="Calibri" w:eastAsiaTheme="minorEastAsia" w:hAnsi="Calibri" w:cs="Calibri"/>
    </w:rPr>
  </w:style>
  <w:style w:type="character" w:customStyle="1" w:styleId="CommentTextChar">
    <w:name w:val="Comment Text Char"/>
    <w:basedOn w:val="DefaultParagraphFont"/>
    <w:link w:val="CommentText"/>
    <w:uiPriority w:val="99"/>
    <w:rsid w:val="00FF072D"/>
    <w:rPr>
      <w:rFonts w:ascii="Calibri" w:eastAsiaTheme="minorEastAsia" w:hAnsi="Calibri" w:cs="Calibri"/>
    </w:rPr>
  </w:style>
  <w:style w:type="paragraph" w:styleId="TOC2">
    <w:name w:val="toc 2"/>
    <w:basedOn w:val="Normal"/>
    <w:next w:val="Normal"/>
    <w:autoRedefine/>
    <w:uiPriority w:val="39"/>
    <w:unhideWhenUsed/>
    <w:rsid w:val="00D17363"/>
    <w:pPr>
      <w:tabs>
        <w:tab w:val="left" w:pos="660"/>
        <w:tab w:val="right" w:leader="dot" w:pos="9628"/>
      </w:tabs>
      <w:spacing w:after="100" w:line="276" w:lineRule="auto"/>
    </w:pPr>
    <w:rPr>
      <w:rFonts w:ascii="Calibri" w:eastAsiaTheme="minorEastAsia" w:hAnsi="Calibri" w:cs="Calibri"/>
    </w:rPr>
  </w:style>
  <w:style w:type="paragraph" w:customStyle="1" w:styleId="Body">
    <w:name w:val="Body"/>
    <w:basedOn w:val="Normal"/>
    <w:link w:val="BodyChar"/>
    <w:qFormat/>
    <w:rsid w:val="00FF072D"/>
    <w:rPr>
      <w:rFonts w:eastAsia="Times New Roman"/>
      <w:b/>
      <w:bCs/>
      <w:color w:val="008000"/>
      <w:sz w:val="28"/>
      <w:szCs w:val="28"/>
      <w:lang w:eastAsia="en-GB"/>
    </w:rPr>
  </w:style>
  <w:style w:type="character" w:customStyle="1" w:styleId="BodyChar">
    <w:name w:val="Body Char"/>
    <w:basedOn w:val="DefaultParagraphFont"/>
    <w:link w:val="Body"/>
    <w:rsid w:val="00FF072D"/>
    <w:rPr>
      <w:rFonts w:eastAsia="Times New Roman"/>
      <w:b/>
      <w:bCs/>
      <w:color w:val="008000"/>
      <w:sz w:val="28"/>
      <w:szCs w:val="28"/>
      <w:lang w:eastAsia="en-GB"/>
    </w:rPr>
  </w:style>
  <w:style w:type="paragraph" w:styleId="FootnoteText">
    <w:name w:val="footnote text"/>
    <w:aliases w:val=" Char1 Char, Char1 Char Char, Char5,Char1 Char,Char1 Char Char,Char5,FOOTNOTES,Footnote text,Fuß,Fußnote,Note de bas de page Car1 Car,Schriftart: 10 pt,Schriftart: 8 pt,Schriftart: 9 pt,Testo nota a piè di pagina Carattere,f,fn,footnote,o"/>
    <w:basedOn w:val="Normal"/>
    <w:link w:val="FootnoteTextChar"/>
    <w:uiPriority w:val="99"/>
    <w:qFormat/>
    <w:rsid w:val="00FF072D"/>
    <w:rPr>
      <w:rFonts w:eastAsia="MS Mincho" w:cs="Times New Roman"/>
      <w:sz w:val="16"/>
    </w:rPr>
  </w:style>
  <w:style w:type="character" w:customStyle="1" w:styleId="FootnoteTextChar">
    <w:name w:val="Footnote Text Char"/>
    <w:aliases w:val=" Char1 Char Char1, Char1 Char Char Char, Char5 Char,Char1 Char Char1,Char1 Char Char Char,Char5 Char,FOOTNOTES Char,Footnote text Char,Fuß Char,Fußnote Char,Note de bas de page Car1 Car Char,Schriftart: 10 pt Char,f Char,fn Char"/>
    <w:basedOn w:val="DefaultParagraphFont"/>
    <w:link w:val="FootnoteText"/>
    <w:uiPriority w:val="99"/>
    <w:rsid w:val="00FF072D"/>
    <w:rPr>
      <w:rFonts w:eastAsia="MS Mincho" w:cs="Times New Roman"/>
      <w:sz w:val="16"/>
    </w:rPr>
  </w:style>
  <w:style w:type="character" w:styleId="FootnoteReference">
    <w:name w:val="footnote reference"/>
    <w:aliases w:val="BVI fnr,BVI fnr Car Car Char,BVI fnr Car Char,EN Footnote Reference,Exposant 3 Point,FR,Footnote Reference Superscript,Footnote reference number,Footnote symbol,Ref,SUPERS,Times 10 Point,de nota al pie,ftref,note TESI,number,stylish"/>
    <w:basedOn w:val="DefaultParagraphFont"/>
    <w:link w:val="BVIfnrCarCar"/>
    <w:uiPriority w:val="99"/>
    <w:qFormat/>
    <w:rsid w:val="00FF072D"/>
    <w:rPr>
      <w:vertAlign w:val="superscript"/>
    </w:rPr>
  </w:style>
  <w:style w:type="paragraph" w:styleId="Header">
    <w:name w:val="header"/>
    <w:basedOn w:val="Normal"/>
    <w:link w:val="HeaderChar"/>
    <w:uiPriority w:val="99"/>
    <w:unhideWhenUsed/>
    <w:rsid w:val="00FF072D"/>
    <w:pPr>
      <w:tabs>
        <w:tab w:val="center" w:pos="4513"/>
        <w:tab w:val="right" w:pos="9026"/>
      </w:tabs>
    </w:pPr>
    <w:rPr>
      <w:rFonts w:ascii="Calibri" w:eastAsiaTheme="minorEastAsia" w:hAnsi="Calibri" w:cs="Calibri"/>
    </w:rPr>
  </w:style>
  <w:style w:type="character" w:customStyle="1" w:styleId="HeaderChar">
    <w:name w:val="Header Char"/>
    <w:basedOn w:val="DefaultParagraphFont"/>
    <w:link w:val="Header"/>
    <w:uiPriority w:val="99"/>
    <w:rsid w:val="00FF072D"/>
    <w:rPr>
      <w:rFonts w:ascii="Calibri" w:eastAsiaTheme="minorEastAsia" w:hAnsi="Calibri" w:cs="Calibri"/>
    </w:rPr>
  </w:style>
  <w:style w:type="paragraph" w:styleId="TOC1">
    <w:name w:val="toc 1"/>
    <w:basedOn w:val="Normal"/>
    <w:next w:val="Normal"/>
    <w:autoRedefine/>
    <w:uiPriority w:val="39"/>
    <w:unhideWhenUsed/>
    <w:rsid w:val="00FF072D"/>
    <w:pPr>
      <w:spacing w:after="100" w:line="276" w:lineRule="auto"/>
    </w:pPr>
    <w:rPr>
      <w:rFonts w:ascii="Calibri" w:eastAsiaTheme="minorEastAsia" w:hAnsi="Calibri" w:cs="Calibri"/>
    </w:rPr>
  </w:style>
  <w:style w:type="table" w:styleId="PlainTable2">
    <w:name w:val="Plain Table 2"/>
    <w:basedOn w:val="TableNormal"/>
    <w:uiPriority w:val="42"/>
    <w:rsid w:val="00FF072D"/>
    <w:pPr>
      <w:spacing w:after="0" w:line="240" w:lineRule="auto"/>
    </w:pPr>
    <w:rPr>
      <w:rFonts w:eastAsiaTheme="minorEastAsia"/>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ableofFigures">
    <w:name w:val="table of figures"/>
    <w:basedOn w:val="Normal"/>
    <w:next w:val="Normal"/>
    <w:uiPriority w:val="99"/>
    <w:unhideWhenUsed/>
    <w:rsid w:val="00FF072D"/>
    <w:pPr>
      <w:spacing w:line="276" w:lineRule="auto"/>
    </w:pPr>
    <w:rPr>
      <w:rFonts w:ascii="Calibri" w:eastAsiaTheme="minorEastAsia" w:hAnsi="Calibri" w:cs="Calibri"/>
    </w:rPr>
  </w:style>
  <w:style w:type="paragraph" w:customStyle="1" w:styleId="Table">
    <w:name w:val="Table"/>
    <w:basedOn w:val="Normal"/>
    <w:link w:val="TableChar"/>
    <w:qFormat/>
    <w:rsid w:val="00FF072D"/>
    <w:pPr>
      <w:spacing w:before="60"/>
    </w:pPr>
    <w:rPr>
      <w:rFonts w:eastAsiaTheme="minorEastAsia"/>
      <w:noProof/>
      <w:sz w:val="20"/>
      <w:szCs w:val="20"/>
    </w:rPr>
  </w:style>
  <w:style w:type="character" w:customStyle="1" w:styleId="TableChar">
    <w:name w:val="Table Char"/>
    <w:basedOn w:val="DefaultParagraphFont"/>
    <w:link w:val="Table"/>
    <w:rsid w:val="00FF072D"/>
    <w:rPr>
      <w:rFonts w:eastAsiaTheme="minorEastAsia"/>
      <w:noProof/>
      <w:sz w:val="20"/>
      <w:szCs w:val="20"/>
    </w:rPr>
  </w:style>
  <w:style w:type="paragraph" w:styleId="BalloonText">
    <w:name w:val="Balloon Text"/>
    <w:basedOn w:val="Normal"/>
    <w:link w:val="BalloonTextChar"/>
    <w:uiPriority w:val="99"/>
    <w:semiHidden/>
    <w:unhideWhenUsed/>
    <w:rsid w:val="00FF07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72D"/>
    <w:rPr>
      <w:rFonts w:ascii="Segoe UI" w:hAnsi="Segoe UI" w:cs="Segoe UI"/>
      <w:sz w:val="18"/>
      <w:szCs w:val="18"/>
    </w:rPr>
  </w:style>
  <w:style w:type="paragraph" w:styleId="Footer">
    <w:name w:val="footer"/>
    <w:basedOn w:val="Normal"/>
    <w:link w:val="FooterChar"/>
    <w:uiPriority w:val="99"/>
    <w:unhideWhenUsed/>
    <w:rsid w:val="00FF072D"/>
    <w:pPr>
      <w:tabs>
        <w:tab w:val="center" w:pos="4513"/>
        <w:tab w:val="right" w:pos="9026"/>
      </w:tabs>
    </w:pPr>
  </w:style>
  <w:style w:type="character" w:customStyle="1" w:styleId="FooterChar">
    <w:name w:val="Footer Char"/>
    <w:basedOn w:val="DefaultParagraphFont"/>
    <w:link w:val="Footer"/>
    <w:uiPriority w:val="99"/>
    <w:rsid w:val="00FF072D"/>
  </w:style>
  <w:style w:type="character" w:styleId="UnresolvedMention">
    <w:name w:val="Unresolved Mention"/>
    <w:basedOn w:val="DefaultParagraphFont"/>
    <w:uiPriority w:val="99"/>
    <w:unhideWhenUsed/>
    <w:rsid w:val="00570CA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310CD"/>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7310CD"/>
    <w:rPr>
      <w:rFonts w:ascii="Calibri" w:eastAsiaTheme="minorEastAsia" w:hAnsi="Calibri" w:cs="Calibri"/>
      <w:b/>
      <w:bCs/>
      <w:sz w:val="20"/>
      <w:szCs w:val="20"/>
    </w:rPr>
  </w:style>
  <w:style w:type="paragraph" w:styleId="Revision">
    <w:name w:val="Revision"/>
    <w:hidden/>
    <w:uiPriority w:val="99"/>
    <w:semiHidden/>
    <w:rsid w:val="00510769"/>
    <w:pPr>
      <w:spacing w:after="0" w:line="240" w:lineRule="auto"/>
    </w:pPr>
  </w:style>
  <w:style w:type="character" w:styleId="FollowedHyperlink">
    <w:name w:val="FollowedHyperlink"/>
    <w:basedOn w:val="DefaultParagraphFont"/>
    <w:uiPriority w:val="99"/>
    <w:semiHidden/>
    <w:unhideWhenUsed/>
    <w:rsid w:val="00902FCF"/>
    <w:rPr>
      <w:color w:val="954F72" w:themeColor="followedHyperlink"/>
      <w:u w:val="single"/>
    </w:rPr>
  </w:style>
  <w:style w:type="paragraph" w:customStyle="1" w:styleId="BVIfnrCarCar">
    <w:name w:val="BVI fnr Car Car"/>
    <w:aliases w:val="BVI fnr Car,BVI fnr Car Car Car Car"/>
    <w:basedOn w:val="Normal"/>
    <w:link w:val="FootnoteReference"/>
    <w:autoRedefine/>
    <w:uiPriority w:val="99"/>
    <w:rsid w:val="00162EF4"/>
    <w:pPr>
      <w:spacing w:after="160" w:line="240" w:lineRule="exact"/>
    </w:pPr>
    <w:rPr>
      <w:vertAlign w:val="superscript"/>
    </w:rPr>
  </w:style>
  <w:style w:type="paragraph" w:styleId="NormalWeb">
    <w:name w:val="Normal (Web)"/>
    <w:basedOn w:val="Normal"/>
    <w:uiPriority w:val="99"/>
    <w:unhideWhenUsed/>
    <w:rsid w:val="00162EF4"/>
    <w:pPr>
      <w:spacing w:before="100" w:beforeAutospacing="1" w:after="100" w:afterAutospacing="1"/>
      <w:jc w:val="left"/>
    </w:pPr>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unhideWhenUsed/>
    <w:rsid w:val="00B81DDA"/>
    <w:pPr>
      <w:spacing w:after="160" w:line="259" w:lineRule="auto"/>
      <w:jc w:val="left"/>
    </w:pPr>
    <w:rPr>
      <w:b/>
      <w:bCs/>
    </w:rPr>
  </w:style>
  <w:style w:type="character" w:customStyle="1" w:styleId="BodyText2Char">
    <w:name w:val="Body Text 2 Char"/>
    <w:basedOn w:val="DefaultParagraphFont"/>
    <w:link w:val="BodyText2"/>
    <w:uiPriority w:val="99"/>
    <w:rsid w:val="00B81DDA"/>
    <w:rPr>
      <w:b/>
      <w:bCs/>
    </w:rPr>
  </w:style>
  <w:style w:type="paragraph" w:customStyle="1" w:styleId="paragraph">
    <w:name w:val="paragraph"/>
    <w:basedOn w:val="Normal"/>
    <w:rsid w:val="008E5D76"/>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E5D76"/>
  </w:style>
  <w:style w:type="character" w:customStyle="1" w:styleId="eop">
    <w:name w:val="eop"/>
    <w:basedOn w:val="DefaultParagraphFont"/>
    <w:rsid w:val="008E5D76"/>
  </w:style>
  <w:style w:type="character" w:customStyle="1" w:styleId="Heading4Char">
    <w:name w:val="Heading 4 Char"/>
    <w:basedOn w:val="DefaultParagraphFont"/>
    <w:link w:val="Heading4"/>
    <w:uiPriority w:val="9"/>
    <w:rsid w:val="00CB08A1"/>
    <w:rPr>
      <w:rFonts w:asciiTheme="majorHAnsi" w:eastAsiaTheme="majorEastAsia" w:hAnsiTheme="majorHAnsi" w:cstheme="majorBidi"/>
      <w:i/>
      <w:iCs/>
      <w:color w:val="2F5496" w:themeColor="accent1" w:themeShade="BF"/>
    </w:rPr>
  </w:style>
  <w:style w:type="paragraph" w:customStyle="1" w:styleId="Default">
    <w:name w:val="Default"/>
    <w:rsid w:val="00CB08A1"/>
    <w:pPr>
      <w:autoSpaceDE w:val="0"/>
      <w:autoSpaceDN w:val="0"/>
      <w:adjustRightInd w:val="0"/>
      <w:spacing w:after="0" w:line="240" w:lineRule="auto"/>
    </w:pPr>
    <w:rPr>
      <w:rFonts w:ascii="Source Sans Pro" w:hAnsi="Source Sans Pro" w:cs="Source Sans Pro"/>
      <w:color w:val="000000"/>
      <w:sz w:val="24"/>
      <w:szCs w:val="24"/>
    </w:rPr>
  </w:style>
  <w:style w:type="character" w:styleId="Mention">
    <w:name w:val="Mention"/>
    <w:basedOn w:val="DefaultParagraphFont"/>
    <w:uiPriority w:val="99"/>
    <w:unhideWhenUsed/>
    <w:rsid w:val="00191C94"/>
    <w:rPr>
      <w:color w:val="2B579A"/>
      <w:shd w:val="clear" w:color="auto" w:fill="E1DFDD"/>
    </w:rPr>
  </w:style>
  <w:style w:type="paragraph" w:styleId="BodyText">
    <w:name w:val="Body Text"/>
    <w:basedOn w:val="Normal"/>
    <w:link w:val="BodyTextChar"/>
    <w:uiPriority w:val="99"/>
    <w:unhideWhenUsed/>
    <w:rsid w:val="00FC7D91"/>
    <w:pPr>
      <w:spacing w:after="120"/>
    </w:pPr>
  </w:style>
  <w:style w:type="character" w:customStyle="1" w:styleId="BodyTextChar">
    <w:name w:val="Body Text Char"/>
    <w:basedOn w:val="DefaultParagraphFont"/>
    <w:link w:val="BodyText"/>
    <w:uiPriority w:val="99"/>
    <w:rsid w:val="00FC7D91"/>
  </w:style>
  <w:style w:type="table" w:customStyle="1" w:styleId="TableGrid1">
    <w:name w:val="Table Grid1"/>
    <w:basedOn w:val="TableNormal"/>
    <w:next w:val="TableGrid"/>
    <w:uiPriority w:val="39"/>
    <w:rsid w:val="00835D8D"/>
    <w:pPr>
      <w:spacing w:before="60" w:after="80" w:line="240" w:lineRule="auto"/>
    </w:pPr>
    <w:rPr>
      <w:rFonts w:ascii="Helvetica" w:eastAsia="Calibri" w:hAnsi="Helvetica" w:cs="Times New Roman"/>
      <w:szCs w:val="20"/>
      <w:lang w:eastAsia="en-GB"/>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paragraph" w:styleId="EndnoteText">
    <w:name w:val="endnote text"/>
    <w:basedOn w:val="Normal"/>
    <w:link w:val="EndnoteTextChar"/>
    <w:uiPriority w:val="99"/>
    <w:semiHidden/>
    <w:unhideWhenUsed/>
    <w:rsid w:val="00395D15"/>
    <w:rPr>
      <w:sz w:val="20"/>
      <w:szCs w:val="20"/>
    </w:rPr>
  </w:style>
  <w:style w:type="character" w:customStyle="1" w:styleId="EndnoteTextChar">
    <w:name w:val="Endnote Text Char"/>
    <w:basedOn w:val="DefaultParagraphFont"/>
    <w:link w:val="EndnoteText"/>
    <w:uiPriority w:val="99"/>
    <w:semiHidden/>
    <w:rsid w:val="00395D15"/>
    <w:rPr>
      <w:sz w:val="20"/>
      <w:szCs w:val="20"/>
    </w:rPr>
  </w:style>
  <w:style w:type="character" w:styleId="EndnoteReference">
    <w:name w:val="endnote reference"/>
    <w:basedOn w:val="DefaultParagraphFont"/>
    <w:uiPriority w:val="99"/>
    <w:semiHidden/>
    <w:unhideWhenUsed/>
    <w:rsid w:val="00395D15"/>
    <w:rPr>
      <w:vertAlign w:val="superscript"/>
    </w:rPr>
  </w:style>
  <w:style w:type="character" w:customStyle="1" w:styleId="Heading5Char">
    <w:name w:val="Heading 5 Char"/>
    <w:basedOn w:val="DefaultParagraphFont"/>
    <w:link w:val="Heading5"/>
    <w:uiPriority w:val="9"/>
    <w:semiHidden/>
    <w:rsid w:val="002A419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A419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A419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A41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A419A"/>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793AC3"/>
    <w:pPr>
      <w:numPr>
        <w:numId w:val="41"/>
      </w:numPr>
    </w:pPr>
  </w:style>
  <w:style w:type="numbering" w:customStyle="1" w:styleId="CurrentList2">
    <w:name w:val="Current List2"/>
    <w:uiPriority w:val="99"/>
    <w:rsid w:val="00793AC3"/>
    <w:pPr>
      <w:numPr>
        <w:numId w:val="42"/>
      </w:numPr>
    </w:pPr>
  </w:style>
  <w:style w:type="numbering" w:customStyle="1" w:styleId="CurrentList3">
    <w:name w:val="Current List3"/>
    <w:uiPriority w:val="99"/>
    <w:rsid w:val="00793AC3"/>
    <w:pPr>
      <w:numPr>
        <w:numId w:val="43"/>
      </w:numPr>
    </w:pPr>
  </w:style>
  <w:style w:type="numbering" w:customStyle="1" w:styleId="CurrentList4">
    <w:name w:val="Current List4"/>
    <w:uiPriority w:val="99"/>
    <w:rsid w:val="00793AC3"/>
    <w:pPr>
      <w:numPr>
        <w:numId w:val="44"/>
      </w:numPr>
    </w:pPr>
  </w:style>
  <w:style w:type="numbering" w:customStyle="1" w:styleId="CurrentList5">
    <w:name w:val="Current List5"/>
    <w:uiPriority w:val="99"/>
    <w:rsid w:val="00793AC3"/>
    <w:pPr>
      <w:numPr>
        <w:numId w:val="45"/>
      </w:numPr>
    </w:pPr>
  </w:style>
  <w:style w:type="numbering" w:customStyle="1" w:styleId="CurrentList6">
    <w:name w:val="Current List6"/>
    <w:uiPriority w:val="99"/>
    <w:rsid w:val="00793AC3"/>
    <w:pPr>
      <w:numPr>
        <w:numId w:val="46"/>
      </w:numPr>
    </w:pPr>
  </w:style>
  <w:style w:type="character" w:styleId="Emphasis">
    <w:name w:val="Emphasis"/>
    <w:basedOn w:val="DefaultParagraphFont"/>
    <w:uiPriority w:val="20"/>
    <w:qFormat/>
    <w:rsid w:val="00EA3A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9088">
      <w:bodyDiv w:val="1"/>
      <w:marLeft w:val="0"/>
      <w:marRight w:val="0"/>
      <w:marTop w:val="0"/>
      <w:marBottom w:val="0"/>
      <w:divBdr>
        <w:top w:val="none" w:sz="0" w:space="0" w:color="auto"/>
        <w:left w:val="none" w:sz="0" w:space="0" w:color="auto"/>
        <w:bottom w:val="none" w:sz="0" w:space="0" w:color="auto"/>
        <w:right w:val="none" w:sz="0" w:space="0" w:color="auto"/>
      </w:divBdr>
    </w:div>
    <w:div w:id="29885759">
      <w:bodyDiv w:val="1"/>
      <w:marLeft w:val="0"/>
      <w:marRight w:val="0"/>
      <w:marTop w:val="0"/>
      <w:marBottom w:val="0"/>
      <w:divBdr>
        <w:top w:val="none" w:sz="0" w:space="0" w:color="auto"/>
        <w:left w:val="none" w:sz="0" w:space="0" w:color="auto"/>
        <w:bottom w:val="none" w:sz="0" w:space="0" w:color="auto"/>
        <w:right w:val="none" w:sz="0" w:space="0" w:color="auto"/>
      </w:divBdr>
      <w:divsChild>
        <w:div w:id="1810509874">
          <w:marLeft w:val="0"/>
          <w:marRight w:val="0"/>
          <w:marTop w:val="0"/>
          <w:marBottom w:val="0"/>
          <w:divBdr>
            <w:top w:val="none" w:sz="0" w:space="0" w:color="auto"/>
            <w:left w:val="none" w:sz="0" w:space="0" w:color="auto"/>
            <w:bottom w:val="none" w:sz="0" w:space="0" w:color="auto"/>
            <w:right w:val="none" w:sz="0" w:space="0" w:color="auto"/>
          </w:divBdr>
        </w:div>
      </w:divsChild>
    </w:div>
    <w:div w:id="45959843">
      <w:bodyDiv w:val="1"/>
      <w:marLeft w:val="0"/>
      <w:marRight w:val="0"/>
      <w:marTop w:val="0"/>
      <w:marBottom w:val="0"/>
      <w:divBdr>
        <w:top w:val="none" w:sz="0" w:space="0" w:color="auto"/>
        <w:left w:val="none" w:sz="0" w:space="0" w:color="auto"/>
        <w:bottom w:val="none" w:sz="0" w:space="0" w:color="auto"/>
        <w:right w:val="none" w:sz="0" w:space="0" w:color="auto"/>
      </w:divBdr>
    </w:div>
    <w:div w:id="140853033">
      <w:bodyDiv w:val="1"/>
      <w:marLeft w:val="0"/>
      <w:marRight w:val="0"/>
      <w:marTop w:val="0"/>
      <w:marBottom w:val="0"/>
      <w:divBdr>
        <w:top w:val="none" w:sz="0" w:space="0" w:color="auto"/>
        <w:left w:val="none" w:sz="0" w:space="0" w:color="auto"/>
        <w:bottom w:val="none" w:sz="0" w:space="0" w:color="auto"/>
        <w:right w:val="none" w:sz="0" w:space="0" w:color="auto"/>
      </w:divBdr>
    </w:div>
    <w:div w:id="164827036">
      <w:bodyDiv w:val="1"/>
      <w:marLeft w:val="0"/>
      <w:marRight w:val="0"/>
      <w:marTop w:val="0"/>
      <w:marBottom w:val="0"/>
      <w:divBdr>
        <w:top w:val="none" w:sz="0" w:space="0" w:color="auto"/>
        <w:left w:val="none" w:sz="0" w:space="0" w:color="auto"/>
        <w:bottom w:val="none" w:sz="0" w:space="0" w:color="auto"/>
        <w:right w:val="none" w:sz="0" w:space="0" w:color="auto"/>
      </w:divBdr>
    </w:div>
    <w:div w:id="224687379">
      <w:bodyDiv w:val="1"/>
      <w:marLeft w:val="0"/>
      <w:marRight w:val="0"/>
      <w:marTop w:val="0"/>
      <w:marBottom w:val="0"/>
      <w:divBdr>
        <w:top w:val="none" w:sz="0" w:space="0" w:color="auto"/>
        <w:left w:val="none" w:sz="0" w:space="0" w:color="auto"/>
        <w:bottom w:val="none" w:sz="0" w:space="0" w:color="auto"/>
        <w:right w:val="none" w:sz="0" w:space="0" w:color="auto"/>
      </w:divBdr>
    </w:div>
    <w:div w:id="292834339">
      <w:bodyDiv w:val="1"/>
      <w:marLeft w:val="0"/>
      <w:marRight w:val="0"/>
      <w:marTop w:val="0"/>
      <w:marBottom w:val="0"/>
      <w:divBdr>
        <w:top w:val="none" w:sz="0" w:space="0" w:color="auto"/>
        <w:left w:val="none" w:sz="0" w:space="0" w:color="auto"/>
        <w:bottom w:val="none" w:sz="0" w:space="0" w:color="auto"/>
        <w:right w:val="none" w:sz="0" w:space="0" w:color="auto"/>
      </w:divBdr>
    </w:div>
    <w:div w:id="301539789">
      <w:bodyDiv w:val="1"/>
      <w:marLeft w:val="0"/>
      <w:marRight w:val="0"/>
      <w:marTop w:val="0"/>
      <w:marBottom w:val="0"/>
      <w:divBdr>
        <w:top w:val="none" w:sz="0" w:space="0" w:color="auto"/>
        <w:left w:val="none" w:sz="0" w:space="0" w:color="auto"/>
        <w:bottom w:val="none" w:sz="0" w:space="0" w:color="auto"/>
        <w:right w:val="none" w:sz="0" w:space="0" w:color="auto"/>
      </w:divBdr>
    </w:div>
    <w:div w:id="385300386">
      <w:bodyDiv w:val="1"/>
      <w:marLeft w:val="0"/>
      <w:marRight w:val="0"/>
      <w:marTop w:val="0"/>
      <w:marBottom w:val="0"/>
      <w:divBdr>
        <w:top w:val="none" w:sz="0" w:space="0" w:color="auto"/>
        <w:left w:val="none" w:sz="0" w:space="0" w:color="auto"/>
        <w:bottom w:val="none" w:sz="0" w:space="0" w:color="auto"/>
        <w:right w:val="none" w:sz="0" w:space="0" w:color="auto"/>
      </w:divBdr>
    </w:div>
    <w:div w:id="495613798">
      <w:bodyDiv w:val="1"/>
      <w:marLeft w:val="0"/>
      <w:marRight w:val="0"/>
      <w:marTop w:val="0"/>
      <w:marBottom w:val="0"/>
      <w:divBdr>
        <w:top w:val="none" w:sz="0" w:space="0" w:color="auto"/>
        <w:left w:val="none" w:sz="0" w:space="0" w:color="auto"/>
        <w:bottom w:val="none" w:sz="0" w:space="0" w:color="auto"/>
        <w:right w:val="none" w:sz="0" w:space="0" w:color="auto"/>
      </w:divBdr>
    </w:div>
    <w:div w:id="533464721">
      <w:bodyDiv w:val="1"/>
      <w:marLeft w:val="0"/>
      <w:marRight w:val="0"/>
      <w:marTop w:val="0"/>
      <w:marBottom w:val="0"/>
      <w:divBdr>
        <w:top w:val="none" w:sz="0" w:space="0" w:color="auto"/>
        <w:left w:val="none" w:sz="0" w:space="0" w:color="auto"/>
        <w:bottom w:val="none" w:sz="0" w:space="0" w:color="auto"/>
        <w:right w:val="none" w:sz="0" w:space="0" w:color="auto"/>
      </w:divBdr>
    </w:div>
    <w:div w:id="673263599">
      <w:bodyDiv w:val="1"/>
      <w:marLeft w:val="0"/>
      <w:marRight w:val="0"/>
      <w:marTop w:val="0"/>
      <w:marBottom w:val="0"/>
      <w:divBdr>
        <w:top w:val="none" w:sz="0" w:space="0" w:color="auto"/>
        <w:left w:val="none" w:sz="0" w:space="0" w:color="auto"/>
        <w:bottom w:val="none" w:sz="0" w:space="0" w:color="auto"/>
        <w:right w:val="none" w:sz="0" w:space="0" w:color="auto"/>
      </w:divBdr>
    </w:div>
    <w:div w:id="683748419">
      <w:bodyDiv w:val="1"/>
      <w:marLeft w:val="0"/>
      <w:marRight w:val="0"/>
      <w:marTop w:val="0"/>
      <w:marBottom w:val="0"/>
      <w:divBdr>
        <w:top w:val="none" w:sz="0" w:space="0" w:color="auto"/>
        <w:left w:val="none" w:sz="0" w:space="0" w:color="auto"/>
        <w:bottom w:val="none" w:sz="0" w:space="0" w:color="auto"/>
        <w:right w:val="none" w:sz="0" w:space="0" w:color="auto"/>
      </w:divBdr>
    </w:div>
    <w:div w:id="733743373">
      <w:bodyDiv w:val="1"/>
      <w:marLeft w:val="0"/>
      <w:marRight w:val="0"/>
      <w:marTop w:val="0"/>
      <w:marBottom w:val="0"/>
      <w:divBdr>
        <w:top w:val="none" w:sz="0" w:space="0" w:color="auto"/>
        <w:left w:val="none" w:sz="0" w:space="0" w:color="auto"/>
        <w:bottom w:val="none" w:sz="0" w:space="0" w:color="auto"/>
        <w:right w:val="none" w:sz="0" w:space="0" w:color="auto"/>
      </w:divBdr>
    </w:div>
    <w:div w:id="759566040">
      <w:bodyDiv w:val="1"/>
      <w:marLeft w:val="0"/>
      <w:marRight w:val="0"/>
      <w:marTop w:val="0"/>
      <w:marBottom w:val="0"/>
      <w:divBdr>
        <w:top w:val="none" w:sz="0" w:space="0" w:color="auto"/>
        <w:left w:val="none" w:sz="0" w:space="0" w:color="auto"/>
        <w:bottom w:val="none" w:sz="0" w:space="0" w:color="auto"/>
        <w:right w:val="none" w:sz="0" w:space="0" w:color="auto"/>
      </w:divBdr>
    </w:div>
    <w:div w:id="771248488">
      <w:bodyDiv w:val="1"/>
      <w:marLeft w:val="0"/>
      <w:marRight w:val="0"/>
      <w:marTop w:val="0"/>
      <w:marBottom w:val="0"/>
      <w:divBdr>
        <w:top w:val="none" w:sz="0" w:space="0" w:color="auto"/>
        <w:left w:val="none" w:sz="0" w:space="0" w:color="auto"/>
        <w:bottom w:val="none" w:sz="0" w:space="0" w:color="auto"/>
        <w:right w:val="none" w:sz="0" w:space="0" w:color="auto"/>
      </w:divBdr>
    </w:div>
    <w:div w:id="779299160">
      <w:bodyDiv w:val="1"/>
      <w:marLeft w:val="0"/>
      <w:marRight w:val="0"/>
      <w:marTop w:val="0"/>
      <w:marBottom w:val="0"/>
      <w:divBdr>
        <w:top w:val="none" w:sz="0" w:space="0" w:color="auto"/>
        <w:left w:val="none" w:sz="0" w:space="0" w:color="auto"/>
        <w:bottom w:val="none" w:sz="0" w:space="0" w:color="auto"/>
        <w:right w:val="none" w:sz="0" w:space="0" w:color="auto"/>
      </w:divBdr>
    </w:div>
    <w:div w:id="793906635">
      <w:bodyDiv w:val="1"/>
      <w:marLeft w:val="0"/>
      <w:marRight w:val="0"/>
      <w:marTop w:val="0"/>
      <w:marBottom w:val="0"/>
      <w:divBdr>
        <w:top w:val="none" w:sz="0" w:space="0" w:color="auto"/>
        <w:left w:val="none" w:sz="0" w:space="0" w:color="auto"/>
        <w:bottom w:val="none" w:sz="0" w:space="0" w:color="auto"/>
        <w:right w:val="none" w:sz="0" w:space="0" w:color="auto"/>
      </w:divBdr>
    </w:div>
    <w:div w:id="804851957">
      <w:bodyDiv w:val="1"/>
      <w:marLeft w:val="0"/>
      <w:marRight w:val="0"/>
      <w:marTop w:val="0"/>
      <w:marBottom w:val="0"/>
      <w:divBdr>
        <w:top w:val="none" w:sz="0" w:space="0" w:color="auto"/>
        <w:left w:val="none" w:sz="0" w:space="0" w:color="auto"/>
        <w:bottom w:val="none" w:sz="0" w:space="0" w:color="auto"/>
        <w:right w:val="none" w:sz="0" w:space="0" w:color="auto"/>
      </w:divBdr>
    </w:div>
    <w:div w:id="810906951">
      <w:bodyDiv w:val="1"/>
      <w:marLeft w:val="0"/>
      <w:marRight w:val="0"/>
      <w:marTop w:val="0"/>
      <w:marBottom w:val="0"/>
      <w:divBdr>
        <w:top w:val="none" w:sz="0" w:space="0" w:color="auto"/>
        <w:left w:val="none" w:sz="0" w:space="0" w:color="auto"/>
        <w:bottom w:val="none" w:sz="0" w:space="0" w:color="auto"/>
        <w:right w:val="none" w:sz="0" w:space="0" w:color="auto"/>
      </w:divBdr>
    </w:div>
    <w:div w:id="824668732">
      <w:bodyDiv w:val="1"/>
      <w:marLeft w:val="0"/>
      <w:marRight w:val="0"/>
      <w:marTop w:val="0"/>
      <w:marBottom w:val="0"/>
      <w:divBdr>
        <w:top w:val="none" w:sz="0" w:space="0" w:color="auto"/>
        <w:left w:val="none" w:sz="0" w:space="0" w:color="auto"/>
        <w:bottom w:val="none" w:sz="0" w:space="0" w:color="auto"/>
        <w:right w:val="none" w:sz="0" w:space="0" w:color="auto"/>
      </w:divBdr>
    </w:div>
    <w:div w:id="838891544">
      <w:bodyDiv w:val="1"/>
      <w:marLeft w:val="0"/>
      <w:marRight w:val="0"/>
      <w:marTop w:val="0"/>
      <w:marBottom w:val="0"/>
      <w:divBdr>
        <w:top w:val="none" w:sz="0" w:space="0" w:color="auto"/>
        <w:left w:val="none" w:sz="0" w:space="0" w:color="auto"/>
        <w:bottom w:val="none" w:sz="0" w:space="0" w:color="auto"/>
        <w:right w:val="none" w:sz="0" w:space="0" w:color="auto"/>
      </w:divBdr>
    </w:div>
    <w:div w:id="916792163">
      <w:bodyDiv w:val="1"/>
      <w:marLeft w:val="0"/>
      <w:marRight w:val="0"/>
      <w:marTop w:val="0"/>
      <w:marBottom w:val="0"/>
      <w:divBdr>
        <w:top w:val="none" w:sz="0" w:space="0" w:color="auto"/>
        <w:left w:val="none" w:sz="0" w:space="0" w:color="auto"/>
        <w:bottom w:val="none" w:sz="0" w:space="0" w:color="auto"/>
        <w:right w:val="none" w:sz="0" w:space="0" w:color="auto"/>
      </w:divBdr>
    </w:div>
    <w:div w:id="962879006">
      <w:bodyDiv w:val="1"/>
      <w:marLeft w:val="0"/>
      <w:marRight w:val="0"/>
      <w:marTop w:val="0"/>
      <w:marBottom w:val="0"/>
      <w:divBdr>
        <w:top w:val="none" w:sz="0" w:space="0" w:color="auto"/>
        <w:left w:val="none" w:sz="0" w:space="0" w:color="auto"/>
        <w:bottom w:val="none" w:sz="0" w:space="0" w:color="auto"/>
        <w:right w:val="none" w:sz="0" w:space="0" w:color="auto"/>
      </w:divBdr>
    </w:div>
    <w:div w:id="1075472838">
      <w:bodyDiv w:val="1"/>
      <w:marLeft w:val="0"/>
      <w:marRight w:val="0"/>
      <w:marTop w:val="0"/>
      <w:marBottom w:val="0"/>
      <w:divBdr>
        <w:top w:val="none" w:sz="0" w:space="0" w:color="auto"/>
        <w:left w:val="none" w:sz="0" w:space="0" w:color="auto"/>
        <w:bottom w:val="none" w:sz="0" w:space="0" w:color="auto"/>
        <w:right w:val="none" w:sz="0" w:space="0" w:color="auto"/>
      </w:divBdr>
    </w:div>
    <w:div w:id="1121680264">
      <w:bodyDiv w:val="1"/>
      <w:marLeft w:val="0"/>
      <w:marRight w:val="0"/>
      <w:marTop w:val="0"/>
      <w:marBottom w:val="0"/>
      <w:divBdr>
        <w:top w:val="none" w:sz="0" w:space="0" w:color="auto"/>
        <w:left w:val="none" w:sz="0" w:space="0" w:color="auto"/>
        <w:bottom w:val="none" w:sz="0" w:space="0" w:color="auto"/>
        <w:right w:val="none" w:sz="0" w:space="0" w:color="auto"/>
      </w:divBdr>
    </w:div>
    <w:div w:id="1147237385">
      <w:bodyDiv w:val="1"/>
      <w:marLeft w:val="0"/>
      <w:marRight w:val="0"/>
      <w:marTop w:val="0"/>
      <w:marBottom w:val="0"/>
      <w:divBdr>
        <w:top w:val="none" w:sz="0" w:space="0" w:color="auto"/>
        <w:left w:val="none" w:sz="0" w:space="0" w:color="auto"/>
        <w:bottom w:val="none" w:sz="0" w:space="0" w:color="auto"/>
        <w:right w:val="none" w:sz="0" w:space="0" w:color="auto"/>
      </w:divBdr>
    </w:div>
    <w:div w:id="1217737147">
      <w:bodyDiv w:val="1"/>
      <w:marLeft w:val="0"/>
      <w:marRight w:val="0"/>
      <w:marTop w:val="0"/>
      <w:marBottom w:val="0"/>
      <w:divBdr>
        <w:top w:val="none" w:sz="0" w:space="0" w:color="auto"/>
        <w:left w:val="none" w:sz="0" w:space="0" w:color="auto"/>
        <w:bottom w:val="none" w:sz="0" w:space="0" w:color="auto"/>
        <w:right w:val="none" w:sz="0" w:space="0" w:color="auto"/>
      </w:divBdr>
      <w:divsChild>
        <w:div w:id="335160217">
          <w:marLeft w:val="0"/>
          <w:marRight w:val="0"/>
          <w:marTop w:val="0"/>
          <w:marBottom w:val="0"/>
          <w:divBdr>
            <w:top w:val="none" w:sz="0" w:space="0" w:color="auto"/>
            <w:left w:val="none" w:sz="0" w:space="0" w:color="auto"/>
            <w:bottom w:val="none" w:sz="0" w:space="0" w:color="auto"/>
            <w:right w:val="none" w:sz="0" w:space="0" w:color="auto"/>
          </w:divBdr>
        </w:div>
        <w:div w:id="1090079764">
          <w:marLeft w:val="0"/>
          <w:marRight w:val="0"/>
          <w:marTop w:val="0"/>
          <w:marBottom w:val="0"/>
          <w:divBdr>
            <w:top w:val="none" w:sz="0" w:space="0" w:color="auto"/>
            <w:left w:val="none" w:sz="0" w:space="0" w:color="auto"/>
            <w:bottom w:val="none" w:sz="0" w:space="0" w:color="auto"/>
            <w:right w:val="none" w:sz="0" w:space="0" w:color="auto"/>
          </w:divBdr>
        </w:div>
      </w:divsChild>
    </w:div>
    <w:div w:id="1340738091">
      <w:bodyDiv w:val="1"/>
      <w:marLeft w:val="0"/>
      <w:marRight w:val="0"/>
      <w:marTop w:val="0"/>
      <w:marBottom w:val="0"/>
      <w:divBdr>
        <w:top w:val="none" w:sz="0" w:space="0" w:color="auto"/>
        <w:left w:val="none" w:sz="0" w:space="0" w:color="auto"/>
        <w:bottom w:val="none" w:sz="0" w:space="0" w:color="auto"/>
        <w:right w:val="none" w:sz="0" w:space="0" w:color="auto"/>
      </w:divBdr>
    </w:div>
    <w:div w:id="1426343511">
      <w:bodyDiv w:val="1"/>
      <w:marLeft w:val="0"/>
      <w:marRight w:val="0"/>
      <w:marTop w:val="0"/>
      <w:marBottom w:val="0"/>
      <w:divBdr>
        <w:top w:val="none" w:sz="0" w:space="0" w:color="auto"/>
        <w:left w:val="none" w:sz="0" w:space="0" w:color="auto"/>
        <w:bottom w:val="none" w:sz="0" w:space="0" w:color="auto"/>
        <w:right w:val="none" w:sz="0" w:space="0" w:color="auto"/>
      </w:divBdr>
    </w:div>
    <w:div w:id="1672486933">
      <w:bodyDiv w:val="1"/>
      <w:marLeft w:val="0"/>
      <w:marRight w:val="0"/>
      <w:marTop w:val="0"/>
      <w:marBottom w:val="0"/>
      <w:divBdr>
        <w:top w:val="none" w:sz="0" w:space="0" w:color="auto"/>
        <w:left w:val="none" w:sz="0" w:space="0" w:color="auto"/>
        <w:bottom w:val="none" w:sz="0" w:space="0" w:color="auto"/>
        <w:right w:val="none" w:sz="0" w:space="0" w:color="auto"/>
      </w:divBdr>
    </w:div>
    <w:div w:id="1749421647">
      <w:bodyDiv w:val="1"/>
      <w:marLeft w:val="0"/>
      <w:marRight w:val="0"/>
      <w:marTop w:val="0"/>
      <w:marBottom w:val="0"/>
      <w:divBdr>
        <w:top w:val="none" w:sz="0" w:space="0" w:color="auto"/>
        <w:left w:val="none" w:sz="0" w:space="0" w:color="auto"/>
        <w:bottom w:val="none" w:sz="0" w:space="0" w:color="auto"/>
        <w:right w:val="none" w:sz="0" w:space="0" w:color="auto"/>
      </w:divBdr>
    </w:div>
    <w:div w:id="1761483557">
      <w:bodyDiv w:val="1"/>
      <w:marLeft w:val="0"/>
      <w:marRight w:val="0"/>
      <w:marTop w:val="0"/>
      <w:marBottom w:val="0"/>
      <w:divBdr>
        <w:top w:val="none" w:sz="0" w:space="0" w:color="auto"/>
        <w:left w:val="none" w:sz="0" w:space="0" w:color="auto"/>
        <w:bottom w:val="none" w:sz="0" w:space="0" w:color="auto"/>
        <w:right w:val="none" w:sz="0" w:space="0" w:color="auto"/>
      </w:divBdr>
    </w:div>
    <w:div w:id="1931501536">
      <w:bodyDiv w:val="1"/>
      <w:marLeft w:val="0"/>
      <w:marRight w:val="0"/>
      <w:marTop w:val="0"/>
      <w:marBottom w:val="0"/>
      <w:divBdr>
        <w:top w:val="none" w:sz="0" w:space="0" w:color="auto"/>
        <w:left w:val="none" w:sz="0" w:space="0" w:color="auto"/>
        <w:bottom w:val="none" w:sz="0" w:space="0" w:color="auto"/>
        <w:right w:val="none" w:sz="0" w:space="0" w:color="auto"/>
      </w:divBdr>
    </w:div>
    <w:div w:id="2092266617">
      <w:bodyDiv w:val="1"/>
      <w:marLeft w:val="0"/>
      <w:marRight w:val="0"/>
      <w:marTop w:val="0"/>
      <w:marBottom w:val="0"/>
      <w:divBdr>
        <w:top w:val="none" w:sz="0" w:space="0" w:color="auto"/>
        <w:left w:val="none" w:sz="0" w:space="0" w:color="auto"/>
        <w:bottom w:val="none" w:sz="0" w:space="0" w:color="auto"/>
        <w:right w:val="none" w:sz="0" w:space="0" w:color="auto"/>
      </w:divBdr>
    </w:div>
    <w:div w:id="209374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scout.org/safe-from-harm-policy" TargetMode="External"/><Relationship Id="rId26" Type="http://schemas.openxmlformats.org/officeDocument/2006/relationships/hyperlink" Target="https://wedocs.unep.org/bitstream/handle/20.500.11822/34365/AFG.pdf?sequence=1&amp;isAllowed=y" TargetMode="External"/><Relationship Id="rId3" Type="http://schemas.openxmlformats.org/officeDocument/2006/relationships/customXml" Target="../customXml/item3.xml"/><Relationship Id="rId21" Type="http://schemas.openxmlformats.org/officeDocument/2006/relationships/hyperlink" Target="https://www.un.org/development/desa/disabilities/convention-on-the-rights-of-persons-with-disabilities.htm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edocs.unep.org/bitstream/handle/20.500.11822/34365/AFG.pdf?sequence=1&amp;isAllowed=y" TargetMode="External"/><Relationship Id="rId25" Type="http://schemas.openxmlformats.org/officeDocument/2006/relationships/hyperlink" Target="https://www.no-burn.org/wp-content/uploads/2022/02/Report-July-12-2019-Spreads-no-marks-1.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edocs.unep.org/bitstream/handle/20.500.11822/34365/AFG.pdf?sequence=1&amp;isAllowed=y" TargetMode="External"/><Relationship Id="rId20" Type="http://schemas.openxmlformats.org/officeDocument/2006/relationships/hyperlink" Target="https://www.un.org/development/desa/disabilities/publication-disability-sdgs.html" TargetMode="External"/><Relationship Id="rId29" Type="http://schemas.openxmlformats.org/officeDocument/2006/relationships/hyperlink" Target="https://wedocs.unep.org/bitstream/handle/20.500.11822/34365/AFG.pdf?sequence=1&amp;isAllowed=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o-burn.org/wp-content/uploads/2021/11/Sachet-Economy-spread-.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no-burn.org/wp-content/uploads/2022/02/UNEA-publication-packet_waste-pickers.pdf" TargetMode="External"/><Relationship Id="rId28"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yperlink" Target="https://www.unwomen.org/en/digital-library/publications/2019/05/respect-women-preventing-violence-against-women" TargetMode="External"/><Relationship Id="rId31" Type="http://schemas.openxmlformats.org/officeDocument/2006/relationships/hyperlink" Target="https://tide-turners.org/assets/Files/TTC%20Evaluation%20Report%20HR%20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sustainabledevelopment.un.org/post2015/transformingourworld" TargetMode="External"/><Relationship Id="rId27" Type="http://schemas.openxmlformats.org/officeDocument/2006/relationships/image" Target="media/image2.png"/><Relationship Id="rId30" Type="http://schemas.openxmlformats.org/officeDocument/2006/relationships/hyperlink" Target="https://earthtribe.scout.org/" TargetMode="Externa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sciencedirect.com/science/article/pii/S0025326X19302061" TargetMode="External"/><Relationship Id="rId3" Type="http://schemas.openxmlformats.org/officeDocument/2006/relationships/hyperlink" Target="https://consult.defra.gov.uk/waste-and-recycling/plastic-straws-stirrers-and-buds/supporting_documents/Plastic%20Straws%20Impact%20Assessment.pdf" TargetMode="External"/><Relationship Id="rId7" Type="http://schemas.openxmlformats.org/officeDocument/2006/relationships/hyperlink" Target="https://defra.sharepoint.com/teams/Team2210/Oceans_and_Plastic_Pollution/BPF/Pipeline%20development/Business%20case%20development/GPAP%20WRAP/,%20https:/www.pewtrusts.org/en/research-and-analysis/articles/2020/07/23/breaking-the-plastic-wave-top-findings" TargetMode="External"/><Relationship Id="rId2" Type="http://schemas.openxmlformats.org/officeDocument/2006/relationships/hyperlink" Target="https://www.thebetterindia.com/268757/waste-recycle-gujarat-river-clean-up-sneha-shahi-unep-plastic-tide-turner/" TargetMode="External"/><Relationship Id="rId1" Type="http://schemas.openxmlformats.org/officeDocument/2006/relationships/hyperlink" Target="https://tide-turners.org/assets/Files/TTC%20Evaluation%20Report%20HR%201.pdf" TargetMode="External"/><Relationship Id="rId6" Type="http://schemas.openxmlformats.org/officeDocument/2006/relationships/hyperlink" Target="https://defra.sharepoint.com/teams/Team2210/Oceans_and_Plastic_Pollution/BPF/Pipeline%20development/Business%20case%20development/GPAP%20WRAP/,%20https:/www.pewtrusts.org/en/research-and-analysis/articles/2020/07/23/breaking-the-plastic-wave-top-findings" TargetMode="External"/><Relationship Id="rId5" Type="http://schemas.openxmlformats.org/officeDocument/2006/relationships/hyperlink" Target="https://www.conservatives.com/news/vote-blue-go-green" TargetMode="External"/><Relationship Id="rId4" Type="http://schemas.openxmlformats.org/officeDocument/2006/relationships/hyperlink" Target="https://wedocs.unep.org/bitstream/handle/20.500.11822/39812/OEWG_PP_1_INF_1_UNEA%20resolution.pdf?sequence=14&amp;isAllowed=y" TargetMode="External"/><Relationship Id="rId9" Type="http://schemas.openxmlformats.org/officeDocument/2006/relationships/hyperlink" Target="https://www.pewtrusts.org/-/media/assets/2020/07/breakingtheplasticwave_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1A6B73D59B36249B7F99E11E9E7710A" ma:contentTypeVersion="27" ma:contentTypeDescription="Create a new document." ma:contentTypeScope="" ma:versionID="860370cf378324f3f6d06bd5244dcd60">
  <xsd:schema xmlns:xsd="http://www.w3.org/2001/XMLSchema" xmlns:xs="http://www.w3.org/2001/XMLSchema" xmlns:p="http://schemas.microsoft.com/office/2006/metadata/properties" xmlns:ns2="662745e8-e224-48e8-a2e3-254862b8c2f5" xmlns:ns3="822db2fd-3a81-40c9-b01d-3429b80072da" targetNamespace="http://schemas.microsoft.com/office/2006/metadata/properties" ma:root="true" ma:fieldsID="e71974be6bc6f39b2b672210e1a69fc4" ns2:_="" ns3:_="">
    <xsd:import namespace="662745e8-e224-48e8-a2e3-254862b8c2f5"/>
    <xsd:import namespace="822db2fd-3a81-40c9-b01d-3429b80072d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ca99396-b937-472b-b939-53930c40eed1}" ma:internalName="TaxCatchAll" ma:showField="CatchAllData" ma:web="8a307954-cff0-4a51-975d-d872d2d7fa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ca99396-b937-472b-b939-53930c40eed1}" ma:internalName="TaxCatchAllLabel" ma:readOnly="true" ma:showField="CatchAllDataLabel" ma:web="8a307954-cff0-4a51-975d-d872d2d7fa34">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Blue Planet Fund" ma:internalName="Team" ma:readOnly="false">
      <xsd:simpleType>
        <xsd:restriction base="dms:Text"/>
      </xsd:simpleType>
    </xsd:element>
    <xsd:element name="Topic" ma:index="20" nillable="true" ma:displayName="Topic" ma:default="Sustainable Marine Management"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2db2fd-3a81-40c9-b01d-3429b80072d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International_Blue_Finance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16</Value>
      <Value>10</Value>
      <Value>2</Value>
      <Value>1</Value>
      <Value>3</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Marine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mso-contentType ?>
<SharedContentType xmlns="Microsoft.SharePoint.Taxonomy.ContentTypeSync" SourceId="d1117845-93f6-4da3-abaa-fcb4fa669c78" ContentTypeId="0x010100A5BF1C78D9F64B679A5EBDE1C6598EBC01" PreviousValue="false" LastSyncTimeStamp="2024-12-09T17:56:34.99Z"/>
</file>

<file path=customXml/itemProps1.xml><?xml version="1.0" encoding="utf-8"?>
<ds:datastoreItem xmlns:ds="http://schemas.openxmlformats.org/officeDocument/2006/customXml" ds:itemID="{FC62309A-326B-470B-A73A-AEB9DB013342}"/>
</file>

<file path=customXml/itemProps2.xml><?xml version="1.0" encoding="utf-8"?>
<ds:datastoreItem xmlns:ds="http://schemas.openxmlformats.org/officeDocument/2006/customXml" ds:itemID="{B7609B13-0F01-4181-BDC2-5EC6DBD0D70B}">
  <ds:schemaRefs>
    <ds:schemaRef ds:uri="http://schemas.openxmlformats.org/officeDocument/2006/bibliography"/>
  </ds:schemaRefs>
</ds:datastoreItem>
</file>

<file path=customXml/itemProps3.xml><?xml version="1.0" encoding="utf-8"?>
<ds:datastoreItem xmlns:ds="http://schemas.openxmlformats.org/officeDocument/2006/customXml" ds:itemID="{24AF2289-3CA7-46F2-851D-C4D6422C3D26}">
  <ds:schemaRefs>
    <ds:schemaRef ds:uri="http://schemas.microsoft.com/sharepoint/v3/contenttype/forms"/>
  </ds:schemaRefs>
</ds:datastoreItem>
</file>

<file path=customXml/itemProps4.xml><?xml version="1.0" encoding="utf-8"?>
<ds:datastoreItem xmlns:ds="http://schemas.openxmlformats.org/officeDocument/2006/customXml" ds:itemID="{7A90C080-9D60-4D65-89D0-95BF4EED62B2}">
  <ds:schemaRefs>
    <ds:schemaRef ds:uri="http://schemas.microsoft.com/office/2006/metadata/properties"/>
    <ds:schemaRef ds:uri="http://schemas.microsoft.com/office/infopath/2007/PartnerControls"/>
    <ds:schemaRef ds:uri="662745e8-e224-48e8-a2e3-254862b8c2f5"/>
    <ds:schemaRef ds:uri="b13ba871-742c-4918-997e-010f5a8d916a"/>
  </ds:schemaRefs>
</ds:datastoreItem>
</file>

<file path=customXml/itemProps5.xml><?xml version="1.0" encoding="utf-8"?>
<ds:datastoreItem xmlns:ds="http://schemas.openxmlformats.org/officeDocument/2006/customXml" ds:itemID="{1AE7AD81-7577-4323-B9E0-23B342C78B1A}"/>
</file>

<file path=docProps/app.xml><?xml version="1.0" encoding="utf-8"?>
<Properties xmlns="http://schemas.openxmlformats.org/officeDocument/2006/extended-properties" xmlns:vt="http://schemas.openxmlformats.org/officeDocument/2006/docPropsVTypes">
  <Template>Normal</Template>
  <TotalTime>980</TotalTime>
  <Pages>59</Pages>
  <Words>22503</Words>
  <Characters>128268</Characters>
  <Application>Microsoft Office Word</Application>
  <DocSecurity>0</DocSecurity>
  <Lines>1068</Lines>
  <Paragraphs>300</Paragraphs>
  <ScaleCrop>false</ScaleCrop>
  <Company/>
  <LinksUpToDate>false</LinksUpToDate>
  <CharactersWithSpaces>150471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Championing Inclusivity on Plastic Pollution (CHIPP)</dc:title>
  <dc:subject/>
  <dc:creator>Inacio, Pamela</dc:creator>
  <cp:keywords/>
  <dc:description/>
  <cp:lastModifiedBy>Blundell, Jim</cp:lastModifiedBy>
  <cp:revision>76</cp:revision>
  <dcterms:created xsi:type="dcterms:W3CDTF">2024-08-29T12:51:00Z</dcterms:created>
  <dcterms:modified xsi:type="dcterms:W3CDTF">2024-08-30T07:43:00Z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0x010100A5BF1C78D9F64B679A5EBDE1C6598EBC010001A6B73D59B36249B7F99E11E9E7710A</vt:lpwstr>
  </property>
  <property fmtid="{D5CDD505-2E9C-101B-9397-08002B2CF9AE}" pid="3" name="InformationType">
    <vt:lpwstr/>
  </property>
  <property fmtid="{D5CDD505-2E9C-101B-9397-08002B2CF9AE}" pid="4" name="Distribution">
    <vt:lpwstr>16;#Internal Defra Group|0867f7b3-e76e-40ca-bb1f-5ba341a49230</vt:lpwstr>
  </property>
  <property fmtid="{D5CDD505-2E9C-101B-9397-08002B2CF9AE}" pid="5" name="Directorate">
    <vt:lpwstr/>
  </property>
  <property fmtid="{D5CDD505-2E9C-101B-9397-08002B2CF9AE}" pid="6" name="HOCopyrightLevel">
    <vt:lpwstr>1;#Crown|69589897-2828-4761-976e-717fd8e631c9</vt:lpwstr>
  </property>
  <property fmtid="{D5CDD505-2E9C-101B-9397-08002B2CF9AE}" pid="7" name="SecurityClassification">
    <vt:lpwstr/>
  </property>
  <property fmtid="{D5CDD505-2E9C-101B-9397-08002B2CF9AE}" pid="8" name="HOGovernmentSecurityClassification">
    <vt:lpwstr>2;#Official|14c80daa-741b-422c-9722-f71693c9ede4</vt:lpwstr>
  </property>
  <property fmtid="{D5CDD505-2E9C-101B-9397-08002B2CF9AE}" pid="9" name="HOSiteType">
    <vt:lpwstr>10;#Team|ff0485df-0575-416f-802f-e999165821b7</vt:lpwstr>
  </property>
  <property fmtid="{D5CDD505-2E9C-101B-9397-08002B2CF9AE}" pid="10" name="OrganisationalUnit">
    <vt:lpwstr>3;#Core Defra|026223dd-2e56-4615-868d-7c5bfd566810</vt:lpwstr>
  </property>
  <property fmtid="{D5CDD505-2E9C-101B-9397-08002B2CF9AE}" pid="11" name="MediaServiceImageTags">
    <vt:lpwstr/>
  </property>
  <property fmtid="{D5CDD505-2E9C-101B-9397-08002B2CF9AE}" pid="12" name="HOFrom">
    <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20" name="_ExtendedDescription">
    <vt:lpwstr/>
  </property>
  <property fmtid="{D5CDD505-2E9C-101B-9397-08002B2CF9AE}" pid="21" name="vti_imgdate">
    <vt:lpwstr/>
  </property>
  <property fmtid="{D5CDD505-2E9C-101B-9397-08002B2CF9AE}" pid="22" name="xd_Signature">
    <vt:bool>false</vt:bool>
  </property>
  <property fmtid="{D5CDD505-2E9C-101B-9397-08002B2CF9AE}" pid="23" name="HOSubject">
    <vt:lpwstr/>
  </property>
  <property fmtid="{D5CDD505-2E9C-101B-9397-08002B2CF9AE}" pid="24" name="wic_System_Copyright">
    <vt:lpwstr/>
  </property>
  <property fmtid="{D5CDD505-2E9C-101B-9397-08002B2CF9AE}" pid="25" name="HOCC">
    <vt:lpwstr/>
  </property>
  <property fmtid="{D5CDD505-2E9C-101B-9397-08002B2CF9AE}" pid="26" name="HOTo">
    <vt:lpwstr/>
  </property>
  <property fmtid="{D5CDD505-2E9C-101B-9397-08002B2CF9AE}" pid="27" name="TriggerFlowInfo">
    <vt:lpwstr/>
  </property>
</Properties>
</file>