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9" w:type="dxa"/>
        <w:tblInd w:w="-284" w:type="dxa"/>
        <w:tblLayout w:type="fixed"/>
        <w:tblCellMar>
          <w:left w:w="0" w:type="dxa"/>
          <w:right w:w="0" w:type="dxa"/>
        </w:tblCellMar>
        <w:tblLook w:val="04A0" w:firstRow="1" w:lastRow="0" w:firstColumn="1" w:lastColumn="0" w:noHBand="0" w:noVBand="1"/>
      </w:tblPr>
      <w:tblGrid>
        <w:gridCol w:w="171"/>
        <w:gridCol w:w="4655"/>
        <w:gridCol w:w="2481"/>
        <w:gridCol w:w="2556"/>
        <w:gridCol w:w="276"/>
      </w:tblGrid>
      <w:tr w:rsidR="00800EBE" w:rsidRPr="004B6EAB" w14:paraId="0424E609" w14:textId="77777777" w:rsidTr="009B6164">
        <w:trPr>
          <w:gridAfter w:val="1"/>
          <w:wAfter w:w="284" w:type="dxa"/>
          <w:trHeight w:val="1163"/>
        </w:trPr>
        <w:tc>
          <w:tcPr>
            <w:tcW w:w="4962" w:type="dxa"/>
            <w:gridSpan w:val="2"/>
            <w:vMerge w:val="restart"/>
          </w:tcPr>
          <w:p w14:paraId="0D534D30" w14:textId="77777777" w:rsidR="00800EBE" w:rsidRPr="004B6EAB" w:rsidRDefault="00800EBE" w:rsidP="009B6164">
            <w:pPr>
              <w:spacing w:before="0" w:after="0"/>
              <w:ind w:left="88"/>
              <w:rPr>
                <w:sz w:val="28"/>
              </w:rPr>
            </w:pPr>
            <w:r w:rsidRPr="004B6EAB">
              <w:rPr>
                <w:rFonts w:cs="Arial"/>
                <w:noProof/>
                <w:sz w:val="28"/>
                <w:lang w:eastAsia="en-GB"/>
              </w:rPr>
              <w:drawing>
                <wp:inline distT="0" distB="0" distL="0" distR="0" wp14:anchorId="577C24F3" wp14:editId="2031CDCF">
                  <wp:extent cx="2057400" cy="1057275"/>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552" w:type="dxa"/>
          </w:tcPr>
          <w:p w14:paraId="4FC4E209" w14:textId="77777777" w:rsidR="00800EBE" w:rsidRPr="004B6EAB" w:rsidRDefault="00800EBE" w:rsidP="009B6164">
            <w:pPr>
              <w:spacing w:before="0" w:after="0"/>
              <w:rPr>
                <w:sz w:val="22"/>
              </w:rPr>
            </w:pPr>
          </w:p>
        </w:tc>
        <w:tc>
          <w:tcPr>
            <w:tcW w:w="2624" w:type="dxa"/>
            <w:vMerge w:val="restart"/>
          </w:tcPr>
          <w:p w14:paraId="4F204491" w14:textId="77777777" w:rsidR="00800EBE" w:rsidRPr="004B6EAB" w:rsidRDefault="00800EBE" w:rsidP="009B6164">
            <w:pPr>
              <w:tabs>
                <w:tab w:val="left" w:pos="8385"/>
              </w:tabs>
              <w:spacing w:before="1260" w:after="0" w:line="240" w:lineRule="auto"/>
              <w:rPr>
                <w:sz w:val="22"/>
              </w:rPr>
            </w:pPr>
            <w:r w:rsidRPr="004B6EAB">
              <w:rPr>
                <w:sz w:val="22"/>
              </w:rPr>
              <w:t xml:space="preserve">T: </w:t>
            </w:r>
            <w:bookmarkStart w:id="0" w:name="telMain"/>
            <w:bookmarkEnd w:id="0"/>
            <w:r w:rsidRPr="004B6EAB">
              <w:rPr>
                <w:sz w:val="22"/>
              </w:rPr>
              <w:t>03459 335577</w:t>
            </w:r>
          </w:p>
          <w:p w14:paraId="23F34B97" w14:textId="77777777" w:rsidR="00800EBE" w:rsidRPr="004B6EAB" w:rsidRDefault="00800EBE" w:rsidP="009B6164">
            <w:pPr>
              <w:spacing w:before="0" w:after="0" w:line="240" w:lineRule="auto"/>
              <w:rPr>
                <w:sz w:val="22"/>
              </w:rPr>
            </w:pPr>
            <w:r w:rsidRPr="004B6EAB">
              <w:rPr>
                <w:sz w:val="22"/>
              </w:rPr>
              <w:t>helpline@defra.gov.uk</w:t>
            </w:r>
          </w:p>
          <w:p w14:paraId="47A79C53" w14:textId="77777777" w:rsidR="00800EBE" w:rsidRPr="004B6EAB" w:rsidRDefault="00800EBE" w:rsidP="009B6164">
            <w:pPr>
              <w:spacing w:before="0" w:after="0" w:line="240" w:lineRule="auto"/>
              <w:rPr>
                <w:sz w:val="22"/>
              </w:rPr>
            </w:pPr>
            <w:r w:rsidRPr="004B6EAB">
              <w:rPr>
                <w:sz w:val="22"/>
              </w:rPr>
              <w:t>www.gov.uk/defra</w:t>
            </w:r>
          </w:p>
        </w:tc>
      </w:tr>
      <w:tr w:rsidR="00800EBE" w:rsidRPr="004B6EAB" w14:paraId="2921001F" w14:textId="77777777" w:rsidTr="009B6164">
        <w:trPr>
          <w:gridAfter w:val="1"/>
          <w:wAfter w:w="284" w:type="dxa"/>
          <w:trHeight w:val="1065"/>
        </w:trPr>
        <w:tc>
          <w:tcPr>
            <w:tcW w:w="4962" w:type="dxa"/>
            <w:gridSpan w:val="2"/>
            <w:vMerge/>
          </w:tcPr>
          <w:p w14:paraId="16999E7F" w14:textId="77777777" w:rsidR="00800EBE" w:rsidRPr="00835639" w:rsidRDefault="00800EBE" w:rsidP="009B6164">
            <w:pPr>
              <w:spacing w:before="0" w:after="0"/>
              <w:rPr>
                <w:sz w:val="28"/>
                <w:lang w:val="de-DE"/>
              </w:rPr>
            </w:pPr>
          </w:p>
        </w:tc>
        <w:tc>
          <w:tcPr>
            <w:tcW w:w="2552" w:type="dxa"/>
          </w:tcPr>
          <w:p w14:paraId="1E621C98" w14:textId="77777777" w:rsidR="00800EBE" w:rsidRPr="004B6EAB" w:rsidRDefault="00800EBE" w:rsidP="009B6164">
            <w:pPr>
              <w:spacing w:before="0" w:after="0" w:line="240" w:lineRule="auto"/>
              <w:rPr>
                <w:noProof/>
                <w:sz w:val="22"/>
                <w:lang w:eastAsia="en-GB"/>
              </w:rPr>
            </w:pPr>
            <w:r w:rsidRPr="004B6EAB">
              <w:rPr>
                <w:noProof/>
                <w:sz w:val="22"/>
                <w:lang w:eastAsia="en-GB"/>
              </w:rPr>
              <w:t xml:space="preserve">Horizon House </w:t>
            </w:r>
          </w:p>
          <w:p w14:paraId="34EFBE5F" w14:textId="77777777" w:rsidR="00800EBE" w:rsidRPr="004B6EAB" w:rsidRDefault="00800EBE" w:rsidP="009B6164">
            <w:pPr>
              <w:spacing w:before="0" w:after="0" w:line="240" w:lineRule="auto"/>
              <w:rPr>
                <w:sz w:val="22"/>
              </w:rPr>
            </w:pPr>
            <w:r w:rsidRPr="004B6EAB">
              <w:rPr>
                <w:sz w:val="22"/>
              </w:rPr>
              <w:t xml:space="preserve">1 Deanery Road </w:t>
            </w:r>
          </w:p>
          <w:p w14:paraId="6C672377" w14:textId="77777777" w:rsidR="00800EBE" w:rsidRPr="004B6EAB" w:rsidRDefault="00800EBE" w:rsidP="009B6164">
            <w:pPr>
              <w:spacing w:before="0" w:after="0" w:line="240" w:lineRule="auto"/>
              <w:rPr>
                <w:sz w:val="22"/>
              </w:rPr>
            </w:pPr>
            <w:r w:rsidRPr="004B6EAB">
              <w:rPr>
                <w:sz w:val="22"/>
              </w:rPr>
              <w:t>Bristol</w:t>
            </w:r>
          </w:p>
          <w:p w14:paraId="4BC88E15" w14:textId="77777777" w:rsidR="00800EBE" w:rsidRPr="004B6EAB" w:rsidRDefault="00800EBE" w:rsidP="009B6164">
            <w:pPr>
              <w:spacing w:before="0" w:after="0" w:line="240" w:lineRule="auto"/>
              <w:rPr>
                <w:sz w:val="22"/>
              </w:rPr>
            </w:pPr>
            <w:r w:rsidRPr="004B6EAB">
              <w:rPr>
                <w:sz w:val="22"/>
              </w:rPr>
              <w:t>BS1 5AH</w:t>
            </w:r>
          </w:p>
          <w:p w14:paraId="67FF8D39" w14:textId="77777777" w:rsidR="00800EBE" w:rsidRPr="004B6EAB" w:rsidRDefault="00800EBE" w:rsidP="009B6164">
            <w:pPr>
              <w:spacing w:before="0" w:after="0"/>
              <w:rPr>
                <w:noProof/>
                <w:sz w:val="22"/>
                <w:lang w:eastAsia="en-GB"/>
              </w:rPr>
            </w:pPr>
          </w:p>
        </w:tc>
        <w:tc>
          <w:tcPr>
            <w:tcW w:w="2624" w:type="dxa"/>
            <w:vMerge/>
          </w:tcPr>
          <w:p w14:paraId="51D9BC7E" w14:textId="77777777" w:rsidR="00800EBE" w:rsidRPr="004B6EAB" w:rsidRDefault="00800EBE" w:rsidP="009B6164">
            <w:pPr>
              <w:tabs>
                <w:tab w:val="left" w:pos="8385"/>
              </w:tabs>
              <w:spacing w:before="0" w:after="0"/>
              <w:rPr>
                <w:sz w:val="22"/>
              </w:rPr>
            </w:pPr>
          </w:p>
        </w:tc>
      </w:tr>
      <w:tr w:rsidR="00800EBE" w:rsidRPr="004B6EAB" w14:paraId="16EE854A" w14:textId="77777777" w:rsidTr="009B6164">
        <w:tblPrEx>
          <w:tblCellMar>
            <w:left w:w="108" w:type="dxa"/>
            <w:right w:w="108" w:type="dxa"/>
          </w:tblCellMar>
          <w:tblLook w:val="0000" w:firstRow="0" w:lastRow="0" w:firstColumn="0" w:lastColumn="0" w:noHBand="0" w:noVBand="0"/>
        </w:tblPrEx>
        <w:trPr>
          <w:gridBefore w:val="1"/>
          <w:wBefore w:w="176" w:type="dxa"/>
        </w:trPr>
        <w:tc>
          <w:tcPr>
            <w:tcW w:w="7338" w:type="dxa"/>
            <w:gridSpan w:val="2"/>
          </w:tcPr>
          <w:p w14:paraId="2F041314" w14:textId="77777777" w:rsidR="00800EBE" w:rsidRPr="004B6EAB" w:rsidRDefault="00800EBE" w:rsidP="009B6164">
            <w:pPr>
              <w:spacing w:before="0" w:after="0"/>
              <w:rPr>
                <w:lang w:val="de-DE"/>
              </w:rPr>
            </w:pPr>
            <w:r w:rsidRPr="004B6EAB">
              <w:rPr>
                <w:lang w:val="de-DE"/>
              </w:rPr>
              <w:t>Legacy Landscapes Fund</w:t>
            </w:r>
          </w:p>
          <w:p w14:paraId="4A5CB577" w14:textId="77777777" w:rsidR="00800EBE" w:rsidRPr="004B6EAB" w:rsidRDefault="00800EBE" w:rsidP="009B6164">
            <w:pPr>
              <w:spacing w:before="0" w:after="0"/>
              <w:rPr>
                <w:lang w:val="de-DE"/>
              </w:rPr>
            </w:pPr>
            <w:r w:rsidRPr="004B6EAB">
              <w:rPr>
                <w:lang w:val="de-DE"/>
              </w:rPr>
              <w:t>Friedrich-Ebert-Anlage 36</w:t>
            </w:r>
            <w:r w:rsidRPr="004B6EAB">
              <w:rPr>
                <w:lang w:val="de-DE"/>
              </w:rPr>
              <w:br/>
              <w:t xml:space="preserve">60325 Frankfurt am Main </w:t>
            </w:r>
          </w:p>
          <w:p w14:paraId="61AA6FD8" w14:textId="77777777" w:rsidR="00800EBE" w:rsidRPr="004B6EAB" w:rsidRDefault="00800EBE" w:rsidP="009B6164">
            <w:pPr>
              <w:spacing w:before="0" w:after="0"/>
            </w:pPr>
            <w:r w:rsidRPr="004B6EAB">
              <w:t>Germany</w:t>
            </w:r>
          </w:p>
          <w:p w14:paraId="62919499" w14:textId="77777777" w:rsidR="00800EBE" w:rsidRPr="004B6EAB" w:rsidRDefault="00800EBE" w:rsidP="009B6164">
            <w:pPr>
              <w:spacing w:before="0" w:after="0"/>
            </w:pPr>
          </w:p>
        </w:tc>
        <w:tc>
          <w:tcPr>
            <w:tcW w:w="2625" w:type="dxa"/>
            <w:gridSpan w:val="2"/>
          </w:tcPr>
          <w:p w14:paraId="05FE9757" w14:textId="06DFD464" w:rsidR="00800EBE" w:rsidRPr="004B6EAB" w:rsidRDefault="00800EBE" w:rsidP="009B6164">
            <w:pPr>
              <w:tabs>
                <w:tab w:val="left" w:pos="1134"/>
              </w:tabs>
              <w:spacing w:before="0" w:after="0"/>
              <w:ind w:left="-108"/>
              <w:rPr>
                <w:sz w:val="22"/>
                <w:lang w:val="fr-BE"/>
              </w:rPr>
            </w:pPr>
            <w:r w:rsidRPr="004B6EAB">
              <w:rPr>
                <w:b/>
                <w:sz w:val="22"/>
                <w:lang w:val="fr-BE"/>
              </w:rPr>
              <w:t xml:space="preserve">Contribution </w:t>
            </w:r>
            <w:proofErr w:type="gramStart"/>
            <w:r w:rsidRPr="004B6EAB">
              <w:rPr>
                <w:b/>
                <w:sz w:val="22"/>
                <w:lang w:val="fr-BE"/>
              </w:rPr>
              <w:t>Ref:</w:t>
            </w:r>
            <w:proofErr w:type="gramEnd"/>
            <w:r w:rsidRPr="004B6EAB">
              <w:rPr>
                <w:lang w:val="fr-BE"/>
              </w:rPr>
              <w:t xml:space="preserve"> [</w:t>
            </w:r>
            <w:r w:rsidR="003B70A8" w:rsidRPr="003B70A8">
              <w:t>P-30477</w:t>
            </w:r>
            <w:r w:rsidRPr="004B6EAB">
              <w:rPr>
                <w:lang w:val="fr-BE"/>
              </w:rPr>
              <w:t>]</w:t>
            </w:r>
          </w:p>
          <w:p w14:paraId="13008B59" w14:textId="63E6026B" w:rsidR="00800EBE" w:rsidRPr="004B6EAB" w:rsidRDefault="00800EBE" w:rsidP="009B6164">
            <w:pPr>
              <w:tabs>
                <w:tab w:val="left" w:pos="1134"/>
              </w:tabs>
              <w:spacing w:before="0" w:after="0"/>
              <w:ind w:left="-108"/>
              <w:rPr>
                <w:lang w:val="fr-BE"/>
              </w:rPr>
            </w:pPr>
            <w:proofErr w:type="gramStart"/>
            <w:r w:rsidRPr="004B6EAB">
              <w:rPr>
                <w:b/>
                <w:sz w:val="22"/>
                <w:lang w:val="fr-BE"/>
              </w:rPr>
              <w:t>Date:</w:t>
            </w:r>
            <w:bookmarkStart w:id="1" w:name="date"/>
            <w:bookmarkEnd w:id="1"/>
            <w:proofErr w:type="gramEnd"/>
            <w:r w:rsidRPr="004B6EAB">
              <w:rPr>
                <w:b/>
                <w:sz w:val="22"/>
                <w:lang w:val="fr-BE"/>
              </w:rPr>
              <w:t xml:space="preserve"> </w:t>
            </w:r>
            <w:r w:rsidRPr="004B6EAB">
              <w:rPr>
                <w:sz w:val="22"/>
                <w:lang w:val="fr-BE"/>
              </w:rPr>
              <w:t>[</w:t>
            </w:r>
            <w:r w:rsidR="003B70A8">
              <w:rPr>
                <w:sz w:val="22"/>
                <w:lang w:val="fr-BE"/>
              </w:rPr>
              <w:t>10</w:t>
            </w:r>
            <w:r w:rsidRPr="004B6EAB">
              <w:rPr>
                <w:sz w:val="22"/>
                <w:lang w:val="fr-BE"/>
              </w:rPr>
              <w:t>/</w:t>
            </w:r>
            <w:r w:rsidR="003B70A8">
              <w:rPr>
                <w:sz w:val="22"/>
                <w:lang w:val="fr-BE"/>
              </w:rPr>
              <w:t>12/2024</w:t>
            </w:r>
            <w:r w:rsidRPr="004B6EAB">
              <w:rPr>
                <w:sz w:val="22"/>
                <w:lang w:val="fr-BE"/>
              </w:rPr>
              <w:t>]</w:t>
            </w:r>
          </w:p>
        </w:tc>
      </w:tr>
    </w:tbl>
    <w:p w14:paraId="061AF4CB" w14:textId="494B4345" w:rsidR="00800EBE" w:rsidRPr="004B6EAB" w:rsidRDefault="00800EBE" w:rsidP="00800EBE">
      <w:pPr>
        <w:spacing w:before="360" w:after="0"/>
      </w:pPr>
      <w:r w:rsidRPr="004B6EAB">
        <w:t xml:space="preserve">Dear </w:t>
      </w:r>
      <w:r w:rsidR="007426FA">
        <w:t>LLF</w:t>
      </w:r>
      <w:r w:rsidRPr="004B6EAB">
        <w:t>,</w:t>
      </w:r>
    </w:p>
    <w:p w14:paraId="532DB98E" w14:textId="77777777" w:rsidR="00800EBE" w:rsidRPr="004B6EAB" w:rsidRDefault="00800EBE" w:rsidP="00800EBE">
      <w:pPr>
        <w:pStyle w:val="Heading1"/>
        <w:rPr>
          <w:rFonts w:ascii="Arial" w:hAnsi="Arial" w:cs="Arial"/>
          <w:b/>
          <w:bCs/>
          <w:color w:val="auto"/>
          <w:sz w:val="24"/>
          <w:szCs w:val="24"/>
        </w:rPr>
      </w:pPr>
      <w:bookmarkStart w:id="2" w:name="subject"/>
      <w:bookmarkEnd w:id="2"/>
      <w:r w:rsidRPr="004B6EAB">
        <w:rPr>
          <w:rFonts w:ascii="Arial" w:hAnsi="Arial" w:cs="Arial"/>
          <w:b/>
          <w:bCs/>
          <w:color w:val="auto"/>
          <w:sz w:val="24"/>
          <w:szCs w:val="24"/>
        </w:rPr>
        <w:t>Re: Financial Contribution – Legacy Landscapes Fund</w:t>
      </w:r>
    </w:p>
    <w:p w14:paraId="1C346410" w14:textId="5AC1DD40" w:rsidR="00800EBE" w:rsidRPr="004B6EAB" w:rsidRDefault="00800EBE" w:rsidP="00800EBE">
      <w:pPr>
        <w:spacing w:before="0" w:after="0"/>
      </w:pPr>
      <w:bookmarkStart w:id="3" w:name="type"/>
      <w:bookmarkEnd w:id="3"/>
      <w:r w:rsidRPr="004B6EAB">
        <w:t>I am writing to confirm the details of the funding arrangement regarding the contribution of</w:t>
      </w:r>
      <w:r w:rsidR="00340FAF" w:rsidRPr="004B6EAB">
        <w:t xml:space="preserve"> £20 million</w:t>
      </w:r>
      <w:r w:rsidRPr="004B6EAB">
        <w:t xml:space="preserve"> British Pound Sterling (GBP) towards the multi-donor Legacy Landscapes Fund (LLF).</w:t>
      </w:r>
    </w:p>
    <w:p w14:paraId="20EF8DBC" w14:textId="77777777" w:rsidR="00800EBE" w:rsidRPr="004B6EAB" w:rsidRDefault="00800EBE" w:rsidP="00800EBE">
      <w:pPr>
        <w:spacing w:before="0" w:after="0"/>
        <w:rPr>
          <w:szCs w:val="24"/>
        </w:rPr>
      </w:pPr>
    </w:p>
    <w:p w14:paraId="211D298F" w14:textId="77777777" w:rsidR="00800EBE" w:rsidRPr="004B6EAB" w:rsidRDefault="00800EBE" w:rsidP="00800EBE">
      <w:pPr>
        <w:spacing w:before="0" w:after="0"/>
        <w:rPr>
          <w:szCs w:val="24"/>
        </w:rPr>
      </w:pPr>
      <w:r w:rsidRPr="004B6EAB">
        <w:rPr>
          <w:szCs w:val="24"/>
        </w:rPr>
        <w:t>In any correspondence with Defra with regards to this contribution, reference must be made to the project name and contribution reference shown above.</w:t>
      </w:r>
    </w:p>
    <w:p w14:paraId="76D018A1" w14:textId="77777777" w:rsidR="00800EBE" w:rsidRPr="004B6EAB" w:rsidRDefault="00800EBE" w:rsidP="00800EBE">
      <w:pPr>
        <w:spacing w:before="0" w:after="0"/>
        <w:rPr>
          <w:szCs w:val="24"/>
        </w:rPr>
      </w:pPr>
    </w:p>
    <w:p w14:paraId="284DD5D8" w14:textId="77777777" w:rsidR="00800EBE" w:rsidRPr="004B6EAB" w:rsidRDefault="00800EBE" w:rsidP="00800EBE">
      <w:pPr>
        <w:spacing w:before="0" w:after="0"/>
      </w:pPr>
      <w:r w:rsidRPr="004B6EAB">
        <w:t>Following negotiations with LLF, and agreement on the strategic priority of the funding, the Department for Environment Food &amp; Rural Affairs (“Defra”) hereby offers a financial contribution.</w:t>
      </w:r>
    </w:p>
    <w:p w14:paraId="4D1194F6" w14:textId="77777777" w:rsidR="00800EBE" w:rsidRPr="004B6EAB" w:rsidRDefault="00800EBE" w:rsidP="00800EBE">
      <w:pPr>
        <w:spacing w:before="0" w:after="0"/>
      </w:pPr>
    </w:p>
    <w:p w14:paraId="292CE095" w14:textId="4D26EB66" w:rsidR="004A4B4B" w:rsidRPr="004B6EAB" w:rsidRDefault="00800EBE" w:rsidP="00800EBE">
      <w:pPr>
        <w:spacing w:before="0" w:after="0"/>
      </w:pPr>
      <w:r w:rsidRPr="004B6EAB">
        <w:t xml:space="preserve">The Contribution Period shall commence </w:t>
      </w:r>
      <w:r w:rsidR="00A032A9">
        <w:rPr>
          <w:rStyle w:val="normaltextrun"/>
          <w:rFonts w:cs="Arial"/>
          <w:color w:val="000000"/>
          <w:shd w:val="clear" w:color="auto" w:fill="FFFFFF"/>
        </w:rPr>
        <w:t>10</w:t>
      </w:r>
      <w:r w:rsidRPr="004B6EAB">
        <w:rPr>
          <w:rStyle w:val="normaltextrun"/>
          <w:rFonts w:cs="Arial"/>
          <w:color w:val="000000"/>
          <w:shd w:val="clear" w:color="auto" w:fill="FFFFFF"/>
        </w:rPr>
        <w:t>/</w:t>
      </w:r>
      <w:r w:rsidR="0076702D">
        <w:rPr>
          <w:rStyle w:val="normaltextrun"/>
          <w:rFonts w:cs="Arial"/>
          <w:color w:val="000000"/>
          <w:shd w:val="clear" w:color="auto" w:fill="FFFFFF"/>
        </w:rPr>
        <w:t>12</w:t>
      </w:r>
      <w:r w:rsidRPr="004B6EAB">
        <w:rPr>
          <w:rStyle w:val="normaltextrun"/>
          <w:rFonts w:cs="Arial"/>
          <w:color w:val="000000"/>
          <w:shd w:val="clear" w:color="auto" w:fill="FFFFFF"/>
        </w:rPr>
        <w:t>/</w:t>
      </w:r>
      <w:r w:rsidR="0076702D">
        <w:rPr>
          <w:rStyle w:val="normaltextrun"/>
          <w:rFonts w:cs="Arial"/>
          <w:color w:val="000000"/>
          <w:shd w:val="clear" w:color="auto" w:fill="FFFFFF"/>
        </w:rPr>
        <w:t>2024</w:t>
      </w:r>
      <w:r w:rsidRPr="004B6EAB">
        <w:t xml:space="preserve"> for payments totalling no more than </w:t>
      </w:r>
      <w:r w:rsidR="00340FAF" w:rsidRPr="004B6EAB">
        <w:t>£20 million</w:t>
      </w:r>
      <w:r w:rsidR="004A71BE" w:rsidRPr="004B6EAB">
        <w:t>,</w:t>
      </w:r>
      <w:r w:rsidR="004E04D3" w:rsidRPr="004B6EAB">
        <w:t xml:space="preserve"> and </w:t>
      </w:r>
      <w:r w:rsidRPr="004B6EAB">
        <w:t>spread over up to 3 years, with exact payment dates and amounts to be determined. The Contribution Period could expire early if terminated in accordance with the relevant provisions in this letter. Defra contributions shall be utilised to support activities under Legacy Landscapes Fund as described in Annex A.</w:t>
      </w:r>
    </w:p>
    <w:p w14:paraId="186729CD" w14:textId="77777777" w:rsidR="004A4B4B" w:rsidRPr="004B6EAB" w:rsidRDefault="004A4B4B" w:rsidP="00800EBE">
      <w:pPr>
        <w:spacing w:before="0" w:after="0"/>
      </w:pPr>
    </w:p>
    <w:p w14:paraId="63F936D8" w14:textId="11F2B79A" w:rsidR="00E92E09" w:rsidRPr="004B6EAB" w:rsidRDefault="00800EBE" w:rsidP="00800EBE">
      <w:pPr>
        <w:spacing w:before="0" w:after="0"/>
      </w:pPr>
      <w:r w:rsidRPr="004B6EAB">
        <w:t xml:space="preserve">The Monitoring Period shall commence </w:t>
      </w:r>
      <w:r w:rsidR="005A6911" w:rsidRPr="004B6EAB">
        <w:t xml:space="preserve">upon receipt by LLF of </w:t>
      </w:r>
      <w:r w:rsidRPr="004B6EAB">
        <w:t>the first contribution,</w:t>
      </w:r>
      <w:r w:rsidR="00263457" w:rsidRPr="004B6EAB">
        <w:t xml:space="preserve"> </w:t>
      </w:r>
      <w:r w:rsidR="00AA2DE9" w:rsidRPr="004B6EAB">
        <w:t xml:space="preserve">and </w:t>
      </w:r>
      <w:r w:rsidR="00A258C4" w:rsidRPr="004B6EAB">
        <w:t xml:space="preserve">shall continue </w:t>
      </w:r>
      <w:r w:rsidRPr="004B6EAB">
        <w:t>until 31</w:t>
      </w:r>
      <w:r w:rsidR="006D78CA" w:rsidRPr="004B6EAB">
        <w:t xml:space="preserve"> December </w:t>
      </w:r>
      <w:r w:rsidR="000467F5" w:rsidRPr="004B6EAB">
        <w:t>2033</w:t>
      </w:r>
      <w:r w:rsidR="00F16422" w:rsidRPr="004B6EAB">
        <w:t>, unless</w:t>
      </w:r>
      <w:r w:rsidR="00CC3B1D" w:rsidRPr="004B6EAB">
        <w:t xml:space="preserve"> this agreement is terminated earl</w:t>
      </w:r>
      <w:r w:rsidR="00A258C4" w:rsidRPr="004B6EAB">
        <w:t>ier in</w:t>
      </w:r>
      <w:r w:rsidR="00CC3B1D" w:rsidRPr="004B6EAB">
        <w:t xml:space="preserve"> accord</w:t>
      </w:r>
      <w:r w:rsidR="00A258C4" w:rsidRPr="004B6EAB">
        <w:t>ance with</w:t>
      </w:r>
      <w:r w:rsidR="00CC3B1D" w:rsidRPr="004B6EAB">
        <w:t xml:space="preserve"> t</w:t>
      </w:r>
      <w:r w:rsidR="0056538D" w:rsidRPr="004B6EAB">
        <w:t xml:space="preserve">he relevant provisions </w:t>
      </w:r>
      <w:r w:rsidR="00024F1A" w:rsidRPr="004B6EAB">
        <w:t>herein</w:t>
      </w:r>
      <w:r w:rsidR="00AA2DE9" w:rsidRPr="004B6EAB">
        <w:t>.</w:t>
      </w:r>
      <w:r w:rsidR="0056538D" w:rsidRPr="004B6EAB">
        <w:t xml:space="preserve"> </w:t>
      </w:r>
    </w:p>
    <w:p w14:paraId="4F22E59D" w14:textId="77777777" w:rsidR="00E92E09" w:rsidRPr="004B6EAB" w:rsidRDefault="00E92E09" w:rsidP="00800EBE">
      <w:pPr>
        <w:spacing w:before="0" w:after="0"/>
      </w:pPr>
    </w:p>
    <w:p w14:paraId="368C84DF" w14:textId="4EB7E04C" w:rsidR="00800EBE" w:rsidRPr="004B6EAB" w:rsidRDefault="00286322" w:rsidP="00800EBE">
      <w:pPr>
        <w:spacing w:before="0" w:after="0"/>
        <w:rPr>
          <w:strike/>
        </w:rPr>
      </w:pPr>
      <w:r w:rsidRPr="004B6EAB">
        <w:t xml:space="preserve">Unless expressly stated otherwise, all obligations set forth in this agreement shall </w:t>
      </w:r>
      <w:r w:rsidR="00024F1A" w:rsidRPr="004B6EAB">
        <w:t>remain in effect only</w:t>
      </w:r>
      <w:r w:rsidRPr="004B6EAB">
        <w:t xml:space="preserve"> for the duration of the Monitoring Period.</w:t>
      </w:r>
    </w:p>
    <w:p w14:paraId="47D2413E" w14:textId="77777777" w:rsidR="00800EBE" w:rsidRPr="004B6EAB" w:rsidRDefault="00800EBE" w:rsidP="00800EBE">
      <w:pPr>
        <w:spacing w:before="0" w:after="0"/>
      </w:pPr>
    </w:p>
    <w:p w14:paraId="595075CA" w14:textId="79A5B37A" w:rsidR="00800EBE" w:rsidRPr="004B6EAB" w:rsidRDefault="00800EBE" w:rsidP="00800EBE">
      <w:pPr>
        <w:spacing w:before="0" w:after="0"/>
        <w:rPr>
          <w:iCs/>
        </w:rPr>
      </w:pPr>
      <w:r w:rsidRPr="004B6EAB">
        <w:rPr>
          <w:iCs/>
          <w:color w:val="000000"/>
        </w:rPr>
        <w:lastRenderedPageBreak/>
        <w:t>This contribution agreement is not intended to be legally binding</w:t>
      </w:r>
      <w:r w:rsidRPr="004B6EAB">
        <w:rPr>
          <w:rFonts w:cs="Arial"/>
          <w:iCs/>
          <w:color w:val="000000"/>
          <w:szCs w:val="24"/>
        </w:rPr>
        <w:t>,</w:t>
      </w:r>
      <w:r w:rsidRPr="004B6EAB">
        <w:rPr>
          <w:iCs/>
          <w:color w:val="000000"/>
        </w:rPr>
        <w:t xml:space="preserve"> and no legal obligations or legal rights shall arise between the Parties from the provisions of the contribution agreement. However, the Parties enter into the contribution agreement intending to honour their obligations. This contribution agreement is outside of the scope of the Public Contracts Regulations 2015</w:t>
      </w:r>
      <w:r w:rsidRPr="004B6EAB">
        <w:rPr>
          <w:iCs/>
        </w:rPr>
        <w:t>.</w:t>
      </w:r>
    </w:p>
    <w:p w14:paraId="7EC3BE90" w14:textId="77777777" w:rsidR="00800EBE" w:rsidRPr="004B6EAB" w:rsidRDefault="00800EBE" w:rsidP="00800EBE">
      <w:pPr>
        <w:spacing w:before="0" w:after="0"/>
      </w:pPr>
    </w:p>
    <w:p w14:paraId="3672A801" w14:textId="77777777" w:rsidR="00800EBE" w:rsidRPr="004B6EAB" w:rsidRDefault="00800EBE" w:rsidP="00800EBE">
      <w:pPr>
        <w:spacing w:before="0" w:after="0"/>
        <w:rPr>
          <w:b/>
          <w:bCs/>
        </w:rPr>
      </w:pPr>
      <w:r w:rsidRPr="004B6EAB">
        <w:rPr>
          <w:b/>
          <w:bCs/>
        </w:rPr>
        <w:t>Schedule of payment</w:t>
      </w:r>
    </w:p>
    <w:p w14:paraId="67A3F46B" w14:textId="77777777" w:rsidR="00800EBE" w:rsidRPr="004B6EAB" w:rsidRDefault="00800EBE" w:rsidP="00800EBE">
      <w:pPr>
        <w:spacing w:before="0" w:after="0"/>
        <w:rPr>
          <w:b/>
          <w:bCs/>
        </w:rPr>
      </w:pPr>
    </w:p>
    <w:p w14:paraId="5DA9DE55" w14:textId="3A65C3A1" w:rsidR="00636B5D" w:rsidRPr="004B6EAB" w:rsidRDefault="00800EBE" w:rsidP="00800EBE">
      <w:pPr>
        <w:spacing w:before="0" w:after="0"/>
      </w:pPr>
      <w:bookmarkStart w:id="4" w:name="_Hlk174971885"/>
      <w:r w:rsidRPr="004B6EAB">
        <w:t>The funding amount and schedule of payment is subject to revision and is dependent on the fulfilment of provisions of this letter, any revisions to budgets, actual expenditure and need, and the continuing availability of resources to Defra.</w:t>
      </w:r>
    </w:p>
    <w:p w14:paraId="376384BF" w14:textId="77777777" w:rsidR="00690B03" w:rsidRPr="004B6EAB" w:rsidRDefault="00690B03" w:rsidP="00800EBE">
      <w:pPr>
        <w:spacing w:before="0" w:after="0"/>
      </w:pPr>
    </w:p>
    <w:p w14:paraId="651A2665" w14:textId="30ADE410" w:rsidR="00690B03" w:rsidRPr="004B6EAB" w:rsidRDefault="00690B03" w:rsidP="00800EBE">
      <w:pPr>
        <w:spacing w:before="0" w:after="0"/>
      </w:pPr>
      <w:r w:rsidRPr="004B6EAB">
        <w:t>At the point of signing, the proposed funding disbursement schedule is:</w:t>
      </w:r>
    </w:p>
    <w:p w14:paraId="7A9B35F9" w14:textId="0B97A56E" w:rsidR="00C1606D" w:rsidRPr="004B6EAB" w:rsidRDefault="00C1606D" w:rsidP="00C1606D">
      <w:pPr>
        <w:pStyle w:val="ListParagraph"/>
        <w:numPr>
          <w:ilvl w:val="0"/>
          <w:numId w:val="50"/>
        </w:numPr>
        <w:spacing w:before="0" w:after="0"/>
      </w:pPr>
      <w:r w:rsidRPr="004B6EAB">
        <w:t>£10.4m to be transferred by May 2025, likely in two payments (£</w:t>
      </w:r>
      <w:r w:rsidR="003A646D" w:rsidRPr="004B6EAB">
        <w:t>7.5</w:t>
      </w:r>
      <w:r w:rsidRPr="004B6EAB">
        <w:t>m in December 2024, and £</w:t>
      </w:r>
      <w:r w:rsidR="0005324B" w:rsidRPr="004B6EAB">
        <w:t>2.9</w:t>
      </w:r>
      <w:r w:rsidRPr="004B6EAB">
        <w:t xml:space="preserve">m in </w:t>
      </w:r>
      <w:r w:rsidR="00375CCD" w:rsidRPr="004B6EAB">
        <w:t>March/</w:t>
      </w:r>
      <w:r w:rsidRPr="004B6EAB">
        <w:t>April 2025).</w:t>
      </w:r>
    </w:p>
    <w:p w14:paraId="2CFFAED6" w14:textId="53B21EA3" w:rsidR="00690B03" w:rsidRPr="004B6EAB" w:rsidRDefault="00C1606D" w:rsidP="00651EBE">
      <w:pPr>
        <w:pStyle w:val="ListParagraph"/>
        <w:numPr>
          <w:ilvl w:val="0"/>
          <w:numId w:val="50"/>
        </w:numPr>
        <w:spacing w:before="0" w:after="0"/>
      </w:pPr>
      <w:r w:rsidRPr="004B6EAB">
        <w:t xml:space="preserve">£9.6m to be transferred by April 2026, with two payments likely falling in December 2025 and </w:t>
      </w:r>
      <w:r w:rsidR="003D5B3A" w:rsidRPr="004B6EAB">
        <w:t xml:space="preserve">March </w:t>
      </w:r>
      <w:r w:rsidRPr="004B6EAB">
        <w:t>2026.</w:t>
      </w:r>
    </w:p>
    <w:p w14:paraId="0A20207B" w14:textId="77777777" w:rsidR="00467CD1" w:rsidRPr="004B6EAB" w:rsidRDefault="00467CD1" w:rsidP="00800EBE">
      <w:pPr>
        <w:spacing w:before="0" w:after="0"/>
      </w:pPr>
    </w:p>
    <w:p w14:paraId="0900F720" w14:textId="7D0359CD" w:rsidR="00467CD1" w:rsidRPr="004B6EAB" w:rsidRDefault="00467CD1" w:rsidP="00467CD1">
      <w:pPr>
        <w:spacing w:before="0" w:after="0"/>
      </w:pPr>
      <w:r w:rsidRPr="004B6EAB">
        <w:t>Although funds are expected to be allocated in line with the schedule above, Defra reserves the right to make payments conditional on performance and annual review scores.</w:t>
      </w:r>
    </w:p>
    <w:bookmarkEnd w:id="4"/>
    <w:p w14:paraId="672DD3BC" w14:textId="77777777" w:rsidR="00800EBE" w:rsidRPr="004B6EAB" w:rsidRDefault="00800EBE" w:rsidP="00800EBE">
      <w:pPr>
        <w:spacing w:before="0" w:after="0"/>
      </w:pPr>
    </w:p>
    <w:p w14:paraId="571FEC8C" w14:textId="77777777" w:rsidR="00800EBE" w:rsidRPr="004B6EAB" w:rsidRDefault="00800EBE" w:rsidP="00800EBE">
      <w:pPr>
        <w:spacing w:before="0" w:after="0"/>
        <w:rPr>
          <w:szCs w:val="24"/>
        </w:rPr>
      </w:pPr>
      <w:r w:rsidRPr="004B6EAB">
        <w:rPr>
          <w:szCs w:val="24"/>
        </w:rPr>
        <w:t>The addresses for notices of the Parties are:</w:t>
      </w:r>
    </w:p>
    <w:p w14:paraId="7EC291F8" w14:textId="77777777" w:rsidR="00800EBE" w:rsidRPr="004B6EAB" w:rsidRDefault="00800EBE" w:rsidP="00800EBE">
      <w:pPr>
        <w:spacing w:before="0" w:after="0"/>
        <w:rPr>
          <w:szCs w:val="24"/>
        </w:rPr>
      </w:pPr>
    </w:p>
    <w:p w14:paraId="0966D281" w14:textId="77777777" w:rsidR="00800EBE" w:rsidRPr="004B6EAB" w:rsidRDefault="00800EBE" w:rsidP="00800EBE">
      <w:pPr>
        <w:spacing w:before="0" w:after="0"/>
        <w:rPr>
          <w:b/>
          <w:bCs/>
          <w:szCs w:val="24"/>
        </w:rPr>
      </w:pPr>
      <w:r w:rsidRPr="004B6EAB">
        <w:rPr>
          <w:b/>
          <w:bCs/>
          <w:szCs w:val="24"/>
        </w:rPr>
        <w:t>Authority:</w:t>
      </w:r>
    </w:p>
    <w:p w14:paraId="48A658A2" w14:textId="77777777" w:rsidR="00800EBE" w:rsidRPr="004B6EAB" w:rsidRDefault="00800EBE" w:rsidP="00800EBE">
      <w:pPr>
        <w:spacing w:before="0" w:after="0"/>
        <w:rPr>
          <w:szCs w:val="24"/>
        </w:rPr>
      </w:pPr>
      <w:r w:rsidRPr="004B6EAB">
        <w:rPr>
          <w:szCs w:val="24"/>
        </w:rPr>
        <w:t>Department for Environment Food &amp; Rural Affairs, Seacole Building,</w:t>
      </w:r>
    </w:p>
    <w:p w14:paraId="266533B9" w14:textId="77777777" w:rsidR="00800EBE" w:rsidRPr="004B6EAB" w:rsidRDefault="00800EBE" w:rsidP="00800EBE">
      <w:pPr>
        <w:spacing w:before="0" w:after="0"/>
        <w:rPr>
          <w:szCs w:val="24"/>
          <w:lang w:val="en-US"/>
        </w:rPr>
      </w:pPr>
    </w:p>
    <w:p w14:paraId="137E07B1" w14:textId="77777777" w:rsidR="00800EBE" w:rsidRPr="004B6EAB" w:rsidRDefault="00800EBE" w:rsidP="00800EBE">
      <w:pPr>
        <w:spacing w:before="0" w:after="0"/>
        <w:rPr>
          <w:b/>
        </w:rPr>
      </w:pPr>
      <w:r w:rsidRPr="004B6EAB">
        <w:rPr>
          <w:b/>
        </w:rPr>
        <w:t xml:space="preserve">Contribution </w:t>
      </w:r>
      <w:r w:rsidRPr="004B6EAB">
        <w:rPr>
          <w:b/>
          <w:bCs/>
        </w:rPr>
        <w:t>Recipient</w:t>
      </w:r>
      <w:r w:rsidRPr="004B6EAB">
        <w:rPr>
          <w:b/>
        </w:rPr>
        <w:t>:</w:t>
      </w:r>
    </w:p>
    <w:p w14:paraId="0071081F" w14:textId="77777777" w:rsidR="001D4FB6" w:rsidRPr="004B6EAB" w:rsidRDefault="00800EBE" w:rsidP="00800EBE">
      <w:pPr>
        <w:spacing w:line="240" w:lineRule="auto"/>
        <w:contextualSpacing/>
        <w:rPr>
          <w:rFonts w:cs="Arial"/>
          <w:szCs w:val="24"/>
        </w:rPr>
      </w:pPr>
      <w:r w:rsidRPr="004B6EAB">
        <w:rPr>
          <w:rFonts w:cs="Arial"/>
          <w:szCs w:val="24"/>
        </w:rPr>
        <w:t>Legacy Landscapes Fund c/o Nature Trust Alliance</w:t>
      </w:r>
    </w:p>
    <w:p w14:paraId="7A84DA08" w14:textId="77777777" w:rsidR="00800EBE" w:rsidRPr="004B6EAB" w:rsidRDefault="00800EBE" w:rsidP="00800EBE">
      <w:pPr>
        <w:spacing w:before="0" w:after="0"/>
        <w:rPr>
          <w:lang w:val="fr-BE"/>
        </w:rPr>
      </w:pPr>
    </w:p>
    <w:p w14:paraId="55AD6D93" w14:textId="77777777" w:rsidR="00800EBE" w:rsidRPr="004B6EAB" w:rsidRDefault="00800EBE" w:rsidP="00800EBE">
      <w:pPr>
        <w:spacing w:before="0" w:after="0"/>
        <w:rPr>
          <w:b/>
          <w:bCs/>
          <w:szCs w:val="24"/>
        </w:rPr>
      </w:pPr>
      <w:r w:rsidRPr="004B6EAB">
        <w:rPr>
          <w:b/>
          <w:bCs/>
          <w:szCs w:val="24"/>
        </w:rPr>
        <w:t>Payment of Contribution</w:t>
      </w:r>
    </w:p>
    <w:p w14:paraId="7951863A" w14:textId="1F85904A" w:rsidR="00800EBE" w:rsidRPr="004B6EAB" w:rsidRDefault="00800EBE" w:rsidP="00800EBE">
      <w:pPr>
        <w:spacing w:before="0" w:after="0"/>
        <w:rPr>
          <w:rFonts w:cs="Arial"/>
        </w:rPr>
      </w:pPr>
      <w:r w:rsidRPr="004B6EAB">
        <w:rPr>
          <w:szCs w:val="24"/>
        </w:rPr>
        <w:t>All payment request claims must be submitted by e-mail to Defra’s ODA and International Biodiversity Funds team, quoting the Contribution Reference Number above</w:t>
      </w:r>
      <w:r w:rsidR="0068350D">
        <w:rPr>
          <w:szCs w:val="24"/>
        </w:rPr>
        <w:t>,</w:t>
      </w:r>
      <w:r w:rsidRPr="004B6EAB">
        <w:rPr>
          <w:szCs w:val="24"/>
        </w:rPr>
        <w:t xml:space="preserve"> (or other address notified to you from time to time for the purpose). The accompanying payment request should be in GBP. A claim for payment form can be found in Annex C.</w:t>
      </w:r>
    </w:p>
    <w:p w14:paraId="138C2A87" w14:textId="77777777" w:rsidR="0068350D" w:rsidRDefault="0068350D" w:rsidP="00800EBE">
      <w:pPr>
        <w:spacing w:before="0" w:after="0"/>
        <w:rPr>
          <w:szCs w:val="24"/>
        </w:rPr>
      </w:pPr>
    </w:p>
    <w:p w14:paraId="70450DEA" w14:textId="29FABF5D" w:rsidR="00800EBE" w:rsidRPr="004B6EAB" w:rsidRDefault="00800EBE" w:rsidP="00800EBE">
      <w:pPr>
        <w:spacing w:before="0" w:after="0"/>
        <w:rPr>
          <w:szCs w:val="24"/>
        </w:rPr>
      </w:pPr>
      <w:r w:rsidRPr="004B6EAB">
        <w:rPr>
          <w:szCs w:val="24"/>
        </w:rPr>
        <w:t>The Defra 30by30 Programme Team is responsible for checking and raising any queries about Contribution Claims submitted. In the case of payment queries or disputes, correspondence may be sent to the Policy team email above and if appropriate copied to accounts-payable.def@sscl.gov.uk.</w:t>
      </w:r>
    </w:p>
    <w:p w14:paraId="2433B741" w14:textId="77777777" w:rsidR="00800EBE" w:rsidRPr="004B6EAB" w:rsidRDefault="00800EBE" w:rsidP="00800EBE">
      <w:pPr>
        <w:spacing w:before="0" w:after="0"/>
        <w:rPr>
          <w:szCs w:val="24"/>
        </w:rPr>
      </w:pPr>
    </w:p>
    <w:p w14:paraId="6F0A0C28" w14:textId="77777777" w:rsidR="00800EBE" w:rsidRPr="004B6EAB" w:rsidRDefault="00800EBE" w:rsidP="00800EBE">
      <w:pPr>
        <w:spacing w:before="0" w:after="0"/>
        <w:rPr>
          <w:szCs w:val="24"/>
        </w:rPr>
      </w:pPr>
      <w:r w:rsidRPr="004B6EAB">
        <w:rPr>
          <w:szCs w:val="24"/>
        </w:rPr>
        <w:t>In order for Defra to monitor the effectiveness of its contributions it is necessary for us to detail some conditions as set out below.</w:t>
      </w:r>
    </w:p>
    <w:p w14:paraId="6F8148AC" w14:textId="77777777" w:rsidR="00800EBE" w:rsidRPr="004B6EAB" w:rsidRDefault="00800EBE" w:rsidP="00800EBE">
      <w:pPr>
        <w:spacing w:before="0" w:after="0"/>
        <w:rPr>
          <w:szCs w:val="24"/>
        </w:rPr>
      </w:pPr>
    </w:p>
    <w:p w14:paraId="4DCDEF49" w14:textId="77777777" w:rsidR="00800EBE" w:rsidRPr="004B6EAB" w:rsidRDefault="00800EBE" w:rsidP="00800EBE">
      <w:pPr>
        <w:spacing w:before="0" w:after="0"/>
        <w:rPr>
          <w:szCs w:val="24"/>
        </w:rPr>
      </w:pPr>
    </w:p>
    <w:p w14:paraId="7061A6A6" w14:textId="77777777" w:rsidR="00800EBE" w:rsidRPr="004B6EAB" w:rsidRDefault="00800EBE" w:rsidP="00800EBE">
      <w:pPr>
        <w:pStyle w:val="Level1"/>
        <w:numPr>
          <w:ilvl w:val="0"/>
          <w:numId w:val="4"/>
        </w:numPr>
        <w:spacing w:line="259" w:lineRule="auto"/>
        <w:rPr>
          <w:b/>
          <w:bCs/>
          <w:sz w:val="24"/>
          <w:szCs w:val="24"/>
        </w:rPr>
      </w:pPr>
      <w:r w:rsidRPr="004B6EAB">
        <w:rPr>
          <w:b/>
          <w:bCs/>
          <w:sz w:val="24"/>
          <w:szCs w:val="24"/>
        </w:rPr>
        <w:t>Disbursement and conditions of funding</w:t>
      </w:r>
    </w:p>
    <w:p w14:paraId="6D43140E" w14:textId="2FF553C6" w:rsidR="00800EBE" w:rsidRPr="004B6EAB" w:rsidRDefault="005D6A22" w:rsidP="00700068">
      <w:pPr>
        <w:pStyle w:val="ListParagraph"/>
        <w:numPr>
          <w:ilvl w:val="1"/>
          <w:numId w:val="4"/>
        </w:numPr>
        <w:jc w:val="both"/>
        <w:rPr>
          <w:rFonts w:cs="Arial"/>
          <w:szCs w:val="24"/>
        </w:rPr>
      </w:pPr>
      <w:r w:rsidRPr="004B6EAB">
        <w:rPr>
          <w:rFonts w:cs="Arial"/>
          <w:szCs w:val="24"/>
        </w:rPr>
        <w:t>For German law purposes, D</w:t>
      </w:r>
      <w:r w:rsidR="000E3354" w:rsidRPr="004B6EAB">
        <w:rPr>
          <w:rFonts w:cs="Arial"/>
          <w:szCs w:val="24"/>
        </w:rPr>
        <w:t>efra</w:t>
      </w:r>
      <w:r w:rsidRPr="004B6EAB">
        <w:rPr>
          <w:rFonts w:cs="Arial"/>
          <w:szCs w:val="24"/>
        </w:rPr>
        <w:t>’s funding will be contributed to “</w:t>
      </w:r>
      <w:r w:rsidRPr="004B6EAB">
        <w:rPr>
          <w:rStyle w:val="normaltextrun"/>
          <w:rFonts w:cs="Arial"/>
          <w:color w:val="000000" w:themeColor="text1"/>
        </w:rPr>
        <w:t>supply LLF with funds and to increase the funds of the LLF, respectively”, and shall accordingly be treated by LLF as a reserve under</w:t>
      </w:r>
      <w:r w:rsidRPr="004B6EAB">
        <w:rPr>
          <w:rStyle w:val="normaltextrun"/>
          <w:rFonts w:cs="Arial"/>
          <w:color w:val="222222"/>
        </w:rPr>
        <w:t xml:space="preserve"> § </w:t>
      </w:r>
      <w:r w:rsidRPr="004B6EAB">
        <w:rPr>
          <w:rStyle w:val="normaltextrun"/>
          <w:rFonts w:cs="Arial"/>
          <w:color w:val="000000" w:themeColor="text1"/>
        </w:rPr>
        <w:t>62 para. 3 Nr. 2 of the German Tax Code.  LLF confirms that (</w:t>
      </w:r>
      <w:proofErr w:type="spellStart"/>
      <w:r w:rsidRPr="004B6EAB">
        <w:rPr>
          <w:rStyle w:val="normaltextrun"/>
          <w:rFonts w:cs="Arial"/>
          <w:color w:val="000000" w:themeColor="text1"/>
        </w:rPr>
        <w:t>i</w:t>
      </w:r>
      <w:proofErr w:type="spellEnd"/>
      <w:r w:rsidRPr="004B6EAB">
        <w:rPr>
          <w:rStyle w:val="normaltextrun"/>
          <w:rFonts w:cs="Arial"/>
          <w:color w:val="000000" w:themeColor="text1"/>
        </w:rPr>
        <w:t>) this allows the Funds to be accounted for as a reserve on its balance sheet from which both investment earnings and, if necessary, principal can be spent to fulfil LLF’s support of the Project under this Agreement, and (ii) there is no inconsistency between the tax treatment for German law purposes contemplated by the preceding sentence and the provisions of this Agreement.</w:t>
      </w:r>
      <w:r w:rsidR="006804FF" w:rsidRPr="004B6EAB">
        <w:rPr>
          <w:rFonts w:cs="Arial"/>
          <w:szCs w:val="24"/>
        </w:rPr>
        <w:t xml:space="preserve"> </w:t>
      </w:r>
      <w:r w:rsidR="00800EBE" w:rsidRPr="004B6EAB">
        <w:rPr>
          <w:szCs w:val="24"/>
        </w:rPr>
        <w:t>The contribution is to be used solely in relation to the Funded Activities for the LLF detailed in Annex A (the “Programme”) and for no other purpose. The contribution will be paid on provision of a signed claim form (see attached) and invoice quoting a valid Contribution Reference number, according to the payment schedule set out above. If LLF ceases to function between the point at which Defra transfers funds and the point at which money is invested, all monies will be paid back to Defra immediately.</w:t>
      </w:r>
    </w:p>
    <w:p w14:paraId="416550B3" w14:textId="74D6C033" w:rsidR="00800EBE" w:rsidRPr="004B6EAB" w:rsidRDefault="00800EBE" w:rsidP="00800EBE">
      <w:pPr>
        <w:pStyle w:val="Level1"/>
        <w:numPr>
          <w:ilvl w:val="1"/>
          <w:numId w:val="4"/>
        </w:numPr>
        <w:spacing w:line="259" w:lineRule="auto"/>
        <w:rPr>
          <w:sz w:val="24"/>
          <w:szCs w:val="24"/>
        </w:rPr>
      </w:pPr>
      <w:r w:rsidRPr="004B6EAB">
        <w:rPr>
          <w:sz w:val="24"/>
          <w:szCs w:val="24"/>
        </w:rPr>
        <w:t xml:space="preserve">Up to a maximum of </w:t>
      </w:r>
      <w:r w:rsidRPr="004B6EAB">
        <w:rPr>
          <w:sz w:val="24"/>
        </w:rPr>
        <w:t>8%</w:t>
      </w:r>
      <w:r w:rsidRPr="004B6EAB">
        <w:rPr>
          <w:sz w:val="24"/>
          <w:szCs w:val="24"/>
        </w:rPr>
        <w:t xml:space="preserve"> of the contribution can be used to cover administrative costs, both direct and indirect.</w:t>
      </w:r>
    </w:p>
    <w:p w14:paraId="66D5C75B" w14:textId="0D8C6044" w:rsidR="00800EBE" w:rsidRPr="004B6EAB" w:rsidRDefault="00800EBE" w:rsidP="00800EBE">
      <w:pPr>
        <w:pStyle w:val="Level1"/>
        <w:numPr>
          <w:ilvl w:val="1"/>
          <w:numId w:val="4"/>
        </w:numPr>
        <w:spacing w:line="259" w:lineRule="auto"/>
        <w:rPr>
          <w:sz w:val="24"/>
          <w:szCs w:val="24"/>
        </w:rPr>
      </w:pPr>
      <w:r w:rsidRPr="004B6EAB">
        <w:rPr>
          <w:sz w:val="24"/>
          <w:szCs w:val="24"/>
        </w:rPr>
        <w:t xml:space="preserve">The finance for this Programme will be accountable as </w:t>
      </w:r>
      <w:r w:rsidRPr="004B6EAB">
        <w:rPr>
          <w:b/>
          <w:bCs/>
          <w:sz w:val="24"/>
          <w:szCs w:val="24"/>
        </w:rPr>
        <w:t>International Climate Finance</w:t>
      </w:r>
      <w:r w:rsidRPr="004B6EAB">
        <w:rPr>
          <w:sz w:val="24"/>
          <w:szCs w:val="24"/>
        </w:rPr>
        <w:t xml:space="preserve"> (ICF) Official Development Assistance (ODA). As </w:t>
      </w:r>
      <w:r w:rsidR="003650B8" w:rsidRPr="004B6EAB">
        <w:rPr>
          <w:sz w:val="24"/>
          <w:szCs w:val="24"/>
        </w:rPr>
        <w:t>such</w:t>
      </w:r>
      <w:r w:rsidRPr="004B6EAB">
        <w:rPr>
          <w:sz w:val="24"/>
          <w:szCs w:val="24"/>
        </w:rPr>
        <w:t>, the funds will need to prioritise livelihoods, poverty alleviation and climate in ODA-eligible countries. Defra funding will not be used to meet the costs of any other expenditure, in particular (but not exhaustively), those items in the list on Annex B. This list does not override activities which are deemed eligible and explicitly approved as part of this contribution.</w:t>
      </w:r>
    </w:p>
    <w:p w14:paraId="324DD037" w14:textId="77777777" w:rsidR="00800EBE" w:rsidRPr="004B6EAB" w:rsidRDefault="00800EBE" w:rsidP="00800EBE">
      <w:pPr>
        <w:pStyle w:val="Level1"/>
        <w:numPr>
          <w:ilvl w:val="1"/>
          <w:numId w:val="4"/>
        </w:numPr>
        <w:spacing w:line="259" w:lineRule="auto"/>
        <w:rPr>
          <w:sz w:val="24"/>
          <w:szCs w:val="24"/>
        </w:rPr>
      </w:pPr>
      <w:r w:rsidRPr="004B6EAB">
        <w:rPr>
          <w:sz w:val="24"/>
          <w:szCs w:val="24"/>
        </w:rPr>
        <w:t>LLF will comply with the following undertakings:</w:t>
      </w:r>
    </w:p>
    <w:p w14:paraId="6E39A5DE" w14:textId="4A2D7A01" w:rsidR="00800EBE" w:rsidRPr="004B6EAB" w:rsidRDefault="00684EEB" w:rsidP="00800EBE">
      <w:pPr>
        <w:pStyle w:val="Level1"/>
        <w:numPr>
          <w:ilvl w:val="2"/>
          <w:numId w:val="4"/>
        </w:numPr>
        <w:spacing w:line="259" w:lineRule="auto"/>
        <w:ind w:left="1287"/>
        <w:rPr>
          <w:sz w:val="24"/>
          <w:szCs w:val="24"/>
        </w:rPr>
      </w:pPr>
      <w:r w:rsidRPr="004B6EAB">
        <w:rPr>
          <w:sz w:val="24"/>
          <w:szCs w:val="24"/>
        </w:rPr>
        <w:t xml:space="preserve">Recommend </w:t>
      </w:r>
      <w:r w:rsidR="00800EBE" w:rsidRPr="004B6EAB">
        <w:rPr>
          <w:sz w:val="24"/>
          <w:szCs w:val="24"/>
        </w:rPr>
        <w:t>to its Supervisory Board the appointment of a Defra representative designated by Defra as a voting member of the LLF Supervisory Board</w:t>
      </w:r>
      <w:r w:rsidR="00AC0F32" w:rsidRPr="004B6EAB">
        <w:rPr>
          <w:sz w:val="24"/>
          <w:szCs w:val="24"/>
        </w:rPr>
        <w:t xml:space="preserve"> for the</w:t>
      </w:r>
      <w:r w:rsidR="007E3686" w:rsidRPr="004B6EAB">
        <w:rPr>
          <w:sz w:val="24"/>
          <w:szCs w:val="24"/>
        </w:rPr>
        <w:t xml:space="preserve"> first three years </w:t>
      </w:r>
      <w:r w:rsidR="00AC0F32" w:rsidRPr="004B6EAB">
        <w:rPr>
          <w:sz w:val="24"/>
          <w:szCs w:val="24"/>
        </w:rPr>
        <w:t>of the Monitoring Period</w:t>
      </w:r>
      <w:r w:rsidR="003B05F6" w:rsidRPr="004B6EAB">
        <w:rPr>
          <w:sz w:val="24"/>
          <w:szCs w:val="24"/>
        </w:rPr>
        <w:t xml:space="preserve">, </w:t>
      </w:r>
      <w:r w:rsidR="006B5664" w:rsidRPr="004B6EAB">
        <w:rPr>
          <w:sz w:val="24"/>
          <w:szCs w:val="24"/>
        </w:rPr>
        <w:t xml:space="preserve">with </w:t>
      </w:r>
      <w:r w:rsidR="00124EB9" w:rsidRPr="004B6EAB">
        <w:rPr>
          <w:sz w:val="24"/>
          <w:szCs w:val="24"/>
        </w:rPr>
        <w:t xml:space="preserve">the option to </w:t>
      </w:r>
      <w:r w:rsidR="003B05F6" w:rsidRPr="004B6EAB">
        <w:rPr>
          <w:sz w:val="24"/>
          <w:szCs w:val="24"/>
        </w:rPr>
        <w:t>renew for up to three 3-year terms</w:t>
      </w:r>
      <w:r w:rsidR="00800EBE" w:rsidRPr="004B6EAB">
        <w:rPr>
          <w:sz w:val="24"/>
          <w:szCs w:val="24"/>
        </w:rPr>
        <w:t>.</w:t>
      </w:r>
    </w:p>
    <w:p w14:paraId="349D3853" w14:textId="657664BA" w:rsidR="00800EBE" w:rsidRPr="004B6EAB" w:rsidRDefault="00800EBE" w:rsidP="00800EBE">
      <w:pPr>
        <w:pStyle w:val="Level1"/>
        <w:numPr>
          <w:ilvl w:val="2"/>
          <w:numId w:val="4"/>
        </w:numPr>
        <w:spacing w:line="259" w:lineRule="auto"/>
        <w:ind w:left="1287"/>
        <w:rPr>
          <w:sz w:val="24"/>
          <w:szCs w:val="24"/>
        </w:rPr>
      </w:pPr>
      <w:r w:rsidRPr="004B6EAB">
        <w:rPr>
          <w:sz w:val="24"/>
          <w:szCs w:val="24"/>
        </w:rPr>
        <w:t>Defra funding will not be used for legacy landscapes for which grant agreements ha</w:t>
      </w:r>
      <w:r w:rsidR="008D6CE4" w:rsidRPr="004B6EAB">
        <w:rPr>
          <w:sz w:val="24"/>
          <w:szCs w:val="24"/>
        </w:rPr>
        <w:t>d</w:t>
      </w:r>
      <w:r w:rsidRPr="004B6EAB">
        <w:rPr>
          <w:sz w:val="24"/>
          <w:szCs w:val="24"/>
        </w:rPr>
        <w:t xml:space="preserve"> already been signed as of </w:t>
      </w:r>
      <w:r w:rsidR="003050B7" w:rsidRPr="004B6EAB">
        <w:rPr>
          <w:sz w:val="24"/>
          <w:szCs w:val="24"/>
        </w:rPr>
        <w:t>August</w:t>
      </w:r>
      <w:r w:rsidRPr="004B6EAB">
        <w:rPr>
          <w:sz w:val="24"/>
          <w:szCs w:val="24"/>
        </w:rPr>
        <w:t xml:space="preserve"> </w:t>
      </w:r>
      <w:r w:rsidR="00DF6927" w:rsidRPr="004B6EAB">
        <w:rPr>
          <w:sz w:val="24"/>
          <w:szCs w:val="24"/>
        </w:rPr>
        <w:t>2023</w:t>
      </w:r>
      <w:r w:rsidR="003A646D" w:rsidRPr="004B6EAB">
        <w:rPr>
          <w:sz w:val="24"/>
          <w:szCs w:val="24"/>
        </w:rPr>
        <w:t xml:space="preserve">. </w:t>
      </w:r>
    </w:p>
    <w:p w14:paraId="0E86999A" w14:textId="54CA3F5D" w:rsidR="00800EBE" w:rsidRPr="004B6EAB" w:rsidRDefault="00800EBE" w:rsidP="00800EBE">
      <w:pPr>
        <w:pStyle w:val="Level1"/>
        <w:numPr>
          <w:ilvl w:val="2"/>
          <w:numId w:val="4"/>
        </w:numPr>
        <w:spacing w:line="259" w:lineRule="auto"/>
        <w:ind w:left="1287"/>
        <w:rPr>
          <w:sz w:val="24"/>
          <w:szCs w:val="24"/>
        </w:rPr>
      </w:pPr>
      <w:r w:rsidRPr="004B6EAB">
        <w:rPr>
          <w:sz w:val="24"/>
          <w:szCs w:val="24"/>
        </w:rPr>
        <w:t xml:space="preserve">For </w:t>
      </w:r>
      <w:r w:rsidR="00C7417C" w:rsidRPr="004B6EAB">
        <w:rPr>
          <w:sz w:val="24"/>
          <w:szCs w:val="24"/>
        </w:rPr>
        <w:t xml:space="preserve">any new </w:t>
      </w:r>
      <w:r w:rsidRPr="004B6EAB">
        <w:rPr>
          <w:sz w:val="24"/>
          <w:szCs w:val="24"/>
        </w:rPr>
        <w:t>Defra funded landscapes, obtain Defra’s no-objection</w:t>
      </w:r>
      <w:r w:rsidR="00DA747B" w:rsidRPr="004B6EAB">
        <w:rPr>
          <w:sz w:val="24"/>
          <w:szCs w:val="24"/>
        </w:rPr>
        <w:t xml:space="preserve"> through</w:t>
      </w:r>
      <w:r w:rsidR="004A008B" w:rsidRPr="004B6EAB">
        <w:rPr>
          <w:sz w:val="24"/>
          <w:szCs w:val="24"/>
        </w:rPr>
        <w:t xml:space="preserve"> the LLF Supervisory Board</w:t>
      </w:r>
      <w:r w:rsidRPr="004B6EAB">
        <w:rPr>
          <w:sz w:val="24"/>
          <w:szCs w:val="24"/>
        </w:rPr>
        <w:t xml:space="preserve"> on the proposal(s), </w:t>
      </w:r>
      <w:r w:rsidR="005574FA" w:rsidRPr="004B6EAB">
        <w:rPr>
          <w:sz w:val="24"/>
          <w:szCs w:val="24"/>
        </w:rPr>
        <w:t>Downstream Part</w:t>
      </w:r>
      <w:r w:rsidR="00EE061C" w:rsidRPr="004B6EAB">
        <w:rPr>
          <w:sz w:val="24"/>
          <w:szCs w:val="24"/>
        </w:rPr>
        <w:t>n</w:t>
      </w:r>
      <w:r w:rsidR="005574FA" w:rsidRPr="004B6EAB">
        <w:rPr>
          <w:sz w:val="24"/>
          <w:szCs w:val="24"/>
        </w:rPr>
        <w:t>er(s),</w:t>
      </w:r>
      <w:r w:rsidRPr="004B6EAB">
        <w:rPr>
          <w:sz w:val="24"/>
          <w:szCs w:val="24"/>
        </w:rPr>
        <w:t xml:space="preserve"> and material changes to LLF’s standard form on-granting agreement(s).</w:t>
      </w:r>
    </w:p>
    <w:p w14:paraId="5CBF6D6E" w14:textId="77777777" w:rsidR="00800EBE" w:rsidRPr="004B6EAB" w:rsidRDefault="00800EBE" w:rsidP="00800EBE">
      <w:pPr>
        <w:pStyle w:val="Level1"/>
        <w:numPr>
          <w:ilvl w:val="2"/>
          <w:numId w:val="4"/>
        </w:numPr>
        <w:spacing w:line="259" w:lineRule="auto"/>
        <w:ind w:left="1287"/>
        <w:rPr>
          <w:sz w:val="24"/>
          <w:szCs w:val="24"/>
        </w:rPr>
      </w:pPr>
      <w:r w:rsidRPr="004B6EAB">
        <w:rPr>
          <w:sz w:val="24"/>
          <w:szCs w:val="24"/>
        </w:rPr>
        <w:lastRenderedPageBreak/>
        <w:t>Include Defra in discussions and work on, and obtain Defra’s no-objection to, material changes to the Environmental &amp; Social policy and management system.</w:t>
      </w:r>
    </w:p>
    <w:p w14:paraId="4853BEDA" w14:textId="1393E90E" w:rsidR="00800EBE" w:rsidRPr="004B6EAB" w:rsidRDefault="00800EBE" w:rsidP="00800EBE">
      <w:pPr>
        <w:pStyle w:val="Level1"/>
        <w:numPr>
          <w:ilvl w:val="1"/>
          <w:numId w:val="4"/>
        </w:numPr>
        <w:spacing w:line="259" w:lineRule="auto"/>
        <w:rPr>
          <w:sz w:val="24"/>
          <w:szCs w:val="24"/>
        </w:rPr>
      </w:pPr>
      <w:r w:rsidRPr="004B6EAB">
        <w:rPr>
          <w:sz w:val="24"/>
          <w:szCs w:val="24"/>
        </w:rPr>
        <w:t>Obtain Defra’s no objection on material changes to the logframe and Programme indicators in Annex A. LLF agrees to ensure that Defra’s contribution will be spent only upon properly incurred expenditure which provides value for money for Defra.</w:t>
      </w:r>
    </w:p>
    <w:p w14:paraId="6D6AD2A2" w14:textId="407429BA" w:rsidR="00E903B2" w:rsidRDefault="00800EBE" w:rsidP="00BB2B4C">
      <w:pPr>
        <w:pStyle w:val="Level1"/>
        <w:numPr>
          <w:ilvl w:val="1"/>
          <w:numId w:val="4"/>
        </w:numPr>
        <w:spacing w:line="259" w:lineRule="auto"/>
        <w:rPr>
          <w:sz w:val="24"/>
          <w:szCs w:val="24"/>
        </w:rPr>
      </w:pPr>
      <w:r w:rsidRPr="004B6EAB">
        <w:rPr>
          <w:sz w:val="24"/>
          <w:szCs w:val="24"/>
        </w:rPr>
        <w:t>LLF agrees to use its best efforts to ensure that no activity supported by this contribution will bring Defra’s name into disrepute. If LLF does not comply with any of the conditions and requirements of this contribution agreement, Defra may require any portion of the contribution that has not been disbursed by LLF to its grantee</w:t>
      </w:r>
      <w:r w:rsidR="00E56FAE" w:rsidRPr="004B6EAB">
        <w:rPr>
          <w:sz w:val="24"/>
          <w:szCs w:val="24"/>
        </w:rPr>
        <w:t>s</w:t>
      </w:r>
      <w:r w:rsidRPr="004B6EAB">
        <w:rPr>
          <w:sz w:val="24"/>
          <w:szCs w:val="24"/>
        </w:rPr>
        <w:t xml:space="preserve"> to be repaid.  All disbursements by Defra are conditional upon LLF’s continued compliance with the requirements of the agreement, including the timely fulfilment of reporting requirements. Defra may withhold disbursements if it finds that the requirements of the agreement have not been met.</w:t>
      </w:r>
    </w:p>
    <w:p w14:paraId="47CDC1E5" w14:textId="77777777" w:rsidR="002E414C" w:rsidRPr="004B6EAB" w:rsidRDefault="002E414C" w:rsidP="002E414C">
      <w:pPr>
        <w:pStyle w:val="Level1"/>
        <w:numPr>
          <w:ilvl w:val="0"/>
          <w:numId w:val="0"/>
        </w:numPr>
        <w:spacing w:line="259" w:lineRule="auto"/>
        <w:ind w:left="720"/>
        <w:rPr>
          <w:sz w:val="24"/>
          <w:szCs w:val="24"/>
        </w:rPr>
      </w:pPr>
    </w:p>
    <w:p w14:paraId="0DB00E64" w14:textId="699325EA" w:rsidR="00B4254F" w:rsidRPr="004B6EAB" w:rsidRDefault="00B4254F" w:rsidP="00B4254F">
      <w:pPr>
        <w:pStyle w:val="Level1"/>
        <w:numPr>
          <w:ilvl w:val="0"/>
          <w:numId w:val="4"/>
        </w:numPr>
        <w:spacing w:line="259" w:lineRule="auto"/>
        <w:rPr>
          <w:b/>
          <w:bCs/>
          <w:sz w:val="24"/>
          <w:szCs w:val="24"/>
        </w:rPr>
      </w:pPr>
      <w:r w:rsidRPr="004B6EAB">
        <w:rPr>
          <w:b/>
          <w:bCs/>
          <w:sz w:val="24"/>
          <w:szCs w:val="24"/>
        </w:rPr>
        <w:t>Termination of Funding</w:t>
      </w:r>
    </w:p>
    <w:p w14:paraId="36D3B1F0" w14:textId="77777777" w:rsidR="00D57A97" w:rsidRPr="004B6EAB" w:rsidRDefault="00686A03" w:rsidP="00686A03">
      <w:pPr>
        <w:pStyle w:val="Level1"/>
        <w:numPr>
          <w:ilvl w:val="1"/>
          <w:numId w:val="4"/>
        </w:numPr>
        <w:spacing w:line="259" w:lineRule="auto"/>
        <w:rPr>
          <w:sz w:val="24"/>
          <w:szCs w:val="24"/>
        </w:rPr>
      </w:pPr>
      <w:r w:rsidRPr="004B6EAB">
        <w:rPr>
          <w:sz w:val="24"/>
          <w:szCs w:val="24"/>
        </w:rPr>
        <w:t>As above, the funding amount and schedule of payment is subject to revision and is dependent on the fulfilment of provisions of this letter, any revisions to budgets, actual expenditure and need, and the continuing availability of resources to Defra.</w:t>
      </w:r>
    </w:p>
    <w:p w14:paraId="3624BAB7" w14:textId="46D13729" w:rsidR="00686A03" w:rsidRDefault="00686A03" w:rsidP="00686A03">
      <w:pPr>
        <w:pStyle w:val="Level1"/>
        <w:numPr>
          <w:ilvl w:val="1"/>
          <w:numId w:val="4"/>
        </w:numPr>
        <w:spacing w:line="259" w:lineRule="auto"/>
        <w:rPr>
          <w:sz w:val="24"/>
          <w:szCs w:val="24"/>
        </w:rPr>
      </w:pPr>
      <w:r w:rsidRPr="004B6EAB">
        <w:rPr>
          <w:sz w:val="24"/>
          <w:szCs w:val="24"/>
        </w:rPr>
        <w:t xml:space="preserve">In the event of a change of government or in </w:t>
      </w:r>
      <w:r w:rsidR="00E03CA0" w:rsidRPr="004B6EAB">
        <w:rPr>
          <w:sz w:val="24"/>
          <w:szCs w:val="24"/>
        </w:rPr>
        <w:t xml:space="preserve">funding or </w:t>
      </w:r>
      <w:r w:rsidRPr="004B6EAB">
        <w:rPr>
          <w:sz w:val="24"/>
          <w:szCs w:val="24"/>
        </w:rPr>
        <w:t>policy direction, this Agreement may be terminated by Defra with immediate effect by notice in writing, it being agreed that in such event LLF shall be entitled to retain any funds previously disbursed to it.</w:t>
      </w:r>
    </w:p>
    <w:p w14:paraId="403AC7FF" w14:textId="77777777" w:rsidR="002E414C" w:rsidRPr="004B6EAB" w:rsidRDefault="002E414C" w:rsidP="002E414C">
      <w:pPr>
        <w:pStyle w:val="Level1"/>
        <w:numPr>
          <w:ilvl w:val="0"/>
          <w:numId w:val="0"/>
        </w:numPr>
        <w:spacing w:line="259" w:lineRule="auto"/>
        <w:ind w:left="720"/>
        <w:rPr>
          <w:sz w:val="24"/>
          <w:szCs w:val="24"/>
        </w:rPr>
      </w:pPr>
    </w:p>
    <w:p w14:paraId="140E6BD0" w14:textId="3D1E637E" w:rsidR="00800EBE" w:rsidRPr="004B6EAB" w:rsidRDefault="00800EBE" w:rsidP="00800EBE">
      <w:pPr>
        <w:pStyle w:val="Level1"/>
        <w:numPr>
          <w:ilvl w:val="0"/>
          <w:numId w:val="4"/>
        </w:numPr>
        <w:spacing w:line="259" w:lineRule="auto"/>
        <w:rPr>
          <w:b/>
          <w:bCs/>
          <w:sz w:val="24"/>
          <w:szCs w:val="24"/>
        </w:rPr>
      </w:pPr>
      <w:r w:rsidRPr="004B6EAB">
        <w:rPr>
          <w:b/>
          <w:bCs/>
          <w:sz w:val="24"/>
          <w:szCs w:val="24"/>
        </w:rPr>
        <w:t>Information and data protection obligations</w:t>
      </w:r>
    </w:p>
    <w:p w14:paraId="084AC888" w14:textId="77777777" w:rsidR="00800EBE" w:rsidRDefault="00800EBE" w:rsidP="00800EBE">
      <w:pPr>
        <w:pStyle w:val="Level1"/>
        <w:numPr>
          <w:ilvl w:val="1"/>
          <w:numId w:val="4"/>
        </w:numPr>
        <w:spacing w:line="259" w:lineRule="auto"/>
        <w:rPr>
          <w:sz w:val="24"/>
          <w:szCs w:val="24"/>
        </w:rPr>
      </w:pPr>
      <w:r w:rsidRPr="004B6EAB">
        <w:rPr>
          <w:sz w:val="24"/>
          <w:szCs w:val="24"/>
        </w:rPr>
        <w:t>LLF acknowledges that Defra is subject to the requirements of the Freedom of Information Act 2000. Defra will comply with all and any data protection obligations, including under the retained UK law arising from the General Data Protection Regulation (Regulation (EU) 2016/679), the Data Protection Act 2018 to the extent that it relates to the processing of personal data and privacy and all applicable law (meaning any applicable law, statute, bylaw, regulation, order, regulatory policy, guidance or industry code, judgment of a relevant court of law, or directives or requirements of any regulatory body, delegated or subordinate legislation) relating to the processing of personal data and privacy, which arise in connection with this Agreement. LLF will apply its own procedures for data management purposes.</w:t>
      </w:r>
    </w:p>
    <w:p w14:paraId="5BBE78C5" w14:textId="77777777" w:rsidR="002E414C" w:rsidRPr="004B6EAB" w:rsidRDefault="002E414C" w:rsidP="002E414C">
      <w:pPr>
        <w:pStyle w:val="Level1"/>
        <w:numPr>
          <w:ilvl w:val="0"/>
          <w:numId w:val="0"/>
        </w:numPr>
        <w:spacing w:line="259" w:lineRule="auto"/>
        <w:ind w:left="720"/>
        <w:rPr>
          <w:sz w:val="24"/>
          <w:szCs w:val="24"/>
        </w:rPr>
      </w:pPr>
    </w:p>
    <w:p w14:paraId="50C90D6B" w14:textId="72DBF42A" w:rsidR="00800EBE" w:rsidRPr="004B6EAB" w:rsidRDefault="00800EBE" w:rsidP="00800EBE">
      <w:pPr>
        <w:pStyle w:val="Level1"/>
        <w:numPr>
          <w:ilvl w:val="0"/>
          <w:numId w:val="4"/>
        </w:numPr>
        <w:spacing w:line="259" w:lineRule="auto"/>
        <w:rPr>
          <w:b/>
          <w:bCs/>
          <w:sz w:val="24"/>
          <w:szCs w:val="24"/>
        </w:rPr>
      </w:pPr>
      <w:r w:rsidRPr="004B6EAB">
        <w:rPr>
          <w:b/>
          <w:bCs/>
          <w:sz w:val="24"/>
          <w:szCs w:val="24"/>
        </w:rPr>
        <w:t xml:space="preserve">Monitoring and Reporting </w:t>
      </w:r>
    </w:p>
    <w:p w14:paraId="4C149E2F" w14:textId="6EADB0C2" w:rsidR="00800EBE" w:rsidRPr="004B6EAB" w:rsidRDefault="00800EBE" w:rsidP="00800EBE">
      <w:pPr>
        <w:pStyle w:val="Level1"/>
        <w:numPr>
          <w:ilvl w:val="1"/>
          <w:numId w:val="4"/>
        </w:numPr>
        <w:spacing w:line="259" w:lineRule="auto"/>
        <w:rPr>
          <w:sz w:val="24"/>
          <w:szCs w:val="24"/>
        </w:rPr>
      </w:pPr>
      <w:r w:rsidRPr="004B6EAB">
        <w:rPr>
          <w:sz w:val="24"/>
          <w:szCs w:val="24"/>
        </w:rPr>
        <w:t xml:space="preserve">LLF will monitor the delivery and success of the contribution throughout the </w:t>
      </w:r>
      <w:r w:rsidR="002F5FC5" w:rsidRPr="004B6EAB">
        <w:rPr>
          <w:sz w:val="24"/>
          <w:szCs w:val="24"/>
        </w:rPr>
        <w:t xml:space="preserve">Monitoring </w:t>
      </w:r>
      <w:r w:rsidRPr="004B6EAB">
        <w:rPr>
          <w:sz w:val="24"/>
          <w:szCs w:val="24"/>
        </w:rPr>
        <w:t>Period to ensure the aims and objectives are being met and that this agreement is being adhered to.</w:t>
      </w:r>
    </w:p>
    <w:p w14:paraId="4E054285" w14:textId="5B36C820" w:rsidR="00800EBE" w:rsidRPr="004B6EAB" w:rsidRDefault="00800EBE" w:rsidP="00800EBE">
      <w:pPr>
        <w:pStyle w:val="Level1"/>
        <w:numPr>
          <w:ilvl w:val="1"/>
          <w:numId w:val="4"/>
        </w:numPr>
        <w:spacing w:line="259" w:lineRule="auto"/>
        <w:rPr>
          <w:sz w:val="24"/>
          <w:szCs w:val="24"/>
        </w:rPr>
      </w:pPr>
      <w:r w:rsidRPr="004B6EAB">
        <w:rPr>
          <w:sz w:val="24"/>
          <w:szCs w:val="24"/>
        </w:rPr>
        <w:t>LLF agrees to report at regular intervals to Defra for the duration of the Monitoring Period, in line with the LLF’s annual reporting cycle.</w:t>
      </w:r>
    </w:p>
    <w:p w14:paraId="3AD5D32A" w14:textId="67E88A53" w:rsidR="00800EBE" w:rsidRPr="004B6EAB" w:rsidRDefault="00800EBE" w:rsidP="00800EBE">
      <w:pPr>
        <w:pStyle w:val="Level1"/>
        <w:numPr>
          <w:ilvl w:val="1"/>
          <w:numId w:val="4"/>
        </w:numPr>
        <w:spacing w:line="259" w:lineRule="auto"/>
        <w:rPr>
          <w:sz w:val="24"/>
          <w:szCs w:val="24"/>
        </w:rPr>
      </w:pPr>
      <w:r w:rsidRPr="004B6EAB">
        <w:rPr>
          <w:sz w:val="24"/>
          <w:szCs w:val="24"/>
        </w:rPr>
        <w:t>The following shall be provided by LLF to Defra</w:t>
      </w:r>
      <w:r w:rsidR="008B4D57" w:rsidRPr="004B6EAB">
        <w:rPr>
          <w:sz w:val="24"/>
          <w:szCs w:val="24"/>
        </w:rPr>
        <w:t xml:space="preserve"> during the Monitoring Period</w:t>
      </w:r>
      <w:r w:rsidRPr="004B6EAB">
        <w:rPr>
          <w:sz w:val="24"/>
          <w:szCs w:val="24"/>
        </w:rPr>
        <w:t>:</w:t>
      </w:r>
    </w:p>
    <w:p w14:paraId="3812CCD9" w14:textId="77777777" w:rsidR="00800EBE" w:rsidRPr="004B6EAB" w:rsidRDefault="00800EBE" w:rsidP="00800EBE">
      <w:pPr>
        <w:pStyle w:val="Level1"/>
        <w:numPr>
          <w:ilvl w:val="0"/>
          <w:numId w:val="11"/>
        </w:numPr>
        <w:spacing w:after="0" w:line="259" w:lineRule="auto"/>
        <w:rPr>
          <w:sz w:val="24"/>
          <w:szCs w:val="24"/>
        </w:rPr>
      </w:pPr>
      <w:r w:rsidRPr="004B6EAB">
        <w:rPr>
          <w:sz w:val="24"/>
          <w:szCs w:val="24"/>
        </w:rPr>
        <w:t>The published LLF annual report as per LLF’s normal reporting cycle, including a financial report.</w:t>
      </w:r>
    </w:p>
    <w:p w14:paraId="44496B76" w14:textId="77777777" w:rsidR="00800EBE" w:rsidRPr="004B6EAB" w:rsidRDefault="00800EBE" w:rsidP="00800EBE">
      <w:pPr>
        <w:pStyle w:val="Level1"/>
        <w:numPr>
          <w:ilvl w:val="0"/>
          <w:numId w:val="11"/>
        </w:numPr>
        <w:spacing w:after="0" w:line="259" w:lineRule="auto"/>
        <w:rPr>
          <w:sz w:val="24"/>
          <w:szCs w:val="24"/>
        </w:rPr>
      </w:pPr>
      <w:r w:rsidRPr="004B6EAB">
        <w:rPr>
          <w:sz w:val="24"/>
          <w:szCs w:val="24"/>
        </w:rPr>
        <w:t>The LLF annual donor report as per LLF’s normal reporting cycle, and including information about LLF’s activities, finances, Environmental and Social Health and Safety (ESHS) performance and compliance, and all relevant developments.</w:t>
      </w:r>
    </w:p>
    <w:p w14:paraId="4FAC6469" w14:textId="77777777" w:rsidR="00800EBE" w:rsidRPr="004B6EAB" w:rsidRDefault="00800EBE" w:rsidP="00800EBE">
      <w:pPr>
        <w:pStyle w:val="Level1"/>
        <w:numPr>
          <w:ilvl w:val="0"/>
          <w:numId w:val="11"/>
        </w:numPr>
        <w:spacing w:after="0" w:line="259" w:lineRule="auto"/>
        <w:rPr>
          <w:sz w:val="24"/>
          <w:szCs w:val="24"/>
        </w:rPr>
      </w:pPr>
      <w:r w:rsidRPr="004B6EAB">
        <w:rPr>
          <w:sz w:val="24"/>
          <w:szCs w:val="24"/>
        </w:rPr>
        <w:t>Annual financial statements for LLF.</w:t>
      </w:r>
    </w:p>
    <w:p w14:paraId="2394E21E" w14:textId="668033A8" w:rsidR="00800EBE" w:rsidRPr="004B6EAB" w:rsidRDefault="00800EBE" w:rsidP="00800EBE">
      <w:pPr>
        <w:pStyle w:val="Level1"/>
        <w:numPr>
          <w:ilvl w:val="0"/>
          <w:numId w:val="11"/>
        </w:numPr>
        <w:spacing w:after="0" w:line="259" w:lineRule="auto"/>
        <w:rPr>
          <w:sz w:val="24"/>
          <w:szCs w:val="24"/>
        </w:rPr>
      </w:pPr>
      <w:r w:rsidRPr="004B6EAB">
        <w:rPr>
          <w:sz w:val="24"/>
          <w:szCs w:val="24"/>
        </w:rPr>
        <w:t>An audit report covering the annual financial statements of LLF</w:t>
      </w:r>
      <w:r w:rsidR="00AB5913" w:rsidRPr="004B6EAB">
        <w:rPr>
          <w:sz w:val="24"/>
          <w:szCs w:val="24"/>
        </w:rPr>
        <w:t xml:space="preserve"> </w:t>
      </w:r>
      <w:r w:rsidR="001A701F" w:rsidRPr="004B6EAB">
        <w:rPr>
          <w:sz w:val="24"/>
          <w:szCs w:val="24"/>
        </w:rPr>
        <w:t>within six months of the end of each financial year</w:t>
      </w:r>
      <w:r w:rsidRPr="004B6EAB">
        <w:rPr>
          <w:sz w:val="24"/>
          <w:szCs w:val="24"/>
        </w:rPr>
        <w:t>. If the auditor submits a management letter (matters for governance attention) this shall be attached to the audit report.</w:t>
      </w:r>
    </w:p>
    <w:p w14:paraId="2DBAD3DE" w14:textId="77777777" w:rsidR="00E4787F" w:rsidRDefault="005E5C22" w:rsidP="00E4787F">
      <w:pPr>
        <w:pStyle w:val="Level1"/>
        <w:numPr>
          <w:ilvl w:val="1"/>
          <w:numId w:val="11"/>
        </w:numPr>
        <w:spacing w:after="0" w:line="259" w:lineRule="auto"/>
        <w:rPr>
          <w:sz w:val="24"/>
          <w:szCs w:val="24"/>
        </w:rPr>
      </w:pPr>
      <w:r w:rsidRPr="004B6EAB">
        <w:rPr>
          <w:sz w:val="24"/>
          <w:szCs w:val="24"/>
        </w:rPr>
        <w:t>To satisfy this requirement the Grant Recipient</w:t>
      </w:r>
      <w:r w:rsidR="004D190C" w:rsidRPr="004B6EAB">
        <w:rPr>
          <w:sz w:val="24"/>
          <w:szCs w:val="24"/>
        </w:rPr>
        <w:t xml:space="preserve"> </w:t>
      </w:r>
      <w:r w:rsidRPr="004B6EAB">
        <w:rPr>
          <w:sz w:val="24"/>
          <w:szCs w:val="24"/>
        </w:rPr>
        <w:t>shall retain all invoices, receipts, accounting records and any other documentation</w:t>
      </w:r>
      <w:r w:rsidR="00D22DEE" w:rsidRPr="004B6EAB">
        <w:rPr>
          <w:sz w:val="24"/>
          <w:szCs w:val="24"/>
        </w:rPr>
        <w:t xml:space="preserve">, </w:t>
      </w:r>
      <w:r w:rsidRPr="004B6EAB">
        <w:rPr>
          <w:sz w:val="24"/>
          <w:szCs w:val="24"/>
        </w:rPr>
        <w:t xml:space="preserve">including but not limited to correspondence relating to the </w:t>
      </w:r>
      <w:r w:rsidR="000F0AB7" w:rsidRPr="004B6EAB">
        <w:rPr>
          <w:sz w:val="24"/>
          <w:szCs w:val="24"/>
        </w:rPr>
        <w:t>e</w:t>
      </w:r>
      <w:r w:rsidRPr="004B6EAB">
        <w:rPr>
          <w:sz w:val="24"/>
          <w:szCs w:val="24"/>
        </w:rPr>
        <w:t xml:space="preserve">ligible </w:t>
      </w:r>
      <w:r w:rsidR="000F0AB7" w:rsidRPr="004B6EAB">
        <w:rPr>
          <w:sz w:val="24"/>
          <w:szCs w:val="24"/>
        </w:rPr>
        <w:t>e</w:t>
      </w:r>
      <w:r w:rsidRPr="004B6EAB">
        <w:rPr>
          <w:sz w:val="24"/>
          <w:szCs w:val="24"/>
        </w:rPr>
        <w:t xml:space="preserve">xpenditure </w:t>
      </w:r>
      <w:r w:rsidR="00707FB4" w:rsidRPr="004B6EAB">
        <w:rPr>
          <w:sz w:val="24"/>
          <w:szCs w:val="24"/>
        </w:rPr>
        <w:t xml:space="preserve">and </w:t>
      </w:r>
      <w:r w:rsidRPr="004B6EAB">
        <w:rPr>
          <w:sz w:val="24"/>
          <w:szCs w:val="24"/>
        </w:rPr>
        <w:t xml:space="preserve">income generated by the </w:t>
      </w:r>
      <w:r w:rsidR="000F0AB7" w:rsidRPr="004B6EAB">
        <w:rPr>
          <w:sz w:val="24"/>
          <w:szCs w:val="24"/>
        </w:rPr>
        <w:t>f</w:t>
      </w:r>
      <w:r w:rsidRPr="004B6EAB">
        <w:rPr>
          <w:sz w:val="24"/>
          <w:szCs w:val="24"/>
        </w:rPr>
        <w:t xml:space="preserve">unded </w:t>
      </w:r>
      <w:r w:rsidR="000F0AB7" w:rsidRPr="004B6EAB">
        <w:rPr>
          <w:sz w:val="24"/>
          <w:szCs w:val="24"/>
        </w:rPr>
        <w:t>a</w:t>
      </w:r>
      <w:r w:rsidRPr="004B6EAB">
        <w:rPr>
          <w:sz w:val="24"/>
          <w:szCs w:val="24"/>
        </w:rPr>
        <w:t xml:space="preserve">ctivities during the </w:t>
      </w:r>
      <w:r w:rsidR="00757B70" w:rsidRPr="004B6EAB">
        <w:rPr>
          <w:sz w:val="24"/>
          <w:szCs w:val="24"/>
        </w:rPr>
        <w:t>monitoring</w:t>
      </w:r>
      <w:r w:rsidRPr="004B6EAB">
        <w:rPr>
          <w:sz w:val="24"/>
          <w:szCs w:val="24"/>
        </w:rPr>
        <w:t xml:space="preserve"> </w:t>
      </w:r>
      <w:r w:rsidR="00707FB4" w:rsidRPr="004B6EAB">
        <w:rPr>
          <w:sz w:val="24"/>
          <w:szCs w:val="24"/>
        </w:rPr>
        <w:t>p</w:t>
      </w:r>
      <w:r w:rsidRPr="004B6EAB">
        <w:rPr>
          <w:sz w:val="24"/>
          <w:szCs w:val="24"/>
        </w:rPr>
        <w:t xml:space="preserve">eriod </w:t>
      </w:r>
      <w:r w:rsidR="00757B70" w:rsidRPr="004B6EAB">
        <w:rPr>
          <w:sz w:val="24"/>
          <w:szCs w:val="24"/>
        </w:rPr>
        <w:t xml:space="preserve">and </w:t>
      </w:r>
      <w:r w:rsidRPr="004B6EAB">
        <w:rPr>
          <w:sz w:val="24"/>
          <w:szCs w:val="24"/>
        </w:rPr>
        <w:t xml:space="preserve">for a period of </w:t>
      </w:r>
      <w:r w:rsidR="00757B70" w:rsidRPr="004B6EAB">
        <w:rPr>
          <w:sz w:val="24"/>
          <w:szCs w:val="24"/>
        </w:rPr>
        <w:t xml:space="preserve">five </w:t>
      </w:r>
      <w:r w:rsidRPr="004B6EAB">
        <w:rPr>
          <w:sz w:val="24"/>
          <w:szCs w:val="24"/>
        </w:rPr>
        <w:t>years</w:t>
      </w:r>
      <w:r w:rsidR="00707FB4" w:rsidRPr="004B6EAB">
        <w:rPr>
          <w:sz w:val="24"/>
          <w:szCs w:val="24"/>
        </w:rPr>
        <w:t xml:space="preserve"> </w:t>
      </w:r>
      <w:r w:rsidRPr="004B6EAB">
        <w:rPr>
          <w:sz w:val="24"/>
          <w:szCs w:val="24"/>
        </w:rPr>
        <w:t xml:space="preserve">from the date on which the </w:t>
      </w:r>
      <w:r w:rsidR="00757B70" w:rsidRPr="004B6EAB">
        <w:rPr>
          <w:sz w:val="24"/>
          <w:szCs w:val="24"/>
        </w:rPr>
        <w:t>monitoring</w:t>
      </w:r>
      <w:r w:rsidRPr="004B6EAB">
        <w:rPr>
          <w:sz w:val="24"/>
          <w:szCs w:val="24"/>
        </w:rPr>
        <w:t xml:space="preserve"> </w:t>
      </w:r>
      <w:r w:rsidR="00757B70" w:rsidRPr="004B6EAB">
        <w:rPr>
          <w:sz w:val="24"/>
          <w:szCs w:val="24"/>
        </w:rPr>
        <w:t>p</w:t>
      </w:r>
      <w:r w:rsidRPr="004B6EAB">
        <w:rPr>
          <w:sz w:val="24"/>
          <w:szCs w:val="24"/>
        </w:rPr>
        <w:t>eriod ends.</w:t>
      </w:r>
    </w:p>
    <w:p w14:paraId="6B5303B2" w14:textId="02B325B9" w:rsidR="006934CD" w:rsidRPr="00E4787F" w:rsidRDefault="00C05CFC" w:rsidP="00E4787F">
      <w:pPr>
        <w:pStyle w:val="Level1"/>
        <w:numPr>
          <w:ilvl w:val="0"/>
          <w:numId w:val="11"/>
        </w:numPr>
        <w:spacing w:after="0" w:line="259" w:lineRule="auto"/>
        <w:rPr>
          <w:sz w:val="24"/>
          <w:szCs w:val="24"/>
        </w:rPr>
      </w:pPr>
      <w:r w:rsidRPr="00E4787F">
        <w:rPr>
          <w:sz w:val="24"/>
          <w:szCs w:val="24"/>
        </w:rPr>
        <w:t>Summaries of serious incident reports</w:t>
      </w:r>
      <w:r w:rsidR="00DA5E0C" w:rsidRPr="00E4787F">
        <w:rPr>
          <w:sz w:val="24"/>
          <w:szCs w:val="24"/>
        </w:rPr>
        <w:t>, including</w:t>
      </w:r>
      <w:r w:rsidR="00A251DE" w:rsidRPr="00E4787F">
        <w:rPr>
          <w:sz w:val="24"/>
          <w:szCs w:val="24"/>
        </w:rPr>
        <w:t xml:space="preserve"> but not limited to</w:t>
      </w:r>
      <w:r w:rsidR="00DA5E0C" w:rsidRPr="00E4787F">
        <w:rPr>
          <w:sz w:val="24"/>
          <w:szCs w:val="24"/>
        </w:rPr>
        <w:t xml:space="preserve"> </w:t>
      </w:r>
      <w:r w:rsidR="0027140F" w:rsidRPr="00E4787F">
        <w:rPr>
          <w:sz w:val="24"/>
          <w:szCs w:val="24"/>
        </w:rPr>
        <w:t>safeguarding</w:t>
      </w:r>
      <w:r w:rsidR="00C85EC6" w:rsidRPr="00E4787F">
        <w:rPr>
          <w:sz w:val="24"/>
          <w:szCs w:val="24"/>
        </w:rPr>
        <w:t>, fraud and corruption</w:t>
      </w:r>
      <w:r w:rsidR="00A251DE" w:rsidRPr="00E4787F">
        <w:rPr>
          <w:sz w:val="24"/>
          <w:szCs w:val="24"/>
        </w:rPr>
        <w:t>, theft, or Aid Diversion</w:t>
      </w:r>
      <w:r w:rsidRPr="00E4787F">
        <w:rPr>
          <w:sz w:val="24"/>
          <w:szCs w:val="24"/>
        </w:rPr>
        <w:t xml:space="preserve">. These summaries will be compiled and sent at the end of </w:t>
      </w:r>
      <w:r w:rsidR="004202F1" w:rsidRPr="00E4787F">
        <w:rPr>
          <w:sz w:val="24"/>
          <w:szCs w:val="24"/>
        </w:rPr>
        <w:t>each calendar month or as frequently as the LLF Supervisory Board (SB) request</w:t>
      </w:r>
      <w:r w:rsidR="00A20A26" w:rsidRPr="00E4787F">
        <w:rPr>
          <w:sz w:val="24"/>
          <w:szCs w:val="24"/>
        </w:rPr>
        <w:t>s it</w:t>
      </w:r>
      <w:r w:rsidR="004202F1" w:rsidRPr="00E4787F">
        <w:rPr>
          <w:sz w:val="24"/>
          <w:szCs w:val="24"/>
        </w:rPr>
        <w:t>.</w:t>
      </w:r>
      <w:r w:rsidR="0027140F" w:rsidRPr="00E4787F">
        <w:rPr>
          <w:sz w:val="24"/>
          <w:szCs w:val="24"/>
        </w:rPr>
        <w:t xml:space="preserve"> Where serious incidents </w:t>
      </w:r>
      <w:r w:rsidR="00BA242C" w:rsidRPr="00E4787F">
        <w:rPr>
          <w:sz w:val="24"/>
          <w:szCs w:val="24"/>
        </w:rPr>
        <w:t xml:space="preserve">in Defra-funded sites </w:t>
      </w:r>
      <w:r w:rsidR="0027140F" w:rsidRPr="00E4787F">
        <w:rPr>
          <w:sz w:val="24"/>
          <w:szCs w:val="24"/>
        </w:rPr>
        <w:t xml:space="preserve">represent </w:t>
      </w:r>
      <w:r w:rsidR="0086198B" w:rsidRPr="00E4787F">
        <w:rPr>
          <w:sz w:val="24"/>
          <w:szCs w:val="24"/>
        </w:rPr>
        <w:t xml:space="preserve">a high risk (e.g., including but not limited to, monetary value / reputational risk / </w:t>
      </w:r>
      <w:r w:rsidR="0063568E" w:rsidRPr="00E4787F">
        <w:rPr>
          <w:sz w:val="24"/>
          <w:szCs w:val="24"/>
        </w:rPr>
        <w:t xml:space="preserve">high-risk </w:t>
      </w:r>
      <w:r w:rsidR="0086198B" w:rsidRPr="00E4787F">
        <w:rPr>
          <w:sz w:val="24"/>
          <w:szCs w:val="24"/>
        </w:rPr>
        <w:t>safeguarding</w:t>
      </w:r>
      <w:r w:rsidR="00E73D5C" w:rsidRPr="00E4787F">
        <w:rPr>
          <w:sz w:val="24"/>
          <w:szCs w:val="24"/>
        </w:rPr>
        <w:t xml:space="preserve"> incidents</w:t>
      </w:r>
      <w:r w:rsidR="0063568E" w:rsidRPr="00E4787F">
        <w:rPr>
          <w:sz w:val="24"/>
          <w:szCs w:val="24"/>
        </w:rPr>
        <w:t>, particularly</w:t>
      </w:r>
      <w:r w:rsidR="0086198B" w:rsidRPr="00E4787F">
        <w:rPr>
          <w:sz w:val="24"/>
          <w:szCs w:val="24"/>
        </w:rPr>
        <w:t xml:space="preserve"> involving sexual exploitation, abuse, and harassment (SEAH)), Defra expects to be alerted promptly outside of the regular monthly reporting, operating on a principle of “no surprises” and in line with the SEAH safeguarding statement in Annex D.</w:t>
      </w:r>
    </w:p>
    <w:p w14:paraId="33FC54BF" w14:textId="77777777" w:rsidR="00425380" w:rsidRPr="004B6EAB" w:rsidRDefault="00425380" w:rsidP="00425380">
      <w:pPr>
        <w:pStyle w:val="Level1"/>
        <w:numPr>
          <w:ilvl w:val="0"/>
          <w:numId w:val="0"/>
        </w:numPr>
        <w:spacing w:after="0" w:line="259" w:lineRule="auto"/>
        <w:ind w:left="720"/>
        <w:rPr>
          <w:sz w:val="24"/>
          <w:szCs w:val="24"/>
        </w:rPr>
      </w:pPr>
    </w:p>
    <w:p w14:paraId="6F4C6698" w14:textId="38BBC7F8" w:rsidR="00425380" w:rsidRPr="004B6EAB" w:rsidRDefault="00425380" w:rsidP="00800EBE">
      <w:pPr>
        <w:pStyle w:val="Level1"/>
        <w:numPr>
          <w:ilvl w:val="1"/>
          <w:numId w:val="4"/>
        </w:numPr>
        <w:spacing w:line="259" w:lineRule="auto"/>
        <w:rPr>
          <w:sz w:val="24"/>
          <w:szCs w:val="24"/>
        </w:rPr>
      </w:pPr>
      <w:r w:rsidRPr="004B6EAB">
        <w:rPr>
          <w:sz w:val="24"/>
          <w:szCs w:val="24"/>
        </w:rPr>
        <w:t xml:space="preserve">In addition, </w:t>
      </w:r>
      <w:r w:rsidR="009D443D" w:rsidRPr="004B6EAB">
        <w:rPr>
          <w:sz w:val="24"/>
          <w:szCs w:val="24"/>
        </w:rPr>
        <w:t xml:space="preserve">during the Monitoring Period and </w:t>
      </w:r>
      <w:r w:rsidRPr="004B6EAB">
        <w:rPr>
          <w:sz w:val="24"/>
          <w:szCs w:val="24"/>
        </w:rPr>
        <w:t xml:space="preserve">upon Defra’s request, LLF will share landscape reports from </w:t>
      </w:r>
      <w:r w:rsidR="00947D85" w:rsidRPr="004B6EAB">
        <w:rPr>
          <w:sz w:val="24"/>
          <w:szCs w:val="24"/>
        </w:rPr>
        <w:t>D</w:t>
      </w:r>
      <w:r w:rsidRPr="004B6EAB">
        <w:rPr>
          <w:sz w:val="24"/>
          <w:szCs w:val="24"/>
        </w:rPr>
        <w:t xml:space="preserve">ownstream </w:t>
      </w:r>
      <w:r w:rsidR="00947D85" w:rsidRPr="004B6EAB">
        <w:rPr>
          <w:sz w:val="24"/>
          <w:szCs w:val="24"/>
        </w:rPr>
        <w:t>P</w:t>
      </w:r>
      <w:r w:rsidRPr="004B6EAB">
        <w:rPr>
          <w:sz w:val="24"/>
          <w:szCs w:val="24"/>
        </w:rPr>
        <w:t xml:space="preserve">artners for Defra funded landscapes, including but not limited to their semi-annual Interim Reports, Annual Reports, audit reports and summaries of any serious incident reports.  </w:t>
      </w:r>
    </w:p>
    <w:p w14:paraId="35C54BD8" w14:textId="6E5DF7AE" w:rsidR="00EE026F" w:rsidRPr="004B6EAB" w:rsidRDefault="00EE026F" w:rsidP="00EE026F">
      <w:pPr>
        <w:pStyle w:val="Level1"/>
        <w:numPr>
          <w:ilvl w:val="1"/>
          <w:numId w:val="4"/>
        </w:numPr>
        <w:spacing w:line="259" w:lineRule="auto"/>
        <w:rPr>
          <w:sz w:val="24"/>
          <w:szCs w:val="24"/>
        </w:rPr>
      </w:pPr>
      <w:r w:rsidRPr="004B6EAB">
        <w:rPr>
          <w:sz w:val="24"/>
          <w:szCs w:val="24"/>
        </w:rPr>
        <w:t>LLF agree</w:t>
      </w:r>
      <w:r w:rsidR="00170E95" w:rsidRPr="004B6EAB">
        <w:rPr>
          <w:sz w:val="24"/>
          <w:szCs w:val="24"/>
        </w:rPr>
        <w:t>s</w:t>
      </w:r>
      <w:r w:rsidR="009D443D" w:rsidRPr="004B6EAB">
        <w:rPr>
          <w:sz w:val="24"/>
          <w:szCs w:val="24"/>
        </w:rPr>
        <w:t xml:space="preserve"> to</w:t>
      </w:r>
      <w:r w:rsidRPr="004B6EAB">
        <w:rPr>
          <w:sz w:val="24"/>
          <w:szCs w:val="24"/>
        </w:rPr>
        <w:t xml:space="preserve"> report on at least one UK </w:t>
      </w:r>
      <w:hyperlink r:id="rId13" w:history="1">
        <w:r w:rsidRPr="004B6EAB">
          <w:rPr>
            <w:rStyle w:val="Hyperlink"/>
            <w:sz w:val="24"/>
            <w:szCs w:val="24"/>
          </w:rPr>
          <w:t>International Climate Finance (ICF) Key Performance Indicator</w:t>
        </w:r>
      </w:hyperlink>
      <w:r w:rsidR="009D443D" w:rsidRPr="004B6EAB">
        <w:rPr>
          <w:sz w:val="24"/>
          <w:szCs w:val="24"/>
        </w:rPr>
        <w:t xml:space="preserve"> on a</w:t>
      </w:r>
      <w:r w:rsidR="00190D45" w:rsidRPr="004B6EAB">
        <w:rPr>
          <w:sz w:val="24"/>
          <w:szCs w:val="24"/>
        </w:rPr>
        <w:t>n</w:t>
      </w:r>
      <w:r w:rsidR="009D443D" w:rsidRPr="004B6EAB">
        <w:rPr>
          <w:sz w:val="24"/>
          <w:szCs w:val="24"/>
        </w:rPr>
        <w:t xml:space="preserve"> annual basis during the Monitoring Period</w:t>
      </w:r>
      <w:r w:rsidRPr="004B6EAB">
        <w:rPr>
          <w:sz w:val="24"/>
          <w:szCs w:val="24"/>
        </w:rPr>
        <w:t xml:space="preserve">. </w:t>
      </w:r>
      <w:r w:rsidR="00602683" w:rsidRPr="004B6EAB">
        <w:rPr>
          <w:sz w:val="24"/>
          <w:szCs w:val="24"/>
        </w:rPr>
        <w:lastRenderedPageBreak/>
        <w:t>The indicator will be determined collaboratively and agreed upon</w:t>
      </w:r>
      <w:r w:rsidR="00983751" w:rsidRPr="004B6EAB">
        <w:rPr>
          <w:sz w:val="24"/>
          <w:szCs w:val="24"/>
        </w:rPr>
        <w:t xml:space="preserve"> by both LLF and Defra.</w:t>
      </w:r>
      <w:r w:rsidR="00C0398E" w:rsidRPr="004B6EAB">
        <w:rPr>
          <w:sz w:val="24"/>
          <w:szCs w:val="24"/>
        </w:rPr>
        <w:t xml:space="preserve"> </w:t>
      </w:r>
      <w:r w:rsidRPr="004B6EAB">
        <w:rPr>
          <w:sz w:val="24"/>
          <w:szCs w:val="24"/>
        </w:rPr>
        <w:t xml:space="preserve">This will enable Defra to demonstrate the impact of </w:t>
      </w:r>
      <w:r w:rsidR="00BA242C" w:rsidRPr="004B6EAB">
        <w:rPr>
          <w:sz w:val="24"/>
          <w:szCs w:val="24"/>
        </w:rPr>
        <w:t>this contribution</w:t>
      </w:r>
      <w:r w:rsidRPr="004B6EAB">
        <w:rPr>
          <w:sz w:val="24"/>
          <w:szCs w:val="24"/>
        </w:rPr>
        <w:t xml:space="preserve"> as part of commitments to support developing countries to reduce poverty and respond to the causes and impacts of climate change.</w:t>
      </w:r>
    </w:p>
    <w:p w14:paraId="3C9363C3" w14:textId="6C73CA84" w:rsidR="00800EBE" w:rsidRPr="004B6EAB" w:rsidRDefault="00800EBE" w:rsidP="00EE026F">
      <w:pPr>
        <w:pStyle w:val="Level1"/>
        <w:numPr>
          <w:ilvl w:val="1"/>
          <w:numId w:val="4"/>
        </w:numPr>
        <w:spacing w:line="259" w:lineRule="auto"/>
        <w:rPr>
          <w:sz w:val="24"/>
          <w:szCs w:val="24"/>
        </w:rPr>
      </w:pPr>
      <w:r w:rsidRPr="004B6EAB">
        <w:rPr>
          <w:sz w:val="24"/>
          <w:szCs w:val="24"/>
        </w:rPr>
        <w:t>If LLF is unable to provide reports by agreed deadlines, Defra must be informed immediately.</w:t>
      </w:r>
    </w:p>
    <w:p w14:paraId="7D6711FE" w14:textId="6D78D09F" w:rsidR="00800EBE" w:rsidRPr="004B6EAB" w:rsidRDefault="00800EBE" w:rsidP="00800EBE">
      <w:pPr>
        <w:pStyle w:val="Level1"/>
        <w:numPr>
          <w:ilvl w:val="1"/>
          <w:numId w:val="4"/>
        </w:numPr>
        <w:spacing w:line="259" w:lineRule="auto"/>
        <w:rPr>
          <w:sz w:val="24"/>
          <w:szCs w:val="24"/>
        </w:rPr>
      </w:pPr>
      <w:r w:rsidRPr="004B6EAB">
        <w:rPr>
          <w:sz w:val="24"/>
          <w:szCs w:val="24"/>
        </w:rPr>
        <w:t xml:space="preserve">All LLF work plans, budgets, financial statements and reports (other than the donor-oriented narrative of the LLF annual donor report) will be approved by LLF’s Supervisory Board prior to submission to Defra. For the avoidance of doubt this does not include any reports submitted from </w:t>
      </w:r>
      <w:r w:rsidR="00947D85" w:rsidRPr="004B6EAB">
        <w:rPr>
          <w:sz w:val="24"/>
          <w:szCs w:val="24"/>
        </w:rPr>
        <w:t>D</w:t>
      </w:r>
      <w:r w:rsidRPr="004B6EAB">
        <w:rPr>
          <w:sz w:val="24"/>
          <w:szCs w:val="24"/>
        </w:rPr>
        <w:t xml:space="preserve">ownstream </w:t>
      </w:r>
      <w:r w:rsidR="00947D85" w:rsidRPr="004B6EAB">
        <w:rPr>
          <w:sz w:val="24"/>
          <w:szCs w:val="24"/>
        </w:rPr>
        <w:t>P</w:t>
      </w:r>
      <w:r w:rsidRPr="004B6EAB">
        <w:rPr>
          <w:sz w:val="24"/>
          <w:szCs w:val="24"/>
        </w:rPr>
        <w:t>artners, unless specifically requested by Defra.</w:t>
      </w:r>
    </w:p>
    <w:p w14:paraId="762A3B86" w14:textId="75D99EF4" w:rsidR="00800EBE" w:rsidRPr="004B6EAB" w:rsidRDefault="00800EBE" w:rsidP="00800EBE">
      <w:pPr>
        <w:pStyle w:val="Level1"/>
        <w:numPr>
          <w:ilvl w:val="1"/>
          <w:numId w:val="4"/>
        </w:numPr>
        <w:spacing w:line="259" w:lineRule="auto"/>
        <w:rPr>
          <w:sz w:val="24"/>
          <w:szCs w:val="24"/>
        </w:rPr>
      </w:pPr>
      <w:r w:rsidRPr="004B6EAB">
        <w:rPr>
          <w:sz w:val="24"/>
          <w:szCs w:val="24"/>
        </w:rPr>
        <w:t xml:space="preserve">As part of the regular reporting requirements outlined above, LLF will </w:t>
      </w:r>
      <w:r w:rsidR="00A112D0" w:rsidRPr="004B6EAB">
        <w:rPr>
          <w:sz w:val="24"/>
          <w:szCs w:val="24"/>
        </w:rPr>
        <w:t xml:space="preserve">continue to </w:t>
      </w:r>
      <w:r w:rsidRPr="004B6EAB">
        <w:rPr>
          <w:sz w:val="24"/>
          <w:szCs w:val="24"/>
        </w:rPr>
        <w:t>provide a proportionate and meaningful assessment of how the specific needs of girls, women, boys and men are considered</w:t>
      </w:r>
      <w:r w:rsidR="004F268D" w:rsidRPr="004B6EAB">
        <w:rPr>
          <w:sz w:val="24"/>
          <w:szCs w:val="24"/>
        </w:rPr>
        <w:t xml:space="preserve"> </w:t>
      </w:r>
      <w:r w:rsidRPr="004B6EAB">
        <w:rPr>
          <w:sz w:val="24"/>
          <w:szCs w:val="24"/>
        </w:rPr>
        <w:t>and reflect to what extent women and girls have been included in design, implementation and monitoring</w:t>
      </w:r>
      <w:r w:rsidR="00D86A04" w:rsidRPr="004B6EAB">
        <w:rPr>
          <w:sz w:val="24"/>
          <w:szCs w:val="24"/>
        </w:rPr>
        <w:t xml:space="preserve"> of </w:t>
      </w:r>
      <w:r w:rsidR="00086B40" w:rsidRPr="004B6EAB">
        <w:rPr>
          <w:sz w:val="24"/>
          <w:szCs w:val="24"/>
        </w:rPr>
        <w:t>its</w:t>
      </w:r>
      <w:r w:rsidR="00D86A04" w:rsidRPr="004B6EAB">
        <w:rPr>
          <w:sz w:val="24"/>
          <w:szCs w:val="24"/>
        </w:rPr>
        <w:t xml:space="preserve"> grants</w:t>
      </w:r>
      <w:r w:rsidRPr="004B6EAB">
        <w:rPr>
          <w:sz w:val="24"/>
          <w:szCs w:val="24"/>
        </w:rPr>
        <w:t xml:space="preserve">. LLF </w:t>
      </w:r>
      <w:r w:rsidR="003A646D" w:rsidRPr="004B6EAB">
        <w:rPr>
          <w:sz w:val="24"/>
          <w:szCs w:val="24"/>
        </w:rPr>
        <w:t xml:space="preserve">will </w:t>
      </w:r>
      <w:r w:rsidR="00100D23" w:rsidRPr="004B6EAB">
        <w:rPr>
          <w:sz w:val="24"/>
          <w:szCs w:val="24"/>
        </w:rPr>
        <w:t xml:space="preserve">also </w:t>
      </w:r>
      <w:r w:rsidR="00FA7C37" w:rsidRPr="004B6EAB">
        <w:rPr>
          <w:sz w:val="24"/>
          <w:szCs w:val="24"/>
        </w:rPr>
        <w:t>work toward</w:t>
      </w:r>
      <w:r w:rsidR="00F72F87" w:rsidRPr="004B6EAB">
        <w:rPr>
          <w:sz w:val="24"/>
          <w:szCs w:val="24"/>
        </w:rPr>
        <w:t>s</w:t>
      </w:r>
      <w:r w:rsidR="00FA7C37" w:rsidRPr="004B6EAB">
        <w:rPr>
          <w:sz w:val="24"/>
          <w:szCs w:val="24"/>
        </w:rPr>
        <w:t xml:space="preserve"> </w:t>
      </w:r>
      <w:r w:rsidRPr="004B6EAB">
        <w:rPr>
          <w:sz w:val="24"/>
          <w:szCs w:val="24"/>
        </w:rPr>
        <w:t>assess</w:t>
      </w:r>
      <w:r w:rsidR="00FA7C37" w:rsidRPr="004B6EAB">
        <w:rPr>
          <w:sz w:val="24"/>
          <w:szCs w:val="24"/>
        </w:rPr>
        <w:t>ing</w:t>
      </w:r>
      <w:r w:rsidRPr="004B6EAB">
        <w:rPr>
          <w:sz w:val="24"/>
          <w:szCs w:val="24"/>
        </w:rPr>
        <w:t xml:space="preserve"> how </w:t>
      </w:r>
      <w:r w:rsidR="00364BAD" w:rsidRPr="004B6EAB">
        <w:rPr>
          <w:sz w:val="24"/>
          <w:szCs w:val="24"/>
        </w:rPr>
        <w:t>its funding</w:t>
      </w:r>
      <w:r w:rsidRPr="004B6EAB">
        <w:rPr>
          <w:sz w:val="24"/>
          <w:szCs w:val="24"/>
        </w:rPr>
        <w:t xml:space="preserve"> is contributing to reducing gender inequality and</w:t>
      </w:r>
      <w:r w:rsidR="003B4E1B" w:rsidRPr="004B6EAB">
        <w:rPr>
          <w:sz w:val="24"/>
          <w:szCs w:val="24"/>
        </w:rPr>
        <w:t xml:space="preserve"> </w:t>
      </w:r>
      <w:r w:rsidR="008107F7" w:rsidRPr="004B6EAB">
        <w:rPr>
          <w:sz w:val="24"/>
          <w:szCs w:val="24"/>
        </w:rPr>
        <w:t xml:space="preserve">demonstrating </w:t>
      </w:r>
      <w:r w:rsidRPr="004B6EAB">
        <w:rPr>
          <w:sz w:val="24"/>
          <w:szCs w:val="24"/>
        </w:rPr>
        <w:t>consideration of potential unintended negative consequences, such as gender-based violence. LLF will also consider how to prevent discrimination and promote wider equality of opportunity between those who have a protected characteristic and those who do not, for example, disability, sexual orientation, race, religion, or belief.</w:t>
      </w:r>
    </w:p>
    <w:p w14:paraId="4D3A866E" w14:textId="33693916" w:rsidR="00800EBE" w:rsidRPr="004B6EAB" w:rsidRDefault="00800EBE" w:rsidP="00800EBE">
      <w:pPr>
        <w:pStyle w:val="Level1"/>
        <w:numPr>
          <w:ilvl w:val="1"/>
          <w:numId w:val="4"/>
        </w:numPr>
        <w:spacing w:line="259" w:lineRule="auto"/>
        <w:rPr>
          <w:rStyle w:val="normaltextrun"/>
          <w:sz w:val="24"/>
          <w:szCs w:val="24"/>
        </w:rPr>
      </w:pPr>
      <w:r w:rsidRPr="004B6EAB">
        <w:rPr>
          <w:rStyle w:val="normaltextrun"/>
          <w:sz w:val="24"/>
        </w:rPr>
        <w:t>LLF will, as part of the regular reporting outlined above, provide a proportionate and meaningful summary of how climate and environmental concerns have been considered in design, implementation, and monitoring</w:t>
      </w:r>
      <w:r w:rsidR="00794FAE" w:rsidRPr="004B6EAB">
        <w:rPr>
          <w:rStyle w:val="normaltextrun"/>
          <w:sz w:val="24"/>
        </w:rPr>
        <w:t xml:space="preserve"> of its grants</w:t>
      </w:r>
      <w:r w:rsidRPr="004B6EAB">
        <w:rPr>
          <w:rStyle w:val="normaltextrun"/>
          <w:sz w:val="24"/>
        </w:rPr>
        <w:t xml:space="preserve"> in line with the UK government’s commitment to the Paris Agreement. This </w:t>
      </w:r>
      <w:r w:rsidR="00794FAE" w:rsidRPr="004B6EAB">
        <w:rPr>
          <w:rStyle w:val="normaltextrun"/>
          <w:sz w:val="24"/>
        </w:rPr>
        <w:t xml:space="preserve">may </w:t>
      </w:r>
      <w:r w:rsidRPr="004B6EAB">
        <w:rPr>
          <w:rStyle w:val="normaltextrun"/>
          <w:sz w:val="24"/>
        </w:rPr>
        <w:t>include an assessment of:</w:t>
      </w:r>
    </w:p>
    <w:p w14:paraId="59440273" w14:textId="34DF602A" w:rsidR="00800EBE" w:rsidRPr="004B6EAB" w:rsidRDefault="00800EBE" w:rsidP="00800EBE">
      <w:pPr>
        <w:pStyle w:val="Level1"/>
        <w:numPr>
          <w:ilvl w:val="2"/>
          <w:numId w:val="4"/>
        </w:numPr>
        <w:spacing w:line="259" w:lineRule="auto"/>
        <w:ind w:left="1287"/>
        <w:rPr>
          <w:rStyle w:val="normaltextrun"/>
          <w:sz w:val="24"/>
          <w:szCs w:val="24"/>
        </w:rPr>
      </w:pPr>
      <w:r w:rsidRPr="004B6EAB">
        <w:rPr>
          <w:rStyle w:val="normaltextrun"/>
          <w:sz w:val="24"/>
        </w:rPr>
        <w:t>The vulnerability of the Programme to climate change.</w:t>
      </w:r>
    </w:p>
    <w:p w14:paraId="211EE379" w14:textId="01AA9E8E" w:rsidR="00800EBE" w:rsidRPr="004B6EAB" w:rsidRDefault="00800EBE" w:rsidP="00800EBE">
      <w:pPr>
        <w:pStyle w:val="Level1"/>
        <w:numPr>
          <w:ilvl w:val="2"/>
          <w:numId w:val="4"/>
        </w:numPr>
        <w:spacing w:line="259" w:lineRule="auto"/>
        <w:ind w:left="1287"/>
        <w:rPr>
          <w:rStyle w:val="eop"/>
          <w:sz w:val="24"/>
          <w:szCs w:val="24"/>
        </w:rPr>
      </w:pPr>
      <w:r w:rsidRPr="004B6EAB">
        <w:rPr>
          <w:rStyle w:val="normaltextrun"/>
          <w:sz w:val="24"/>
        </w:rPr>
        <w:t>Any impacts the delivery of the Programme might have on climate risk and the environment (including opportunities).</w:t>
      </w:r>
    </w:p>
    <w:p w14:paraId="39096FCD" w14:textId="77777777" w:rsidR="00800EBE" w:rsidRPr="004B6EAB" w:rsidRDefault="00800EBE" w:rsidP="00800EBE">
      <w:pPr>
        <w:pStyle w:val="Level1"/>
        <w:numPr>
          <w:ilvl w:val="2"/>
          <w:numId w:val="4"/>
        </w:numPr>
        <w:spacing w:line="259" w:lineRule="auto"/>
        <w:ind w:left="1287"/>
        <w:rPr>
          <w:rStyle w:val="eop"/>
          <w:sz w:val="24"/>
          <w:szCs w:val="24"/>
        </w:rPr>
      </w:pPr>
      <w:r w:rsidRPr="004B6EAB">
        <w:rPr>
          <w:rStyle w:val="eop"/>
          <w:sz w:val="24"/>
          <w:szCs w:val="24"/>
        </w:rPr>
        <w:t>A</w:t>
      </w:r>
      <w:r w:rsidRPr="004B6EAB">
        <w:rPr>
          <w:rStyle w:val="normaltextrun"/>
          <w:sz w:val="24"/>
        </w:rPr>
        <w:t xml:space="preserve"> summary of any mitigating actions put in place (including how environmental safeguarding concerns have been considered).</w:t>
      </w:r>
    </w:p>
    <w:p w14:paraId="3A12D2F4" w14:textId="44A0A36B" w:rsidR="00800EBE" w:rsidRPr="004B6EAB" w:rsidRDefault="00800EBE" w:rsidP="00800EBE">
      <w:pPr>
        <w:pStyle w:val="Level1"/>
        <w:numPr>
          <w:ilvl w:val="2"/>
          <w:numId w:val="4"/>
        </w:numPr>
        <w:spacing w:line="259" w:lineRule="auto"/>
        <w:ind w:left="1287"/>
        <w:rPr>
          <w:rStyle w:val="eop"/>
          <w:sz w:val="24"/>
          <w:szCs w:val="24"/>
        </w:rPr>
      </w:pPr>
      <w:r w:rsidRPr="004B6EAB">
        <w:rPr>
          <w:rStyle w:val="normaltextrun"/>
          <w:sz w:val="24"/>
        </w:rPr>
        <w:t>Any impacts the delivery of the Programme might have on exacerbating or reducing impacts on people affected by climate change.</w:t>
      </w:r>
    </w:p>
    <w:p w14:paraId="7F33BF6A" w14:textId="77777777" w:rsidR="00800EBE" w:rsidRPr="004B6EAB" w:rsidRDefault="00800EBE" w:rsidP="00800EBE">
      <w:pPr>
        <w:pStyle w:val="Level1"/>
        <w:numPr>
          <w:ilvl w:val="1"/>
          <w:numId w:val="4"/>
        </w:numPr>
        <w:spacing w:line="259" w:lineRule="auto"/>
        <w:rPr>
          <w:sz w:val="24"/>
          <w:szCs w:val="24"/>
        </w:rPr>
      </w:pPr>
      <w:r w:rsidRPr="004B6EAB">
        <w:rPr>
          <w:sz w:val="24"/>
          <w:szCs w:val="24"/>
        </w:rPr>
        <w:t xml:space="preserve">As recommended in the Delivery Partner Review undertaken for Defra by KPMG: </w:t>
      </w:r>
    </w:p>
    <w:p w14:paraId="7F435178" w14:textId="068C7932" w:rsidR="00800EBE" w:rsidRPr="004B6EAB" w:rsidRDefault="00800EBE" w:rsidP="00800EBE">
      <w:pPr>
        <w:pStyle w:val="Level1"/>
        <w:numPr>
          <w:ilvl w:val="2"/>
          <w:numId w:val="4"/>
        </w:numPr>
        <w:spacing w:line="259" w:lineRule="auto"/>
        <w:ind w:left="1287"/>
        <w:rPr>
          <w:sz w:val="24"/>
          <w:szCs w:val="24"/>
        </w:rPr>
      </w:pPr>
      <w:r w:rsidRPr="004B6EAB">
        <w:rPr>
          <w:sz w:val="24"/>
          <w:szCs w:val="24"/>
        </w:rPr>
        <w:t xml:space="preserve">LLF will formalise and implement the new template for progress reporting (which requires </w:t>
      </w:r>
      <w:r w:rsidR="00D84E3B" w:rsidRPr="004B6EAB">
        <w:rPr>
          <w:sz w:val="24"/>
          <w:szCs w:val="24"/>
        </w:rPr>
        <w:t>D</w:t>
      </w:r>
      <w:r w:rsidRPr="004B6EAB">
        <w:rPr>
          <w:sz w:val="24"/>
          <w:szCs w:val="24"/>
        </w:rPr>
        <w:t xml:space="preserve">ownstream </w:t>
      </w:r>
      <w:r w:rsidR="00D84E3B" w:rsidRPr="004B6EAB">
        <w:rPr>
          <w:sz w:val="24"/>
          <w:szCs w:val="24"/>
        </w:rPr>
        <w:t>P</w:t>
      </w:r>
      <w:r w:rsidRPr="004B6EAB">
        <w:rPr>
          <w:sz w:val="24"/>
          <w:szCs w:val="24"/>
        </w:rPr>
        <w:t xml:space="preserve">artners to annually report on activities </w:t>
      </w:r>
      <w:r w:rsidRPr="004B6EAB">
        <w:rPr>
          <w:sz w:val="24"/>
          <w:szCs w:val="24"/>
        </w:rPr>
        <w:lastRenderedPageBreak/>
        <w:t>following their log frame structure, while harmonizing log frame indicators at output level with KPIs in their KPI matrixes).</w:t>
      </w:r>
    </w:p>
    <w:p w14:paraId="5499747C" w14:textId="3EC6C203" w:rsidR="00800EBE" w:rsidRPr="004B6EAB" w:rsidRDefault="00800EBE" w:rsidP="00800EBE">
      <w:pPr>
        <w:pStyle w:val="Level1"/>
        <w:numPr>
          <w:ilvl w:val="2"/>
          <w:numId w:val="4"/>
        </w:numPr>
        <w:spacing w:line="259" w:lineRule="auto"/>
        <w:ind w:left="1287"/>
        <w:rPr>
          <w:sz w:val="24"/>
          <w:szCs w:val="24"/>
        </w:rPr>
      </w:pPr>
      <w:r w:rsidRPr="004B6EAB">
        <w:rPr>
          <w:sz w:val="24"/>
          <w:szCs w:val="24"/>
        </w:rPr>
        <w:t xml:space="preserve">LLF will formally review logframes with </w:t>
      </w:r>
      <w:r w:rsidR="00D84E3B" w:rsidRPr="004B6EAB">
        <w:rPr>
          <w:sz w:val="24"/>
          <w:szCs w:val="24"/>
        </w:rPr>
        <w:t>D</w:t>
      </w:r>
      <w:r w:rsidRPr="004B6EAB">
        <w:rPr>
          <w:sz w:val="24"/>
          <w:szCs w:val="24"/>
        </w:rPr>
        <w:t xml:space="preserve">ownstream </w:t>
      </w:r>
      <w:r w:rsidR="00D84E3B" w:rsidRPr="004B6EAB">
        <w:rPr>
          <w:sz w:val="24"/>
          <w:szCs w:val="24"/>
        </w:rPr>
        <w:t>P</w:t>
      </w:r>
      <w:r w:rsidRPr="004B6EAB">
        <w:rPr>
          <w:sz w:val="24"/>
          <w:szCs w:val="24"/>
        </w:rPr>
        <w:t>artners on an ongoing basis (at least annually) to assess if any updates to the original theory of change are required, and/or if indicators are found to be either over or under ambitious.</w:t>
      </w:r>
    </w:p>
    <w:p w14:paraId="1E1697AF" w14:textId="77777777" w:rsidR="00800EBE" w:rsidRDefault="00800EBE" w:rsidP="00800EBE">
      <w:pPr>
        <w:pStyle w:val="Level1"/>
        <w:numPr>
          <w:ilvl w:val="2"/>
          <w:numId w:val="4"/>
        </w:numPr>
        <w:spacing w:line="259" w:lineRule="auto"/>
        <w:ind w:left="1287"/>
        <w:rPr>
          <w:sz w:val="24"/>
          <w:szCs w:val="24"/>
        </w:rPr>
      </w:pPr>
      <w:r w:rsidRPr="004B6EAB">
        <w:rPr>
          <w:sz w:val="24"/>
          <w:szCs w:val="24"/>
        </w:rPr>
        <w:t>By the end of 2025, LLF will create a documented plan and timeline including quality assurance process for conducting baselines studies to feed into the LLF Impact Matrix indicators, including for the landscapes at the portfolio level, KPIs on carbon storage, ecosystem services and ecological integrity.</w:t>
      </w:r>
    </w:p>
    <w:p w14:paraId="73491C3E" w14:textId="77777777" w:rsidR="002E414C" w:rsidRPr="004B6EAB" w:rsidRDefault="002E414C" w:rsidP="002E414C">
      <w:pPr>
        <w:pStyle w:val="Level1"/>
        <w:numPr>
          <w:ilvl w:val="0"/>
          <w:numId w:val="0"/>
        </w:numPr>
        <w:spacing w:line="259" w:lineRule="auto"/>
        <w:ind w:left="1287"/>
        <w:rPr>
          <w:sz w:val="24"/>
          <w:szCs w:val="24"/>
        </w:rPr>
      </w:pPr>
    </w:p>
    <w:p w14:paraId="178C7F03" w14:textId="77777777" w:rsidR="00800EBE" w:rsidRPr="004B6EAB" w:rsidRDefault="00800EBE" w:rsidP="00800EBE">
      <w:pPr>
        <w:pStyle w:val="ListParagraph"/>
        <w:numPr>
          <w:ilvl w:val="0"/>
          <w:numId w:val="4"/>
        </w:numPr>
        <w:spacing w:before="0" w:line="259" w:lineRule="auto"/>
        <w:ind w:left="391" w:hanging="391"/>
        <w:contextualSpacing w:val="0"/>
        <w:jc w:val="both"/>
        <w:rPr>
          <w:b/>
          <w:bCs/>
        </w:rPr>
      </w:pPr>
      <w:r w:rsidRPr="004B6EAB">
        <w:rPr>
          <w:b/>
          <w:bCs/>
        </w:rPr>
        <w:t>Gender Equality and Social Inclusion</w:t>
      </w:r>
    </w:p>
    <w:p w14:paraId="03F166A4" w14:textId="64573202" w:rsidR="00800EBE" w:rsidRPr="004B6EAB" w:rsidRDefault="00800EBE" w:rsidP="00800EBE">
      <w:pPr>
        <w:pStyle w:val="ListParagraph"/>
        <w:numPr>
          <w:ilvl w:val="1"/>
          <w:numId w:val="4"/>
        </w:numPr>
        <w:contextualSpacing w:val="0"/>
      </w:pPr>
      <w:r w:rsidRPr="004B6EAB">
        <w:t xml:space="preserve">LLF commits to promoting gender equality and social inclusion (GESI) at an institutional level and in each of its landscapes with </w:t>
      </w:r>
      <w:r w:rsidR="009F7876" w:rsidRPr="004B6EAB">
        <w:t>D</w:t>
      </w:r>
      <w:r w:rsidRPr="004B6EAB">
        <w:t xml:space="preserve">ownstream </w:t>
      </w:r>
      <w:r w:rsidR="009F7876" w:rsidRPr="004B6EAB">
        <w:t>P</w:t>
      </w:r>
      <w:r w:rsidRPr="004B6EAB">
        <w:t>artners.</w:t>
      </w:r>
    </w:p>
    <w:p w14:paraId="5EFB5F2B" w14:textId="77777777" w:rsidR="00800EBE" w:rsidRPr="004B6EAB" w:rsidRDefault="00800EBE" w:rsidP="00800EBE">
      <w:pPr>
        <w:pStyle w:val="ListParagraph"/>
        <w:numPr>
          <w:ilvl w:val="1"/>
          <w:numId w:val="4"/>
        </w:numPr>
        <w:contextualSpacing w:val="0"/>
      </w:pPr>
      <w:r w:rsidRPr="004B6EAB">
        <w:t>LLF will set out its GESI ambition through published statements and policies and ensure the implementation of these commitments and policies on an ongoing basis through monitoring, disaggregated data, reporting, evaluation, and learning.  This includes</w:t>
      </w:r>
      <w:r w:rsidRPr="004B6EAB">
        <w:rPr>
          <w:szCs w:val="24"/>
        </w:rPr>
        <w:t xml:space="preserve"> preventing discrimination and promoting equality and opportunity for women, girls, indigenous people and all those stakeholders who have a protected characteristic.</w:t>
      </w:r>
    </w:p>
    <w:p w14:paraId="6C7EDA4C" w14:textId="202DC66F" w:rsidR="00800EBE" w:rsidRPr="004B6EAB" w:rsidRDefault="00800EBE" w:rsidP="00800EBE">
      <w:pPr>
        <w:pStyle w:val="ListParagraph"/>
        <w:numPr>
          <w:ilvl w:val="1"/>
          <w:numId w:val="4"/>
        </w:numPr>
        <w:contextualSpacing w:val="0"/>
      </w:pPr>
      <w:r w:rsidRPr="004B6EAB">
        <w:t xml:space="preserve">LLF will seek to ensure that beneficiary feedback is integrated in </w:t>
      </w:r>
      <w:r w:rsidR="00E55252" w:rsidRPr="004B6EAB">
        <w:t xml:space="preserve">the </w:t>
      </w:r>
      <w:r w:rsidRPr="004B6EAB">
        <w:t xml:space="preserve">Programme design, mobilisation, delivery, monitoring, evaluation and annual review processes and takes account of the voices of both women and men.  LLF and </w:t>
      </w:r>
      <w:r w:rsidR="006622FB" w:rsidRPr="004B6EAB">
        <w:t>D</w:t>
      </w:r>
      <w:r w:rsidRPr="004B6EAB">
        <w:t xml:space="preserve">ownstream </w:t>
      </w:r>
      <w:r w:rsidR="006622FB" w:rsidRPr="004B6EAB">
        <w:t>P</w:t>
      </w:r>
      <w:r w:rsidRPr="004B6EAB">
        <w:t>artners should work with, through and represent the diversity of communities in landscapes in order to respond to their needs more effectively and strengthen accountability.</w:t>
      </w:r>
    </w:p>
    <w:p w14:paraId="5989821B" w14:textId="12D45052" w:rsidR="00800EBE" w:rsidRPr="004B6EAB" w:rsidRDefault="00800EBE" w:rsidP="00800EBE">
      <w:pPr>
        <w:pStyle w:val="Level1"/>
        <w:numPr>
          <w:ilvl w:val="1"/>
          <w:numId w:val="4"/>
        </w:numPr>
        <w:spacing w:line="259" w:lineRule="auto"/>
        <w:rPr>
          <w:sz w:val="24"/>
          <w:szCs w:val="24"/>
        </w:rPr>
      </w:pPr>
      <w:r w:rsidRPr="004B6EAB">
        <w:rPr>
          <w:sz w:val="24"/>
          <w:szCs w:val="24"/>
        </w:rPr>
        <w:t>Disaggregated data is data on different groups of the population, for instance data broken down by gender, age, disability status and geography. Disaggregation helps Defra and LLF understand who the Programme</w:t>
      </w:r>
      <w:r w:rsidR="00F91022" w:rsidRPr="004B6EAB">
        <w:rPr>
          <w:sz w:val="24"/>
          <w:szCs w:val="24"/>
        </w:rPr>
        <w:t xml:space="preserve"> </w:t>
      </w:r>
      <w:r w:rsidRPr="004B6EAB">
        <w:rPr>
          <w:sz w:val="24"/>
          <w:szCs w:val="24"/>
        </w:rPr>
        <w:t>is reaching, and which groups are at risk of being left behind. As a minimum, LLF is encouraged to collect results disaggregated by sex, age, disability status and geography wherever possible and relevant.</w:t>
      </w:r>
    </w:p>
    <w:p w14:paraId="0B512040" w14:textId="77777777" w:rsidR="00800EBE" w:rsidRPr="004B6EAB" w:rsidRDefault="00800EBE" w:rsidP="00800EBE">
      <w:pPr>
        <w:pStyle w:val="Level1"/>
        <w:numPr>
          <w:ilvl w:val="1"/>
          <w:numId w:val="4"/>
        </w:numPr>
        <w:spacing w:line="259" w:lineRule="auto"/>
        <w:rPr>
          <w:sz w:val="24"/>
          <w:szCs w:val="24"/>
        </w:rPr>
      </w:pPr>
      <w:r w:rsidRPr="004B6EAB">
        <w:rPr>
          <w:sz w:val="24"/>
          <w:szCs w:val="24"/>
        </w:rPr>
        <w:t xml:space="preserve">As recommended in the Delivery Partner Review undertaken for Defra by KPMG: </w:t>
      </w:r>
    </w:p>
    <w:p w14:paraId="424EF3F1"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t>LLF will ensure the draft Gender Guidance Note is fully implemented and reviewed periodically across all landscapes.</w:t>
      </w:r>
    </w:p>
    <w:p w14:paraId="69F14355"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lastRenderedPageBreak/>
        <w:t>LLF will set out its GESI ambition level, both at an institutional level as well as for each landscape. For the existing portfolio, this will retrospectively assess ambition levels for OECD Gender Equality and Disability markers.</w:t>
      </w:r>
    </w:p>
    <w:p w14:paraId="67B10B76" w14:textId="32558864" w:rsidR="00800EBE" w:rsidRPr="004B6EAB" w:rsidRDefault="00800EBE" w:rsidP="00800EBE">
      <w:pPr>
        <w:pStyle w:val="ListParagraph"/>
        <w:numPr>
          <w:ilvl w:val="2"/>
          <w:numId w:val="4"/>
        </w:numPr>
        <w:spacing w:before="0" w:after="160" w:line="259" w:lineRule="auto"/>
        <w:ind w:left="1287"/>
        <w:contextualSpacing w:val="0"/>
        <w:jc w:val="both"/>
      </w:pPr>
      <w:r w:rsidRPr="004B6EAB">
        <w:t>As</w:t>
      </w:r>
      <w:r w:rsidR="000B4580" w:rsidRPr="004B6EAB">
        <w:t xml:space="preserve"> </w:t>
      </w:r>
      <w:r w:rsidRPr="004B6EAB">
        <w:t>LLF and its core staff grows, LLF will formalise GESI adoption and monitoring at an organisational level. This includes monitoring the representation of staff of diverse backgrounds at a managerial and leadership level.</w:t>
      </w:r>
    </w:p>
    <w:p w14:paraId="537C1B97" w14:textId="77777777" w:rsidR="009C249A" w:rsidRDefault="009C249A" w:rsidP="009C249A">
      <w:pPr>
        <w:pStyle w:val="Level1"/>
        <w:numPr>
          <w:ilvl w:val="0"/>
          <w:numId w:val="0"/>
        </w:numPr>
        <w:spacing w:line="259" w:lineRule="auto"/>
        <w:ind w:left="390"/>
        <w:rPr>
          <w:b/>
          <w:bCs/>
          <w:sz w:val="24"/>
          <w:szCs w:val="24"/>
        </w:rPr>
      </w:pPr>
    </w:p>
    <w:p w14:paraId="56BA40EF" w14:textId="5CAF7DDB" w:rsidR="00800EBE" w:rsidRPr="004B6EAB" w:rsidRDefault="00800EBE" w:rsidP="00800EBE">
      <w:pPr>
        <w:pStyle w:val="Level1"/>
        <w:numPr>
          <w:ilvl w:val="0"/>
          <w:numId w:val="4"/>
        </w:numPr>
        <w:spacing w:line="259" w:lineRule="auto"/>
        <w:rPr>
          <w:b/>
          <w:bCs/>
          <w:sz w:val="24"/>
          <w:szCs w:val="24"/>
        </w:rPr>
      </w:pPr>
      <w:r w:rsidRPr="004B6EAB">
        <w:rPr>
          <w:b/>
          <w:bCs/>
          <w:sz w:val="24"/>
          <w:szCs w:val="24"/>
        </w:rPr>
        <w:t>Risk Management</w:t>
      </w:r>
    </w:p>
    <w:p w14:paraId="425A00B1" w14:textId="77777777" w:rsidR="00800EBE" w:rsidRPr="004B6EAB" w:rsidRDefault="00800EBE" w:rsidP="00800EBE">
      <w:pPr>
        <w:pStyle w:val="ListParagraph"/>
        <w:numPr>
          <w:ilvl w:val="1"/>
          <w:numId w:val="4"/>
        </w:numPr>
        <w:spacing w:before="0" w:after="160" w:line="259" w:lineRule="auto"/>
        <w:contextualSpacing w:val="0"/>
        <w:jc w:val="both"/>
      </w:pPr>
      <w:r w:rsidRPr="004B6EAB">
        <w:t>LLF will maintain an up-to-date risk register that, as a minimum, enables individual risks to be clearly identified, an assessment of the likelihood and impact, how they will be dealt with and escalated, and who is responsible for monitoring and reporting on them.</w:t>
      </w:r>
    </w:p>
    <w:p w14:paraId="11D96769" w14:textId="6A610B65" w:rsidR="00800EBE" w:rsidRPr="004B6EAB" w:rsidRDefault="00800EBE" w:rsidP="00800EBE">
      <w:pPr>
        <w:pStyle w:val="Level1"/>
        <w:numPr>
          <w:ilvl w:val="1"/>
          <w:numId w:val="4"/>
        </w:numPr>
        <w:spacing w:line="259" w:lineRule="auto"/>
        <w:rPr>
          <w:sz w:val="24"/>
          <w:szCs w:val="24"/>
        </w:rPr>
      </w:pPr>
      <w:r w:rsidRPr="004B6EAB">
        <w:rPr>
          <w:sz w:val="24"/>
          <w:szCs w:val="24"/>
        </w:rPr>
        <w:t xml:space="preserve">LLF will manage all risks associated with the activities to which this contribution letter relates as part of the risk register, unless otherwise approved in writing with Defra. Where LLF transfers risk to any </w:t>
      </w:r>
      <w:r w:rsidR="00817C68" w:rsidRPr="004B6EAB">
        <w:rPr>
          <w:sz w:val="24"/>
          <w:szCs w:val="24"/>
        </w:rPr>
        <w:t>D</w:t>
      </w:r>
      <w:r w:rsidRPr="004B6EAB">
        <w:rPr>
          <w:sz w:val="24"/>
          <w:szCs w:val="24"/>
        </w:rPr>
        <w:t xml:space="preserve">ownstream </w:t>
      </w:r>
      <w:r w:rsidR="00817C68" w:rsidRPr="004B6EAB">
        <w:rPr>
          <w:sz w:val="24"/>
          <w:szCs w:val="24"/>
        </w:rPr>
        <w:t>P</w:t>
      </w:r>
      <w:r w:rsidRPr="004B6EAB">
        <w:rPr>
          <w:sz w:val="24"/>
          <w:szCs w:val="24"/>
        </w:rPr>
        <w:t>artner, LLF will remain accountable to Defra for the effective management of that risk. Defra’s risk categories are Strategic &amp; Context, Delivery &amp; Operational, Financial &amp; Fiduciary, Project/Programme, Reputational and Safeguarding.</w:t>
      </w:r>
    </w:p>
    <w:p w14:paraId="5C60EA34" w14:textId="77777777" w:rsidR="00800EBE" w:rsidRPr="004B6EAB" w:rsidRDefault="00800EBE" w:rsidP="00800EBE">
      <w:pPr>
        <w:pStyle w:val="ListParagraph"/>
        <w:numPr>
          <w:ilvl w:val="1"/>
          <w:numId w:val="4"/>
        </w:numPr>
        <w:spacing w:before="0" w:after="160" w:line="259" w:lineRule="auto"/>
        <w:contextualSpacing w:val="0"/>
        <w:jc w:val="both"/>
      </w:pPr>
      <w:r w:rsidRPr="004B6EAB">
        <w:t>As per the Delivery Partner Review undertaken by KPMG:</w:t>
      </w:r>
    </w:p>
    <w:p w14:paraId="0D05BC8A" w14:textId="77777777" w:rsidR="00800EBE" w:rsidRPr="004B6EAB" w:rsidRDefault="00800EBE" w:rsidP="00800EBE">
      <w:pPr>
        <w:pStyle w:val="Level1"/>
        <w:numPr>
          <w:ilvl w:val="2"/>
          <w:numId w:val="4"/>
        </w:numPr>
        <w:spacing w:line="259" w:lineRule="auto"/>
        <w:ind w:left="1287"/>
        <w:rPr>
          <w:sz w:val="24"/>
          <w:szCs w:val="24"/>
        </w:rPr>
      </w:pPr>
      <w:r w:rsidRPr="004B6EAB">
        <w:rPr>
          <w:sz w:val="24"/>
          <w:szCs w:val="24"/>
        </w:rPr>
        <w:t>LLF will develop and maintain a Risk Management Policy that sets out its approach to risk identification, management, and escalation, including the roles and responsibilities of each person, Board and Committee with regards to risk.</w:t>
      </w:r>
    </w:p>
    <w:p w14:paraId="301E9FF9" w14:textId="77777777" w:rsidR="00800EBE" w:rsidRPr="004B6EAB" w:rsidRDefault="00800EBE" w:rsidP="00800EBE">
      <w:pPr>
        <w:pStyle w:val="Level1"/>
        <w:numPr>
          <w:ilvl w:val="2"/>
          <w:numId w:val="4"/>
        </w:numPr>
        <w:spacing w:line="259" w:lineRule="auto"/>
        <w:ind w:left="1287"/>
        <w:rPr>
          <w:sz w:val="24"/>
          <w:szCs w:val="24"/>
        </w:rPr>
      </w:pPr>
      <w:r w:rsidRPr="004B6EAB">
        <w:rPr>
          <w:sz w:val="24"/>
          <w:szCs w:val="24"/>
        </w:rPr>
        <w:t>LLF will develop and maintain a risk register for both strategic and operational risks involved in the management of the fund and LLF’s grantees. This will include defining and systematising the main risks to business continuity, and actions to take if various scenarios that would seriously impact the running of the foundation occur (such as reduced productivity due to IT system failures, reputational damage due to poor service delivery, or loss of information and inability to recover or resume operations). Risks should be RAG rated, have document owners, and mitigating actions.</w:t>
      </w:r>
    </w:p>
    <w:p w14:paraId="21EBE2E2" w14:textId="77777777" w:rsidR="00800EBE" w:rsidRPr="004B6EAB" w:rsidRDefault="00800EBE" w:rsidP="00800EBE">
      <w:pPr>
        <w:pStyle w:val="Level1"/>
        <w:numPr>
          <w:ilvl w:val="2"/>
          <w:numId w:val="4"/>
        </w:numPr>
        <w:spacing w:line="259" w:lineRule="auto"/>
        <w:ind w:left="1287"/>
        <w:rPr>
          <w:sz w:val="24"/>
          <w:szCs w:val="24"/>
        </w:rPr>
      </w:pPr>
      <w:r w:rsidRPr="004B6EAB">
        <w:rPr>
          <w:sz w:val="24"/>
          <w:szCs w:val="24"/>
        </w:rPr>
        <w:t>Based on the risk register, LLF will develop a business continuity and disaster recovery plan for the highest identified risks.</w:t>
      </w:r>
    </w:p>
    <w:p w14:paraId="09148CB3" w14:textId="77777777" w:rsidR="002E414C" w:rsidRDefault="002E414C" w:rsidP="002E414C">
      <w:pPr>
        <w:pStyle w:val="Level1"/>
        <w:numPr>
          <w:ilvl w:val="0"/>
          <w:numId w:val="0"/>
        </w:numPr>
        <w:spacing w:line="259" w:lineRule="auto"/>
        <w:ind w:left="390"/>
        <w:rPr>
          <w:b/>
          <w:sz w:val="24"/>
          <w:szCs w:val="24"/>
        </w:rPr>
      </w:pPr>
    </w:p>
    <w:p w14:paraId="4DBB7ABE" w14:textId="3E7C9F2B" w:rsidR="00800EBE" w:rsidRPr="004B6EAB" w:rsidRDefault="00800EBE" w:rsidP="00800EBE">
      <w:pPr>
        <w:pStyle w:val="Level1"/>
        <w:numPr>
          <w:ilvl w:val="0"/>
          <w:numId w:val="4"/>
        </w:numPr>
        <w:spacing w:line="259" w:lineRule="auto"/>
        <w:rPr>
          <w:b/>
          <w:sz w:val="24"/>
          <w:szCs w:val="24"/>
        </w:rPr>
      </w:pPr>
      <w:r w:rsidRPr="004B6EAB">
        <w:rPr>
          <w:b/>
          <w:sz w:val="24"/>
          <w:szCs w:val="24"/>
        </w:rPr>
        <w:t xml:space="preserve">Due </w:t>
      </w:r>
      <w:r w:rsidRPr="004B6EAB">
        <w:rPr>
          <w:b/>
          <w:bCs/>
          <w:sz w:val="24"/>
          <w:szCs w:val="24"/>
        </w:rPr>
        <w:t>diligence</w:t>
      </w:r>
      <w:r w:rsidRPr="004B6EAB">
        <w:rPr>
          <w:b/>
          <w:sz w:val="24"/>
          <w:szCs w:val="24"/>
        </w:rPr>
        <w:t xml:space="preserve"> and downstream partner management</w:t>
      </w:r>
    </w:p>
    <w:p w14:paraId="330CD68E" w14:textId="0341D287" w:rsidR="009448F5" w:rsidRPr="004B6EAB" w:rsidRDefault="009448F5" w:rsidP="00800EBE">
      <w:pPr>
        <w:pStyle w:val="Level1"/>
        <w:numPr>
          <w:ilvl w:val="1"/>
          <w:numId w:val="4"/>
        </w:numPr>
        <w:spacing w:line="259" w:lineRule="auto"/>
        <w:rPr>
          <w:sz w:val="24"/>
          <w:szCs w:val="24"/>
        </w:rPr>
      </w:pPr>
      <w:r w:rsidRPr="004B6EAB">
        <w:rPr>
          <w:sz w:val="24"/>
          <w:szCs w:val="24"/>
        </w:rPr>
        <w:lastRenderedPageBreak/>
        <w:t xml:space="preserve">In utilising the contribution, LLF will exercise the same care in the discharge of its functions under this contribution as it exercises with respect to the administration and management of the rest of its own resources and affairs. LLF will cooperate fully with any due diligence assessment by Defra or its agents, of LLF’s internal controls and systems prior to or during the implementation of this contribution and take appropriate action on any recommendations arising. Due diligence assessments will be conducted </w:t>
      </w:r>
      <w:r w:rsidR="00D57A24" w:rsidRPr="004B6EAB">
        <w:rPr>
          <w:sz w:val="24"/>
          <w:szCs w:val="24"/>
        </w:rPr>
        <w:t xml:space="preserve">at least every five years, but </w:t>
      </w:r>
      <w:r w:rsidR="00BA0FC7" w:rsidRPr="004B6EAB">
        <w:rPr>
          <w:sz w:val="24"/>
          <w:szCs w:val="24"/>
        </w:rPr>
        <w:t xml:space="preserve">not </w:t>
      </w:r>
      <w:r w:rsidR="000B0210" w:rsidRPr="004B6EAB">
        <w:rPr>
          <w:sz w:val="24"/>
          <w:szCs w:val="24"/>
        </w:rPr>
        <w:t>more frequently than once</w:t>
      </w:r>
      <w:r w:rsidR="00A62F1E" w:rsidRPr="004B6EAB">
        <w:rPr>
          <w:sz w:val="24"/>
          <w:szCs w:val="24"/>
        </w:rPr>
        <w:t xml:space="preserve"> </w:t>
      </w:r>
      <w:r w:rsidRPr="004B6EAB">
        <w:rPr>
          <w:sz w:val="24"/>
          <w:szCs w:val="24"/>
        </w:rPr>
        <w:t>every three years</w:t>
      </w:r>
      <w:r w:rsidR="00DA4C8E" w:rsidRPr="004B6EAB">
        <w:rPr>
          <w:sz w:val="24"/>
          <w:szCs w:val="24"/>
        </w:rPr>
        <w:t>,</w:t>
      </w:r>
      <w:r w:rsidRPr="004B6EAB">
        <w:rPr>
          <w:sz w:val="24"/>
          <w:szCs w:val="24"/>
        </w:rPr>
        <w:t xml:space="preserve"> </w:t>
      </w:r>
      <w:r w:rsidR="000B0210" w:rsidRPr="004B6EAB">
        <w:rPr>
          <w:sz w:val="24"/>
          <w:szCs w:val="24"/>
        </w:rPr>
        <w:t>unless</w:t>
      </w:r>
      <w:r w:rsidRPr="004B6EAB">
        <w:rPr>
          <w:sz w:val="24"/>
          <w:szCs w:val="24"/>
        </w:rPr>
        <w:t xml:space="preserve"> there is a significant change to LLF’s procedures and controls of the operating environment.</w:t>
      </w:r>
      <w:r w:rsidR="00E8282C" w:rsidRPr="004B6EAB">
        <w:rPr>
          <w:sz w:val="24"/>
          <w:szCs w:val="24"/>
        </w:rPr>
        <w:t xml:space="preserve"> Defra may also conduct lighter touch assessments in between the main due diligence assessments to monitor ongoing </w:t>
      </w:r>
      <w:r w:rsidR="0080000A" w:rsidRPr="004B6EAB">
        <w:rPr>
          <w:sz w:val="24"/>
          <w:szCs w:val="24"/>
        </w:rPr>
        <w:t>capacity</w:t>
      </w:r>
      <w:r w:rsidR="00E8282C" w:rsidRPr="004B6EAB">
        <w:rPr>
          <w:sz w:val="24"/>
          <w:szCs w:val="24"/>
        </w:rPr>
        <w:t>.</w:t>
      </w:r>
      <w:r w:rsidRPr="004B6EAB">
        <w:rPr>
          <w:sz w:val="24"/>
          <w:szCs w:val="24"/>
        </w:rPr>
        <w:t xml:space="preserve"> A range of tools may be used to conduct the </w:t>
      </w:r>
      <w:r w:rsidR="00B21F5E" w:rsidRPr="004B6EAB">
        <w:rPr>
          <w:sz w:val="24"/>
          <w:szCs w:val="24"/>
        </w:rPr>
        <w:t>assessment</w:t>
      </w:r>
      <w:r w:rsidR="00E5371B" w:rsidRPr="004B6EAB">
        <w:rPr>
          <w:sz w:val="24"/>
          <w:szCs w:val="24"/>
        </w:rPr>
        <w:t>s</w:t>
      </w:r>
      <w:r w:rsidR="00B21F5E" w:rsidRPr="004B6EAB">
        <w:rPr>
          <w:sz w:val="24"/>
          <w:szCs w:val="24"/>
        </w:rPr>
        <w:t>,</w:t>
      </w:r>
      <w:r w:rsidRPr="004B6EAB">
        <w:rPr>
          <w:sz w:val="24"/>
          <w:szCs w:val="24"/>
        </w:rPr>
        <w:t xml:space="preserve"> and continuation will be dependent on Defra being satisfied that LLF has sufficient capacity and capability to carry out activities and manage Defra funds. This will include providing and maintaining an up to date and accurate record of all its </w:t>
      </w:r>
      <w:r w:rsidR="00086F91" w:rsidRPr="004B6EAB">
        <w:rPr>
          <w:sz w:val="24"/>
          <w:szCs w:val="24"/>
        </w:rPr>
        <w:t>D</w:t>
      </w:r>
      <w:r w:rsidRPr="004B6EAB">
        <w:rPr>
          <w:sz w:val="24"/>
          <w:szCs w:val="24"/>
        </w:rPr>
        <w:t xml:space="preserve">ownstream </w:t>
      </w:r>
      <w:r w:rsidR="00086F91" w:rsidRPr="004B6EAB">
        <w:rPr>
          <w:sz w:val="24"/>
          <w:szCs w:val="24"/>
        </w:rPr>
        <w:t>P</w:t>
      </w:r>
      <w:r w:rsidRPr="004B6EAB">
        <w:rPr>
          <w:sz w:val="24"/>
          <w:szCs w:val="24"/>
        </w:rPr>
        <w:t>artners in receipt of Defra funding. In recognition of the multi-donor character of LLF, Defra will consider in good faith alternatives to due diligence assessments (such as reasonable assurances reviews by auditors) as well as coordination of assessments with other donors so as to minimize the burden imposed on LLF. Defra is under no obligation to accept such alternatives, and any acceptance provided is on a without prejudice basis to the rights above</w:t>
      </w:r>
      <w:r w:rsidR="00BF0E2B" w:rsidRPr="004B6EAB">
        <w:rPr>
          <w:sz w:val="24"/>
          <w:szCs w:val="24"/>
        </w:rPr>
        <w:t>.</w:t>
      </w:r>
    </w:p>
    <w:p w14:paraId="149B6D33" w14:textId="21693AA7" w:rsidR="00800EBE" w:rsidRPr="004B6EAB" w:rsidRDefault="00800EBE" w:rsidP="00800EBE">
      <w:pPr>
        <w:pStyle w:val="Level1"/>
        <w:numPr>
          <w:ilvl w:val="1"/>
          <w:numId w:val="4"/>
        </w:numPr>
        <w:spacing w:line="259" w:lineRule="auto"/>
        <w:rPr>
          <w:sz w:val="24"/>
          <w:szCs w:val="24"/>
        </w:rPr>
      </w:pPr>
      <w:r w:rsidRPr="004B6EAB">
        <w:rPr>
          <w:sz w:val="24"/>
          <w:szCs w:val="24"/>
        </w:rPr>
        <w:t xml:space="preserve">LLF will undertake suitable due diligence and take the necessary steps prior to transferring any Defra funds and at regular intervals throughout the implementation to assess the internal controls and systems of any </w:t>
      </w:r>
      <w:r w:rsidR="008C7A6C" w:rsidRPr="004B6EAB">
        <w:rPr>
          <w:sz w:val="24"/>
          <w:szCs w:val="24"/>
        </w:rPr>
        <w:t xml:space="preserve">Downstream </w:t>
      </w:r>
      <w:r w:rsidRPr="004B6EAB">
        <w:rPr>
          <w:sz w:val="24"/>
          <w:szCs w:val="24"/>
        </w:rPr>
        <w:t>Partners. These assessments will be shared with Defra upon request. This should include assessing governance, internal controls and systems, financial systems and audited financial statements, administrative systems, safeguarding processes, processes for preventing sexual exploitation, abuse and harassment (SEAH), corruption and fraud and grantee capability for delivering the Programme.</w:t>
      </w:r>
    </w:p>
    <w:p w14:paraId="29B8F427" w14:textId="77777777" w:rsidR="00800EBE" w:rsidRPr="004B6EAB" w:rsidRDefault="00800EBE" w:rsidP="00800EBE">
      <w:pPr>
        <w:pStyle w:val="Level1"/>
        <w:numPr>
          <w:ilvl w:val="1"/>
          <w:numId w:val="4"/>
        </w:numPr>
        <w:spacing w:line="259" w:lineRule="auto"/>
        <w:rPr>
          <w:sz w:val="24"/>
          <w:szCs w:val="24"/>
        </w:rPr>
      </w:pPr>
      <w:r w:rsidRPr="004B6EAB">
        <w:rPr>
          <w:sz w:val="24"/>
          <w:szCs w:val="24"/>
        </w:rPr>
        <w:t xml:space="preserve">As recommended in the Delivery Partner Review undertaken for Defra by KPMG: </w:t>
      </w:r>
    </w:p>
    <w:p w14:paraId="377B3F9B"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t>LLF will finalise and implement the milestone report process, expected by the end of 2024.</w:t>
      </w:r>
    </w:p>
    <w:p w14:paraId="0E43E312"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t>LLF will implement the subcontract non-objections template.</w:t>
      </w:r>
    </w:p>
    <w:p w14:paraId="14A1BA46" w14:textId="77777777" w:rsidR="002E414C" w:rsidRDefault="002E414C" w:rsidP="002E414C">
      <w:pPr>
        <w:pStyle w:val="Level1"/>
        <w:numPr>
          <w:ilvl w:val="0"/>
          <w:numId w:val="0"/>
        </w:numPr>
        <w:spacing w:line="259" w:lineRule="auto"/>
        <w:ind w:left="390"/>
        <w:rPr>
          <w:b/>
          <w:bCs/>
          <w:sz w:val="24"/>
          <w:szCs w:val="24"/>
        </w:rPr>
      </w:pPr>
    </w:p>
    <w:p w14:paraId="684BCD03" w14:textId="656FAB99" w:rsidR="00800EBE" w:rsidRPr="004B6EAB" w:rsidRDefault="00800EBE" w:rsidP="00800EBE">
      <w:pPr>
        <w:pStyle w:val="Level1"/>
        <w:numPr>
          <w:ilvl w:val="0"/>
          <w:numId w:val="4"/>
        </w:numPr>
        <w:spacing w:line="259" w:lineRule="auto"/>
        <w:rPr>
          <w:b/>
          <w:bCs/>
          <w:sz w:val="24"/>
          <w:szCs w:val="24"/>
        </w:rPr>
      </w:pPr>
      <w:r w:rsidRPr="004B6EAB">
        <w:rPr>
          <w:b/>
          <w:bCs/>
          <w:sz w:val="24"/>
          <w:szCs w:val="24"/>
        </w:rPr>
        <w:t>Delivery chain mapping</w:t>
      </w:r>
    </w:p>
    <w:p w14:paraId="3AC3D9FD" w14:textId="395C83CE" w:rsidR="008107F7" w:rsidRPr="004B6EAB" w:rsidRDefault="00800EBE" w:rsidP="008107F7">
      <w:pPr>
        <w:pStyle w:val="Level1"/>
        <w:numPr>
          <w:ilvl w:val="1"/>
          <w:numId w:val="4"/>
        </w:numPr>
        <w:spacing w:line="259" w:lineRule="auto"/>
        <w:rPr>
          <w:b/>
          <w:bCs/>
          <w:sz w:val="24"/>
          <w:szCs w:val="24"/>
        </w:rPr>
      </w:pPr>
      <w:r w:rsidRPr="004B6EAB">
        <w:rPr>
          <w:sz w:val="24"/>
          <w:szCs w:val="24"/>
        </w:rPr>
        <w:t>LLF will maintain an up to date and accurate record of its Downstream Partners</w:t>
      </w:r>
      <w:r w:rsidR="00D84E3B" w:rsidRPr="004B6EAB">
        <w:rPr>
          <w:sz w:val="24"/>
          <w:szCs w:val="24"/>
        </w:rPr>
        <w:t xml:space="preserve"> </w:t>
      </w:r>
      <w:r w:rsidRPr="004B6EAB">
        <w:rPr>
          <w:sz w:val="24"/>
          <w:szCs w:val="24"/>
        </w:rPr>
        <w:t xml:space="preserve">in receipt of Defra resources. This forms the basis of the delivery chain map </w:t>
      </w:r>
      <w:r w:rsidRPr="004B6EAB">
        <w:rPr>
          <w:sz w:val="24"/>
          <w:szCs w:val="24"/>
        </w:rPr>
        <w:lastRenderedPageBreak/>
        <w:t>which should demonstrate the flow of funds from the initial source to end beneficiaries</w:t>
      </w:r>
      <w:r w:rsidR="00DB625A" w:rsidRPr="004B6EAB">
        <w:rPr>
          <w:sz w:val="24"/>
          <w:szCs w:val="24"/>
        </w:rPr>
        <w:t>.</w:t>
      </w:r>
    </w:p>
    <w:p w14:paraId="671482D2" w14:textId="070780C6" w:rsidR="00800EBE" w:rsidRPr="004B6EAB" w:rsidRDefault="00800EBE" w:rsidP="008107F7">
      <w:pPr>
        <w:pStyle w:val="Level1"/>
        <w:numPr>
          <w:ilvl w:val="1"/>
          <w:numId w:val="4"/>
        </w:numPr>
        <w:spacing w:line="259" w:lineRule="auto"/>
        <w:rPr>
          <w:b/>
          <w:bCs/>
          <w:sz w:val="24"/>
          <w:szCs w:val="24"/>
        </w:rPr>
      </w:pPr>
      <w:r w:rsidRPr="004B6EAB">
        <w:rPr>
          <w:sz w:val="24"/>
          <w:szCs w:val="24"/>
        </w:rPr>
        <w:t>LLF will provide to Defra</w:t>
      </w:r>
      <w:r w:rsidR="00F26BE7" w:rsidRPr="004B6EAB">
        <w:rPr>
          <w:sz w:val="24"/>
          <w:szCs w:val="24"/>
        </w:rPr>
        <w:t xml:space="preserve"> </w:t>
      </w:r>
      <w:r w:rsidRPr="004B6EAB">
        <w:rPr>
          <w:sz w:val="24"/>
          <w:szCs w:val="24"/>
        </w:rPr>
        <w:t xml:space="preserve">an updated delivery </w:t>
      </w:r>
      <w:r w:rsidR="00F26BE7" w:rsidRPr="004B6EAB">
        <w:rPr>
          <w:sz w:val="24"/>
          <w:szCs w:val="24"/>
        </w:rPr>
        <w:t xml:space="preserve">chain </w:t>
      </w:r>
      <w:r w:rsidRPr="004B6EAB">
        <w:rPr>
          <w:sz w:val="24"/>
          <w:szCs w:val="24"/>
        </w:rPr>
        <w:t xml:space="preserve">map </w:t>
      </w:r>
      <w:r w:rsidR="00F26BE7" w:rsidRPr="004B6EAB">
        <w:rPr>
          <w:sz w:val="24"/>
          <w:szCs w:val="24"/>
        </w:rPr>
        <w:t>upon request by Defra.</w:t>
      </w:r>
    </w:p>
    <w:p w14:paraId="452577A4" w14:textId="77777777" w:rsidR="002E414C" w:rsidRDefault="002E414C" w:rsidP="002E414C">
      <w:pPr>
        <w:pStyle w:val="Level1"/>
        <w:numPr>
          <w:ilvl w:val="0"/>
          <w:numId w:val="0"/>
        </w:numPr>
        <w:spacing w:line="259" w:lineRule="auto"/>
        <w:ind w:left="390"/>
        <w:rPr>
          <w:b/>
          <w:bCs/>
          <w:sz w:val="24"/>
          <w:szCs w:val="24"/>
        </w:rPr>
      </w:pPr>
    </w:p>
    <w:p w14:paraId="18EB8DC7" w14:textId="77777777" w:rsidR="00800EBE" w:rsidRPr="004B6EAB" w:rsidRDefault="00800EBE" w:rsidP="00800EBE">
      <w:pPr>
        <w:pStyle w:val="Level1"/>
        <w:numPr>
          <w:ilvl w:val="0"/>
          <w:numId w:val="4"/>
        </w:numPr>
        <w:spacing w:line="259" w:lineRule="auto"/>
        <w:rPr>
          <w:b/>
          <w:bCs/>
          <w:sz w:val="24"/>
          <w:szCs w:val="24"/>
        </w:rPr>
      </w:pPr>
      <w:r w:rsidRPr="004B6EAB">
        <w:rPr>
          <w:b/>
          <w:bCs/>
          <w:sz w:val="24"/>
          <w:szCs w:val="24"/>
        </w:rPr>
        <w:t>Safeguarding</w:t>
      </w:r>
    </w:p>
    <w:p w14:paraId="1FAADCD1" w14:textId="4FEB7C4C" w:rsidR="00800EBE" w:rsidRPr="004B6EAB" w:rsidRDefault="00800EBE" w:rsidP="00800EBE">
      <w:pPr>
        <w:pStyle w:val="Level1"/>
        <w:numPr>
          <w:ilvl w:val="1"/>
          <w:numId w:val="4"/>
        </w:numPr>
        <w:spacing w:line="259" w:lineRule="auto"/>
        <w:rPr>
          <w:sz w:val="24"/>
          <w:szCs w:val="24"/>
        </w:rPr>
      </w:pPr>
      <w:r w:rsidRPr="004B6EAB">
        <w:rPr>
          <w:sz w:val="24"/>
          <w:szCs w:val="24"/>
        </w:rPr>
        <w:t xml:space="preserve">Defra and LLF are committed to ensuring the highest standards of conduct in the delivery of our services and maintaining compliance with all applicable policies, laws, rules and regulations. To ensure that we are all held to account we support the reporting of possible illegal, unethical, or improper conduct, including corruption, fraud, money laundering, aid diversion, human trafficking, slavery, safeguarding children and young people concerns, terrorism funding, and other violations related to </w:t>
      </w:r>
      <w:r w:rsidR="00677D7D" w:rsidRPr="004B6EAB">
        <w:rPr>
          <w:sz w:val="24"/>
          <w:szCs w:val="24"/>
        </w:rPr>
        <w:t>LLF</w:t>
      </w:r>
      <w:r w:rsidRPr="004B6EAB">
        <w:rPr>
          <w:sz w:val="24"/>
          <w:szCs w:val="24"/>
        </w:rPr>
        <w:t xml:space="preserve"> and their people and programmes.</w:t>
      </w:r>
    </w:p>
    <w:p w14:paraId="78E60960" w14:textId="77777777" w:rsidR="00800EBE" w:rsidRPr="004B6EAB" w:rsidRDefault="00800EBE" w:rsidP="00800EBE">
      <w:pPr>
        <w:pStyle w:val="Level1"/>
        <w:numPr>
          <w:ilvl w:val="2"/>
          <w:numId w:val="4"/>
        </w:numPr>
        <w:spacing w:line="259" w:lineRule="auto"/>
        <w:rPr>
          <w:sz w:val="24"/>
          <w:szCs w:val="24"/>
        </w:rPr>
      </w:pPr>
      <w:r w:rsidRPr="004B6EAB">
        <w:rPr>
          <w:sz w:val="24"/>
          <w:szCs w:val="24"/>
        </w:rPr>
        <w:t>Contact details: Partners, consultants, contractors, suppliers, stakeholders and associated person(s) involved in Defra funded business should immediately report any suspicions or allegations to:</w:t>
      </w:r>
    </w:p>
    <w:p w14:paraId="2C02A4B5" w14:textId="77777777" w:rsidR="00800EBE" w:rsidRPr="004B6EAB" w:rsidRDefault="00800EBE" w:rsidP="00800EBE">
      <w:pPr>
        <w:pStyle w:val="Level1"/>
        <w:numPr>
          <w:ilvl w:val="0"/>
          <w:numId w:val="35"/>
        </w:numPr>
        <w:spacing w:line="259" w:lineRule="auto"/>
        <w:rPr>
          <w:rStyle w:val="Hyperlink"/>
          <w:color w:val="auto"/>
          <w:sz w:val="24"/>
          <w:szCs w:val="24"/>
        </w:rPr>
      </w:pPr>
      <w:r w:rsidRPr="004B6EAB">
        <w:rPr>
          <w:sz w:val="24"/>
          <w:szCs w:val="24"/>
        </w:rPr>
        <w:t xml:space="preserve">Safeguarding concerns: </w:t>
      </w:r>
      <w:hyperlink r:id="rId14" w:history="1">
        <w:r w:rsidRPr="004B6EAB">
          <w:rPr>
            <w:rStyle w:val="Hyperlink"/>
            <w:color w:val="auto"/>
            <w:sz w:val="24"/>
            <w:szCs w:val="24"/>
          </w:rPr>
          <w:t>ODA.Safeguarding@defra.gov.uk</w:t>
        </w:r>
      </w:hyperlink>
    </w:p>
    <w:p w14:paraId="7C757EE7" w14:textId="77777777" w:rsidR="00800EBE" w:rsidRPr="004B6EAB" w:rsidRDefault="00800EBE" w:rsidP="00800EBE">
      <w:pPr>
        <w:pStyle w:val="Level1"/>
        <w:numPr>
          <w:ilvl w:val="0"/>
          <w:numId w:val="35"/>
        </w:numPr>
        <w:spacing w:line="259" w:lineRule="auto"/>
        <w:rPr>
          <w:sz w:val="24"/>
          <w:szCs w:val="24"/>
        </w:rPr>
      </w:pPr>
      <w:r w:rsidRPr="004B6EAB">
        <w:rPr>
          <w:sz w:val="24"/>
          <w:szCs w:val="24"/>
        </w:rPr>
        <w:t xml:space="preserve">Fraud and error concerns: </w:t>
      </w:r>
      <w:hyperlink r:id="rId15" w:history="1">
        <w:r w:rsidRPr="004B6EAB">
          <w:rPr>
            <w:rStyle w:val="Hyperlink"/>
            <w:color w:val="auto"/>
            <w:sz w:val="24"/>
            <w:szCs w:val="24"/>
          </w:rPr>
          <w:t>fraudanderror@defra.gov.uk</w:t>
        </w:r>
      </w:hyperlink>
    </w:p>
    <w:p w14:paraId="40F83040" w14:textId="77777777" w:rsidR="002E414C" w:rsidRPr="002E414C" w:rsidRDefault="002E414C" w:rsidP="002E414C">
      <w:pPr>
        <w:pStyle w:val="ListParagraph"/>
        <w:spacing w:before="0" w:after="160" w:line="259" w:lineRule="auto"/>
        <w:ind w:left="390"/>
        <w:contextualSpacing w:val="0"/>
        <w:jc w:val="both"/>
      </w:pPr>
      <w:bookmarkStart w:id="5" w:name="SfeguardingandPreventionSEAH"/>
      <w:bookmarkStart w:id="6" w:name="FinancesInvestmentGuidelinesAuditArrange"/>
    </w:p>
    <w:p w14:paraId="0628DECD" w14:textId="77777777" w:rsidR="00800EBE" w:rsidRPr="004B6EAB" w:rsidRDefault="00800EBE" w:rsidP="00800EBE">
      <w:pPr>
        <w:pStyle w:val="ListParagraph"/>
        <w:numPr>
          <w:ilvl w:val="0"/>
          <w:numId w:val="4"/>
        </w:numPr>
        <w:spacing w:before="0" w:after="160" w:line="259" w:lineRule="auto"/>
        <w:contextualSpacing w:val="0"/>
        <w:jc w:val="both"/>
      </w:pPr>
      <w:r w:rsidRPr="004B6EAB">
        <w:rPr>
          <w:b/>
          <w:bCs/>
          <w:spacing w:val="-3"/>
        </w:rPr>
        <w:t>Safeguarding and the Prevention of Sexual Exploitation, Abuse and Harassment (SEAH)</w:t>
      </w:r>
    </w:p>
    <w:bookmarkEnd w:id="5"/>
    <w:p w14:paraId="68F81791" w14:textId="54B67CB7" w:rsidR="00800EBE" w:rsidRPr="004B6EAB" w:rsidRDefault="00EA3617" w:rsidP="00800EBE">
      <w:pPr>
        <w:pStyle w:val="ListParagraph"/>
        <w:numPr>
          <w:ilvl w:val="1"/>
          <w:numId w:val="4"/>
        </w:numPr>
        <w:contextualSpacing w:val="0"/>
      </w:pPr>
      <w:r w:rsidRPr="004B6EAB">
        <w:t>Defra and LLF</w:t>
      </w:r>
      <w:r w:rsidR="00800EBE" w:rsidRPr="004B6EAB">
        <w:t xml:space="preserve"> have a zero tolerance for inaction approach to tackling sexual exploitation, abuse and sexual harassment (“SEAH”) and agree the terms set out in Annex D. This means LLF, and its implementing partners, will take all reasonable and adequate steps to prevent SEAH of any person linked to the delivery of th</w:t>
      </w:r>
      <w:r w:rsidR="00E55252" w:rsidRPr="004B6EAB">
        <w:t>e Programme</w:t>
      </w:r>
      <w:r w:rsidR="00800EBE" w:rsidRPr="004B6EAB">
        <w:t xml:space="preserve"> by both its employees and any implementing partner and respond appropriately when reports of SEAH arise. LLF will apply the IASC </w:t>
      </w:r>
      <w:hyperlink r:id="rId16" w:tgtFrame="_blank" w:history="1">
        <w:r w:rsidR="00800EBE" w:rsidRPr="004B6EAB">
          <w:rPr>
            <w:rStyle w:val="Hyperlink"/>
            <w:color w:val="auto"/>
          </w:rPr>
          <w:t>Six Core Principles</w:t>
        </w:r>
      </w:hyperlink>
      <w:r w:rsidR="00800EBE" w:rsidRPr="004B6EAB">
        <w:t xml:space="preserve"> relating to Sexual Exploitation and Abuse and will adhere to the IASC Minimum Operating Standards on PSEA and/or the Core Humanitarian Standard on Quality and Accountability. </w:t>
      </w:r>
    </w:p>
    <w:p w14:paraId="10ACFF41" w14:textId="09F7A2E4" w:rsidR="00800EBE" w:rsidRPr="004B6EAB" w:rsidRDefault="00800EBE" w:rsidP="2477FCCB">
      <w:pPr>
        <w:pStyle w:val="ListParagraph"/>
        <w:numPr>
          <w:ilvl w:val="1"/>
          <w:numId w:val="4"/>
        </w:numPr>
      </w:pPr>
      <w:r w:rsidRPr="004B6EAB">
        <w:t>When LLF becomes aware of suspicions or complaints of SEAH,</w:t>
      </w:r>
      <w:r w:rsidR="00686A02" w:rsidRPr="004B6EAB">
        <w:t xml:space="preserve"> </w:t>
      </w:r>
      <w:r w:rsidRPr="004B6EAB">
        <w:t>LLF will take swift and appropriate action to stop harm occurring</w:t>
      </w:r>
      <w:r w:rsidR="00FD2537" w:rsidRPr="004B6EAB">
        <w:t xml:space="preserve"> and require the relevant Downstream Partner</w:t>
      </w:r>
      <w:r w:rsidR="004F7B6E" w:rsidRPr="004B6EAB">
        <w:t>(s)</w:t>
      </w:r>
      <w:r w:rsidR="00FD2537" w:rsidRPr="004B6EAB">
        <w:t xml:space="preserve"> to</w:t>
      </w:r>
      <w:r w:rsidRPr="004B6EAB">
        <w:t xml:space="preserve"> investigate and report to relevant authorities (for criminal matters) when safe to do so and after considering the wishes of the survivor.</w:t>
      </w:r>
      <w:r w:rsidR="00266136" w:rsidRPr="004B6EAB">
        <w:t xml:space="preserve"> </w:t>
      </w:r>
      <w:r w:rsidR="004F7B6E" w:rsidRPr="004B6EAB">
        <w:t>When appropriate, LLF will itself investigate suspicions or complaints of SEAH</w:t>
      </w:r>
      <w:r w:rsidR="009B2300" w:rsidRPr="004B6EAB">
        <w:t xml:space="preserve"> and report to relevant authorities</w:t>
      </w:r>
      <w:r w:rsidR="004F7B6E" w:rsidRPr="004B6EAB">
        <w:t xml:space="preserve">. </w:t>
      </w:r>
      <w:r w:rsidR="00266136" w:rsidRPr="004B6EAB">
        <w:t>Defra will receive monthly reporting on all safeguarding incidents</w:t>
      </w:r>
      <w:r w:rsidR="0081027E" w:rsidRPr="004B6EAB">
        <w:t xml:space="preserve"> as part of LLF’s serious incident reporting</w:t>
      </w:r>
      <w:r w:rsidR="0074798C" w:rsidRPr="004B6EAB">
        <w:t xml:space="preserve"> and </w:t>
      </w:r>
      <w:r w:rsidR="00D2403E" w:rsidRPr="004B6EAB">
        <w:t>expects</w:t>
      </w:r>
      <w:r w:rsidR="006F5FAB" w:rsidRPr="004B6EAB">
        <w:t xml:space="preserve"> to be alerted </w:t>
      </w:r>
      <w:r w:rsidR="0014384B" w:rsidRPr="004B6EAB">
        <w:t>promptly</w:t>
      </w:r>
      <w:r w:rsidR="009339B9" w:rsidRPr="004B6EAB">
        <w:t xml:space="preserve"> of high-risk incidents</w:t>
      </w:r>
      <w:r w:rsidR="008A3063" w:rsidRPr="004B6EAB">
        <w:t xml:space="preserve"> involving </w:t>
      </w:r>
      <w:r w:rsidR="008A3063" w:rsidRPr="004B6EAB">
        <w:lastRenderedPageBreak/>
        <w:t>SEAH</w:t>
      </w:r>
      <w:r w:rsidR="00311CA9" w:rsidRPr="004B6EAB">
        <w:t>, as per the reporting requirements set out in Paragraph 4.3e</w:t>
      </w:r>
      <w:r w:rsidR="005A7798" w:rsidRPr="004B6EAB">
        <w:t>.</w:t>
      </w:r>
      <w:r w:rsidRPr="004B6EAB">
        <w:t xml:space="preserve"> It is understood and accepted that LLF’s arrangement to report on SEAH is subject to not compromising the safety, security, privacy and due process rights of any concerned person.</w:t>
      </w:r>
    </w:p>
    <w:p w14:paraId="57C91177" w14:textId="77777777" w:rsidR="00800EBE" w:rsidRPr="004B6EAB" w:rsidRDefault="00800EBE" w:rsidP="00800EBE">
      <w:pPr>
        <w:pStyle w:val="ListParagraph"/>
        <w:numPr>
          <w:ilvl w:val="1"/>
          <w:numId w:val="4"/>
        </w:numPr>
        <w:contextualSpacing w:val="0"/>
      </w:pPr>
      <w:r w:rsidRPr="004B6EAB">
        <w:t>As per the Delivery Partner Review undertaken by KPMG:</w:t>
      </w:r>
    </w:p>
    <w:p w14:paraId="57AFEC8D" w14:textId="77777777" w:rsidR="00800EBE" w:rsidRPr="004B6EAB" w:rsidRDefault="00800EBE" w:rsidP="00800EBE">
      <w:pPr>
        <w:pStyle w:val="ListParagraph"/>
        <w:numPr>
          <w:ilvl w:val="2"/>
          <w:numId w:val="4"/>
        </w:numPr>
        <w:ind w:left="1287"/>
        <w:contextualSpacing w:val="0"/>
      </w:pPr>
      <w:r w:rsidRPr="004B6EAB">
        <w:rPr>
          <w:lang w:eastAsia="en-GB"/>
        </w:rPr>
        <w:t>LLF will publish a standalone policy, or incorporate into their existing policies a substantive section, prohibiting SEAH. This should be survivor centred and include details of how LLF will support survivors or victims of SEAH perpetrated by one of its staff members or an implementing partner. Beneficiaries and other local stakeholders should be made aware of these policies and procedures, including:</w:t>
      </w:r>
    </w:p>
    <w:p w14:paraId="1312D3C3" w14:textId="77777777" w:rsidR="00800EBE" w:rsidRPr="004B6EAB" w:rsidRDefault="00800EBE" w:rsidP="00800EBE">
      <w:pPr>
        <w:pStyle w:val="ListParagraph"/>
        <w:numPr>
          <w:ilvl w:val="0"/>
          <w:numId w:val="13"/>
        </w:numPr>
        <w:spacing w:before="100" w:beforeAutospacing="1" w:after="0"/>
        <w:ind w:left="1494"/>
        <w:contextualSpacing w:val="0"/>
      </w:pPr>
      <w:r w:rsidRPr="004B6EAB">
        <w:rPr>
          <w:szCs w:val="24"/>
          <w:lang w:eastAsia="en-GB"/>
        </w:rPr>
        <w:t>Defining SEAH.</w:t>
      </w:r>
    </w:p>
    <w:p w14:paraId="5452A0F4" w14:textId="77777777" w:rsidR="00800EBE" w:rsidRPr="004B6EAB" w:rsidRDefault="00800EBE" w:rsidP="00800EBE">
      <w:pPr>
        <w:pStyle w:val="ListParagraph"/>
        <w:numPr>
          <w:ilvl w:val="0"/>
          <w:numId w:val="13"/>
        </w:numPr>
        <w:spacing w:before="100" w:beforeAutospacing="1" w:after="0"/>
        <w:ind w:left="1494"/>
        <w:contextualSpacing w:val="0"/>
      </w:pPr>
      <w:r w:rsidRPr="004B6EAB">
        <w:rPr>
          <w:szCs w:val="24"/>
          <w:lang w:eastAsia="en-GB"/>
        </w:rPr>
        <w:t>Codes of conduct and behavioural expectations for those managing and delivering aid.</w:t>
      </w:r>
    </w:p>
    <w:p w14:paraId="00F58491" w14:textId="77777777" w:rsidR="00800EBE" w:rsidRPr="004B6EAB" w:rsidRDefault="00800EBE" w:rsidP="00800EBE">
      <w:pPr>
        <w:pStyle w:val="ListParagraph"/>
        <w:numPr>
          <w:ilvl w:val="0"/>
          <w:numId w:val="13"/>
        </w:numPr>
        <w:spacing w:before="100" w:beforeAutospacing="1" w:after="0"/>
        <w:ind w:left="1494"/>
        <w:contextualSpacing w:val="0"/>
      </w:pPr>
      <w:r w:rsidRPr="004B6EAB">
        <w:rPr>
          <w:szCs w:val="24"/>
          <w:lang w:eastAsia="en-GB"/>
        </w:rPr>
        <w:t>That aid is non-conditional and never given in return for any kind of sexual act or favour.</w:t>
      </w:r>
    </w:p>
    <w:p w14:paraId="65EB4C92" w14:textId="77777777" w:rsidR="00800EBE" w:rsidRPr="004B6EAB" w:rsidRDefault="00800EBE" w:rsidP="00800EBE">
      <w:pPr>
        <w:pStyle w:val="ListParagraph"/>
        <w:numPr>
          <w:ilvl w:val="0"/>
          <w:numId w:val="13"/>
        </w:numPr>
        <w:spacing w:before="100" w:beforeAutospacing="1" w:after="0"/>
        <w:ind w:left="1494"/>
        <w:contextualSpacing w:val="0"/>
      </w:pPr>
      <w:r w:rsidRPr="004B6EAB">
        <w:rPr>
          <w:szCs w:val="24"/>
          <w:lang w:eastAsia="en-GB"/>
        </w:rPr>
        <w:t>Procedures for how and where to raise a concern about SEAH and what to expect.</w:t>
      </w:r>
    </w:p>
    <w:p w14:paraId="0EE56917" w14:textId="77777777" w:rsidR="00800EBE" w:rsidRPr="004B6EAB" w:rsidRDefault="00800EBE" w:rsidP="00800EBE">
      <w:pPr>
        <w:pStyle w:val="ListParagraph"/>
        <w:numPr>
          <w:ilvl w:val="0"/>
          <w:numId w:val="13"/>
        </w:numPr>
        <w:spacing w:before="100" w:beforeAutospacing="1" w:after="0"/>
        <w:ind w:left="1494"/>
        <w:contextualSpacing w:val="0"/>
      </w:pPr>
      <w:r w:rsidRPr="004B6EAB">
        <w:rPr>
          <w:szCs w:val="24"/>
          <w:lang w:eastAsia="en-GB"/>
        </w:rPr>
        <w:t>What advice and services exist for SEAH survivors.</w:t>
      </w:r>
    </w:p>
    <w:p w14:paraId="11FD5373" w14:textId="77777777" w:rsidR="00800EBE" w:rsidRPr="004B6EAB" w:rsidRDefault="00800EBE" w:rsidP="00800EBE">
      <w:pPr>
        <w:pStyle w:val="ListParagraph"/>
        <w:numPr>
          <w:ilvl w:val="0"/>
          <w:numId w:val="13"/>
        </w:numPr>
        <w:spacing w:before="100" w:beforeAutospacing="1" w:after="0"/>
        <w:ind w:left="1494"/>
        <w:contextualSpacing w:val="0"/>
      </w:pPr>
      <w:r w:rsidRPr="004B6EAB">
        <w:rPr>
          <w:szCs w:val="24"/>
          <w:lang w:eastAsia="en-GB"/>
        </w:rPr>
        <w:t>That communities and individuals have a right to protection from SEAH.</w:t>
      </w:r>
    </w:p>
    <w:p w14:paraId="3E77302E" w14:textId="77777777" w:rsidR="00800EBE" w:rsidRPr="004B6EAB" w:rsidRDefault="00800EBE" w:rsidP="00800EBE">
      <w:pPr>
        <w:pStyle w:val="ListParagraph"/>
        <w:numPr>
          <w:ilvl w:val="2"/>
          <w:numId w:val="4"/>
        </w:numPr>
        <w:ind w:left="1287"/>
        <w:contextualSpacing w:val="0"/>
      </w:pPr>
      <w:r w:rsidRPr="004B6EAB">
        <w:t>LLF will strengthen its Employee Handbook with a Code of Conduct for staff. This will explicitly prohibit SEAH and set out clear expectations of behaviours inside and outside the workplace in relation to SEAH,</w:t>
      </w:r>
      <w:r w:rsidRPr="004B6EAB">
        <w:rPr>
          <w:lang w:eastAsia="en-GB"/>
        </w:rPr>
        <w:t xml:space="preserve"> including the consequences of non-compliance with these standards.</w:t>
      </w:r>
    </w:p>
    <w:p w14:paraId="7D802089" w14:textId="4D1EC223" w:rsidR="00800EBE" w:rsidRPr="004B6EAB" w:rsidRDefault="00800EBE" w:rsidP="00800EBE">
      <w:pPr>
        <w:pStyle w:val="ListParagraph"/>
        <w:numPr>
          <w:ilvl w:val="2"/>
          <w:numId w:val="4"/>
        </w:numPr>
        <w:ind w:left="1287"/>
        <w:contextualSpacing w:val="0"/>
      </w:pPr>
      <w:r w:rsidRPr="004B6EAB">
        <w:rPr>
          <w:szCs w:val="24"/>
          <w:lang w:eastAsia="en-GB"/>
        </w:rPr>
        <w:t>LLF will identify</w:t>
      </w:r>
      <w:r w:rsidRPr="004B6EAB">
        <w:rPr>
          <w:lang w:eastAsia="en-GB"/>
        </w:rPr>
        <w:t xml:space="preserve"> a lead person responsible for SEAH across LLF. LLF will ensure site-specific Environment &amp; Social Safeguards (ESS) focal points are familiar with and trained on SEAH safeguarding guidance and policies.</w:t>
      </w:r>
      <w:r w:rsidRPr="004B6EAB">
        <w:rPr>
          <w:szCs w:val="24"/>
          <w:lang w:eastAsia="en-GB"/>
        </w:rPr>
        <w:t xml:space="preserve"> LLF will work towards more robust training for their own staff and for </w:t>
      </w:r>
      <w:r w:rsidR="00D84E3B" w:rsidRPr="004B6EAB">
        <w:rPr>
          <w:szCs w:val="24"/>
          <w:lang w:eastAsia="en-GB"/>
        </w:rPr>
        <w:t>D</w:t>
      </w:r>
      <w:r w:rsidRPr="004B6EAB">
        <w:rPr>
          <w:szCs w:val="24"/>
          <w:lang w:eastAsia="en-GB"/>
        </w:rPr>
        <w:t xml:space="preserve">ownstream </w:t>
      </w:r>
      <w:r w:rsidR="00D84E3B" w:rsidRPr="004B6EAB">
        <w:rPr>
          <w:szCs w:val="24"/>
          <w:lang w:eastAsia="en-GB"/>
        </w:rPr>
        <w:t>P</w:t>
      </w:r>
      <w:r w:rsidRPr="004B6EAB">
        <w:rPr>
          <w:szCs w:val="24"/>
          <w:lang w:eastAsia="en-GB"/>
        </w:rPr>
        <w:t>artners in relation to SEAH safeguarding.</w:t>
      </w:r>
    </w:p>
    <w:p w14:paraId="376D2114" w14:textId="77777777" w:rsidR="00800EBE" w:rsidRPr="004B6EAB" w:rsidRDefault="00800EBE" w:rsidP="00800EBE">
      <w:pPr>
        <w:pStyle w:val="ListParagraph"/>
        <w:numPr>
          <w:ilvl w:val="2"/>
          <w:numId w:val="4"/>
        </w:numPr>
        <w:ind w:left="1287"/>
        <w:contextualSpacing w:val="0"/>
      </w:pPr>
      <w:r w:rsidRPr="004B6EAB">
        <w:rPr>
          <w:lang w:eastAsia="en-GB"/>
        </w:rPr>
        <w:t>LLF will ensure that SEAH is more clearly incorporated into the Environmental &amp; Social Due Diligence (ESDD) procedures for new landscapes and in the Terms of Reference for consultants undertaking these. Where necessary, SEAH should be drawn out and included in Environment &amp; Social Action Plans (ESAPs) and reviewed internally and externally through this governance structure.</w:t>
      </w:r>
    </w:p>
    <w:p w14:paraId="709AD919" w14:textId="77777777" w:rsidR="00800EBE" w:rsidRPr="004B6EAB" w:rsidRDefault="00800EBE" w:rsidP="00800EBE">
      <w:pPr>
        <w:pStyle w:val="ListParagraph"/>
        <w:numPr>
          <w:ilvl w:val="2"/>
          <w:numId w:val="4"/>
        </w:numPr>
        <w:ind w:left="1287"/>
        <w:contextualSpacing w:val="0"/>
      </w:pPr>
      <w:r w:rsidRPr="004B6EAB">
        <w:rPr>
          <w:lang w:eastAsia="en-GB"/>
        </w:rPr>
        <w:t xml:space="preserve">LLF will ensure that any relevant incidents are clearly logged as “SEAH” in its incident reporting process, along with the action taken to </w:t>
      </w:r>
      <w:r w:rsidRPr="004B6EAB">
        <w:rPr>
          <w:lang w:eastAsia="en-GB"/>
        </w:rPr>
        <w:lastRenderedPageBreak/>
        <w:t>investigate/resolve this, so that this can be tracked and feed into annual statistics and a SEAH safeguarding log.</w:t>
      </w:r>
    </w:p>
    <w:p w14:paraId="7F87964E" w14:textId="5CBD24C6" w:rsidR="00800EBE" w:rsidRPr="004B6EAB" w:rsidRDefault="00800EBE" w:rsidP="00800EBE">
      <w:pPr>
        <w:pStyle w:val="ListParagraph"/>
        <w:numPr>
          <w:ilvl w:val="2"/>
          <w:numId w:val="4"/>
        </w:numPr>
        <w:ind w:left="1287"/>
        <w:contextualSpacing w:val="0"/>
      </w:pPr>
      <w:r w:rsidRPr="004B6EAB">
        <w:rPr>
          <w:szCs w:val="24"/>
          <w:lang w:eastAsia="en-GB"/>
        </w:rPr>
        <w:t>LLF will consider signing up to the</w:t>
      </w:r>
      <w:r w:rsidRPr="004B6EAB">
        <w:t xml:space="preserve"> </w:t>
      </w:r>
      <w:hyperlink r:id="rId17" w:history="1">
        <w:r w:rsidRPr="004B6EAB">
          <w:rPr>
            <w:rStyle w:val="Hyperlink"/>
            <w:color w:val="auto"/>
            <w:szCs w:val="24"/>
            <w:lang w:eastAsia="en-GB"/>
          </w:rPr>
          <w:t>Interagency Misconduct Disclosure Scheme</w:t>
        </w:r>
      </w:hyperlink>
      <w:r w:rsidRPr="004B6EAB">
        <w:rPr>
          <w:i/>
          <w:iCs/>
          <w:szCs w:val="24"/>
          <w:lang w:eastAsia="en-GB"/>
        </w:rPr>
        <w:t xml:space="preserve"> </w:t>
      </w:r>
      <w:r w:rsidRPr="004B6EAB">
        <w:rPr>
          <w:szCs w:val="24"/>
          <w:lang w:eastAsia="en-GB"/>
        </w:rPr>
        <w:t xml:space="preserve">and encourage its </w:t>
      </w:r>
      <w:r w:rsidR="00D84E3B" w:rsidRPr="004B6EAB">
        <w:rPr>
          <w:szCs w:val="24"/>
          <w:lang w:eastAsia="en-GB"/>
        </w:rPr>
        <w:t>D</w:t>
      </w:r>
      <w:r w:rsidRPr="004B6EAB">
        <w:rPr>
          <w:szCs w:val="24"/>
          <w:lang w:eastAsia="en-GB"/>
        </w:rPr>
        <w:t xml:space="preserve">ownstream </w:t>
      </w:r>
      <w:r w:rsidR="00D84E3B" w:rsidRPr="004B6EAB">
        <w:rPr>
          <w:szCs w:val="24"/>
          <w:lang w:eastAsia="en-GB"/>
        </w:rPr>
        <w:t>P</w:t>
      </w:r>
      <w:r w:rsidRPr="004B6EAB">
        <w:rPr>
          <w:szCs w:val="24"/>
          <w:lang w:eastAsia="en-GB"/>
        </w:rPr>
        <w:t>artners to do the same.</w:t>
      </w:r>
    </w:p>
    <w:p w14:paraId="5772E832" w14:textId="77777777" w:rsidR="002E414C" w:rsidRPr="002E414C" w:rsidRDefault="002E414C" w:rsidP="002E414C">
      <w:pPr>
        <w:pStyle w:val="ListParagraph"/>
        <w:ind w:left="390"/>
        <w:contextualSpacing w:val="0"/>
        <w:rPr>
          <w:b/>
        </w:rPr>
      </w:pPr>
    </w:p>
    <w:p w14:paraId="44C895F0" w14:textId="6B2A0900" w:rsidR="006F5189" w:rsidRPr="004B6EAB" w:rsidRDefault="002A0ACD" w:rsidP="006F5189">
      <w:pPr>
        <w:pStyle w:val="ListParagraph"/>
        <w:numPr>
          <w:ilvl w:val="0"/>
          <w:numId w:val="4"/>
        </w:numPr>
        <w:contextualSpacing w:val="0"/>
        <w:rPr>
          <w:b/>
        </w:rPr>
      </w:pPr>
      <w:r w:rsidRPr="004B6EAB">
        <w:rPr>
          <w:b/>
          <w:szCs w:val="24"/>
          <w:lang w:eastAsia="en-GB"/>
        </w:rPr>
        <w:t>Modern Slavery</w:t>
      </w:r>
    </w:p>
    <w:p w14:paraId="65E111BA" w14:textId="3CD5FBE1" w:rsidR="002C47F7" w:rsidRPr="004B6EAB" w:rsidRDefault="000D692F" w:rsidP="00890321">
      <w:pPr>
        <w:pStyle w:val="ListParagraph"/>
        <w:numPr>
          <w:ilvl w:val="1"/>
          <w:numId w:val="47"/>
        </w:numPr>
        <w:rPr>
          <w:b/>
          <w:bCs/>
        </w:rPr>
      </w:pPr>
      <w:r w:rsidRPr="004B6EAB">
        <w:t xml:space="preserve">Defra seeks to ensure that none of its resources are used, directly or indirectly, to provide support to individuals or entities associated with </w:t>
      </w:r>
      <w:r w:rsidR="001824B1" w:rsidRPr="004B6EAB">
        <w:t xml:space="preserve">modern slavery.  </w:t>
      </w:r>
      <w:r w:rsidR="002D1DDD" w:rsidRPr="004B6EAB">
        <w:t xml:space="preserve">LLF shall have and maintain its own </w:t>
      </w:r>
      <w:r w:rsidR="008368F8" w:rsidRPr="004B6EAB">
        <w:t>safeguard</w:t>
      </w:r>
      <w:r w:rsidR="002D1DDD" w:rsidRPr="004B6EAB">
        <w:t xml:space="preserve">s to </w:t>
      </w:r>
      <w:r w:rsidR="00354944" w:rsidRPr="004B6EAB">
        <w:t xml:space="preserve">prevent </w:t>
      </w:r>
      <w:r w:rsidR="00882A14" w:rsidRPr="004B6EAB">
        <w:t xml:space="preserve">modern slavery throughout its </w:t>
      </w:r>
      <w:r w:rsidR="00A074E1" w:rsidRPr="004B6EAB">
        <w:t>del</w:t>
      </w:r>
      <w:r w:rsidR="00ED11EF" w:rsidRPr="004B6EAB">
        <w:t>i</w:t>
      </w:r>
      <w:r w:rsidR="00A074E1" w:rsidRPr="004B6EAB">
        <w:t>very</w:t>
      </w:r>
      <w:r w:rsidR="00882A14" w:rsidRPr="004B6EAB">
        <w:t xml:space="preserve"> chains, </w:t>
      </w:r>
      <w:r w:rsidR="00AE277D" w:rsidRPr="004B6EAB">
        <w:t xml:space="preserve">assessing risks throughout the lifecycle of the </w:t>
      </w:r>
      <w:r w:rsidR="00473D08" w:rsidRPr="004B6EAB">
        <w:t>P</w:t>
      </w:r>
      <w:r w:rsidR="00AE277D" w:rsidRPr="004B6EAB">
        <w:t>rogramme</w:t>
      </w:r>
      <w:r w:rsidRPr="004B6EAB">
        <w:t xml:space="preserve">.  </w:t>
      </w:r>
    </w:p>
    <w:p w14:paraId="370927FB" w14:textId="77777777" w:rsidR="00087579" w:rsidRPr="004B6EAB" w:rsidRDefault="00087579" w:rsidP="00F26ED8">
      <w:pPr>
        <w:pStyle w:val="ListParagraph"/>
        <w:rPr>
          <w:b/>
          <w:bCs/>
        </w:rPr>
      </w:pPr>
    </w:p>
    <w:p w14:paraId="0F17BFFC" w14:textId="77777777" w:rsidR="002E414C" w:rsidRPr="002E414C" w:rsidRDefault="002E414C" w:rsidP="002E414C">
      <w:pPr>
        <w:pStyle w:val="Level1"/>
        <w:numPr>
          <w:ilvl w:val="0"/>
          <w:numId w:val="0"/>
        </w:numPr>
        <w:spacing w:line="259" w:lineRule="auto"/>
        <w:ind w:left="390"/>
        <w:rPr>
          <w:b/>
          <w:sz w:val="24"/>
          <w:szCs w:val="24"/>
        </w:rPr>
      </w:pPr>
    </w:p>
    <w:p w14:paraId="40ABCA0E" w14:textId="77777777" w:rsidR="00800EBE" w:rsidRPr="004B6EAB" w:rsidRDefault="00800EBE" w:rsidP="00800EBE">
      <w:pPr>
        <w:pStyle w:val="Level1"/>
        <w:numPr>
          <w:ilvl w:val="0"/>
          <w:numId w:val="4"/>
        </w:numPr>
        <w:spacing w:line="259" w:lineRule="auto"/>
        <w:rPr>
          <w:b/>
          <w:sz w:val="24"/>
          <w:szCs w:val="24"/>
        </w:rPr>
      </w:pPr>
      <w:r w:rsidRPr="004B6EAB">
        <w:rPr>
          <w:b/>
          <w:bCs/>
          <w:sz w:val="24"/>
          <w:szCs w:val="24"/>
        </w:rPr>
        <w:t>Health, Safety and Security</w:t>
      </w:r>
    </w:p>
    <w:p w14:paraId="19735228" w14:textId="7E224D50" w:rsidR="00800EBE" w:rsidRPr="004B6EAB" w:rsidRDefault="00800EBE" w:rsidP="00800EBE">
      <w:pPr>
        <w:pStyle w:val="Level1"/>
        <w:numPr>
          <w:ilvl w:val="1"/>
          <w:numId w:val="4"/>
        </w:numPr>
        <w:spacing w:line="259" w:lineRule="auto"/>
        <w:rPr>
          <w:b/>
          <w:sz w:val="24"/>
          <w:szCs w:val="24"/>
        </w:rPr>
      </w:pPr>
      <w:r w:rsidRPr="004B6EAB">
        <w:rPr>
          <w:sz w:val="24"/>
          <w:szCs w:val="24"/>
        </w:rPr>
        <w:t>LLF is responsible for all security arrangements in relation to this contribution including the health, safety and security of any person employed or otherwise engaged as part of the contribution.  For persons employed or engaged by any Downstream Partners, LLF ensures this by appropriate provisions in it grant agreements and ESMS monitoring.</w:t>
      </w:r>
    </w:p>
    <w:p w14:paraId="5CC06955" w14:textId="77777777" w:rsidR="002E414C" w:rsidRDefault="002E414C" w:rsidP="002E414C">
      <w:pPr>
        <w:pStyle w:val="Level1"/>
        <w:numPr>
          <w:ilvl w:val="0"/>
          <w:numId w:val="0"/>
        </w:numPr>
        <w:spacing w:line="259" w:lineRule="auto"/>
        <w:ind w:left="390"/>
        <w:rPr>
          <w:b/>
          <w:bCs/>
          <w:sz w:val="24"/>
          <w:szCs w:val="24"/>
        </w:rPr>
      </w:pPr>
    </w:p>
    <w:p w14:paraId="111674BB" w14:textId="77777777" w:rsidR="00800EBE" w:rsidRPr="004B6EAB" w:rsidRDefault="00800EBE" w:rsidP="00800EBE">
      <w:pPr>
        <w:pStyle w:val="Level1"/>
        <w:numPr>
          <w:ilvl w:val="0"/>
          <w:numId w:val="4"/>
        </w:numPr>
        <w:spacing w:line="259" w:lineRule="auto"/>
        <w:rPr>
          <w:b/>
          <w:bCs/>
          <w:sz w:val="24"/>
          <w:szCs w:val="24"/>
        </w:rPr>
      </w:pPr>
      <w:r w:rsidRPr="004B6EAB">
        <w:rPr>
          <w:b/>
          <w:bCs/>
          <w:sz w:val="24"/>
          <w:szCs w:val="24"/>
        </w:rPr>
        <w:t>Environment</w:t>
      </w:r>
    </w:p>
    <w:p w14:paraId="2588DE89" w14:textId="77777777" w:rsidR="00800EBE" w:rsidRPr="004B6EAB" w:rsidRDefault="00800EBE" w:rsidP="00800EBE">
      <w:pPr>
        <w:pStyle w:val="Level1"/>
        <w:numPr>
          <w:ilvl w:val="1"/>
          <w:numId w:val="4"/>
        </w:numPr>
        <w:spacing w:line="259" w:lineRule="auto"/>
        <w:rPr>
          <w:b/>
          <w:bCs/>
          <w:sz w:val="24"/>
          <w:szCs w:val="24"/>
        </w:rPr>
      </w:pPr>
      <w:r w:rsidRPr="004B6EAB">
        <w:rPr>
          <w:sz w:val="24"/>
          <w:szCs w:val="24"/>
        </w:rPr>
        <w:t>LLF is committed to high environmental standards, recognising that their activities may change the way people use and rely on the environment, or may affect or be affected by environmental conditions. LLF will ensure they have taken sufficient steps to protect the local environment and community they work in, and to identify environmental risks that are imminent, significant or could cause harm or reputational damage to Defra.</w:t>
      </w:r>
    </w:p>
    <w:p w14:paraId="7A856E86" w14:textId="77777777" w:rsidR="002E414C" w:rsidRDefault="002E414C" w:rsidP="002E414C">
      <w:pPr>
        <w:pStyle w:val="ListParagraph"/>
        <w:spacing w:before="0" w:line="259" w:lineRule="auto"/>
        <w:ind w:left="391"/>
        <w:contextualSpacing w:val="0"/>
        <w:jc w:val="both"/>
        <w:rPr>
          <w:b/>
          <w:bCs/>
        </w:rPr>
      </w:pPr>
    </w:p>
    <w:p w14:paraId="0E381DAE" w14:textId="77777777" w:rsidR="00800EBE" w:rsidRPr="004B6EAB" w:rsidRDefault="00800EBE" w:rsidP="00800EBE">
      <w:pPr>
        <w:pStyle w:val="ListParagraph"/>
        <w:numPr>
          <w:ilvl w:val="0"/>
          <w:numId w:val="4"/>
        </w:numPr>
        <w:spacing w:before="0" w:line="259" w:lineRule="auto"/>
        <w:ind w:left="391" w:hanging="391"/>
        <w:contextualSpacing w:val="0"/>
        <w:jc w:val="both"/>
        <w:rPr>
          <w:b/>
          <w:bCs/>
        </w:rPr>
      </w:pPr>
      <w:r w:rsidRPr="004B6EAB">
        <w:rPr>
          <w:b/>
          <w:bCs/>
        </w:rPr>
        <w:t>Finances, Investment Guidelines and Audit Arrangements</w:t>
      </w:r>
    </w:p>
    <w:bookmarkEnd w:id="6"/>
    <w:p w14:paraId="19D749B2" w14:textId="77777777" w:rsidR="00800EBE" w:rsidRPr="004B6EAB" w:rsidRDefault="00800EBE" w:rsidP="00800EBE">
      <w:pPr>
        <w:pStyle w:val="ListParagraph"/>
        <w:numPr>
          <w:ilvl w:val="1"/>
          <w:numId w:val="4"/>
        </w:numPr>
        <w:spacing w:before="0" w:after="160" w:line="259" w:lineRule="auto"/>
        <w:contextualSpacing w:val="0"/>
        <w:jc w:val="both"/>
      </w:pPr>
      <w:r w:rsidRPr="004B6EAB">
        <w:t>Financial records, including documentation to support entries on accounting records and to substantiate changes against contributions, will be maintained in accordance with LLF’s usual accounting procedures, financial regulations, rules, policies, procedures and directives, including as to the retention period.</w:t>
      </w:r>
    </w:p>
    <w:p w14:paraId="7332EEF4" w14:textId="5B68E28A" w:rsidR="00800EBE" w:rsidRPr="004B6EAB" w:rsidRDefault="00800EBE" w:rsidP="00800EBE">
      <w:pPr>
        <w:pStyle w:val="ListParagraph"/>
        <w:numPr>
          <w:ilvl w:val="1"/>
          <w:numId w:val="4"/>
        </w:numPr>
        <w:spacing w:before="0" w:after="160" w:line="259" w:lineRule="auto"/>
        <w:contextualSpacing w:val="0"/>
        <w:jc w:val="both"/>
      </w:pPr>
      <w:r w:rsidRPr="004B6EAB">
        <w:t>The</w:t>
      </w:r>
      <w:r w:rsidR="004853C1" w:rsidRPr="004B6EAB">
        <w:t xml:space="preserve"> </w:t>
      </w:r>
      <w:r w:rsidRPr="004B6EAB">
        <w:t>activities carried out by LLF, including the grants funded by contributions from Defra</w:t>
      </w:r>
      <w:r w:rsidR="004E1B91" w:rsidRPr="004B6EAB">
        <w:t xml:space="preserve"> and activities conducted using the administrative fee</w:t>
      </w:r>
      <w:r w:rsidRPr="004B6EAB">
        <w:t xml:space="preserve">, will be exclusively subject to the external and internal audit procedures provided for in </w:t>
      </w:r>
      <w:r w:rsidRPr="004B6EAB">
        <w:lastRenderedPageBreak/>
        <w:t>the financial regulations, rules and policies of LLF.  The audit opinions of LLF are public documents and are available on the LLF website. An annual management letter (long form report) is provided to the LLF management board and audit committee but is not public.  If an audit report or management letter contains observations directly relevant to this contribution, LLF will advise Defra and provide it either with the relevant website locator address or a copy of the report.</w:t>
      </w:r>
    </w:p>
    <w:p w14:paraId="0405F6D0" w14:textId="2416E3D5" w:rsidR="00800EBE" w:rsidRPr="004B6EAB" w:rsidRDefault="00800EBE" w:rsidP="00800EBE">
      <w:pPr>
        <w:pStyle w:val="ListParagraph"/>
        <w:numPr>
          <w:ilvl w:val="1"/>
          <w:numId w:val="4"/>
        </w:numPr>
        <w:spacing w:before="0" w:after="160" w:line="259" w:lineRule="auto"/>
        <w:contextualSpacing w:val="0"/>
        <w:jc w:val="both"/>
      </w:pPr>
      <w:r w:rsidRPr="004B6EAB">
        <w:t>LLF produces annual financial statements for the Fund as a whole, including a balance sheet and an income statement. This must be audited by an internationally recognised auditor.  Defra may request the LLF Supervisory Board to replace the auditor if Defra finds that the auditor has not performed satisfactorily or if there is any doubt as to the auditor’s independence or professional standards.  Defra also reserves the right to review financial statements and review or request audits for legacy landscapes which Defra’s contribution supports.</w:t>
      </w:r>
    </w:p>
    <w:p w14:paraId="73DA39E3" w14:textId="77777777" w:rsidR="00800EBE" w:rsidRPr="004B6EAB" w:rsidRDefault="00800EBE" w:rsidP="00800EBE">
      <w:pPr>
        <w:pStyle w:val="ListParagraph"/>
        <w:numPr>
          <w:ilvl w:val="1"/>
          <w:numId w:val="4"/>
        </w:numPr>
        <w:spacing w:before="0" w:after="160" w:line="259" w:lineRule="auto"/>
        <w:contextualSpacing w:val="0"/>
        <w:jc w:val="both"/>
      </w:pPr>
      <w:r w:rsidRPr="004B6EAB">
        <w:t>The auditor shall form an opinion on whether LLF’s financial statements fairly reflect the financial position of the Programme, and whether they are prepared, in all material respects, in accordance with the applicable financial reporting framework and LLF’s charter.</w:t>
      </w:r>
    </w:p>
    <w:p w14:paraId="15EBBFBD" w14:textId="77777777" w:rsidR="00800EBE" w:rsidRPr="004B6EAB" w:rsidRDefault="00800EBE" w:rsidP="00800EBE">
      <w:pPr>
        <w:pStyle w:val="ListParagraph"/>
        <w:numPr>
          <w:ilvl w:val="1"/>
          <w:numId w:val="4"/>
        </w:numPr>
        <w:spacing w:before="0" w:after="160" w:line="259" w:lineRule="auto"/>
        <w:contextualSpacing w:val="0"/>
        <w:jc w:val="both"/>
      </w:pPr>
      <w:r w:rsidRPr="004B6EAB">
        <w:t>The Audit report shall include:</w:t>
      </w:r>
    </w:p>
    <w:p w14:paraId="10277C52" w14:textId="77777777" w:rsidR="00800EBE" w:rsidRPr="004B6EAB" w:rsidRDefault="00800EBE" w:rsidP="00800EBE">
      <w:pPr>
        <w:pStyle w:val="ListParagraph"/>
        <w:numPr>
          <w:ilvl w:val="0"/>
          <w:numId w:val="9"/>
        </w:numPr>
        <w:spacing w:before="0" w:after="0" w:line="259" w:lineRule="auto"/>
        <w:ind w:left="1077" w:hanging="357"/>
        <w:contextualSpacing w:val="0"/>
        <w:jc w:val="both"/>
      </w:pPr>
      <w:r w:rsidRPr="004B6EAB">
        <w:t>period subject to the audit</w:t>
      </w:r>
    </w:p>
    <w:p w14:paraId="55D91447" w14:textId="77777777" w:rsidR="00800EBE" w:rsidRPr="004B6EAB" w:rsidRDefault="00800EBE" w:rsidP="00800EBE">
      <w:pPr>
        <w:pStyle w:val="ListParagraph"/>
        <w:numPr>
          <w:ilvl w:val="0"/>
          <w:numId w:val="9"/>
        </w:numPr>
        <w:spacing w:before="0" w:after="0" w:line="259" w:lineRule="auto"/>
        <w:ind w:left="1077" w:hanging="357"/>
        <w:contextualSpacing w:val="0"/>
        <w:jc w:val="both"/>
      </w:pPr>
      <w:r w:rsidRPr="004B6EAB">
        <w:t>reference to the financial reporting framework applied</w:t>
      </w:r>
    </w:p>
    <w:p w14:paraId="03EBD45E" w14:textId="77777777" w:rsidR="00800EBE" w:rsidRPr="004B6EAB" w:rsidRDefault="00800EBE" w:rsidP="00800EBE">
      <w:pPr>
        <w:pStyle w:val="ListParagraph"/>
        <w:numPr>
          <w:ilvl w:val="0"/>
          <w:numId w:val="9"/>
        </w:numPr>
        <w:spacing w:before="0" w:after="0" w:line="259" w:lineRule="auto"/>
        <w:ind w:left="1077" w:hanging="357"/>
        <w:contextualSpacing w:val="0"/>
        <w:jc w:val="both"/>
      </w:pPr>
      <w:r w:rsidRPr="004B6EAB">
        <w:t>the auditing standards applied</w:t>
      </w:r>
    </w:p>
    <w:p w14:paraId="093ED532" w14:textId="77777777" w:rsidR="00800EBE" w:rsidRPr="004B6EAB" w:rsidRDefault="00800EBE" w:rsidP="00800EBE">
      <w:pPr>
        <w:pStyle w:val="ListParagraph"/>
        <w:numPr>
          <w:ilvl w:val="0"/>
          <w:numId w:val="9"/>
        </w:numPr>
        <w:spacing w:before="0" w:after="0" w:line="259" w:lineRule="auto"/>
        <w:ind w:left="1077" w:hanging="357"/>
        <w:contextualSpacing w:val="0"/>
        <w:jc w:val="both"/>
      </w:pPr>
      <w:r w:rsidRPr="004B6EAB">
        <w:t>a statement that the auditor has obtained reasonable assurance about whether the financial statements as a whole are free from material misstatement</w:t>
      </w:r>
    </w:p>
    <w:p w14:paraId="4A8597BC" w14:textId="77777777" w:rsidR="00800EBE" w:rsidRPr="004B6EAB" w:rsidRDefault="00800EBE" w:rsidP="00800EBE">
      <w:pPr>
        <w:pStyle w:val="ListParagraph"/>
        <w:numPr>
          <w:ilvl w:val="0"/>
          <w:numId w:val="9"/>
        </w:numPr>
        <w:spacing w:before="0" w:after="0" w:line="259" w:lineRule="auto"/>
        <w:ind w:left="1077" w:hanging="357"/>
        <w:contextualSpacing w:val="0"/>
        <w:jc w:val="both"/>
      </w:pPr>
      <w:r w:rsidRPr="004B6EAB">
        <w:t xml:space="preserve">the auditor’s opinion </w:t>
      </w:r>
    </w:p>
    <w:p w14:paraId="021AE676" w14:textId="77777777" w:rsidR="00800EBE" w:rsidRPr="004B6EAB" w:rsidRDefault="00800EBE" w:rsidP="00800EBE">
      <w:pPr>
        <w:spacing w:before="0" w:after="0" w:line="259" w:lineRule="auto"/>
        <w:jc w:val="both"/>
      </w:pPr>
    </w:p>
    <w:p w14:paraId="5D07E434" w14:textId="00A45332" w:rsidR="00800EBE" w:rsidRPr="004B6EAB" w:rsidRDefault="00800EBE" w:rsidP="00800EBE">
      <w:pPr>
        <w:pStyle w:val="ListParagraph"/>
        <w:numPr>
          <w:ilvl w:val="1"/>
          <w:numId w:val="4"/>
        </w:numPr>
        <w:spacing w:before="0" w:after="160" w:line="259" w:lineRule="auto"/>
        <w:contextualSpacing w:val="0"/>
        <w:jc w:val="both"/>
      </w:pPr>
      <w:r w:rsidRPr="004B6EAB">
        <w:t>If any findings have been reported in the auditor’s management letter, LLF shall prepare a response including an action plan to be submitted to Defra together with the management letter.</w:t>
      </w:r>
    </w:p>
    <w:p w14:paraId="12CA8699" w14:textId="3777C564" w:rsidR="00800EBE" w:rsidRPr="004B6EAB" w:rsidRDefault="00800EBE" w:rsidP="00800EBE">
      <w:pPr>
        <w:pStyle w:val="ListParagraph"/>
        <w:numPr>
          <w:ilvl w:val="1"/>
          <w:numId w:val="4"/>
        </w:numPr>
        <w:spacing w:before="0" w:after="160" w:line="259" w:lineRule="auto"/>
        <w:contextualSpacing w:val="0"/>
        <w:jc w:val="both"/>
      </w:pPr>
      <w:r w:rsidRPr="004B6EAB">
        <w:t>The costs of the audit of the LLF’s financial statements shall be included in the LLF budget.</w:t>
      </w:r>
    </w:p>
    <w:p w14:paraId="3ACBE229" w14:textId="392D76DF" w:rsidR="00282C4B" w:rsidRPr="004B6EAB" w:rsidRDefault="00282C4B" w:rsidP="00800EBE">
      <w:pPr>
        <w:pStyle w:val="ListParagraph"/>
        <w:numPr>
          <w:ilvl w:val="1"/>
          <w:numId w:val="4"/>
        </w:numPr>
        <w:spacing w:before="0" w:after="160" w:line="259" w:lineRule="auto"/>
        <w:contextualSpacing w:val="0"/>
        <w:jc w:val="both"/>
      </w:pPr>
      <w:r w:rsidRPr="004B6EAB">
        <w:t xml:space="preserve">LLF shall require that the Downstream Partners </w:t>
      </w:r>
      <w:r w:rsidR="00076756" w:rsidRPr="004B6EAB">
        <w:t xml:space="preserve">for Defra funded landscapes </w:t>
      </w:r>
      <w:r w:rsidRPr="004B6EAB">
        <w:t>be subject to financial reviews in accordance with LLF's own rules and policies</w:t>
      </w:r>
      <w:r w:rsidR="00B31CBE" w:rsidRPr="004B6EAB">
        <w:t>, as set out in clause 14.2</w:t>
      </w:r>
      <w:r w:rsidRPr="004B6EAB">
        <w:t>. The findings of such financial reviews may be shared with Defra upon request, as set out in clause 4.</w:t>
      </w:r>
      <w:r w:rsidR="004E1B91" w:rsidRPr="004B6EAB">
        <w:t>3</w:t>
      </w:r>
      <w:r w:rsidRPr="004B6EAB">
        <w:t>.</w:t>
      </w:r>
    </w:p>
    <w:p w14:paraId="00C964C6" w14:textId="77777777" w:rsidR="00800EBE" w:rsidRPr="004B6EAB" w:rsidRDefault="00800EBE" w:rsidP="00800EBE">
      <w:pPr>
        <w:pStyle w:val="ListParagraph"/>
        <w:numPr>
          <w:ilvl w:val="1"/>
          <w:numId w:val="4"/>
        </w:numPr>
        <w:spacing w:before="0" w:after="160" w:line="259" w:lineRule="auto"/>
        <w:contextualSpacing w:val="0"/>
        <w:jc w:val="both"/>
      </w:pPr>
      <w:r w:rsidRPr="004B6EAB">
        <w:t>If Defra becomes aware of information that would indicate a need for further and closer scrutiny of activities funded by this contribution, Defra agrees to bring this information promptly to the attention of LLF.</w:t>
      </w:r>
    </w:p>
    <w:p w14:paraId="492BA146" w14:textId="77777777" w:rsidR="00800EBE" w:rsidRPr="004B6EAB" w:rsidRDefault="00800EBE" w:rsidP="00800EBE">
      <w:pPr>
        <w:pStyle w:val="ListParagraph"/>
        <w:numPr>
          <w:ilvl w:val="1"/>
          <w:numId w:val="4"/>
        </w:numPr>
        <w:spacing w:before="0" w:after="160" w:line="259" w:lineRule="auto"/>
        <w:contextualSpacing w:val="0"/>
        <w:jc w:val="both"/>
      </w:pPr>
      <w:r w:rsidRPr="004B6EAB">
        <w:t>As per the Delivery Partner Review, undertaken by KPMG:</w:t>
      </w:r>
    </w:p>
    <w:p w14:paraId="29D6CDC1"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lastRenderedPageBreak/>
        <w:t>LLF will finalise and implement the new Investment Guidelines. These should:</w:t>
      </w:r>
    </w:p>
    <w:p w14:paraId="30A02374" w14:textId="77777777" w:rsidR="00800EBE" w:rsidRPr="004B6EAB" w:rsidRDefault="00800EBE" w:rsidP="00800EBE">
      <w:pPr>
        <w:pStyle w:val="ListParagraph"/>
        <w:numPr>
          <w:ilvl w:val="3"/>
          <w:numId w:val="4"/>
        </w:numPr>
        <w:spacing w:before="0" w:after="160" w:line="259" w:lineRule="auto"/>
        <w:ind w:left="1930"/>
        <w:contextualSpacing w:val="0"/>
        <w:jc w:val="both"/>
      </w:pPr>
      <w:r w:rsidRPr="004B6EAB">
        <w:t>Recognise the purpose of the investment portfolio and how it is intended to support LLF’s activities (e.g., grants).</w:t>
      </w:r>
    </w:p>
    <w:p w14:paraId="0A7CF7C7" w14:textId="77777777" w:rsidR="00800EBE" w:rsidRPr="004B6EAB" w:rsidRDefault="00800EBE" w:rsidP="00800EBE">
      <w:pPr>
        <w:pStyle w:val="ListParagraph"/>
        <w:numPr>
          <w:ilvl w:val="3"/>
          <w:numId w:val="4"/>
        </w:numPr>
        <w:spacing w:before="0" w:after="160" w:line="259" w:lineRule="auto"/>
        <w:ind w:left="1930"/>
        <w:contextualSpacing w:val="0"/>
        <w:jc w:val="both"/>
      </w:pPr>
      <w:r w:rsidRPr="004B6EAB">
        <w:t>Outline roles and responsibilities for the Supervisory Board, Management Board, Investment Consultant, and Investment Committee, including stating who has final decisions on investments and a flow chart outlining the relationships between parties.</w:t>
      </w:r>
    </w:p>
    <w:p w14:paraId="773A5093" w14:textId="77777777" w:rsidR="00800EBE" w:rsidRPr="004B6EAB" w:rsidRDefault="00800EBE" w:rsidP="00800EBE">
      <w:pPr>
        <w:pStyle w:val="ListParagraph"/>
        <w:numPr>
          <w:ilvl w:val="3"/>
          <w:numId w:val="4"/>
        </w:numPr>
        <w:spacing w:before="0" w:after="160" w:line="259" w:lineRule="auto"/>
        <w:ind w:left="1930"/>
        <w:contextualSpacing w:val="0"/>
        <w:jc w:val="both"/>
      </w:pPr>
      <w:r w:rsidRPr="004B6EAB">
        <w:t>Establish clear market risk thresholds that would trigger challenge to the underlying managers or funds, and limits against which to benchmark portfolio risk on an ongoing basis.</w:t>
      </w:r>
    </w:p>
    <w:p w14:paraId="13321BF4" w14:textId="77777777" w:rsidR="00800EBE" w:rsidRPr="004B6EAB" w:rsidRDefault="00800EBE" w:rsidP="00800EBE">
      <w:pPr>
        <w:pStyle w:val="ListParagraph"/>
        <w:numPr>
          <w:ilvl w:val="3"/>
          <w:numId w:val="4"/>
        </w:numPr>
        <w:spacing w:before="0" w:after="160" w:line="259" w:lineRule="auto"/>
        <w:ind w:left="1930"/>
        <w:contextualSpacing w:val="0"/>
        <w:jc w:val="both"/>
      </w:pPr>
      <w:r w:rsidRPr="004B6EAB">
        <w:t>Include an ‘Appointment Letter’ for the Investment Committee that will clearly set out its responsibilities and obligations, as well as meeting frequency, decision-making processes, record keeping and reporting requirements.</w:t>
      </w:r>
    </w:p>
    <w:p w14:paraId="04671F8F" w14:textId="77777777" w:rsidR="00800EBE" w:rsidRPr="004B6EAB" w:rsidRDefault="00800EBE" w:rsidP="00800EBE">
      <w:pPr>
        <w:pStyle w:val="ListParagraph"/>
        <w:numPr>
          <w:ilvl w:val="3"/>
          <w:numId w:val="4"/>
        </w:numPr>
        <w:spacing w:before="0" w:after="160" w:line="259" w:lineRule="auto"/>
        <w:ind w:left="1930"/>
        <w:contextualSpacing w:val="0"/>
        <w:jc w:val="both"/>
      </w:pPr>
      <w:r w:rsidRPr="004B6EAB">
        <w:rPr>
          <w:szCs w:val="24"/>
        </w:rPr>
        <w:t>Include an explicit requirement that the portfolio managers and investment funds LLF invests with will comply with all relevant global sanctions to which LLF and those managers are subject.</w:t>
      </w:r>
    </w:p>
    <w:p w14:paraId="0332621B"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t>In order to demonstrate appropriate resources in place to protect against future uncertainty, maintain operations and help identify any possible funding gap, LLF will formalise and document its Reserves policy.</w:t>
      </w:r>
    </w:p>
    <w:p w14:paraId="27AB4043" w14:textId="77777777" w:rsidR="002E414C" w:rsidRDefault="002E414C" w:rsidP="002E414C">
      <w:pPr>
        <w:pStyle w:val="ListParagraph"/>
        <w:spacing w:before="0" w:after="160" w:line="259" w:lineRule="auto"/>
        <w:ind w:left="391"/>
        <w:contextualSpacing w:val="0"/>
        <w:jc w:val="both"/>
        <w:rPr>
          <w:b/>
          <w:spacing w:val="-3"/>
          <w:szCs w:val="24"/>
        </w:rPr>
      </w:pPr>
    </w:p>
    <w:p w14:paraId="40560CD9" w14:textId="77777777" w:rsidR="00800EBE" w:rsidRPr="004B6EAB" w:rsidRDefault="00800EBE" w:rsidP="00800EBE">
      <w:pPr>
        <w:pStyle w:val="ListParagraph"/>
        <w:numPr>
          <w:ilvl w:val="0"/>
          <w:numId w:val="4"/>
        </w:numPr>
        <w:spacing w:before="0" w:after="160" w:line="259" w:lineRule="auto"/>
        <w:ind w:left="391" w:hanging="391"/>
        <w:contextualSpacing w:val="0"/>
        <w:jc w:val="both"/>
        <w:rPr>
          <w:b/>
          <w:spacing w:val="-3"/>
          <w:szCs w:val="24"/>
        </w:rPr>
      </w:pPr>
      <w:r w:rsidRPr="004B6EAB">
        <w:rPr>
          <w:b/>
          <w:spacing w:val="-3"/>
          <w:szCs w:val="24"/>
        </w:rPr>
        <w:t>Conflicts of Interest</w:t>
      </w:r>
    </w:p>
    <w:p w14:paraId="4037BA72" w14:textId="77777777" w:rsidR="00800EBE" w:rsidRPr="004B6EAB" w:rsidRDefault="00800EBE" w:rsidP="00800EBE">
      <w:pPr>
        <w:pStyle w:val="ListParagraph"/>
        <w:numPr>
          <w:ilvl w:val="1"/>
          <w:numId w:val="4"/>
        </w:numPr>
        <w:spacing w:before="0" w:after="240" w:line="259" w:lineRule="auto"/>
        <w:contextualSpacing w:val="0"/>
        <w:jc w:val="both"/>
        <w:rPr>
          <w:spacing w:val="-3"/>
        </w:rPr>
      </w:pPr>
      <w:r w:rsidRPr="004B6EAB">
        <w:rPr>
          <w:spacing w:val="-3"/>
        </w:rPr>
        <w:t>Conflict of Interest refers to any situation where the impartial and objective exercise of the functions of anyone acting on behalf of LLF is, or may be, compromised for reasons involving family, personal life, political or national affinity, economic interest or any other connection or shared interest with another person.</w:t>
      </w:r>
    </w:p>
    <w:p w14:paraId="34F88A8C" w14:textId="53539C76" w:rsidR="00800EBE" w:rsidRPr="004B6EAB" w:rsidRDefault="00800EBE" w:rsidP="00800EBE">
      <w:pPr>
        <w:pStyle w:val="ListParagraph"/>
        <w:numPr>
          <w:ilvl w:val="1"/>
          <w:numId w:val="4"/>
        </w:numPr>
        <w:spacing w:before="0" w:after="240" w:line="259" w:lineRule="auto"/>
        <w:contextualSpacing w:val="0"/>
        <w:jc w:val="both"/>
        <w:rPr>
          <w:spacing w:val="-3"/>
        </w:rPr>
      </w:pPr>
      <w:r w:rsidRPr="004B6EAB">
        <w:rPr>
          <w:spacing w:val="-3"/>
        </w:rPr>
        <w:t xml:space="preserve">Neither LLF nor its Board members, Investment Committee members, staff, volunteers or </w:t>
      </w:r>
      <w:r w:rsidR="00D84E3B" w:rsidRPr="004B6EAB">
        <w:rPr>
          <w:spacing w:val="-3"/>
        </w:rPr>
        <w:t>D</w:t>
      </w:r>
      <w:r w:rsidRPr="004B6EAB">
        <w:rPr>
          <w:spacing w:val="-3"/>
        </w:rPr>
        <w:t xml:space="preserve">ownstream </w:t>
      </w:r>
      <w:r w:rsidR="00D84E3B" w:rsidRPr="004B6EAB">
        <w:rPr>
          <w:spacing w:val="-3"/>
        </w:rPr>
        <w:t>P</w:t>
      </w:r>
      <w:r w:rsidRPr="004B6EAB">
        <w:rPr>
          <w:spacing w:val="-3"/>
        </w:rPr>
        <w:t>artners may engage in any personal, business or professional activity which conflicts or could conflict with any of their obligations in relation to this contribution agreement.</w:t>
      </w:r>
    </w:p>
    <w:p w14:paraId="3DE7DC40" w14:textId="77777777" w:rsidR="00800EBE" w:rsidRPr="004B6EAB" w:rsidRDefault="00800EBE" w:rsidP="00800EBE">
      <w:pPr>
        <w:pStyle w:val="ListParagraph"/>
        <w:numPr>
          <w:ilvl w:val="1"/>
          <w:numId w:val="4"/>
        </w:numPr>
        <w:spacing w:before="0" w:after="240" w:line="259" w:lineRule="auto"/>
        <w:contextualSpacing w:val="0"/>
        <w:jc w:val="both"/>
        <w:rPr>
          <w:spacing w:val="-3"/>
        </w:rPr>
      </w:pPr>
      <w:r w:rsidRPr="004B6EAB">
        <w:rPr>
          <w:spacing w:val="-3"/>
        </w:rPr>
        <w:t>LLF must have and will keep in place adequate procedures to manage and monitor any actual or perceived bias or conflicts of interest.</w:t>
      </w:r>
    </w:p>
    <w:p w14:paraId="02F9505B" w14:textId="77777777" w:rsidR="00800EBE" w:rsidRPr="004B6EAB" w:rsidRDefault="00800EBE" w:rsidP="00800EBE">
      <w:pPr>
        <w:pStyle w:val="ListParagraph"/>
        <w:numPr>
          <w:ilvl w:val="1"/>
          <w:numId w:val="4"/>
        </w:numPr>
        <w:spacing w:before="0" w:after="240" w:line="259" w:lineRule="auto"/>
        <w:contextualSpacing w:val="0"/>
        <w:jc w:val="both"/>
      </w:pPr>
      <w:r w:rsidRPr="004B6EAB">
        <w:t xml:space="preserve">LLF must take all necessary precautions to avoid any conflicts of interest in all matters related to the Programme. If a conflict of interest occurs, LLF shall, without delay, take all necessary measures to resolve the conflict, e.g. by </w:t>
      </w:r>
      <w:r w:rsidRPr="004B6EAB">
        <w:lastRenderedPageBreak/>
        <w:t>replacing the person in question or by obtaining independent verification of the terms of the proposed decision or transaction.</w:t>
      </w:r>
    </w:p>
    <w:p w14:paraId="318C6304" w14:textId="77777777" w:rsidR="00800EBE" w:rsidRPr="004B6EAB" w:rsidRDefault="00800EBE" w:rsidP="00800EBE">
      <w:pPr>
        <w:pStyle w:val="ListParagraph"/>
        <w:numPr>
          <w:ilvl w:val="1"/>
          <w:numId w:val="4"/>
        </w:numPr>
        <w:spacing w:before="0" w:after="240" w:line="259" w:lineRule="auto"/>
        <w:contextualSpacing w:val="0"/>
        <w:jc w:val="both"/>
        <w:rPr>
          <w:spacing w:val="-3"/>
        </w:rPr>
      </w:pPr>
      <w:r w:rsidRPr="004B6EAB">
        <w:rPr>
          <w:spacing w:val="-3"/>
          <w:szCs w:val="24"/>
        </w:rPr>
        <w:t>If the conflict of interest cannot be resolved and/or if it relates to a decision or transaction of special significance to the Programme, the decision or transaction may not be concluded without the prior, written approval of Defra.</w:t>
      </w:r>
    </w:p>
    <w:p w14:paraId="71BF4D85" w14:textId="77777777" w:rsidR="00800EBE" w:rsidRPr="004B6EAB" w:rsidRDefault="00800EBE" w:rsidP="00800EBE">
      <w:pPr>
        <w:pStyle w:val="ListParagraph"/>
        <w:numPr>
          <w:ilvl w:val="1"/>
          <w:numId w:val="4"/>
        </w:numPr>
        <w:spacing w:before="0" w:after="240" w:line="259" w:lineRule="auto"/>
        <w:contextualSpacing w:val="0"/>
        <w:jc w:val="both"/>
        <w:rPr>
          <w:spacing w:val="-3"/>
        </w:rPr>
      </w:pPr>
      <w:r w:rsidRPr="004B6EAB">
        <w:rPr>
          <w:spacing w:val="-3"/>
        </w:rPr>
        <w:t>As per the Delivery Partner Review:</w:t>
      </w:r>
    </w:p>
    <w:p w14:paraId="5732DF15" w14:textId="488336A6" w:rsidR="006C3030" w:rsidRPr="004B6EAB" w:rsidRDefault="00800EBE">
      <w:pPr>
        <w:pStyle w:val="ListParagraph"/>
        <w:numPr>
          <w:ilvl w:val="2"/>
          <w:numId w:val="4"/>
        </w:numPr>
        <w:spacing w:before="0" w:after="240" w:line="259" w:lineRule="auto"/>
        <w:ind w:left="1287"/>
        <w:contextualSpacing w:val="0"/>
        <w:jc w:val="both"/>
      </w:pPr>
      <w:r w:rsidRPr="004B6EAB">
        <w:rPr>
          <w:spacing w:val="-3"/>
        </w:rPr>
        <w:t>All staff, volunteers</w:t>
      </w:r>
      <w:r w:rsidRPr="004B6EAB">
        <w:t xml:space="preserve"> and</w:t>
      </w:r>
      <w:r w:rsidRPr="004B6EAB">
        <w:rPr>
          <w:spacing w:val="-3"/>
        </w:rPr>
        <w:t xml:space="preserve"> </w:t>
      </w:r>
      <w:r w:rsidRPr="004B6EAB">
        <w:t xml:space="preserve">Management </w:t>
      </w:r>
      <w:r w:rsidRPr="004B6EAB">
        <w:rPr>
          <w:spacing w:val="-3"/>
        </w:rPr>
        <w:t xml:space="preserve">Board members will complete annual declarations on conflict-of-interest. </w:t>
      </w:r>
    </w:p>
    <w:p w14:paraId="5CF3EC5E" w14:textId="772FDF6B" w:rsidR="004275B6" w:rsidRPr="004B6EAB" w:rsidRDefault="00800EBE">
      <w:pPr>
        <w:pStyle w:val="ListParagraph"/>
        <w:numPr>
          <w:ilvl w:val="2"/>
          <w:numId w:val="4"/>
        </w:numPr>
        <w:spacing w:before="0" w:after="240" w:line="259" w:lineRule="auto"/>
        <w:ind w:left="1287"/>
        <w:contextualSpacing w:val="0"/>
        <w:jc w:val="both"/>
      </w:pPr>
      <w:r w:rsidRPr="004B6EAB">
        <w:t>Supervisory Board members will comp</w:t>
      </w:r>
      <w:r w:rsidR="0080491F" w:rsidRPr="004B6EAB">
        <w:t>l</w:t>
      </w:r>
      <w:r w:rsidRPr="004B6EAB">
        <w:t>ete a conflicts of interest declaration upon joining the Supervisory Board which will require updates if changes occur.</w:t>
      </w:r>
    </w:p>
    <w:p w14:paraId="39130C4B" w14:textId="77777777" w:rsidR="0076597D" w:rsidRPr="0076597D" w:rsidRDefault="004275B6" w:rsidP="0076597D">
      <w:pPr>
        <w:pStyle w:val="ListParagraph"/>
        <w:numPr>
          <w:ilvl w:val="2"/>
          <w:numId w:val="4"/>
        </w:numPr>
        <w:spacing w:before="0" w:after="240" w:line="259" w:lineRule="auto"/>
        <w:ind w:left="1287"/>
        <w:jc w:val="both"/>
      </w:pPr>
      <w:r w:rsidRPr="0076597D">
        <w:t xml:space="preserve">LLF shall require the members of the Investment Committee to </w:t>
      </w:r>
      <w:r w:rsidRPr="0076597D">
        <w:rPr>
          <w:lang w:val="en-US"/>
        </w:rPr>
        <w:t>disclose any conflicts of interest to the rest of the Investment Committee and to recuse themselves from voting on the relevant matter, when conflicts of interest arise.</w:t>
      </w:r>
      <w:r w:rsidRPr="0076597D">
        <w:t> </w:t>
      </w:r>
    </w:p>
    <w:p w14:paraId="68D1F50E" w14:textId="77777777" w:rsidR="0076597D" w:rsidRPr="0076597D" w:rsidRDefault="0076597D" w:rsidP="0076597D">
      <w:pPr>
        <w:pStyle w:val="ListParagraph"/>
        <w:spacing w:before="0" w:after="240" w:line="259" w:lineRule="auto"/>
        <w:ind w:left="1287"/>
        <w:jc w:val="both"/>
      </w:pPr>
    </w:p>
    <w:p w14:paraId="1AD21391" w14:textId="129492D7" w:rsidR="005029F4" w:rsidRPr="0076597D" w:rsidRDefault="005029F4" w:rsidP="0076597D">
      <w:pPr>
        <w:pStyle w:val="ListParagraph"/>
        <w:numPr>
          <w:ilvl w:val="2"/>
          <w:numId w:val="4"/>
        </w:numPr>
        <w:spacing w:before="0" w:after="240" w:line="259" w:lineRule="auto"/>
        <w:ind w:left="1287"/>
        <w:jc w:val="both"/>
      </w:pPr>
      <w:r w:rsidRPr="0076597D">
        <w:rPr>
          <w:spacing w:val="-3"/>
        </w:rPr>
        <w:t>Any identified conflicts</w:t>
      </w:r>
      <w:r w:rsidR="00227217" w:rsidRPr="0076597D">
        <w:rPr>
          <w:spacing w:val="-3"/>
        </w:rPr>
        <w:t>, including thos</w:t>
      </w:r>
      <w:r w:rsidR="00971469" w:rsidRPr="0076597D">
        <w:rPr>
          <w:spacing w:val="-3"/>
        </w:rPr>
        <w:t>e</w:t>
      </w:r>
      <w:r w:rsidR="00227217" w:rsidRPr="0076597D">
        <w:rPr>
          <w:spacing w:val="-3"/>
        </w:rPr>
        <w:t xml:space="preserve"> for </w:t>
      </w:r>
      <w:r w:rsidR="00971469" w:rsidRPr="0076597D">
        <w:rPr>
          <w:spacing w:val="-3"/>
        </w:rPr>
        <w:t>Investment Committee members,</w:t>
      </w:r>
      <w:r w:rsidRPr="0076597D">
        <w:rPr>
          <w:spacing w:val="-3"/>
        </w:rPr>
        <w:t xml:space="preserve"> will be recorded in a conflict-of-interest register.</w:t>
      </w:r>
    </w:p>
    <w:p w14:paraId="2E4BE651" w14:textId="77777777" w:rsidR="0076597D" w:rsidRDefault="0076597D" w:rsidP="0076597D">
      <w:pPr>
        <w:pStyle w:val="ListParagraph"/>
      </w:pPr>
    </w:p>
    <w:p w14:paraId="5561031E" w14:textId="77777777" w:rsidR="00800EBE" w:rsidRPr="004B6EAB" w:rsidRDefault="00800EBE" w:rsidP="00800EBE">
      <w:pPr>
        <w:pStyle w:val="ListParagraph"/>
        <w:numPr>
          <w:ilvl w:val="1"/>
          <w:numId w:val="4"/>
        </w:numPr>
        <w:spacing w:before="0" w:after="240" w:line="259" w:lineRule="auto"/>
        <w:contextualSpacing w:val="0"/>
        <w:jc w:val="both"/>
        <w:rPr>
          <w:spacing w:val="-3"/>
        </w:rPr>
      </w:pPr>
      <w:r w:rsidRPr="004B6EAB">
        <w:rPr>
          <w:spacing w:val="-3"/>
        </w:rPr>
        <w:t>LLF will amend their conflict-of-interest policy to include examples of potential areas where conflicts of interest may arise, so that Management and Supervisory Board members, staff and volunteers might better understand what can be considered as a conflict.</w:t>
      </w:r>
    </w:p>
    <w:p w14:paraId="296DE75A" w14:textId="77777777" w:rsidR="002E414C" w:rsidRDefault="002E414C" w:rsidP="002E414C">
      <w:pPr>
        <w:pStyle w:val="ListParagraph"/>
        <w:spacing w:before="0" w:after="240" w:line="259" w:lineRule="auto"/>
        <w:ind w:left="390"/>
        <w:contextualSpacing w:val="0"/>
        <w:jc w:val="both"/>
        <w:rPr>
          <w:b/>
          <w:bCs/>
          <w:szCs w:val="24"/>
        </w:rPr>
      </w:pPr>
    </w:p>
    <w:p w14:paraId="69C5CD5F" w14:textId="77777777" w:rsidR="00800EBE" w:rsidRPr="004B6EAB" w:rsidRDefault="00800EBE" w:rsidP="00800EBE">
      <w:pPr>
        <w:pStyle w:val="ListParagraph"/>
        <w:numPr>
          <w:ilvl w:val="0"/>
          <w:numId w:val="4"/>
        </w:numPr>
        <w:spacing w:before="0" w:after="240" w:line="259" w:lineRule="auto"/>
        <w:contextualSpacing w:val="0"/>
        <w:jc w:val="both"/>
        <w:rPr>
          <w:b/>
          <w:bCs/>
          <w:szCs w:val="24"/>
        </w:rPr>
      </w:pPr>
      <w:r w:rsidRPr="004B6EAB">
        <w:rPr>
          <w:b/>
          <w:bCs/>
          <w:szCs w:val="24"/>
        </w:rPr>
        <w:t>Exchange rate fluctuations</w:t>
      </w:r>
    </w:p>
    <w:p w14:paraId="6464AAD9" w14:textId="25F91A31" w:rsidR="00800EBE" w:rsidRPr="004B6EAB" w:rsidRDefault="00800EBE" w:rsidP="00800EBE">
      <w:pPr>
        <w:pStyle w:val="Level1"/>
        <w:numPr>
          <w:ilvl w:val="1"/>
          <w:numId w:val="4"/>
        </w:numPr>
        <w:spacing w:line="259" w:lineRule="auto"/>
        <w:rPr>
          <w:sz w:val="24"/>
          <w:szCs w:val="24"/>
        </w:rPr>
      </w:pPr>
      <w:r w:rsidRPr="004B6EAB">
        <w:rPr>
          <w:sz w:val="24"/>
          <w:szCs w:val="24"/>
        </w:rPr>
        <w:t>If the contribution is converted</w:t>
      </w:r>
      <w:r w:rsidR="00ED750B" w:rsidRPr="004B6EAB">
        <w:rPr>
          <w:sz w:val="24"/>
          <w:szCs w:val="24"/>
        </w:rPr>
        <w:t xml:space="preserve"> by LLF</w:t>
      </w:r>
      <w:r w:rsidRPr="004B6EAB">
        <w:rPr>
          <w:sz w:val="24"/>
          <w:szCs w:val="24"/>
        </w:rPr>
        <w:t xml:space="preserve"> into another currency, the exchange shall be made through a national or commercial bank unless otherwise approved by Defra. Exchange rates must be stated to four decimal places.</w:t>
      </w:r>
    </w:p>
    <w:p w14:paraId="04FB31E9" w14:textId="77777777" w:rsidR="00800EBE" w:rsidRPr="004B6EAB" w:rsidRDefault="00800EBE" w:rsidP="00800EBE">
      <w:pPr>
        <w:pStyle w:val="Level1"/>
        <w:numPr>
          <w:ilvl w:val="1"/>
          <w:numId w:val="4"/>
        </w:numPr>
        <w:spacing w:line="259" w:lineRule="auto"/>
        <w:rPr>
          <w:sz w:val="24"/>
          <w:szCs w:val="24"/>
        </w:rPr>
      </w:pPr>
      <w:r w:rsidRPr="004B6EAB">
        <w:rPr>
          <w:sz w:val="24"/>
          <w:szCs w:val="24"/>
        </w:rPr>
        <w:t>If exchange rate fluctuations decrease the value of the contribution to such an extent that this will have consequences for the implementation of the Programme, LLF shall inform Defra as soon as possible.</w:t>
      </w:r>
    </w:p>
    <w:p w14:paraId="33B65A6A" w14:textId="77777777" w:rsidR="00800EBE" w:rsidRPr="004B6EAB" w:rsidRDefault="00800EBE" w:rsidP="00800EBE">
      <w:pPr>
        <w:pStyle w:val="Level1"/>
        <w:numPr>
          <w:ilvl w:val="1"/>
          <w:numId w:val="4"/>
        </w:numPr>
        <w:spacing w:line="259" w:lineRule="auto"/>
        <w:rPr>
          <w:sz w:val="24"/>
          <w:szCs w:val="24"/>
        </w:rPr>
      </w:pPr>
      <w:r w:rsidRPr="004B6EAB">
        <w:rPr>
          <w:sz w:val="24"/>
          <w:szCs w:val="24"/>
        </w:rPr>
        <w:t xml:space="preserve">If exchange rate fluctuations increase the value of the contribution, the surplus shall be treated as disbursed funds and used for Programme purposes. </w:t>
      </w:r>
      <w:bookmarkStart w:id="7" w:name="AidDiversion"/>
    </w:p>
    <w:p w14:paraId="609C72D2" w14:textId="77777777" w:rsidR="002E414C" w:rsidRPr="002E414C" w:rsidRDefault="002E414C" w:rsidP="002E414C">
      <w:pPr>
        <w:pStyle w:val="Level1"/>
        <w:numPr>
          <w:ilvl w:val="0"/>
          <w:numId w:val="0"/>
        </w:numPr>
        <w:spacing w:line="259" w:lineRule="auto"/>
        <w:ind w:left="390"/>
        <w:rPr>
          <w:sz w:val="24"/>
          <w:szCs w:val="24"/>
        </w:rPr>
      </w:pPr>
    </w:p>
    <w:p w14:paraId="14EF4D99" w14:textId="77777777" w:rsidR="00800EBE" w:rsidRPr="004B6EAB" w:rsidRDefault="00800EBE" w:rsidP="00800EBE">
      <w:pPr>
        <w:pStyle w:val="Level1"/>
        <w:numPr>
          <w:ilvl w:val="0"/>
          <w:numId w:val="4"/>
        </w:numPr>
        <w:spacing w:line="259" w:lineRule="auto"/>
        <w:rPr>
          <w:sz w:val="24"/>
          <w:szCs w:val="24"/>
        </w:rPr>
      </w:pPr>
      <w:r w:rsidRPr="004B6EAB">
        <w:rPr>
          <w:b/>
          <w:bCs/>
          <w:sz w:val="24"/>
          <w:szCs w:val="24"/>
        </w:rPr>
        <w:t xml:space="preserve">Financial Management and Prevention of Bribery, Corruption, Fraud, Aid Diversion and Other Irregularity </w:t>
      </w:r>
    </w:p>
    <w:p w14:paraId="3B80AE24" w14:textId="77777777" w:rsidR="00800EBE" w:rsidRPr="004B6EAB" w:rsidRDefault="00800EBE" w:rsidP="00800EBE">
      <w:pPr>
        <w:pStyle w:val="Level2"/>
        <w:numPr>
          <w:ilvl w:val="1"/>
          <w:numId w:val="4"/>
        </w:numPr>
        <w:spacing w:line="259" w:lineRule="auto"/>
        <w:rPr>
          <w:sz w:val="24"/>
          <w:szCs w:val="24"/>
        </w:rPr>
      </w:pPr>
      <w:r w:rsidRPr="004B6EAB">
        <w:rPr>
          <w:sz w:val="24"/>
          <w:szCs w:val="24"/>
        </w:rPr>
        <w:lastRenderedPageBreak/>
        <w:t>LLF must at all times comply with all applicable Laws, statutes and regulations relating to anti-bribery and anti-corruption, including but not limited to the Bribery Act.</w:t>
      </w:r>
    </w:p>
    <w:p w14:paraId="52A56076" w14:textId="77777777" w:rsidR="00800EBE" w:rsidRPr="004B6EAB" w:rsidRDefault="00800EBE" w:rsidP="00800EBE">
      <w:pPr>
        <w:pStyle w:val="Level2"/>
        <w:numPr>
          <w:ilvl w:val="1"/>
          <w:numId w:val="4"/>
        </w:numPr>
        <w:spacing w:line="259" w:lineRule="auto"/>
        <w:rPr>
          <w:sz w:val="24"/>
          <w:szCs w:val="24"/>
        </w:rPr>
      </w:pPr>
      <w:r w:rsidRPr="004B6EAB">
        <w:rPr>
          <w:sz w:val="24"/>
          <w:szCs w:val="24"/>
        </w:rPr>
        <w:t>LLF must have a sound administration and audit process, including internal financial controls to safeguard against fraud, theft, money laundering, counter terrorist financing or any other impropriety, or mismanagement in connection with the administration of the contribution.  LLF must require that the internal/external auditors report on the adequacy or otherwise of that system.</w:t>
      </w:r>
    </w:p>
    <w:p w14:paraId="2D72705A" w14:textId="6E0E8EAC" w:rsidR="00800EBE" w:rsidRPr="004B6EAB" w:rsidRDefault="00F32D46" w:rsidP="00800EBE">
      <w:pPr>
        <w:pStyle w:val="Level2"/>
        <w:numPr>
          <w:ilvl w:val="1"/>
          <w:numId w:val="4"/>
        </w:numPr>
        <w:spacing w:line="259" w:lineRule="auto"/>
        <w:rPr>
          <w:sz w:val="24"/>
          <w:szCs w:val="24"/>
        </w:rPr>
      </w:pPr>
      <w:r w:rsidRPr="004B6EAB">
        <w:rPr>
          <w:sz w:val="24"/>
          <w:szCs w:val="24"/>
        </w:rPr>
        <w:t xml:space="preserve">When informed of </w:t>
      </w:r>
      <w:r w:rsidR="00800EBE" w:rsidRPr="004B6EAB">
        <w:rPr>
          <w:sz w:val="24"/>
          <w:szCs w:val="24"/>
        </w:rPr>
        <w:t>cases of fraud or theft (whether proven or suspected) relating to Defra’s contribution</w:t>
      </w:r>
      <w:r w:rsidRPr="004B6EAB">
        <w:rPr>
          <w:sz w:val="24"/>
          <w:szCs w:val="24"/>
        </w:rPr>
        <w:t xml:space="preserve">, </w:t>
      </w:r>
      <w:r w:rsidR="00800EBE" w:rsidRPr="004B6EAB">
        <w:rPr>
          <w:sz w:val="24"/>
          <w:szCs w:val="24"/>
        </w:rPr>
        <w:t>Defra may request that the matter be referred (which LLF is obliged to carry out) to external auditors or other Third Party as required.</w:t>
      </w:r>
      <w:r w:rsidR="00C93BEF" w:rsidRPr="004B6EAB">
        <w:rPr>
          <w:sz w:val="24"/>
          <w:szCs w:val="24"/>
        </w:rPr>
        <w:t xml:space="preserve"> Reporting requirements relating to fraud and theft should be followed in accordance with Paragraph 4.3e.</w:t>
      </w:r>
    </w:p>
    <w:p w14:paraId="1A4CEC3D" w14:textId="6FF7C072" w:rsidR="00800EBE" w:rsidRPr="004B6EAB" w:rsidRDefault="00800EBE" w:rsidP="00800EBE">
      <w:pPr>
        <w:pStyle w:val="Level2"/>
        <w:numPr>
          <w:ilvl w:val="1"/>
          <w:numId w:val="4"/>
        </w:numPr>
        <w:spacing w:line="259" w:lineRule="auto"/>
        <w:rPr>
          <w:sz w:val="24"/>
          <w:szCs w:val="24"/>
        </w:rPr>
      </w:pPr>
      <w:r w:rsidRPr="004B6EAB">
        <w:rPr>
          <w:sz w:val="24"/>
          <w:szCs w:val="24"/>
        </w:rPr>
        <w:t xml:space="preserve">Defra will have the right, at its absolute discretion, to insist that LLF address any actual or suspected fraud, theft or other financial irregularity </w:t>
      </w:r>
      <w:r w:rsidR="00BA0D9E" w:rsidRPr="004B6EAB">
        <w:rPr>
          <w:sz w:val="24"/>
          <w:szCs w:val="24"/>
        </w:rPr>
        <w:t xml:space="preserve">including Aid Diversion </w:t>
      </w:r>
      <w:r w:rsidR="00A661C1" w:rsidRPr="004B6EAB">
        <w:rPr>
          <w:sz w:val="24"/>
          <w:szCs w:val="24"/>
        </w:rPr>
        <w:t xml:space="preserve">related to Defra’s contribution </w:t>
      </w:r>
      <w:r w:rsidRPr="004B6EAB">
        <w:rPr>
          <w:sz w:val="24"/>
          <w:szCs w:val="24"/>
        </w:rPr>
        <w:t>and/or to suspend future payment to LLF. Any grounds for suspecting financial irregularity includes what LLF, acting with due care, should have suspected as well as what is actually proven.</w:t>
      </w:r>
    </w:p>
    <w:p w14:paraId="140F94D6" w14:textId="77777777" w:rsidR="00800EBE" w:rsidRPr="004B6EAB" w:rsidRDefault="00800EBE" w:rsidP="00800EBE">
      <w:pPr>
        <w:pStyle w:val="Level2"/>
        <w:numPr>
          <w:ilvl w:val="1"/>
          <w:numId w:val="4"/>
        </w:numPr>
        <w:spacing w:line="259" w:lineRule="auto"/>
        <w:rPr>
          <w:sz w:val="24"/>
          <w:szCs w:val="24"/>
        </w:rPr>
      </w:pPr>
      <w:r w:rsidRPr="004B6EAB">
        <w:rPr>
          <w:sz w:val="24"/>
          <w:szCs w:val="24"/>
        </w:rPr>
        <w:t>LLF agrees and accepts that it may become ineligible for funding and may be required to repay all or part of Defra’s contribution if it engages in tax evasion or aggressive tax avoidance in the opinion of His Majesty’s Revenue and Customs.</w:t>
      </w:r>
    </w:p>
    <w:p w14:paraId="34CDA3D2" w14:textId="77777777" w:rsidR="00800EBE" w:rsidRPr="004B6EAB" w:rsidRDefault="00800EBE" w:rsidP="00800EBE">
      <w:pPr>
        <w:pStyle w:val="ListParagraph"/>
        <w:numPr>
          <w:ilvl w:val="1"/>
          <w:numId w:val="4"/>
        </w:numPr>
        <w:tabs>
          <w:tab w:val="left" w:pos="709"/>
        </w:tabs>
        <w:spacing w:before="0" w:after="0" w:line="240" w:lineRule="auto"/>
        <w:jc w:val="both"/>
      </w:pPr>
      <w:r w:rsidRPr="004B6EAB">
        <w:t xml:space="preserve">Aid Diversion is any event, including fraud, corruption, bribery, theft, terrorist financing, money laundering and other misuse of funds that prevents funds being directed to the aid outcomes or recipients intended. </w:t>
      </w:r>
    </w:p>
    <w:p w14:paraId="50126D1B" w14:textId="77777777" w:rsidR="00800EBE" w:rsidRPr="004B6EAB" w:rsidRDefault="00800EBE" w:rsidP="00800EBE">
      <w:pPr>
        <w:pStyle w:val="ListParagraph"/>
        <w:tabs>
          <w:tab w:val="left" w:pos="709"/>
        </w:tabs>
        <w:spacing w:before="0" w:after="0"/>
        <w:ind w:left="862"/>
        <w:jc w:val="both"/>
      </w:pPr>
    </w:p>
    <w:p w14:paraId="388C3C66" w14:textId="77777777" w:rsidR="004E1B91" w:rsidRPr="004B6EAB" w:rsidRDefault="00800EBE" w:rsidP="0085640A">
      <w:pPr>
        <w:pStyle w:val="ListParagraph"/>
        <w:numPr>
          <w:ilvl w:val="1"/>
          <w:numId w:val="4"/>
        </w:numPr>
        <w:tabs>
          <w:tab w:val="left" w:pos="709"/>
        </w:tabs>
        <w:spacing w:before="0" w:after="0" w:line="240" w:lineRule="auto"/>
        <w:ind w:left="709"/>
        <w:jc w:val="both"/>
      </w:pPr>
      <w:r w:rsidRPr="004B6EAB">
        <w:t xml:space="preserve">LLF and </w:t>
      </w:r>
      <w:r w:rsidR="00D84E3B" w:rsidRPr="004B6EAB">
        <w:t xml:space="preserve">Downstream </w:t>
      </w:r>
      <w:r w:rsidRPr="004B6EAB">
        <w:t>Partners will immediately and without undue delay inform each other of any event which interferes or threatens to materially interfere with this contribution, whether financed in full or in part by Defra, including credible suspicions of, or actual Aid Diversion. LLF should assess credibility based on the source of the allegation, the content, and the level of detail or evidence provided.</w:t>
      </w:r>
    </w:p>
    <w:p w14:paraId="76F5DDF5" w14:textId="77777777" w:rsidR="004E1B91" w:rsidRPr="004B6EAB" w:rsidRDefault="004E1B91" w:rsidP="004E1B91">
      <w:pPr>
        <w:pStyle w:val="ListParagraph"/>
      </w:pPr>
    </w:p>
    <w:p w14:paraId="124AC582" w14:textId="7A58B7B3" w:rsidR="00800EBE" w:rsidRPr="004B6EAB" w:rsidRDefault="006D7B9D" w:rsidP="0085640A">
      <w:pPr>
        <w:pStyle w:val="ListParagraph"/>
        <w:numPr>
          <w:ilvl w:val="1"/>
          <w:numId w:val="4"/>
        </w:numPr>
        <w:tabs>
          <w:tab w:val="left" w:pos="709"/>
        </w:tabs>
        <w:spacing w:before="0" w:after="0" w:line="240" w:lineRule="auto"/>
        <w:ind w:left="709"/>
        <w:jc w:val="both"/>
      </w:pPr>
      <w:r w:rsidRPr="004B6EAB">
        <w:t>Any reports of fraud, theft, corruption, or Aid Diversion</w:t>
      </w:r>
      <w:r w:rsidR="00334D06" w:rsidRPr="004B6EAB">
        <w:t xml:space="preserve"> </w:t>
      </w:r>
      <w:r w:rsidR="00800EBE" w:rsidRPr="004B6EAB">
        <w:t>will be treated with the utmost confidentiality</w:t>
      </w:r>
      <w:r w:rsidR="00E17C5C" w:rsidRPr="004B6EAB">
        <w:t xml:space="preserve"> by Defra</w:t>
      </w:r>
      <w:r w:rsidR="00800EBE" w:rsidRPr="004B6EAB">
        <w:t xml:space="preserve">. </w:t>
      </w:r>
      <w:r w:rsidR="004729AD" w:rsidRPr="004B6EAB">
        <w:t>Defra will receive monthly reporting on these issues. High-risk incidents</w:t>
      </w:r>
      <w:r w:rsidR="00473D08" w:rsidRPr="004B6EAB">
        <w:t xml:space="preserve"> in Defra-funded landscapes</w:t>
      </w:r>
      <w:r w:rsidR="004729AD" w:rsidRPr="004B6EAB">
        <w:t xml:space="preserve"> </w:t>
      </w:r>
      <w:r w:rsidR="0030354B" w:rsidRPr="004B6EAB">
        <w:t>(</w:t>
      </w:r>
      <w:r w:rsidR="004729AD" w:rsidRPr="004B6EAB">
        <w:t xml:space="preserve">e.g., high monetary value and/or reputational risk) will be reported to Defra without delay. </w:t>
      </w:r>
      <w:r w:rsidR="00BB7CC7" w:rsidRPr="004B6EAB">
        <w:t>T</w:t>
      </w:r>
      <w:r w:rsidR="00800EBE" w:rsidRPr="004B6EAB">
        <w:t>his will be immediately passed on to Defra’s Counter Fraud Section.</w:t>
      </w:r>
    </w:p>
    <w:p w14:paraId="21DFC39F" w14:textId="77777777" w:rsidR="008D6CE4" w:rsidRPr="004B6EAB" w:rsidRDefault="008D6CE4" w:rsidP="00800EBE">
      <w:pPr>
        <w:pStyle w:val="ListParagraph"/>
        <w:tabs>
          <w:tab w:val="left" w:pos="709"/>
        </w:tabs>
        <w:spacing w:before="0" w:after="0"/>
        <w:ind w:left="709"/>
        <w:jc w:val="both"/>
      </w:pPr>
    </w:p>
    <w:p w14:paraId="5987CF70" w14:textId="148B7746" w:rsidR="00800EBE" w:rsidRPr="004B6EAB" w:rsidRDefault="00800EBE" w:rsidP="00800EBE">
      <w:pPr>
        <w:pStyle w:val="ListParagraph"/>
        <w:numPr>
          <w:ilvl w:val="1"/>
          <w:numId w:val="4"/>
        </w:numPr>
        <w:tabs>
          <w:tab w:val="left" w:pos="709"/>
        </w:tabs>
        <w:spacing w:before="0" w:after="0" w:line="240" w:lineRule="auto"/>
        <w:jc w:val="both"/>
      </w:pPr>
      <w:r w:rsidRPr="004B6EAB">
        <w:t>LLF and</w:t>
      </w:r>
      <w:r w:rsidR="008C7A6C" w:rsidRPr="004B6EAB">
        <w:t xml:space="preserve"> Downstream</w:t>
      </w:r>
      <w:r w:rsidRPr="004B6EAB">
        <w:t xml:space="preserve"> Partners shall have a zero-tolerance approach towards Aid Diversion, including any associated inappropriate behaviour. LLF and </w:t>
      </w:r>
      <w:r w:rsidR="007C3A65" w:rsidRPr="004B6EAB">
        <w:t xml:space="preserve">Downstream </w:t>
      </w:r>
      <w:r w:rsidRPr="004B6EAB">
        <w:t>Partners will fully co-operate with investigations into such events</w:t>
      </w:r>
      <w:bookmarkStart w:id="8" w:name="_Hlk124765734"/>
      <w:bookmarkEnd w:id="7"/>
      <w:r w:rsidRPr="004B6EAB">
        <w:t>.</w:t>
      </w:r>
    </w:p>
    <w:p w14:paraId="4A2DD2E7" w14:textId="77777777" w:rsidR="00800EBE" w:rsidRPr="004B6EAB" w:rsidRDefault="00800EBE" w:rsidP="00800EBE">
      <w:pPr>
        <w:pStyle w:val="ListParagraph"/>
        <w:tabs>
          <w:tab w:val="left" w:pos="709"/>
        </w:tabs>
        <w:spacing w:before="0" w:after="0" w:line="240" w:lineRule="auto"/>
        <w:jc w:val="both"/>
      </w:pPr>
    </w:p>
    <w:p w14:paraId="00F93BBF" w14:textId="51AD963F" w:rsidR="00193578" w:rsidRPr="004B6EAB" w:rsidRDefault="008627CC" w:rsidP="004E1B91">
      <w:pPr>
        <w:pStyle w:val="ListParagraph"/>
        <w:numPr>
          <w:ilvl w:val="1"/>
          <w:numId w:val="4"/>
        </w:numPr>
        <w:tabs>
          <w:tab w:val="left" w:pos="709"/>
        </w:tabs>
        <w:spacing w:before="0" w:after="0" w:line="240" w:lineRule="auto"/>
        <w:jc w:val="both"/>
      </w:pPr>
      <w:r w:rsidRPr="004B6EAB">
        <w:lastRenderedPageBreak/>
        <w:tab/>
        <w:t xml:space="preserve">Defra </w:t>
      </w:r>
      <w:r w:rsidR="00A73FF4" w:rsidRPr="004B6EAB">
        <w:t xml:space="preserve">reserves the right to suspend </w:t>
      </w:r>
      <w:r w:rsidRPr="004B6EAB">
        <w:t xml:space="preserve">funding where fraud or corruption has occurred </w:t>
      </w:r>
      <w:r w:rsidR="0000255C" w:rsidRPr="004B6EAB">
        <w:t xml:space="preserve">or there is a credible suspicion </w:t>
      </w:r>
      <w:r w:rsidR="00727E32" w:rsidRPr="004B6EAB">
        <w:t xml:space="preserve">involving </w:t>
      </w:r>
      <w:r w:rsidR="008A518D" w:rsidRPr="004B6EAB">
        <w:t>UK</w:t>
      </w:r>
      <w:r w:rsidR="00727E32" w:rsidRPr="004B6EAB">
        <w:t xml:space="preserve"> funds</w:t>
      </w:r>
      <w:r w:rsidR="008903D8" w:rsidRPr="004B6EAB">
        <w:t xml:space="preserve">.  </w:t>
      </w:r>
      <w:r w:rsidR="0000255C" w:rsidRPr="004B6EAB">
        <w:t>LLF agrees to share any credible suspicion of fraud/corruption with Defra without undue delay.</w:t>
      </w:r>
      <w:r w:rsidR="002F27CA" w:rsidRPr="004B6EAB">
        <w:t xml:space="preserve"> </w:t>
      </w:r>
      <w:r w:rsidRPr="004B6EAB">
        <w:t>Defra reserve</w:t>
      </w:r>
      <w:r w:rsidR="001D28F9" w:rsidRPr="004B6EAB">
        <w:t>s</w:t>
      </w:r>
      <w:r w:rsidRPr="004B6EAB">
        <w:t xml:space="preserve"> the right to investigate in the event of credible indications that UK funds have been subject to fraud</w:t>
      </w:r>
      <w:r w:rsidR="00BA5BE7" w:rsidRPr="004B6EAB">
        <w:t xml:space="preserve">.  </w:t>
      </w:r>
      <w:r w:rsidRPr="004B6EAB">
        <w:t>Defra reserve</w:t>
      </w:r>
      <w:r w:rsidR="00814E36" w:rsidRPr="004B6EAB">
        <w:t>s</w:t>
      </w:r>
      <w:r w:rsidRPr="004B6EAB">
        <w:t xml:space="preserve"> the right to reclaim funding that has been misappropriated</w:t>
      </w:r>
      <w:r w:rsidR="00FC2DDD" w:rsidRPr="004B6EAB">
        <w:t xml:space="preserve"> </w:t>
      </w:r>
      <w:r w:rsidR="00C30456" w:rsidRPr="004B6EAB">
        <w:t xml:space="preserve">when all appropriate steps were not taken by LLF and its management of </w:t>
      </w:r>
      <w:r w:rsidR="00D84E3B" w:rsidRPr="004B6EAB">
        <w:t>D</w:t>
      </w:r>
      <w:r w:rsidR="00C30456" w:rsidRPr="004B6EAB">
        <w:t xml:space="preserve">ownstream </w:t>
      </w:r>
      <w:r w:rsidR="00D84E3B" w:rsidRPr="004B6EAB">
        <w:t>P</w:t>
      </w:r>
      <w:r w:rsidR="00C30456" w:rsidRPr="004B6EAB">
        <w:t xml:space="preserve">artners to safeguard </w:t>
      </w:r>
      <w:r w:rsidR="00CB3796" w:rsidRPr="004B6EAB">
        <w:t xml:space="preserve">UK </w:t>
      </w:r>
      <w:r w:rsidR="00C30456" w:rsidRPr="004B6EAB">
        <w:t xml:space="preserve">funds </w:t>
      </w:r>
      <w:r w:rsidRPr="004B6EAB">
        <w:t>and will judge each case on its merit</w:t>
      </w:r>
      <w:r w:rsidR="00BA5BE7" w:rsidRPr="004B6EAB">
        <w:t>.</w:t>
      </w:r>
      <w:r w:rsidR="00B257D9" w:rsidRPr="004B6EAB">
        <w:t xml:space="preserve">  This paragraph does not apply to or affect paragraph 1.6</w:t>
      </w:r>
      <w:r w:rsidR="004E1B91" w:rsidRPr="004B6EAB">
        <w:t>.</w:t>
      </w:r>
    </w:p>
    <w:p w14:paraId="7E0FED74" w14:textId="77777777" w:rsidR="004E1B91" w:rsidRPr="004B6EAB" w:rsidRDefault="004E1B91" w:rsidP="004E1B91">
      <w:pPr>
        <w:tabs>
          <w:tab w:val="left" w:pos="709"/>
        </w:tabs>
        <w:spacing w:before="0" w:after="0" w:line="240" w:lineRule="auto"/>
        <w:jc w:val="both"/>
      </w:pPr>
    </w:p>
    <w:p w14:paraId="76B9E823" w14:textId="2E07E208" w:rsidR="00800EBE" w:rsidRPr="004B6EAB" w:rsidRDefault="00800EBE" w:rsidP="00800EBE">
      <w:pPr>
        <w:pStyle w:val="ListParagraph"/>
        <w:numPr>
          <w:ilvl w:val="1"/>
          <w:numId w:val="4"/>
        </w:numPr>
        <w:tabs>
          <w:tab w:val="left" w:pos="709"/>
        </w:tabs>
        <w:spacing w:before="0" w:after="0" w:line="240" w:lineRule="auto"/>
        <w:jc w:val="both"/>
      </w:pPr>
      <w:r w:rsidRPr="004B6EAB">
        <w:t xml:space="preserve">Consistent with local and international legislation and applicable United Nations Security Council resolutions, Defra, LLF and </w:t>
      </w:r>
      <w:r w:rsidR="00B11EB8" w:rsidRPr="004B6EAB">
        <w:t xml:space="preserve">Downstream </w:t>
      </w:r>
      <w:r w:rsidRPr="004B6EAB">
        <w:t xml:space="preserve">Partners are firmly committed to the international fight against terrorism.  It is Defra’s policy to seek to ensure that none of its resources are used, directly or indirectly, to provide support to individuals or entities associated with terrorism and that Defra staff and its programmes activity are compliant with counter terrorist financing legislation.  In accordance with this policy, Defra expects LLF and all </w:t>
      </w:r>
      <w:r w:rsidR="00B11EB8" w:rsidRPr="004B6EAB">
        <w:t xml:space="preserve">Downstream </w:t>
      </w:r>
      <w:r w:rsidRPr="004B6EAB">
        <w:t>Partners to make themselves aware of and comply with their obligations under the relevant counter terrorist financing legislation.</w:t>
      </w:r>
    </w:p>
    <w:p w14:paraId="550B80FF" w14:textId="77777777" w:rsidR="00800EBE" w:rsidRPr="004B6EAB" w:rsidRDefault="00800EBE" w:rsidP="00800EBE">
      <w:pPr>
        <w:tabs>
          <w:tab w:val="left" w:pos="709"/>
        </w:tabs>
        <w:spacing w:before="0" w:after="0" w:line="240" w:lineRule="auto"/>
        <w:contextualSpacing/>
        <w:jc w:val="both"/>
      </w:pPr>
    </w:p>
    <w:p w14:paraId="3560A143" w14:textId="77777777" w:rsidR="00800EBE" w:rsidRPr="004B6EAB" w:rsidRDefault="00800EBE" w:rsidP="00800EBE">
      <w:pPr>
        <w:pStyle w:val="ListParagraph"/>
        <w:numPr>
          <w:ilvl w:val="1"/>
          <w:numId w:val="4"/>
        </w:numPr>
        <w:spacing w:before="0" w:after="160" w:line="259" w:lineRule="auto"/>
        <w:contextualSpacing w:val="0"/>
        <w:jc w:val="both"/>
      </w:pPr>
      <w:r w:rsidRPr="004B6EAB">
        <w:t>LLF will seek to ensure that none of the funds or assets provided under this contribution are made available or used to provide support to individuals, groups or entities associated with terrorism including those named on the following lists as updated from time to time.</w:t>
      </w:r>
    </w:p>
    <w:p w14:paraId="57174D06"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t>HM Treasury’s Office of Financial Sanctions Implementation – Financial sanctions: consolidated list of targets.</w:t>
      </w:r>
    </w:p>
    <w:p w14:paraId="33F2B62C"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t>UK Home Office – Proscribed terrorist groups or organisations.</w:t>
      </w:r>
    </w:p>
    <w:p w14:paraId="01438B68"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t>European Union – Consolidated list of sanctions.</w:t>
      </w:r>
    </w:p>
    <w:p w14:paraId="1747CAF5"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t>United Nations – United Nations Security Council Sanctions List.</w:t>
      </w:r>
    </w:p>
    <w:p w14:paraId="3841D8FF" w14:textId="77777777" w:rsidR="00800EBE" w:rsidRPr="004B6EAB" w:rsidRDefault="00800EBE" w:rsidP="00800EBE">
      <w:pPr>
        <w:pStyle w:val="ListParagraph"/>
        <w:numPr>
          <w:ilvl w:val="2"/>
          <w:numId w:val="4"/>
        </w:numPr>
        <w:spacing w:before="0" w:after="160" w:line="259" w:lineRule="auto"/>
        <w:ind w:left="1287"/>
        <w:contextualSpacing w:val="0"/>
        <w:jc w:val="both"/>
      </w:pPr>
      <w:r w:rsidRPr="004B6EAB">
        <w:t>World Bank – World Bank Listing of Ineligible Firms &amp; Individuals.</w:t>
      </w:r>
    </w:p>
    <w:p w14:paraId="774010B1" w14:textId="77777777" w:rsidR="002E414C" w:rsidRDefault="002E414C" w:rsidP="002E414C">
      <w:pPr>
        <w:pStyle w:val="ListParagraph"/>
        <w:spacing w:before="0" w:after="160" w:line="259" w:lineRule="auto"/>
        <w:ind w:left="391"/>
        <w:contextualSpacing w:val="0"/>
        <w:jc w:val="both"/>
        <w:rPr>
          <w:b/>
          <w:spacing w:val="-3"/>
          <w:szCs w:val="24"/>
        </w:rPr>
      </w:pPr>
      <w:bookmarkStart w:id="9" w:name="Transparency"/>
      <w:bookmarkEnd w:id="8"/>
    </w:p>
    <w:p w14:paraId="7DE2385F" w14:textId="77777777" w:rsidR="00800EBE" w:rsidRPr="004B6EAB" w:rsidRDefault="00800EBE" w:rsidP="00800EBE">
      <w:pPr>
        <w:pStyle w:val="ListParagraph"/>
        <w:numPr>
          <w:ilvl w:val="0"/>
          <w:numId w:val="4"/>
        </w:numPr>
        <w:spacing w:before="0" w:after="160" w:line="259" w:lineRule="auto"/>
        <w:ind w:left="391" w:hanging="391"/>
        <w:contextualSpacing w:val="0"/>
        <w:jc w:val="both"/>
        <w:rPr>
          <w:b/>
          <w:spacing w:val="-3"/>
          <w:szCs w:val="24"/>
        </w:rPr>
      </w:pPr>
      <w:r w:rsidRPr="004B6EAB">
        <w:rPr>
          <w:b/>
          <w:spacing w:val="-3"/>
          <w:szCs w:val="24"/>
        </w:rPr>
        <w:t>Transparency</w:t>
      </w:r>
      <w:bookmarkEnd w:id="9"/>
    </w:p>
    <w:p w14:paraId="5273A000" w14:textId="6EAF0A5D" w:rsidR="00772DA9" w:rsidRPr="004B6EAB" w:rsidRDefault="00650800" w:rsidP="00772DA9">
      <w:pPr>
        <w:pStyle w:val="ListParagraph"/>
        <w:numPr>
          <w:ilvl w:val="1"/>
          <w:numId w:val="4"/>
        </w:numPr>
        <w:spacing w:before="0" w:after="160" w:line="259" w:lineRule="auto"/>
        <w:contextualSpacing w:val="0"/>
        <w:jc w:val="both"/>
        <w:rPr>
          <w:b/>
          <w:bCs/>
          <w:spacing w:val="-3"/>
        </w:rPr>
      </w:pPr>
      <w:r w:rsidRPr="004B6EAB">
        <w:rPr>
          <w:spacing w:val="-3"/>
        </w:rPr>
        <w:t xml:space="preserve">During the Monitoring Period, </w:t>
      </w:r>
      <w:r w:rsidR="00D17B1B" w:rsidRPr="004B6EAB">
        <w:rPr>
          <w:spacing w:val="-3"/>
        </w:rPr>
        <w:t xml:space="preserve">Defra expects </w:t>
      </w:r>
      <w:r w:rsidR="00772DA9" w:rsidRPr="004B6EAB">
        <w:rPr>
          <w:spacing w:val="-3"/>
        </w:rPr>
        <w:t>L</w:t>
      </w:r>
      <w:r w:rsidR="00772DA9" w:rsidRPr="004B6EAB">
        <w:rPr>
          <w:rFonts w:cs="Arial"/>
        </w:rPr>
        <w:t xml:space="preserve">LF </w:t>
      </w:r>
      <w:r w:rsidR="00D17B1B" w:rsidRPr="004B6EAB">
        <w:rPr>
          <w:rFonts w:cs="Arial"/>
        </w:rPr>
        <w:t xml:space="preserve">to </w:t>
      </w:r>
      <w:r w:rsidR="00772DA9" w:rsidRPr="004B6EAB">
        <w:rPr>
          <w:rFonts w:cs="Arial"/>
        </w:rPr>
        <w:t xml:space="preserve">publish to the International Aid Transparency Initiative (IATI) standard on all its </w:t>
      </w:r>
      <w:r w:rsidRPr="004B6EAB">
        <w:rPr>
          <w:rFonts w:cs="Arial"/>
        </w:rPr>
        <w:t>grants</w:t>
      </w:r>
      <w:r w:rsidR="00772DA9" w:rsidRPr="004B6EAB">
        <w:rPr>
          <w:rFonts w:cs="Arial"/>
        </w:rPr>
        <w:t xml:space="preserve"> within six months of the start </w:t>
      </w:r>
      <w:r w:rsidR="00647915" w:rsidRPr="004B6EAB">
        <w:rPr>
          <w:rFonts w:cs="Arial"/>
        </w:rPr>
        <w:t xml:space="preserve">of any </w:t>
      </w:r>
      <w:r w:rsidR="008463D3" w:rsidRPr="004B6EAB">
        <w:rPr>
          <w:rFonts w:cs="Arial"/>
        </w:rPr>
        <w:t>new grant</w:t>
      </w:r>
      <w:r w:rsidR="00772DA9" w:rsidRPr="004B6EAB">
        <w:rPr>
          <w:rFonts w:cs="Arial"/>
        </w:rPr>
        <w:t xml:space="preserve">. Defra expects LLF </w:t>
      </w:r>
      <w:r w:rsidR="002159DC" w:rsidRPr="004B6EAB">
        <w:rPr>
          <w:rFonts w:cs="Arial"/>
        </w:rPr>
        <w:t>to encourage</w:t>
      </w:r>
      <w:r w:rsidR="00202249" w:rsidRPr="004B6EAB">
        <w:rPr>
          <w:rFonts w:cs="Arial"/>
        </w:rPr>
        <w:t xml:space="preserve"> </w:t>
      </w:r>
      <w:r w:rsidR="00772DA9" w:rsidRPr="004B6EAB">
        <w:rPr>
          <w:rFonts w:cs="Arial"/>
        </w:rPr>
        <w:t xml:space="preserve">any </w:t>
      </w:r>
      <w:r w:rsidR="00964A2F" w:rsidRPr="004B6EAB">
        <w:rPr>
          <w:rFonts w:cs="Arial"/>
        </w:rPr>
        <w:t>D</w:t>
      </w:r>
      <w:r w:rsidR="00772DA9" w:rsidRPr="004B6EAB">
        <w:rPr>
          <w:rFonts w:cs="Arial"/>
        </w:rPr>
        <w:t xml:space="preserve">ownstream </w:t>
      </w:r>
      <w:r w:rsidR="00964A2F" w:rsidRPr="004B6EAB">
        <w:rPr>
          <w:rFonts w:cs="Arial"/>
        </w:rPr>
        <w:t>P</w:t>
      </w:r>
      <w:r w:rsidR="00772DA9" w:rsidRPr="004B6EAB">
        <w:rPr>
          <w:rFonts w:cs="Arial"/>
        </w:rPr>
        <w:t xml:space="preserve">artner(s) to publish to the IATI standard on all its funding. The intention of this commitment is to allow traceability throughout the delivery chain. For more details on IATI standards, please see </w:t>
      </w:r>
      <w:hyperlink r:id="rId18" w:history="1">
        <w:r w:rsidR="00772DA9" w:rsidRPr="004B6EAB">
          <w:rPr>
            <w:rStyle w:val="Hyperlink"/>
            <w:rFonts w:cs="Arial"/>
            <w:color w:val="auto"/>
          </w:rPr>
          <w:t>https://iatistandard.org/en/</w:t>
        </w:r>
      </w:hyperlink>
      <w:r w:rsidR="00772DA9" w:rsidRPr="004B6EAB">
        <w:rPr>
          <w:rFonts w:cs="Arial"/>
        </w:rPr>
        <w:t>.</w:t>
      </w:r>
    </w:p>
    <w:p w14:paraId="208386E3" w14:textId="6F9ED883" w:rsidR="00800EBE" w:rsidRPr="004B6EAB" w:rsidRDefault="00800EBE" w:rsidP="00800EBE">
      <w:pPr>
        <w:pStyle w:val="ListParagraph"/>
        <w:numPr>
          <w:ilvl w:val="1"/>
          <w:numId w:val="4"/>
        </w:numPr>
        <w:spacing w:before="0" w:after="240" w:line="259" w:lineRule="auto"/>
        <w:contextualSpacing w:val="0"/>
        <w:jc w:val="both"/>
        <w:rPr>
          <w:spacing w:val="-3"/>
        </w:rPr>
      </w:pPr>
      <w:r w:rsidRPr="004B6EAB">
        <w:t xml:space="preserve">LLF gives consent for this contribution (and any subsequent amendments) and general associated funding information to be published on Defra’s website and/or </w:t>
      </w:r>
      <w:proofErr w:type="spellStart"/>
      <w:r w:rsidRPr="004B6EAB">
        <w:t>Devtracker</w:t>
      </w:r>
      <w:proofErr w:type="spellEnd"/>
      <w:r w:rsidRPr="004B6EAB">
        <w:t xml:space="preserve">. Non-public information provided to Defra by LLF under this Agreement, including information from LLF’s </w:t>
      </w:r>
      <w:r w:rsidR="008E57C8" w:rsidRPr="004B6EAB">
        <w:t>D</w:t>
      </w:r>
      <w:r w:rsidRPr="004B6EAB">
        <w:t xml:space="preserve">ownstream </w:t>
      </w:r>
      <w:r w:rsidR="008E57C8" w:rsidRPr="004B6EAB">
        <w:t>P</w:t>
      </w:r>
      <w:r w:rsidRPr="004B6EAB">
        <w:t xml:space="preserve">artners may not be published without LLF written consent. </w:t>
      </w:r>
    </w:p>
    <w:p w14:paraId="32A1EE71" w14:textId="77777777" w:rsidR="002E414C" w:rsidRDefault="002E414C" w:rsidP="002E414C">
      <w:pPr>
        <w:pStyle w:val="ListParagraph"/>
        <w:spacing w:before="0" w:after="240" w:line="259" w:lineRule="auto"/>
        <w:ind w:left="390"/>
        <w:jc w:val="both"/>
        <w:rPr>
          <w:b/>
          <w:spacing w:val="-3"/>
          <w:szCs w:val="24"/>
        </w:rPr>
      </w:pPr>
    </w:p>
    <w:p w14:paraId="05BC3DC5" w14:textId="77777777" w:rsidR="00800EBE" w:rsidRPr="004B6EAB" w:rsidRDefault="00800EBE" w:rsidP="00800EBE">
      <w:pPr>
        <w:pStyle w:val="ListParagraph"/>
        <w:numPr>
          <w:ilvl w:val="0"/>
          <w:numId w:val="4"/>
        </w:numPr>
        <w:spacing w:before="0" w:after="240" w:line="259" w:lineRule="auto"/>
        <w:jc w:val="both"/>
        <w:rPr>
          <w:b/>
          <w:spacing w:val="-3"/>
          <w:szCs w:val="24"/>
        </w:rPr>
      </w:pPr>
      <w:r w:rsidRPr="004B6EAB">
        <w:rPr>
          <w:b/>
          <w:spacing w:val="-3"/>
          <w:szCs w:val="24"/>
        </w:rPr>
        <w:t>Liability</w:t>
      </w:r>
    </w:p>
    <w:p w14:paraId="219A6019" w14:textId="77777777" w:rsidR="00800EBE" w:rsidRPr="004B6EAB" w:rsidRDefault="00800EBE" w:rsidP="00800EBE">
      <w:pPr>
        <w:pStyle w:val="ListParagraph"/>
        <w:spacing w:before="0" w:after="240" w:line="259" w:lineRule="auto"/>
        <w:ind w:left="390"/>
        <w:jc w:val="both"/>
        <w:rPr>
          <w:b/>
          <w:spacing w:val="-3"/>
          <w:szCs w:val="24"/>
        </w:rPr>
      </w:pPr>
    </w:p>
    <w:p w14:paraId="3A655508" w14:textId="739C2865" w:rsidR="00800EBE" w:rsidRPr="004B6EAB" w:rsidRDefault="00800EBE" w:rsidP="00800EBE">
      <w:pPr>
        <w:pStyle w:val="ListParagraph"/>
        <w:numPr>
          <w:ilvl w:val="1"/>
          <w:numId w:val="4"/>
        </w:numPr>
        <w:spacing w:before="0" w:after="240" w:line="259" w:lineRule="auto"/>
        <w:contextualSpacing w:val="0"/>
        <w:jc w:val="both"/>
        <w:rPr>
          <w:spacing w:val="-3"/>
        </w:rPr>
      </w:pPr>
      <w:r w:rsidRPr="004B6EAB">
        <w:rPr>
          <w:spacing w:val="-3"/>
        </w:rPr>
        <w:t xml:space="preserve">Defra shall not under any circumstances or for any reason be liable for damage, injury or loss of income sustained by LLF or its agencies, staff, properties or </w:t>
      </w:r>
      <w:r w:rsidR="00964A2F" w:rsidRPr="004B6EAB">
        <w:rPr>
          <w:spacing w:val="-3"/>
        </w:rPr>
        <w:t>D</w:t>
      </w:r>
      <w:r w:rsidRPr="004B6EAB">
        <w:rPr>
          <w:spacing w:val="-3"/>
        </w:rPr>
        <w:t xml:space="preserve">ownstream </w:t>
      </w:r>
      <w:r w:rsidR="00964A2F" w:rsidRPr="004B6EAB">
        <w:rPr>
          <w:spacing w:val="-3"/>
        </w:rPr>
        <w:t>P</w:t>
      </w:r>
      <w:r w:rsidRPr="004B6EAB">
        <w:rPr>
          <w:spacing w:val="-3"/>
        </w:rPr>
        <w:t>artners as a direct or indirect consequence of the Programme.  Defra will not accept any claim for compensation or increases in payment in connection with such damage, injury or loss of income.</w:t>
      </w:r>
    </w:p>
    <w:p w14:paraId="5C7BE55A" w14:textId="4EF991E5" w:rsidR="00800EBE" w:rsidRDefault="00800EBE" w:rsidP="00800EBE">
      <w:pPr>
        <w:pStyle w:val="ListParagraph"/>
        <w:numPr>
          <w:ilvl w:val="1"/>
          <w:numId w:val="4"/>
        </w:numPr>
        <w:spacing w:before="0" w:after="240" w:line="259" w:lineRule="auto"/>
        <w:contextualSpacing w:val="0"/>
        <w:jc w:val="both"/>
        <w:rPr>
          <w:spacing w:val="-3"/>
        </w:rPr>
      </w:pPr>
      <w:r w:rsidRPr="004B6EAB">
        <w:rPr>
          <w:spacing w:val="-3"/>
        </w:rPr>
        <w:t>LLF shall assume sole liability towards third parties, including liability for damage, injury or loss of income of any kind sustained by them</w:t>
      </w:r>
      <w:r w:rsidRPr="004B6EAB">
        <w:rPr>
          <w:spacing w:val="-3"/>
        </w:rPr>
        <w:tab/>
        <w:t xml:space="preserve">as a direct or indirect consequence of the Programme.  LLF shall indemnify Defra against any claim or action from LLFs staff, </w:t>
      </w:r>
      <w:r w:rsidR="00D84E3B" w:rsidRPr="004B6EAB">
        <w:rPr>
          <w:spacing w:val="-3"/>
        </w:rPr>
        <w:t>D</w:t>
      </w:r>
      <w:r w:rsidRPr="004B6EAB">
        <w:rPr>
          <w:spacing w:val="-3"/>
        </w:rPr>
        <w:t xml:space="preserve">ownstream </w:t>
      </w:r>
      <w:r w:rsidR="00D84E3B" w:rsidRPr="004B6EAB">
        <w:rPr>
          <w:spacing w:val="-3"/>
        </w:rPr>
        <w:t>P</w:t>
      </w:r>
      <w:r w:rsidRPr="004B6EAB">
        <w:rPr>
          <w:spacing w:val="-3"/>
        </w:rPr>
        <w:t>artners or other third parties in relation to the Programme.</w:t>
      </w:r>
    </w:p>
    <w:p w14:paraId="22595A71" w14:textId="77777777" w:rsidR="002E414C" w:rsidRPr="004B6EAB" w:rsidRDefault="002E414C" w:rsidP="002E414C">
      <w:pPr>
        <w:pStyle w:val="ListParagraph"/>
        <w:spacing w:before="0" w:after="240" w:line="259" w:lineRule="auto"/>
        <w:contextualSpacing w:val="0"/>
        <w:jc w:val="both"/>
        <w:rPr>
          <w:spacing w:val="-3"/>
        </w:rPr>
      </w:pPr>
    </w:p>
    <w:p w14:paraId="4F5AE715" w14:textId="77777777" w:rsidR="00800EBE" w:rsidRPr="004B6EAB" w:rsidRDefault="00800EBE" w:rsidP="00800EBE">
      <w:pPr>
        <w:pStyle w:val="ListParagraph"/>
        <w:numPr>
          <w:ilvl w:val="0"/>
          <w:numId w:val="4"/>
        </w:numPr>
        <w:spacing w:before="0" w:after="240" w:line="259" w:lineRule="auto"/>
        <w:contextualSpacing w:val="0"/>
        <w:jc w:val="both"/>
        <w:rPr>
          <w:b/>
          <w:spacing w:val="-3"/>
        </w:rPr>
      </w:pPr>
      <w:r w:rsidRPr="004B6EAB">
        <w:rPr>
          <w:b/>
          <w:bCs/>
          <w:spacing w:val="-3"/>
        </w:rPr>
        <w:t>Responsibility</w:t>
      </w:r>
    </w:p>
    <w:p w14:paraId="6D60019E" w14:textId="0D24F4A5" w:rsidR="00800EBE" w:rsidRPr="004B6EAB" w:rsidRDefault="00800EBE" w:rsidP="00800EBE">
      <w:pPr>
        <w:pStyle w:val="ListParagraph"/>
        <w:numPr>
          <w:ilvl w:val="1"/>
          <w:numId w:val="4"/>
        </w:numPr>
        <w:spacing w:before="0" w:after="240" w:line="259" w:lineRule="auto"/>
        <w:contextualSpacing w:val="0"/>
        <w:jc w:val="both"/>
        <w:rPr>
          <w:b/>
          <w:spacing w:val="-3"/>
        </w:rPr>
      </w:pPr>
      <w:r w:rsidRPr="004B6EAB">
        <w:rPr>
          <w:spacing w:val="-3"/>
        </w:rPr>
        <w:t>LLF is solely responsible for compliance with this letter including where LLF engages any Downstream Partners. LLF will reflect the provisions of this letter as necessary in any arrangements with any Downstream Partner(s) to ensure both LLF and the Downstream partner are compliant with the condition of this letter.</w:t>
      </w:r>
    </w:p>
    <w:p w14:paraId="172B074F" w14:textId="583BDB73" w:rsidR="00800EBE" w:rsidRPr="004B6EAB" w:rsidRDefault="00800EBE" w:rsidP="00800EBE">
      <w:pPr>
        <w:pStyle w:val="ListParagraph"/>
        <w:numPr>
          <w:ilvl w:val="1"/>
          <w:numId w:val="4"/>
        </w:numPr>
        <w:spacing w:before="0" w:after="240" w:line="259" w:lineRule="auto"/>
        <w:contextualSpacing w:val="0"/>
        <w:jc w:val="both"/>
        <w:rPr>
          <w:b/>
          <w:spacing w:val="-3"/>
        </w:rPr>
      </w:pPr>
      <w:r w:rsidRPr="004B6EAB">
        <w:rPr>
          <w:spacing w:val="-3"/>
        </w:rPr>
        <w:t xml:space="preserve">Defra will not be responsible for the activities of LLF or any Downstream Partners in connection with this contribution, nor will Defra be responsible for any costs incurred by LLF or its Downstream Partners in terminating the engagement of any other person, company, or organisation. </w:t>
      </w:r>
    </w:p>
    <w:p w14:paraId="68C40D61" w14:textId="77777777" w:rsidR="00800EBE" w:rsidRPr="004B6EAB" w:rsidRDefault="00800EBE" w:rsidP="00800EBE">
      <w:pPr>
        <w:pStyle w:val="ListParagraph"/>
        <w:numPr>
          <w:ilvl w:val="1"/>
          <w:numId w:val="4"/>
        </w:numPr>
        <w:spacing w:before="0" w:after="240" w:line="259" w:lineRule="auto"/>
        <w:contextualSpacing w:val="0"/>
        <w:jc w:val="both"/>
        <w:rPr>
          <w:b/>
          <w:spacing w:val="-3"/>
        </w:rPr>
      </w:pPr>
      <w:r w:rsidRPr="004B6EAB">
        <w:rPr>
          <w:spacing w:val="-3"/>
        </w:rPr>
        <w:t>LLF will be accountable to Defra for the appropriate use of Defra funds, management of risk, and delivery of outputs and outcomes. This includes any adverse effects of aid expenditure that have an undesired or unexpected result upon recipients, including any adverse gender related impacts.</w:t>
      </w:r>
    </w:p>
    <w:p w14:paraId="44423E78" w14:textId="30FF5364" w:rsidR="00800EBE" w:rsidRPr="004B6EAB" w:rsidRDefault="00800EBE" w:rsidP="00800EBE">
      <w:pPr>
        <w:pStyle w:val="ListParagraph"/>
        <w:numPr>
          <w:ilvl w:val="1"/>
          <w:numId w:val="4"/>
        </w:numPr>
        <w:spacing w:before="0" w:after="240" w:line="259" w:lineRule="auto"/>
        <w:contextualSpacing w:val="0"/>
        <w:jc w:val="both"/>
        <w:rPr>
          <w:b/>
          <w:spacing w:val="-3"/>
        </w:rPr>
      </w:pPr>
      <w:r w:rsidRPr="004B6EAB">
        <w:rPr>
          <w:spacing w:val="-3"/>
        </w:rPr>
        <w:t>LLF will ensure that all goods and services financed either fully or in part from Defra funds will be used for the purpose set out in this contribution</w:t>
      </w:r>
      <w:r w:rsidR="004E1B91" w:rsidRPr="004B6EAB">
        <w:rPr>
          <w:spacing w:val="-3"/>
        </w:rPr>
        <w:t>.</w:t>
      </w:r>
      <w:r w:rsidR="00BF4E64" w:rsidRPr="004B6EAB">
        <w:rPr>
          <w:spacing w:val="-3"/>
        </w:rPr>
        <w:t xml:space="preserve"> Significant use of</w:t>
      </w:r>
      <w:r w:rsidRPr="004B6EAB">
        <w:rPr>
          <w:spacing w:val="-3"/>
        </w:rPr>
        <w:t xml:space="preserve"> such goods or services for other purposes, </w:t>
      </w:r>
      <w:r w:rsidR="002E4C29" w:rsidRPr="004B6EAB">
        <w:rPr>
          <w:szCs w:val="24"/>
        </w:rPr>
        <w:t>shall be subject to LLF’s prior approval.</w:t>
      </w:r>
    </w:p>
    <w:p w14:paraId="14D3C0E2" w14:textId="290D4E89" w:rsidR="00641B02" w:rsidRPr="002E414C" w:rsidRDefault="00641B02" w:rsidP="00641B02">
      <w:pPr>
        <w:pStyle w:val="ListParagraph"/>
        <w:numPr>
          <w:ilvl w:val="1"/>
          <w:numId w:val="4"/>
        </w:numPr>
        <w:spacing w:before="0" w:after="240" w:line="259" w:lineRule="auto"/>
        <w:contextualSpacing w:val="0"/>
        <w:jc w:val="both"/>
        <w:rPr>
          <w:b/>
          <w:spacing w:val="-3"/>
        </w:rPr>
      </w:pPr>
      <w:r w:rsidRPr="004B6EAB">
        <w:rPr>
          <w:spacing w:val="-3"/>
        </w:rPr>
        <w:t xml:space="preserve">Defra may at any time, and up to five years after the end of the Monitoring Period, conduct or arrange additional investigations, audits, on-the-spot checks and inspections to be carried out, or ascertain additional information where Defra considers it necessary. These may be carried out by Defra or any of its duly authorised representatives or agents. Access will be granted, as required, to all </w:t>
      </w:r>
      <w:r w:rsidR="00FC1B18" w:rsidRPr="004B6EAB">
        <w:rPr>
          <w:spacing w:val="-3"/>
        </w:rPr>
        <w:t>Defra</w:t>
      </w:r>
      <w:r w:rsidR="00D84E3B" w:rsidRPr="004B6EAB">
        <w:rPr>
          <w:spacing w:val="-3"/>
        </w:rPr>
        <w:t>-</w:t>
      </w:r>
      <w:r w:rsidR="00FC1B18" w:rsidRPr="004B6EAB">
        <w:rPr>
          <w:spacing w:val="-3"/>
        </w:rPr>
        <w:t xml:space="preserve">funded </w:t>
      </w:r>
      <w:r w:rsidRPr="004B6EAB">
        <w:rPr>
          <w:spacing w:val="-3"/>
        </w:rPr>
        <w:t>sites and relevant records. LLF will ensure that necessary information and access rights are explicitly included within all funding arrangements with Downstream Partners.</w:t>
      </w:r>
    </w:p>
    <w:p w14:paraId="72E355AF" w14:textId="77777777" w:rsidR="002E414C" w:rsidRPr="004B6EAB" w:rsidRDefault="002E414C" w:rsidP="002E414C">
      <w:pPr>
        <w:pStyle w:val="ListParagraph"/>
        <w:spacing w:before="0" w:after="240" w:line="259" w:lineRule="auto"/>
        <w:contextualSpacing w:val="0"/>
        <w:jc w:val="both"/>
        <w:rPr>
          <w:b/>
          <w:spacing w:val="-3"/>
        </w:rPr>
      </w:pPr>
    </w:p>
    <w:p w14:paraId="4FB7350F" w14:textId="77777777" w:rsidR="00800EBE" w:rsidRPr="004B6EAB" w:rsidRDefault="00800EBE" w:rsidP="00800EBE">
      <w:pPr>
        <w:pStyle w:val="ListParagraph"/>
        <w:numPr>
          <w:ilvl w:val="0"/>
          <w:numId w:val="4"/>
        </w:numPr>
        <w:spacing w:before="0" w:after="240" w:line="259" w:lineRule="auto"/>
        <w:jc w:val="both"/>
        <w:rPr>
          <w:b/>
          <w:spacing w:val="-3"/>
          <w:szCs w:val="24"/>
        </w:rPr>
      </w:pPr>
      <w:r w:rsidRPr="004B6EAB">
        <w:rPr>
          <w:b/>
          <w:spacing w:val="-3"/>
          <w:szCs w:val="24"/>
        </w:rPr>
        <w:t>Communications and Branding</w:t>
      </w:r>
    </w:p>
    <w:p w14:paraId="427B6D65" w14:textId="77777777" w:rsidR="00800EBE" w:rsidRPr="004B6EAB" w:rsidRDefault="00800EBE" w:rsidP="00800EBE">
      <w:pPr>
        <w:pStyle w:val="ListParagraph"/>
        <w:spacing w:before="0" w:after="240" w:line="259" w:lineRule="auto"/>
        <w:ind w:left="390"/>
        <w:jc w:val="both"/>
        <w:rPr>
          <w:b/>
          <w:spacing w:val="-3"/>
          <w:szCs w:val="24"/>
        </w:rPr>
      </w:pPr>
    </w:p>
    <w:p w14:paraId="14209994" w14:textId="77777777" w:rsidR="00800EBE" w:rsidRPr="004B6EAB" w:rsidRDefault="00800EBE" w:rsidP="00800EBE">
      <w:pPr>
        <w:pStyle w:val="ListParagraph"/>
        <w:numPr>
          <w:ilvl w:val="1"/>
          <w:numId w:val="4"/>
        </w:numPr>
        <w:spacing w:before="0" w:after="240" w:line="259" w:lineRule="auto"/>
        <w:jc w:val="both"/>
        <w:rPr>
          <w:b/>
          <w:spacing w:val="-3"/>
          <w:szCs w:val="24"/>
        </w:rPr>
      </w:pPr>
      <w:r w:rsidRPr="004B6EAB">
        <w:t xml:space="preserve">LLF will collaborate and proactively look for ways to build support for development and raise awareness of Defra’s funding. LLF will explicitly acknowledge Defra’s funding, in written and verbal communications about activities related to the funding, to the public or third parties, including in announcements, and through use, where appropriate, of the “UK International Development – Partnership, Progress, Prosperity” logo (‘UK Dev logo') in accordance with FCDO Branding Guidance for ODA funded programmes </w:t>
      </w:r>
      <w:hyperlink r:id="rId19" w:history="1">
        <w:r w:rsidRPr="004B6EAB">
          <w:rPr>
            <w:rStyle w:val="Hyperlink"/>
            <w:color w:val="auto"/>
          </w:rPr>
          <w:t>Branding guidelines - GCS (civilservice.gov.uk)</w:t>
        </w:r>
      </w:hyperlink>
      <w:r w:rsidRPr="004B6EAB">
        <w:t>, unless otherwise approved in advance by the Authority, and in all cases, subject to security and safety considerations of the Grant Recipient. Permission to use the logo must be first sought via Defra. If the UK Dev logo branding is not appropriate, the UK Government branding guidance should be adhered to.</w:t>
      </w:r>
    </w:p>
    <w:p w14:paraId="41B08D18" w14:textId="77777777" w:rsidR="00800EBE" w:rsidRPr="004B6EAB" w:rsidRDefault="00800EBE" w:rsidP="00800EBE">
      <w:pPr>
        <w:pStyle w:val="ListParagraph"/>
        <w:spacing w:before="0" w:after="240" w:line="259" w:lineRule="auto"/>
        <w:jc w:val="both"/>
        <w:rPr>
          <w:b/>
          <w:spacing w:val="-3"/>
          <w:szCs w:val="24"/>
        </w:rPr>
      </w:pPr>
    </w:p>
    <w:p w14:paraId="2D21B2C1" w14:textId="74F3100A" w:rsidR="00800EBE" w:rsidRPr="004B6EAB" w:rsidRDefault="00800EBE" w:rsidP="00800EBE">
      <w:pPr>
        <w:pStyle w:val="ListParagraph"/>
        <w:numPr>
          <w:ilvl w:val="1"/>
          <w:numId w:val="4"/>
        </w:numPr>
        <w:spacing w:before="0" w:after="240" w:line="259" w:lineRule="auto"/>
        <w:jc w:val="both"/>
        <w:rPr>
          <w:b/>
          <w:spacing w:val="-3"/>
          <w:szCs w:val="24"/>
        </w:rPr>
      </w:pPr>
      <w:r w:rsidRPr="004B6EAB">
        <w:t xml:space="preserve">LLF will provide a visibility statement using the template provided in Annex </w:t>
      </w:r>
      <w:r w:rsidR="006870F5" w:rsidRPr="004B6EAB">
        <w:t>E</w:t>
      </w:r>
      <w:r w:rsidRPr="004B6EAB">
        <w:t xml:space="preserve"> of how and when they will acknowledge funding from Defra and where they will use the UK Dev logo, which should be approved by Defra prior to LLF releasing any public communications. LLF will include reference to this in its progress reports and annual reviews.</w:t>
      </w:r>
    </w:p>
    <w:p w14:paraId="00D35236" w14:textId="77777777" w:rsidR="00800EBE" w:rsidRPr="004B6EAB" w:rsidRDefault="00800EBE" w:rsidP="00800EBE">
      <w:pPr>
        <w:pStyle w:val="ListParagraph"/>
        <w:spacing w:before="0" w:after="240" w:line="259" w:lineRule="auto"/>
        <w:jc w:val="both"/>
        <w:rPr>
          <w:b/>
          <w:spacing w:val="-3"/>
          <w:szCs w:val="24"/>
        </w:rPr>
      </w:pPr>
    </w:p>
    <w:p w14:paraId="460588A8" w14:textId="77777777" w:rsidR="00800EBE" w:rsidRDefault="00800EBE" w:rsidP="00800EBE">
      <w:pPr>
        <w:pStyle w:val="ListParagraph"/>
        <w:numPr>
          <w:ilvl w:val="1"/>
          <w:numId w:val="4"/>
        </w:numPr>
        <w:spacing w:before="0" w:after="240" w:line="259" w:lineRule="auto"/>
        <w:jc w:val="both"/>
      </w:pPr>
      <w:r w:rsidRPr="004B6EAB">
        <w:t>LLF may use the UK Dev logo in conjunction with other donor logos, and where the number of donors to a project is such as to make co-branding impractical, acknowledgement of funding from the Defra should be equal to that of other co-donors making contributions of equivalent amounts.</w:t>
      </w:r>
    </w:p>
    <w:p w14:paraId="6C7035C6" w14:textId="77777777" w:rsidR="002E414C" w:rsidRDefault="002E414C" w:rsidP="002E414C">
      <w:pPr>
        <w:pStyle w:val="ListParagraph"/>
      </w:pPr>
    </w:p>
    <w:p w14:paraId="2288B655" w14:textId="77777777" w:rsidR="00800EBE" w:rsidRPr="004B6EAB" w:rsidRDefault="00800EBE" w:rsidP="00800EBE">
      <w:pPr>
        <w:pStyle w:val="ListParagraph"/>
        <w:numPr>
          <w:ilvl w:val="0"/>
          <w:numId w:val="4"/>
        </w:numPr>
        <w:spacing w:before="0" w:after="240" w:line="259" w:lineRule="auto"/>
        <w:contextualSpacing w:val="0"/>
        <w:jc w:val="both"/>
        <w:rPr>
          <w:b/>
          <w:bCs/>
          <w:spacing w:val="-3"/>
        </w:rPr>
      </w:pPr>
      <w:r w:rsidRPr="004B6EAB">
        <w:rPr>
          <w:b/>
          <w:bCs/>
          <w:spacing w:val="-3"/>
        </w:rPr>
        <w:t>Digital Spend</w:t>
      </w:r>
    </w:p>
    <w:p w14:paraId="71C7AF9F" w14:textId="77777777" w:rsidR="00800EBE" w:rsidRPr="004B6EAB" w:rsidRDefault="00800EBE" w:rsidP="00800EBE">
      <w:pPr>
        <w:pStyle w:val="ListParagraph"/>
        <w:numPr>
          <w:ilvl w:val="1"/>
          <w:numId w:val="4"/>
        </w:numPr>
        <w:spacing w:before="0" w:after="240" w:line="259" w:lineRule="auto"/>
        <w:contextualSpacing w:val="0"/>
        <w:jc w:val="both"/>
        <w:rPr>
          <w:rStyle w:val="Hyperlink"/>
          <w:b/>
          <w:bCs/>
          <w:color w:val="auto"/>
          <w:spacing w:val="-3"/>
        </w:rPr>
      </w:pPr>
      <w:r w:rsidRPr="004B6EAB">
        <w:rPr>
          <w:spacing w:val="-3"/>
        </w:rPr>
        <w:t xml:space="preserve">The UK government defines digital spend as any external-facing service provided through the internet to citizens, businesses, civil society or non-government organisations. This includes any spend on web-based or mobile information services, websites, knowledge or open data portals, transactional services such as cash transfers, web applications and mobile phone apps. LLF will ensure that all digital spend related to this contribution is carried out in a manner consistent with the </w:t>
      </w:r>
      <w:hyperlink r:id="rId20" w:history="1">
        <w:r w:rsidRPr="004B6EAB">
          <w:rPr>
            <w:rStyle w:val="Hyperlink"/>
            <w:color w:val="auto"/>
          </w:rPr>
          <w:t>Principles for Digital Development</w:t>
        </w:r>
      </w:hyperlink>
      <w:r w:rsidRPr="004B6EAB">
        <w:rPr>
          <w:rStyle w:val="Hyperlink"/>
          <w:color w:val="auto"/>
        </w:rPr>
        <w:t>.</w:t>
      </w:r>
    </w:p>
    <w:p w14:paraId="4DF7755A" w14:textId="65332620" w:rsidR="004D74FB" w:rsidRPr="004B6EAB" w:rsidRDefault="00703178" w:rsidP="00800EBE">
      <w:pPr>
        <w:pStyle w:val="ListParagraph"/>
        <w:numPr>
          <w:ilvl w:val="1"/>
          <w:numId w:val="4"/>
        </w:numPr>
        <w:spacing w:before="0" w:after="240" w:line="259" w:lineRule="auto"/>
        <w:contextualSpacing w:val="0"/>
        <w:jc w:val="both"/>
        <w:rPr>
          <w:rStyle w:val="Hyperlink"/>
          <w:b/>
          <w:bCs/>
          <w:color w:val="auto"/>
          <w:spacing w:val="-3"/>
          <w:u w:val="none"/>
        </w:rPr>
      </w:pPr>
      <w:r w:rsidRPr="004B6EAB">
        <w:rPr>
          <w:rStyle w:val="Hyperlink"/>
          <w:color w:val="auto"/>
          <w:spacing w:val="-3"/>
          <w:u w:val="none"/>
        </w:rPr>
        <w:t>Defra</w:t>
      </w:r>
      <w:r w:rsidR="004D74FB" w:rsidRPr="004B6EAB">
        <w:rPr>
          <w:rStyle w:val="Hyperlink"/>
          <w:color w:val="auto"/>
          <w:spacing w:val="-3"/>
          <w:u w:val="none"/>
        </w:rPr>
        <w:t xml:space="preserve"> will have the opportunity to consider any digital spend during the </w:t>
      </w:r>
      <w:r w:rsidRPr="004B6EAB">
        <w:rPr>
          <w:rStyle w:val="Hyperlink"/>
          <w:color w:val="auto"/>
          <w:spacing w:val="-3"/>
          <w:u w:val="none"/>
        </w:rPr>
        <w:t xml:space="preserve">grants </w:t>
      </w:r>
      <w:r w:rsidR="004D74FB" w:rsidRPr="004B6EAB">
        <w:rPr>
          <w:rStyle w:val="Hyperlink"/>
          <w:color w:val="auto"/>
          <w:spacing w:val="-3"/>
          <w:u w:val="none"/>
        </w:rPr>
        <w:t>funding decision process</w:t>
      </w:r>
      <w:r w:rsidRPr="004B6EAB">
        <w:rPr>
          <w:rStyle w:val="Hyperlink"/>
          <w:color w:val="auto"/>
          <w:spacing w:val="-3"/>
          <w:u w:val="none"/>
        </w:rPr>
        <w:t xml:space="preserve"> via the LLF Supervisory Board</w:t>
      </w:r>
      <w:r w:rsidR="004D74FB" w:rsidRPr="004B6EAB">
        <w:rPr>
          <w:rStyle w:val="Hyperlink"/>
          <w:color w:val="auto"/>
          <w:spacing w:val="-3"/>
          <w:u w:val="none"/>
        </w:rPr>
        <w:t>.</w:t>
      </w:r>
    </w:p>
    <w:p w14:paraId="4FCC3711" w14:textId="77777777" w:rsidR="002E414C" w:rsidRDefault="002E414C" w:rsidP="002E414C">
      <w:pPr>
        <w:pStyle w:val="ListParagraph"/>
        <w:spacing w:before="0" w:after="240" w:line="259" w:lineRule="auto"/>
        <w:ind w:left="390"/>
        <w:contextualSpacing w:val="0"/>
        <w:jc w:val="both"/>
        <w:rPr>
          <w:b/>
          <w:bCs/>
          <w:spacing w:val="-3"/>
        </w:rPr>
      </w:pPr>
    </w:p>
    <w:p w14:paraId="47ABF526" w14:textId="77777777" w:rsidR="00800EBE" w:rsidRPr="004B6EAB" w:rsidRDefault="00800EBE" w:rsidP="00800EBE">
      <w:pPr>
        <w:pStyle w:val="ListParagraph"/>
        <w:numPr>
          <w:ilvl w:val="0"/>
          <w:numId w:val="4"/>
        </w:numPr>
        <w:spacing w:before="0" w:after="240" w:line="259" w:lineRule="auto"/>
        <w:contextualSpacing w:val="0"/>
        <w:jc w:val="both"/>
        <w:rPr>
          <w:b/>
          <w:bCs/>
          <w:spacing w:val="-3"/>
        </w:rPr>
      </w:pPr>
      <w:r w:rsidRPr="004B6EAB">
        <w:rPr>
          <w:b/>
          <w:bCs/>
          <w:spacing w:val="-3"/>
        </w:rPr>
        <w:t>Cyber Security</w:t>
      </w:r>
    </w:p>
    <w:p w14:paraId="2AE87F9C" w14:textId="77777777" w:rsidR="00800EBE" w:rsidRPr="002E414C" w:rsidRDefault="00800EBE" w:rsidP="00800EBE">
      <w:pPr>
        <w:pStyle w:val="ListParagraph"/>
        <w:numPr>
          <w:ilvl w:val="1"/>
          <w:numId w:val="4"/>
        </w:numPr>
        <w:spacing w:before="0" w:after="240" w:line="259" w:lineRule="auto"/>
        <w:contextualSpacing w:val="0"/>
        <w:jc w:val="both"/>
        <w:rPr>
          <w:b/>
          <w:bCs/>
          <w:spacing w:val="-3"/>
        </w:rPr>
      </w:pPr>
      <w:r w:rsidRPr="004B6EAB">
        <w:rPr>
          <w:spacing w:val="-3"/>
        </w:rPr>
        <w:t>Cyber Security is the protection of systems, networks and data to prevent cybercrime. LLF is responsible for managing cyber risk under its own policies and procedures.</w:t>
      </w:r>
    </w:p>
    <w:p w14:paraId="746E46E9" w14:textId="77777777" w:rsidR="002E414C" w:rsidRDefault="002E414C" w:rsidP="002E414C">
      <w:pPr>
        <w:pStyle w:val="ListParagraph"/>
        <w:spacing w:before="0" w:after="240" w:line="259" w:lineRule="auto"/>
        <w:ind w:left="390"/>
        <w:contextualSpacing w:val="0"/>
        <w:jc w:val="both"/>
        <w:rPr>
          <w:b/>
          <w:bCs/>
          <w:spacing w:val="-3"/>
        </w:rPr>
      </w:pPr>
    </w:p>
    <w:p w14:paraId="6A7FD272" w14:textId="77777777" w:rsidR="00800EBE" w:rsidRPr="004B6EAB" w:rsidRDefault="00800EBE" w:rsidP="00800EBE">
      <w:pPr>
        <w:pStyle w:val="ListParagraph"/>
        <w:numPr>
          <w:ilvl w:val="0"/>
          <w:numId w:val="4"/>
        </w:numPr>
        <w:spacing w:before="0" w:after="240" w:line="259" w:lineRule="auto"/>
        <w:contextualSpacing w:val="0"/>
        <w:jc w:val="both"/>
        <w:rPr>
          <w:b/>
          <w:bCs/>
          <w:spacing w:val="-3"/>
        </w:rPr>
      </w:pPr>
      <w:r w:rsidRPr="004B6EAB">
        <w:rPr>
          <w:b/>
          <w:bCs/>
          <w:spacing w:val="-3"/>
        </w:rPr>
        <w:t>Procurement</w:t>
      </w:r>
    </w:p>
    <w:p w14:paraId="44B95F8B" w14:textId="77777777" w:rsidR="00800EBE" w:rsidRPr="004B6EAB" w:rsidRDefault="00800EBE" w:rsidP="00800EBE">
      <w:pPr>
        <w:pStyle w:val="ListParagraph"/>
        <w:numPr>
          <w:ilvl w:val="1"/>
          <w:numId w:val="4"/>
        </w:numPr>
        <w:spacing w:before="0" w:after="240" w:line="259" w:lineRule="auto"/>
        <w:contextualSpacing w:val="0"/>
        <w:jc w:val="both"/>
        <w:rPr>
          <w:b/>
          <w:bCs/>
          <w:spacing w:val="-3"/>
        </w:rPr>
      </w:pPr>
      <w:r w:rsidRPr="004B6EAB">
        <w:rPr>
          <w:spacing w:val="-3"/>
        </w:rPr>
        <w:t>LLF will ensure that any procurement using Defra funds adheres to international best practice and applicable regulations, is transparent, fair and open and is designed to achieve value for money.</w:t>
      </w:r>
    </w:p>
    <w:p w14:paraId="16932234" w14:textId="36F60F94" w:rsidR="00800EBE" w:rsidRPr="004B6EAB" w:rsidRDefault="00800EBE" w:rsidP="00800EBE">
      <w:pPr>
        <w:pStyle w:val="ListParagraph"/>
        <w:numPr>
          <w:ilvl w:val="1"/>
          <w:numId w:val="4"/>
        </w:numPr>
        <w:spacing w:before="0" w:after="240" w:line="259" w:lineRule="auto"/>
        <w:contextualSpacing w:val="0"/>
        <w:jc w:val="both"/>
        <w:rPr>
          <w:spacing w:val="-3"/>
        </w:rPr>
      </w:pPr>
      <w:r w:rsidRPr="004B6EAB">
        <w:rPr>
          <w:spacing w:val="-3"/>
        </w:rPr>
        <w:t xml:space="preserve">Records of all procurement activity </w:t>
      </w:r>
      <w:r w:rsidR="009136F0" w:rsidRPr="004B6EAB">
        <w:rPr>
          <w:spacing w:val="-3"/>
        </w:rPr>
        <w:t xml:space="preserve">done by LLF </w:t>
      </w:r>
      <w:r w:rsidRPr="004B6EAB">
        <w:rPr>
          <w:spacing w:val="-3"/>
        </w:rPr>
        <w:t>including but not restricted to, costs, volumes, suppliers, value for money, savings and efficiencies must be kept by LLF and made available to Defra on request. Defra reserves the right to assess the procurement capacity and capability of LLF at any time.</w:t>
      </w:r>
    </w:p>
    <w:p w14:paraId="2FCD4936" w14:textId="33C66BBE" w:rsidR="00C066F9" w:rsidRDefault="008025A7" w:rsidP="00800EBE">
      <w:pPr>
        <w:pStyle w:val="ListParagraph"/>
        <w:numPr>
          <w:ilvl w:val="1"/>
          <w:numId w:val="4"/>
        </w:numPr>
        <w:spacing w:before="0" w:after="240" w:line="259" w:lineRule="auto"/>
        <w:contextualSpacing w:val="0"/>
        <w:jc w:val="both"/>
        <w:rPr>
          <w:spacing w:val="-3"/>
        </w:rPr>
      </w:pPr>
      <w:r w:rsidRPr="004B6EAB">
        <w:rPr>
          <w:spacing w:val="-3"/>
        </w:rPr>
        <w:t>LLF</w:t>
      </w:r>
      <w:r w:rsidR="00D64524" w:rsidRPr="004B6EAB">
        <w:rPr>
          <w:spacing w:val="-3"/>
        </w:rPr>
        <w:t xml:space="preserve"> </w:t>
      </w:r>
      <w:r w:rsidR="00386F02" w:rsidRPr="004B6EAB">
        <w:rPr>
          <w:spacing w:val="-3"/>
        </w:rPr>
        <w:t>shall</w:t>
      </w:r>
      <w:r w:rsidR="00D64524" w:rsidRPr="004B6EAB">
        <w:rPr>
          <w:spacing w:val="-3"/>
        </w:rPr>
        <w:t xml:space="preserve"> </w:t>
      </w:r>
      <w:r w:rsidR="00E40A62" w:rsidRPr="004B6EAB">
        <w:rPr>
          <w:spacing w:val="-3"/>
        </w:rPr>
        <w:t xml:space="preserve">require the Downstream Partners </w:t>
      </w:r>
      <w:r w:rsidR="001260BE" w:rsidRPr="004B6EAB">
        <w:rPr>
          <w:spacing w:val="-3"/>
        </w:rPr>
        <w:t xml:space="preserve">to </w:t>
      </w:r>
      <w:r w:rsidR="00E40A62" w:rsidRPr="004B6EAB">
        <w:rPr>
          <w:spacing w:val="-3"/>
        </w:rPr>
        <w:t xml:space="preserve">maintain records of all procurement activities </w:t>
      </w:r>
      <w:r w:rsidR="001260BE" w:rsidRPr="004B6EAB">
        <w:rPr>
          <w:spacing w:val="-3"/>
        </w:rPr>
        <w:t>funded by Defra</w:t>
      </w:r>
      <w:r w:rsidR="00386F02" w:rsidRPr="004B6EAB">
        <w:rPr>
          <w:spacing w:val="-3"/>
        </w:rPr>
        <w:t xml:space="preserve"> and </w:t>
      </w:r>
      <w:r w:rsidR="00A501A8" w:rsidRPr="004B6EAB">
        <w:rPr>
          <w:spacing w:val="-3"/>
        </w:rPr>
        <w:t>to make such re</w:t>
      </w:r>
      <w:r w:rsidR="00386F02" w:rsidRPr="004B6EAB">
        <w:rPr>
          <w:spacing w:val="-3"/>
        </w:rPr>
        <w:t xml:space="preserve">cords </w:t>
      </w:r>
      <w:r w:rsidR="00164487" w:rsidRPr="004B6EAB">
        <w:rPr>
          <w:spacing w:val="-3"/>
        </w:rPr>
        <w:t xml:space="preserve">available </w:t>
      </w:r>
      <w:r w:rsidR="00A501A8" w:rsidRPr="004B6EAB">
        <w:rPr>
          <w:spacing w:val="-3"/>
        </w:rPr>
        <w:t>to</w:t>
      </w:r>
      <w:r w:rsidR="00164487" w:rsidRPr="004B6EAB">
        <w:rPr>
          <w:spacing w:val="-3"/>
        </w:rPr>
        <w:t xml:space="preserve"> Defra</w:t>
      </w:r>
      <w:r w:rsidR="00386F02" w:rsidRPr="004B6EAB">
        <w:rPr>
          <w:spacing w:val="-3"/>
        </w:rPr>
        <w:t xml:space="preserve"> upon request</w:t>
      </w:r>
      <w:r w:rsidR="00164487" w:rsidRPr="004B6EAB">
        <w:rPr>
          <w:spacing w:val="-3"/>
        </w:rPr>
        <w:t xml:space="preserve">. LLF </w:t>
      </w:r>
      <w:r w:rsidR="00386F02" w:rsidRPr="004B6EAB">
        <w:rPr>
          <w:spacing w:val="-3"/>
        </w:rPr>
        <w:t>shall</w:t>
      </w:r>
      <w:r w:rsidR="00164487" w:rsidRPr="004B6EAB">
        <w:rPr>
          <w:spacing w:val="-3"/>
        </w:rPr>
        <w:t xml:space="preserve"> also require</w:t>
      </w:r>
      <w:r w:rsidR="005B1511" w:rsidRPr="004B6EAB">
        <w:rPr>
          <w:spacing w:val="-3"/>
        </w:rPr>
        <w:t xml:space="preserve"> the Downstream Partners</w:t>
      </w:r>
      <w:r w:rsidR="00164487" w:rsidRPr="004B6EAB">
        <w:rPr>
          <w:spacing w:val="-3"/>
        </w:rPr>
        <w:t xml:space="preserve"> </w:t>
      </w:r>
      <w:r w:rsidR="00790FE4" w:rsidRPr="004B6EAB">
        <w:rPr>
          <w:spacing w:val="-3"/>
        </w:rPr>
        <w:t>t</w:t>
      </w:r>
      <w:r w:rsidR="00290101" w:rsidRPr="004B6EAB">
        <w:rPr>
          <w:spacing w:val="-3"/>
        </w:rPr>
        <w:t>o</w:t>
      </w:r>
      <w:r w:rsidR="00790FE4" w:rsidRPr="004B6EAB">
        <w:rPr>
          <w:spacing w:val="-3"/>
        </w:rPr>
        <w:t xml:space="preserve"> </w:t>
      </w:r>
      <w:r w:rsidR="00290101" w:rsidRPr="004B6EAB">
        <w:rPr>
          <w:spacing w:val="-3"/>
        </w:rPr>
        <w:t xml:space="preserve">report </w:t>
      </w:r>
      <w:r w:rsidR="00790FE4" w:rsidRPr="004B6EAB">
        <w:rPr>
          <w:spacing w:val="-3"/>
        </w:rPr>
        <w:t xml:space="preserve">any procurement </w:t>
      </w:r>
      <w:r w:rsidR="00290101" w:rsidRPr="004B6EAB">
        <w:rPr>
          <w:spacing w:val="-3"/>
        </w:rPr>
        <w:t>exceeding</w:t>
      </w:r>
      <w:r w:rsidR="00790FE4" w:rsidRPr="004B6EAB">
        <w:rPr>
          <w:spacing w:val="-3"/>
        </w:rPr>
        <w:t xml:space="preserve"> EUR 5,000 </w:t>
      </w:r>
      <w:r w:rsidR="006804AB" w:rsidRPr="004B6EAB">
        <w:rPr>
          <w:spacing w:val="-3"/>
        </w:rPr>
        <w:t xml:space="preserve">to LLF </w:t>
      </w:r>
      <w:r w:rsidR="00790FE4" w:rsidRPr="004B6EAB">
        <w:rPr>
          <w:spacing w:val="-3"/>
        </w:rPr>
        <w:t>as part of the annual financial report.</w:t>
      </w:r>
    </w:p>
    <w:p w14:paraId="2546DD95" w14:textId="77777777" w:rsidR="002E414C" w:rsidRPr="004B6EAB" w:rsidRDefault="002E414C" w:rsidP="002E414C">
      <w:pPr>
        <w:pStyle w:val="ListParagraph"/>
        <w:spacing w:before="0" w:after="240" w:line="259" w:lineRule="auto"/>
        <w:contextualSpacing w:val="0"/>
        <w:jc w:val="both"/>
        <w:rPr>
          <w:spacing w:val="-3"/>
        </w:rPr>
      </w:pPr>
    </w:p>
    <w:p w14:paraId="346D397C" w14:textId="77777777" w:rsidR="00800EBE" w:rsidRPr="004B6EAB" w:rsidRDefault="00800EBE" w:rsidP="00800EBE">
      <w:pPr>
        <w:pStyle w:val="Level1"/>
        <w:numPr>
          <w:ilvl w:val="0"/>
          <w:numId w:val="4"/>
        </w:numPr>
        <w:spacing w:line="259" w:lineRule="auto"/>
        <w:rPr>
          <w:sz w:val="24"/>
          <w:szCs w:val="24"/>
        </w:rPr>
      </w:pPr>
      <w:r w:rsidRPr="004B6EAB">
        <w:rPr>
          <w:b/>
          <w:bCs/>
          <w:sz w:val="24"/>
          <w:szCs w:val="24"/>
        </w:rPr>
        <w:t>Ownership of equipment, consumables and intellectual property rights</w:t>
      </w:r>
    </w:p>
    <w:p w14:paraId="5D431952" w14:textId="44C7274D" w:rsidR="00800EBE" w:rsidRPr="004B6EAB" w:rsidRDefault="00800EBE" w:rsidP="00800EBE">
      <w:pPr>
        <w:pStyle w:val="Level1"/>
        <w:numPr>
          <w:ilvl w:val="1"/>
          <w:numId w:val="4"/>
        </w:numPr>
        <w:spacing w:line="259" w:lineRule="auto"/>
        <w:rPr>
          <w:sz w:val="24"/>
          <w:szCs w:val="24"/>
        </w:rPr>
      </w:pPr>
      <w:r w:rsidRPr="004B6EAB">
        <w:rPr>
          <w:sz w:val="24"/>
          <w:szCs w:val="24"/>
        </w:rPr>
        <w:t xml:space="preserve">The right of ownership to equipment, consumables and intellectual property procured or developed by use of Defra’s contribution is with LLF and/or </w:t>
      </w:r>
      <w:r w:rsidR="00D84E3B" w:rsidRPr="004B6EAB">
        <w:rPr>
          <w:sz w:val="24"/>
          <w:szCs w:val="24"/>
        </w:rPr>
        <w:t>D</w:t>
      </w:r>
      <w:r w:rsidRPr="004B6EAB">
        <w:rPr>
          <w:sz w:val="24"/>
          <w:szCs w:val="24"/>
        </w:rPr>
        <w:t xml:space="preserve">ownstream </w:t>
      </w:r>
      <w:r w:rsidR="00D84E3B" w:rsidRPr="004B6EAB">
        <w:rPr>
          <w:sz w:val="24"/>
          <w:szCs w:val="24"/>
        </w:rPr>
        <w:t>P</w:t>
      </w:r>
      <w:r w:rsidRPr="004B6EAB">
        <w:rPr>
          <w:sz w:val="24"/>
          <w:szCs w:val="24"/>
        </w:rPr>
        <w:t>artners.  All matters associated with such assets are the exclusive responsibility of LLF</w:t>
      </w:r>
      <w:r w:rsidR="00607BBF" w:rsidRPr="004B6EAB">
        <w:rPr>
          <w:sz w:val="24"/>
          <w:szCs w:val="24"/>
        </w:rPr>
        <w:t>.</w:t>
      </w:r>
      <w:r w:rsidRPr="004B6EAB">
        <w:rPr>
          <w:sz w:val="24"/>
          <w:szCs w:val="24"/>
        </w:rPr>
        <w:t xml:space="preserve"> </w:t>
      </w:r>
      <w:r w:rsidR="00FA6E2B" w:rsidRPr="004B6EAB">
        <w:rPr>
          <w:sz w:val="24"/>
          <w:szCs w:val="24"/>
        </w:rPr>
        <w:t>S</w:t>
      </w:r>
      <w:r w:rsidRPr="004B6EAB">
        <w:rPr>
          <w:sz w:val="24"/>
          <w:szCs w:val="24"/>
        </w:rPr>
        <w:t xml:space="preserve">ignificant use of such assets for purposes outside the Programme shall be subject to </w:t>
      </w:r>
      <w:r w:rsidR="00965354" w:rsidRPr="004B6EAB">
        <w:rPr>
          <w:sz w:val="24"/>
          <w:szCs w:val="24"/>
        </w:rPr>
        <w:t xml:space="preserve">LLF’s </w:t>
      </w:r>
      <w:r w:rsidRPr="004B6EAB">
        <w:rPr>
          <w:sz w:val="24"/>
          <w:szCs w:val="24"/>
        </w:rPr>
        <w:t>prior approval. LLF will have sufficient processes in place to record and track assets.</w:t>
      </w:r>
    </w:p>
    <w:p w14:paraId="722F3F5E" w14:textId="77777777" w:rsidR="00800EBE" w:rsidRPr="004B6EAB" w:rsidRDefault="00800EBE" w:rsidP="00800EBE">
      <w:pPr>
        <w:pStyle w:val="Level1"/>
        <w:numPr>
          <w:ilvl w:val="1"/>
          <w:numId w:val="4"/>
        </w:numPr>
        <w:spacing w:line="259" w:lineRule="auto"/>
        <w:rPr>
          <w:sz w:val="24"/>
          <w:szCs w:val="24"/>
        </w:rPr>
      </w:pPr>
      <w:r w:rsidRPr="004B6EAB">
        <w:rPr>
          <w:sz w:val="24"/>
          <w:szCs w:val="24"/>
        </w:rPr>
        <w:t>Intellectual property rights financed in whole or in part from the contribution shall, in the spirit of securing such rights as a common global good, be managed in a way that maximises their public accessibility and allows the broadest possible use.  Material produced as a result of this contribution shall, as far as possible and appropriate, be placed in the public domain for non-commercial use.</w:t>
      </w:r>
    </w:p>
    <w:p w14:paraId="199EFE86" w14:textId="3416689F" w:rsidR="00800EBE" w:rsidRPr="004B6EAB" w:rsidRDefault="00800EBE" w:rsidP="00800EBE">
      <w:pPr>
        <w:pStyle w:val="Level1"/>
        <w:numPr>
          <w:ilvl w:val="1"/>
          <w:numId w:val="4"/>
        </w:numPr>
        <w:spacing w:line="259" w:lineRule="auto"/>
        <w:rPr>
          <w:sz w:val="24"/>
          <w:szCs w:val="24"/>
        </w:rPr>
      </w:pPr>
      <w:r w:rsidRPr="004B6EAB">
        <w:rPr>
          <w:sz w:val="24"/>
          <w:szCs w:val="24"/>
        </w:rPr>
        <w:t>Defra shall have a non-exclusive and royalty-free license to use all intellectual property rights procured or developed by</w:t>
      </w:r>
      <w:r w:rsidR="00DD2701" w:rsidRPr="004B6EAB">
        <w:rPr>
          <w:sz w:val="24"/>
          <w:szCs w:val="24"/>
        </w:rPr>
        <w:t xml:space="preserve"> LLF with</w:t>
      </w:r>
      <w:r w:rsidRPr="004B6EAB">
        <w:rPr>
          <w:sz w:val="24"/>
          <w:szCs w:val="24"/>
        </w:rPr>
        <w:t xml:space="preserve"> the contribution, and Defra may assign this right to any individual or organization at its own discretion.</w:t>
      </w:r>
    </w:p>
    <w:p w14:paraId="4DE5B41F" w14:textId="5E932E54" w:rsidR="00A47FCA" w:rsidRPr="004B6EAB" w:rsidRDefault="00A47FCA" w:rsidP="00800EBE">
      <w:pPr>
        <w:pStyle w:val="Level1"/>
        <w:numPr>
          <w:ilvl w:val="1"/>
          <w:numId w:val="4"/>
        </w:numPr>
        <w:spacing w:line="259" w:lineRule="auto"/>
        <w:rPr>
          <w:sz w:val="24"/>
          <w:szCs w:val="24"/>
        </w:rPr>
      </w:pPr>
      <w:r w:rsidRPr="004B6EAB">
        <w:rPr>
          <w:sz w:val="24"/>
          <w:szCs w:val="24"/>
        </w:rPr>
        <w:t xml:space="preserve">LLF shall </w:t>
      </w:r>
      <w:r w:rsidR="00805A33" w:rsidRPr="004B6EAB">
        <w:rPr>
          <w:sz w:val="24"/>
          <w:szCs w:val="24"/>
        </w:rPr>
        <w:t>facilitate</w:t>
      </w:r>
      <w:r w:rsidRPr="004B6EAB">
        <w:rPr>
          <w:sz w:val="24"/>
          <w:szCs w:val="24"/>
        </w:rPr>
        <w:t xml:space="preserve"> Defra</w:t>
      </w:r>
      <w:r w:rsidR="00805A33" w:rsidRPr="004B6EAB">
        <w:rPr>
          <w:sz w:val="24"/>
          <w:szCs w:val="24"/>
        </w:rPr>
        <w:t>’s use of any inte</w:t>
      </w:r>
      <w:r w:rsidRPr="004B6EAB">
        <w:rPr>
          <w:sz w:val="24"/>
          <w:szCs w:val="24"/>
        </w:rPr>
        <w:t xml:space="preserve">llectual property procured or developed by </w:t>
      </w:r>
      <w:r w:rsidR="00D84E3B" w:rsidRPr="004B6EAB">
        <w:rPr>
          <w:sz w:val="24"/>
          <w:szCs w:val="24"/>
        </w:rPr>
        <w:t>D</w:t>
      </w:r>
      <w:r w:rsidRPr="004B6EAB">
        <w:rPr>
          <w:sz w:val="24"/>
          <w:szCs w:val="24"/>
        </w:rPr>
        <w:t xml:space="preserve">ownstream </w:t>
      </w:r>
      <w:r w:rsidR="00D84E3B" w:rsidRPr="004B6EAB">
        <w:rPr>
          <w:sz w:val="24"/>
          <w:szCs w:val="24"/>
        </w:rPr>
        <w:t>P</w:t>
      </w:r>
      <w:r w:rsidRPr="004B6EAB">
        <w:rPr>
          <w:sz w:val="24"/>
          <w:szCs w:val="24"/>
        </w:rPr>
        <w:t>artners</w:t>
      </w:r>
      <w:r w:rsidR="00D84E3B" w:rsidRPr="004B6EAB">
        <w:rPr>
          <w:sz w:val="24"/>
          <w:szCs w:val="24"/>
        </w:rPr>
        <w:t xml:space="preserve"> in receipt of Defra funding</w:t>
      </w:r>
      <w:r w:rsidRPr="004B6EAB">
        <w:rPr>
          <w:sz w:val="24"/>
          <w:szCs w:val="24"/>
        </w:rPr>
        <w:t>.</w:t>
      </w:r>
    </w:p>
    <w:p w14:paraId="56BB7B35" w14:textId="77777777" w:rsidR="00AA18D7" w:rsidRDefault="00AA18D7" w:rsidP="00800EBE">
      <w:pPr>
        <w:jc w:val="both"/>
      </w:pPr>
    </w:p>
    <w:p w14:paraId="2A740B87" w14:textId="77777777" w:rsidR="00AA18D7" w:rsidRDefault="00AA18D7">
      <w:pPr>
        <w:spacing w:before="0" w:after="160" w:line="259" w:lineRule="auto"/>
        <w:rPr>
          <w:b/>
          <w:bCs/>
          <w:sz w:val="28"/>
        </w:rPr>
      </w:pPr>
      <w:r>
        <w:rPr>
          <w:b/>
          <w:bCs/>
          <w:sz w:val="28"/>
        </w:rPr>
        <w:br w:type="page"/>
      </w:r>
    </w:p>
    <w:p w14:paraId="00F6DC6A" w14:textId="77777777" w:rsidR="00211A0D" w:rsidRPr="004B6EAB" w:rsidRDefault="00211A0D" w:rsidP="00211A0D">
      <w:pPr>
        <w:spacing w:before="0" w:after="160" w:line="259" w:lineRule="auto"/>
        <w:jc w:val="both"/>
        <w:rPr>
          <w:b/>
          <w:bCs/>
          <w:sz w:val="28"/>
        </w:rPr>
      </w:pPr>
      <w:r w:rsidRPr="004B6EAB">
        <w:rPr>
          <w:b/>
          <w:bCs/>
          <w:sz w:val="28"/>
        </w:rPr>
        <w:lastRenderedPageBreak/>
        <w:t>Annex A – Summary of Programme Proposal</w:t>
      </w:r>
    </w:p>
    <w:p w14:paraId="19728FEC" w14:textId="77777777" w:rsidR="00211A0D" w:rsidRPr="004B6EAB" w:rsidRDefault="00211A0D" w:rsidP="00211A0D">
      <w:pPr>
        <w:spacing w:before="0" w:after="0"/>
        <w:rPr>
          <w:b/>
          <w:bCs/>
          <w:szCs w:val="24"/>
        </w:rPr>
      </w:pPr>
      <w:r w:rsidRPr="004B6EAB">
        <w:rPr>
          <w:b/>
          <w:bCs/>
          <w:szCs w:val="24"/>
        </w:rPr>
        <w:t>Introduction</w:t>
      </w:r>
    </w:p>
    <w:p w14:paraId="5B081A2A" w14:textId="3134CC96" w:rsidR="00211A0D" w:rsidRPr="004B6EAB" w:rsidRDefault="00211A0D" w:rsidP="00211A0D">
      <w:pPr>
        <w:jc w:val="both"/>
      </w:pPr>
      <w:r w:rsidRPr="004B6EAB">
        <w:t>LLF was established in 2020 as an independent charitable foundation by the German government, development agencies, international conservation NGOs, and philanthropists. It aims to address the biodiversity financing gap for some of the world’s most outstanding protected areas and adjacent “buffer zones”. LLF currently supports 15</w:t>
      </w:r>
      <w:r w:rsidRPr="004B6EAB" w:rsidDel="00A909D5">
        <w:t xml:space="preserve"> </w:t>
      </w:r>
      <w:r w:rsidRPr="004B6EAB">
        <w:t>globally significant protected areas across Africa, South America and Asia, and aims to reach 30 areas by 2030. In 2023, the fund had around USD$340m in committed and expected contributions, with ambitions to grow to USD$1bn.</w:t>
      </w:r>
    </w:p>
    <w:p w14:paraId="60E0A2E5" w14:textId="2B73953D" w:rsidR="00211A0D" w:rsidRPr="004B6EAB" w:rsidRDefault="00211A0D" w:rsidP="00211A0D">
      <w:pPr>
        <w:jc w:val="both"/>
      </w:pPr>
      <w:r w:rsidRPr="004B6EAB">
        <w:t>LLF’s model is to offer long-term, flexible funding from public and private sources, with $1 million provided annually per landscape for a minimum of 15 years, or “in perpetuity” (50years+). To do this, LLF invests in capital markets using a moderate-risk investment strategy that aims to generate long-term returns.</w:t>
      </w:r>
    </w:p>
    <w:p w14:paraId="24D6276D" w14:textId="1BF3058C" w:rsidR="00211A0D" w:rsidRPr="004B6EAB" w:rsidRDefault="00211A0D" w:rsidP="00211A0D">
      <w:pPr>
        <w:jc w:val="both"/>
        <w:rPr>
          <w:rFonts w:cs="Arial"/>
          <w:szCs w:val="24"/>
        </w:rPr>
      </w:pPr>
      <w:r w:rsidRPr="004B6EAB">
        <w:rPr>
          <w:rFonts w:cs="Arial"/>
          <w:szCs w:val="24"/>
        </w:rPr>
        <w:t>For German law purposes, DEFRA’s funding will be contributed to “</w:t>
      </w:r>
      <w:r w:rsidRPr="004B6EAB">
        <w:rPr>
          <w:rStyle w:val="normaltextrun"/>
          <w:rFonts w:cs="Arial"/>
          <w:color w:val="000000" w:themeColor="text1"/>
        </w:rPr>
        <w:t>supply LLF with funds and to increase the funds of the LLF, respectively”, and shall accordingly be treated by LLF as a reserve under</w:t>
      </w:r>
      <w:r w:rsidRPr="004B6EAB">
        <w:rPr>
          <w:rStyle w:val="normaltextrun"/>
          <w:rFonts w:cs="Arial"/>
          <w:color w:val="222222"/>
        </w:rPr>
        <w:t xml:space="preserve"> § </w:t>
      </w:r>
      <w:r w:rsidRPr="004B6EAB">
        <w:rPr>
          <w:rStyle w:val="normaltextrun"/>
          <w:rFonts w:cs="Arial"/>
          <w:color w:val="000000" w:themeColor="text1"/>
        </w:rPr>
        <w:t>62 para. 3 Nr. 2 of the German Tax Code.  LLF confirms that (</w:t>
      </w:r>
      <w:proofErr w:type="spellStart"/>
      <w:r w:rsidRPr="004B6EAB">
        <w:rPr>
          <w:rStyle w:val="normaltextrun"/>
          <w:rFonts w:cs="Arial"/>
          <w:color w:val="000000" w:themeColor="text1"/>
        </w:rPr>
        <w:t>i</w:t>
      </w:r>
      <w:proofErr w:type="spellEnd"/>
      <w:r w:rsidRPr="004B6EAB">
        <w:rPr>
          <w:rStyle w:val="normaltextrun"/>
          <w:rFonts w:cs="Arial"/>
          <w:color w:val="000000" w:themeColor="text1"/>
        </w:rPr>
        <w:t>) this allows the Funds to be accounted for as a reserve on its balance sheet from which both investment earnings and, if necessary, principal can be spent to fulfil LLF’s support of the Project under this Agreement, and (ii) there is no inconsistency between the tax treatment for German law purposes contemplated by the preceding sentence and the provisions of this Agreement.</w:t>
      </w:r>
      <w:r w:rsidRPr="004B6EAB">
        <w:rPr>
          <w:rFonts w:cs="Arial"/>
          <w:szCs w:val="24"/>
        </w:rPr>
        <w:t>”</w:t>
      </w:r>
    </w:p>
    <w:p w14:paraId="46B33A38" w14:textId="77777777" w:rsidR="00211A0D" w:rsidRPr="004B6EAB" w:rsidRDefault="00211A0D" w:rsidP="00211A0D">
      <w:pPr>
        <w:jc w:val="both"/>
        <w:rPr>
          <w:rFonts w:cs="Arial"/>
          <w:szCs w:val="24"/>
        </w:rPr>
      </w:pPr>
    </w:p>
    <w:p w14:paraId="64CD43F8" w14:textId="02624BAA" w:rsidR="00211A0D" w:rsidRPr="004B6EAB" w:rsidRDefault="00211A0D" w:rsidP="00211A0D">
      <w:pPr>
        <w:spacing w:before="0" w:after="0"/>
        <w:rPr>
          <w:b/>
          <w:bCs/>
          <w:szCs w:val="24"/>
        </w:rPr>
      </w:pPr>
      <w:r w:rsidRPr="004B6EAB">
        <w:rPr>
          <w:b/>
          <w:bCs/>
          <w:szCs w:val="24"/>
        </w:rPr>
        <w:t xml:space="preserve">Main </w:t>
      </w:r>
      <w:r w:rsidR="00473D08" w:rsidRPr="004B6EAB">
        <w:rPr>
          <w:b/>
          <w:bCs/>
          <w:szCs w:val="24"/>
        </w:rPr>
        <w:t>P</w:t>
      </w:r>
      <w:r w:rsidRPr="004B6EAB">
        <w:rPr>
          <w:b/>
          <w:bCs/>
          <w:szCs w:val="24"/>
        </w:rPr>
        <w:t>rogramme objectives</w:t>
      </w:r>
    </w:p>
    <w:p w14:paraId="31B561D4" w14:textId="77777777" w:rsidR="00211A0D" w:rsidRPr="004B6EAB" w:rsidRDefault="00211A0D" w:rsidP="00211A0D">
      <w:pPr>
        <w:jc w:val="both"/>
      </w:pPr>
      <w:r w:rsidRPr="004B6EAB">
        <w:t>Anticipated Programme objectives and outcomes include:</w:t>
      </w:r>
    </w:p>
    <w:p w14:paraId="1676C89A" w14:textId="77777777" w:rsidR="00211A0D" w:rsidRPr="004B6EAB" w:rsidRDefault="00211A0D" w:rsidP="00211A0D">
      <w:pPr>
        <w:pStyle w:val="ListParagraph"/>
        <w:numPr>
          <w:ilvl w:val="0"/>
          <w:numId w:val="6"/>
        </w:numPr>
        <w:spacing w:before="100" w:beforeAutospacing="1" w:after="0" w:line="240" w:lineRule="auto"/>
        <w:ind w:left="714" w:hanging="357"/>
        <w:contextualSpacing w:val="0"/>
        <w:jc w:val="both"/>
      </w:pPr>
      <w:r w:rsidRPr="004B6EAB">
        <w:rPr>
          <w:rFonts w:cs="Arial"/>
        </w:rPr>
        <w:t xml:space="preserve">The long-term sustainable financing of protected areas and their buffer zones, with the development and implementation of long-term management strategies. </w:t>
      </w:r>
    </w:p>
    <w:p w14:paraId="65FA7377" w14:textId="77777777" w:rsidR="00211A0D" w:rsidRPr="004B6EAB" w:rsidRDefault="00211A0D" w:rsidP="00211A0D">
      <w:pPr>
        <w:pStyle w:val="ListParagraph"/>
        <w:numPr>
          <w:ilvl w:val="0"/>
          <w:numId w:val="6"/>
        </w:numPr>
        <w:spacing w:before="100" w:beforeAutospacing="1" w:after="0" w:line="240" w:lineRule="auto"/>
        <w:ind w:left="714" w:hanging="357"/>
        <w:contextualSpacing w:val="0"/>
        <w:jc w:val="both"/>
      </w:pPr>
      <w:r w:rsidRPr="004B6EAB">
        <w:rPr>
          <w:rFonts w:cs="Arial"/>
        </w:rPr>
        <w:t>Additional finance leveraged with Defra’s ODA spend at an expected ratio of 2:1 (2 for Defra and 1 for leveraged funds), for the sites supported by the contribution, or 1:1:1 (1 for Defra funds, 1 for private funds and 1 for philanthropic funds)</w:t>
      </w:r>
    </w:p>
    <w:p w14:paraId="542C8CEC" w14:textId="77777777" w:rsidR="00211A0D" w:rsidRPr="004B6EAB" w:rsidRDefault="00211A0D" w:rsidP="00211A0D">
      <w:pPr>
        <w:pStyle w:val="ListParagraph"/>
        <w:numPr>
          <w:ilvl w:val="0"/>
          <w:numId w:val="6"/>
        </w:numPr>
        <w:spacing w:before="100" w:beforeAutospacing="1" w:after="0" w:line="240" w:lineRule="auto"/>
        <w:ind w:left="714" w:hanging="357"/>
        <w:contextualSpacing w:val="0"/>
        <w:jc w:val="both"/>
      </w:pPr>
      <w:r w:rsidRPr="004B6EAB">
        <w:t>Maximising benefits for local communities, Indigenous people and women, ensuring high levels of participation and transparency.</w:t>
      </w:r>
    </w:p>
    <w:p w14:paraId="4C271AC4" w14:textId="77777777" w:rsidR="00211A0D" w:rsidRPr="004B6EAB" w:rsidRDefault="00211A0D" w:rsidP="00211A0D">
      <w:pPr>
        <w:pStyle w:val="ListParagraph"/>
        <w:numPr>
          <w:ilvl w:val="0"/>
          <w:numId w:val="6"/>
        </w:numPr>
        <w:spacing w:before="100" w:beforeAutospacing="1" w:after="0" w:line="240" w:lineRule="auto"/>
        <w:ind w:left="714" w:hanging="357"/>
        <w:contextualSpacing w:val="0"/>
        <w:jc w:val="both"/>
      </w:pPr>
      <w:r w:rsidRPr="004B6EAB">
        <w:rPr>
          <w:rFonts w:cs="Arial"/>
        </w:rPr>
        <w:t xml:space="preserve">Supporting sustainable livelihoods and community well-being, benefiting local individuals and families, with the social and economic benefits (e.g., revenue/income, tourism) being recognised, promoted and maintained. </w:t>
      </w:r>
    </w:p>
    <w:p w14:paraId="133AB3A9" w14:textId="77777777" w:rsidR="00211A0D" w:rsidRPr="004B6EAB" w:rsidRDefault="00211A0D" w:rsidP="00211A0D">
      <w:pPr>
        <w:pStyle w:val="ListParagraph"/>
        <w:numPr>
          <w:ilvl w:val="0"/>
          <w:numId w:val="6"/>
        </w:numPr>
        <w:spacing w:before="100" w:beforeAutospacing="1" w:after="0" w:line="240" w:lineRule="auto"/>
        <w:ind w:left="714" w:hanging="357"/>
        <w:contextualSpacing w:val="0"/>
        <w:jc w:val="both"/>
      </w:pPr>
      <w:r w:rsidRPr="004B6EAB">
        <w:rPr>
          <w:rFonts w:cs="Arial"/>
        </w:rPr>
        <w:t xml:space="preserve">Demonstrated impact of climate change mitigation through carbon storage and sequestration in the protected areas under funding. </w:t>
      </w:r>
    </w:p>
    <w:p w14:paraId="4E0B27CC" w14:textId="77777777" w:rsidR="00211A0D" w:rsidRPr="004B6EAB" w:rsidRDefault="00211A0D" w:rsidP="00211A0D">
      <w:pPr>
        <w:pStyle w:val="ListParagraph"/>
        <w:numPr>
          <w:ilvl w:val="0"/>
          <w:numId w:val="6"/>
        </w:numPr>
        <w:spacing w:before="100" w:beforeAutospacing="1" w:after="0" w:line="240" w:lineRule="auto"/>
        <w:ind w:left="714" w:hanging="357"/>
        <w:contextualSpacing w:val="0"/>
        <w:jc w:val="both"/>
      </w:pPr>
      <w:r w:rsidRPr="004B6EAB">
        <w:rPr>
          <w:rFonts w:cs="Arial"/>
        </w:rPr>
        <w:t xml:space="preserve">Demonstrated impact of ecosystem services and stability in the protected areas under funding. </w:t>
      </w:r>
    </w:p>
    <w:p w14:paraId="1D0288F0" w14:textId="77777777" w:rsidR="00211A0D" w:rsidRPr="004B6EAB" w:rsidRDefault="00211A0D" w:rsidP="00211A0D">
      <w:pPr>
        <w:pStyle w:val="ListParagraph"/>
        <w:numPr>
          <w:ilvl w:val="0"/>
          <w:numId w:val="6"/>
        </w:numPr>
        <w:spacing w:before="100" w:beforeAutospacing="1" w:after="0" w:line="240" w:lineRule="auto"/>
        <w:ind w:left="714" w:hanging="357"/>
        <w:contextualSpacing w:val="0"/>
        <w:jc w:val="both"/>
      </w:pPr>
      <w:r w:rsidRPr="004B6EAB">
        <w:rPr>
          <w:rFonts w:cs="Arial"/>
        </w:rPr>
        <w:lastRenderedPageBreak/>
        <w:t xml:space="preserve">Demonstrated impact of ecological integrity in the protected areas under funding. </w:t>
      </w:r>
    </w:p>
    <w:p w14:paraId="054C3223" w14:textId="77777777" w:rsidR="00211A0D" w:rsidRPr="004B6EAB" w:rsidRDefault="00211A0D" w:rsidP="00211A0D">
      <w:pPr>
        <w:pStyle w:val="ListParagraph"/>
        <w:numPr>
          <w:ilvl w:val="0"/>
          <w:numId w:val="6"/>
        </w:numPr>
        <w:spacing w:before="100" w:beforeAutospacing="1" w:after="0" w:line="240" w:lineRule="auto"/>
        <w:ind w:left="714" w:hanging="357"/>
        <w:contextualSpacing w:val="0"/>
        <w:jc w:val="both"/>
      </w:pPr>
      <w:r w:rsidRPr="004B6EAB">
        <w:rPr>
          <w:rFonts w:cs="Arial"/>
        </w:rPr>
        <w:t>Piloting of innovating approaches to conservation and protected area management.</w:t>
      </w:r>
    </w:p>
    <w:p w14:paraId="783F7103" w14:textId="1D23519E" w:rsidR="00800EBE" w:rsidRDefault="00211A0D" w:rsidP="00211A0D">
      <w:pPr>
        <w:rPr>
          <w:color w:val="FF0000"/>
        </w:rPr>
      </w:pPr>
      <w:r w:rsidRPr="004B6EAB">
        <w:t xml:space="preserve">The full results framework </w:t>
      </w:r>
      <w:r w:rsidR="00BE20BD">
        <w:t xml:space="preserve">will be used </w:t>
      </w:r>
      <w:r w:rsidR="00D17234">
        <w:t>to measure</w:t>
      </w:r>
      <w:r w:rsidR="00BE20BD">
        <w:t xml:space="preserve"> </w:t>
      </w:r>
      <w:r w:rsidR="00823A44">
        <w:t xml:space="preserve">and report to Defra on </w:t>
      </w:r>
      <w:r w:rsidR="00BE20BD">
        <w:t xml:space="preserve">LLF and </w:t>
      </w:r>
      <w:r w:rsidR="00D17234">
        <w:t xml:space="preserve">legacy </w:t>
      </w:r>
      <w:r w:rsidR="00BE20BD">
        <w:t>landscape results</w:t>
      </w:r>
      <w:r w:rsidR="00AA18D7">
        <w:t>.</w:t>
      </w:r>
      <w:r w:rsidR="00381284">
        <w:t xml:space="preserve"> At the point of signing, this is in accordance with the </w:t>
      </w:r>
      <w:r w:rsidR="00823A44">
        <w:t xml:space="preserve">results </w:t>
      </w:r>
      <w:r w:rsidR="00381284">
        <w:t>summary below.</w:t>
      </w:r>
    </w:p>
    <w:p w14:paraId="436C2657" w14:textId="1B7A6A1F" w:rsidR="00E66451" w:rsidRDefault="00F92A8A" w:rsidP="00211A0D">
      <w:pPr>
        <w:rPr>
          <w:color w:val="FF0000"/>
        </w:rPr>
      </w:pPr>
      <w:r w:rsidRPr="00F92A8A">
        <w:rPr>
          <w:noProof/>
          <w:color w:val="FF0000"/>
        </w:rPr>
        <w:drawing>
          <wp:inline distT="0" distB="0" distL="0" distR="0" wp14:anchorId="4245E8D3" wp14:editId="59396463">
            <wp:extent cx="5731510" cy="3176905"/>
            <wp:effectExtent l="0" t="0" r="2540" b="4445"/>
            <wp:docPr id="11230402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40263" name="Picture 1" descr="A screenshot of a computer&#10;&#10;Description automatically generated"/>
                    <pic:cNvPicPr/>
                  </pic:nvPicPr>
                  <pic:blipFill>
                    <a:blip r:embed="rId21"/>
                    <a:stretch>
                      <a:fillRect/>
                    </a:stretch>
                  </pic:blipFill>
                  <pic:spPr>
                    <a:xfrm>
                      <a:off x="0" y="0"/>
                      <a:ext cx="5731510" cy="3176905"/>
                    </a:xfrm>
                    <a:prstGeom prst="rect">
                      <a:avLst/>
                    </a:prstGeom>
                  </pic:spPr>
                </pic:pic>
              </a:graphicData>
            </a:graphic>
          </wp:inline>
        </w:drawing>
      </w:r>
    </w:p>
    <w:p w14:paraId="3B200966" w14:textId="583A5241" w:rsidR="00E74D78" w:rsidRDefault="00E74D78" w:rsidP="00211A0D">
      <w:pPr>
        <w:rPr>
          <w:color w:val="FF0000"/>
        </w:rPr>
      </w:pPr>
    </w:p>
    <w:p w14:paraId="5A452C4D" w14:textId="77777777" w:rsidR="00211A0D" w:rsidRPr="004B6EAB" w:rsidRDefault="00211A0D" w:rsidP="00211A0D"/>
    <w:p w14:paraId="5A7F3DF6" w14:textId="77777777" w:rsidR="00211A0D" w:rsidRPr="004B6EAB" w:rsidRDefault="00211A0D" w:rsidP="00211A0D"/>
    <w:p w14:paraId="613DA065" w14:textId="77777777" w:rsidR="00211A0D" w:rsidRPr="004B6EAB" w:rsidRDefault="00211A0D" w:rsidP="00211A0D"/>
    <w:p w14:paraId="55F9AAC6" w14:textId="77777777" w:rsidR="00211A0D" w:rsidRPr="004B6EAB" w:rsidRDefault="00211A0D" w:rsidP="00211A0D"/>
    <w:p w14:paraId="73983A17" w14:textId="77777777" w:rsidR="00211A0D" w:rsidRPr="004B6EAB" w:rsidRDefault="00211A0D" w:rsidP="00211A0D"/>
    <w:p w14:paraId="47E44739" w14:textId="77777777" w:rsidR="00211A0D" w:rsidRPr="004B6EAB" w:rsidRDefault="00211A0D" w:rsidP="00211A0D"/>
    <w:p w14:paraId="1A72DA2B" w14:textId="77777777" w:rsidR="00211A0D" w:rsidRPr="004B6EAB" w:rsidRDefault="00211A0D" w:rsidP="00211A0D"/>
    <w:p w14:paraId="014E2178" w14:textId="77777777" w:rsidR="00211A0D" w:rsidRPr="004B6EAB" w:rsidRDefault="00211A0D" w:rsidP="00211A0D"/>
    <w:p w14:paraId="5617E965" w14:textId="77777777" w:rsidR="00211A0D" w:rsidRPr="004B6EAB" w:rsidRDefault="00211A0D" w:rsidP="00211A0D"/>
    <w:p w14:paraId="3201A5AB" w14:textId="77777777" w:rsidR="00211A0D" w:rsidRPr="004B6EAB" w:rsidRDefault="00211A0D" w:rsidP="00211A0D"/>
    <w:p w14:paraId="45EDD53C" w14:textId="77777777" w:rsidR="00421E79" w:rsidRPr="004B6EAB" w:rsidRDefault="00421E79" w:rsidP="00421E79">
      <w:pPr>
        <w:rPr>
          <w:b/>
          <w:bCs/>
          <w:sz w:val="28"/>
          <w:szCs w:val="28"/>
          <w:lang w:eastAsia="en-GB"/>
        </w:rPr>
      </w:pPr>
      <w:r w:rsidRPr="004B6EAB">
        <w:rPr>
          <w:rStyle w:val="CommentReference"/>
          <w:b/>
          <w:bCs/>
          <w:sz w:val="28"/>
          <w:szCs w:val="28"/>
        </w:rPr>
        <w:lastRenderedPageBreak/>
        <w:t>Annex B – Funding Exclusions</w:t>
      </w:r>
    </w:p>
    <w:p w14:paraId="501A2B26" w14:textId="77777777" w:rsidR="00421E79" w:rsidRPr="004B6EAB" w:rsidRDefault="00421E79" w:rsidP="00421E79">
      <w:pPr>
        <w:spacing w:before="0" w:after="0" w:line="240" w:lineRule="auto"/>
        <w:rPr>
          <w:szCs w:val="24"/>
          <w:lang w:eastAsia="en-GB"/>
        </w:rPr>
      </w:pPr>
      <w:r w:rsidRPr="004B6EAB">
        <w:rPr>
          <w:szCs w:val="24"/>
          <w:lang w:eastAsia="en-GB"/>
        </w:rPr>
        <w:t>Defra funding will not be used to meet the costs of any other expenditure, in particular (but non-exhaustively) those items in the list below:</w:t>
      </w:r>
    </w:p>
    <w:p w14:paraId="16F62E2B" w14:textId="77777777" w:rsidR="00421E79" w:rsidRPr="004B6EAB" w:rsidRDefault="00421E79" w:rsidP="00421E79">
      <w:pPr>
        <w:spacing w:before="0" w:after="0" w:line="240" w:lineRule="auto"/>
        <w:rPr>
          <w:szCs w:val="24"/>
          <w:lang w:eastAsia="en-GB"/>
        </w:rPr>
      </w:pPr>
    </w:p>
    <w:p w14:paraId="7D55E788"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Lobbying UK government i.e. activities which aim to influence or attempt to influence Parliament, UK government or political activity, or UK legislative or regulatory action.</w:t>
      </w:r>
    </w:p>
    <w:p w14:paraId="63A04A49"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Activities which directly enable one part of government to challenge another on topics unrelated to the approved purpose of the contribution.</w:t>
      </w:r>
    </w:p>
    <w:p w14:paraId="174EB25B"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To petition UK Government for additional funding.</w:t>
      </w:r>
    </w:p>
    <w:p w14:paraId="411D0CBF"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Input VAT reclaimable by the partner from HMRC.</w:t>
      </w:r>
    </w:p>
    <w:p w14:paraId="127EE45D"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 xml:space="preserve">Activities which may lead to civil unrest. </w:t>
      </w:r>
    </w:p>
    <w:p w14:paraId="290B899F"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Activities which discriminate against any group on the basis of age, gender reassignment, disability, race, colour, ethnicity, sex and sexual orientation, pregnancy and maternity, religion, or belief.</w:t>
      </w:r>
    </w:p>
    <w:p w14:paraId="3AAB5754"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Contributions in kind.</w:t>
      </w:r>
    </w:p>
    <w:p w14:paraId="5A41FEB1"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Interest payments or service charge payments for finance leases.</w:t>
      </w:r>
    </w:p>
    <w:p w14:paraId="30D4A996"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Gifts, to individuals, other than promotional materials.</w:t>
      </w:r>
    </w:p>
    <w:p w14:paraId="697ABECC"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Statutory fines, criminal fines or penalties civil penalties, damages or any associated legal costs.</w:t>
      </w:r>
    </w:p>
    <w:p w14:paraId="24F69A1D"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Payments for works or activities which the partner has a statutory duty to undertake, or that are fully funded by other sources.</w:t>
      </w:r>
    </w:p>
    <w:p w14:paraId="238303A2"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Bad debts to related parties.</w:t>
      </w:r>
    </w:p>
    <w:p w14:paraId="742F210F"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Payments for unfair dismissal or other compensation.</w:t>
      </w:r>
    </w:p>
    <w:p w14:paraId="4F143A07"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Depreciation, amortisation, or impairment of assets owned by the partner.</w:t>
      </w:r>
    </w:p>
    <w:p w14:paraId="560308DD"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Liabilities incurred before the commencement of the agreement.</w:t>
      </w:r>
    </w:p>
    <w:p w14:paraId="4D77FCD2" w14:textId="77777777" w:rsidR="00421E79" w:rsidRPr="004B6EAB" w:rsidRDefault="00421E79" w:rsidP="00421E79">
      <w:pPr>
        <w:pStyle w:val="ListParagraph"/>
        <w:numPr>
          <w:ilvl w:val="0"/>
          <w:numId w:val="29"/>
        </w:numPr>
        <w:spacing w:before="0" w:after="0" w:line="240" w:lineRule="auto"/>
        <w:ind w:left="714" w:hanging="357"/>
        <w:contextualSpacing w:val="0"/>
      </w:pPr>
      <w:r w:rsidRPr="004B6EAB">
        <w:t>To replace or refund any funds lost to Aid Diversion.</w:t>
      </w:r>
    </w:p>
    <w:p w14:paraId="0F2AEBC5" w14:textId="77777777" w:rsidR="00421E79" w:rsidRPr="004B6EAB" w:rsidRDefault="00421E79" w:rsidP="00421E79">
      <w:pPr>
        <w:spacing w:before="0" w:after="0" w:line="240" w:lineRule="auto"/>
      </w:pPr>
    </w:p>
    <w:p w14:paraId="2A2999E3" w14:textId="20E5EC10" w:rsidR="00421E79" w:rsidRPr="004B6EAB" w:rsidRDefault="00421E79" w:rsidP="00421E79">
      <w:pPr>
        <w:spacing w:before="0" w:after="0"/>
        <w:rPr>
          <w:b/>
          <w:bCs/>
          <w:szCs w:val="24"/>
        </w:rPr>
      </w:pPr>
    </w:p>
    <w:p w14:paraId="19015F3A" w14:textId="77777777" w:rsidR="00421E79" w:rsidRPr="004B6EAB" w:rsidRDefault="00421E79" w:rsidP="00421E79">
      <w:pPr>
        <w:pStyle w:val="ListParagraph"/>
        <w:numPr>
          <w:ilvl w:val="0"/>
          <w:numId w:val="5"/>
        </w:numPr>
        <w:spacing w:before="0" w:after="0" w:line="240" w:lineRule="auto"/>
        <w:rPr>
          <w:b/>
          <w:bCs/>
          <w:sz w:val="28"/>
        </w:rPr>
      </w:pPr>
      <w:r w:rsidRPr="004B6EAB">
        <w:rPr>
          <w:b/>
          <w:bCs/>
          <w:sz w:val="28"/>
        </w:rPr>
        <w:br w:type="page"/>
      </w:r>
    </w:p>
    <w:p w14:paraId="64AEEBAA" w14:textId="471E86B0" w:rsidR="00421E79" w:rsidRPr="004B6EAB" w:rsidRDefault="00421E79" w:rsidP="00421E79">
      <w:pPr>
        <w:spacing w:after="0"/>
        <w:jc w:val="both"/>
        <w:rPr>
          <w:b/>
          <w:bCs/>
        </w:rPr>
      </w:pPr>
      <w:r w:rsidRPr="004B6EAB">
        <w:rPr>
          <w:b/>
          <w:bCs/>
          <w:sz w:val="28"/>
        </w:rPr>
        <w:lastRenderedPageBreak/>
        <w:t xml:space="preserve">Annex C – </w:t>
      </w:r>
      <w:r w:rsidRPr="004B6EAB">
        <w:rPr>
          <w:b/>
          <w:sz w:val="28"/>
          <w:szCs w:val="28"/>
        </w:rPr>
        <w:t xml:space="preserve">Claim </w:t>
      </w:r>
      <w:r w:rsidRPr="004B6EAB">
        <w:rPr>
          <w:b/>
          <w:bCs/>
          <w:sz w:val="28"/>
          <w:szCs w:val="28"/>
        </w:rPr>
        <w:t xml:space="preserve">for Payment </w:t>
      </w:r>
      <w:r w:rsidRPr="004B6EAB">
        <w:rPr>
          <w:b/>
          <w:sz w:val="28"/>
          <w:szCs w:val="28"/>
        </w:rPr>
        <w:t>Form</w:t>
      </w:r>
    </w:p>
    <w:p w14:paraId="2593D06C" w14:textId="77777777" w:rsidR="00421E79" w:rsidRPr="004B6EAB" w:rsidRDefault="00421E79" w:rsidP="00421E79">
      <w:pPr>
        <w:jc w:val="both"/>
      </w:pPr>
      <w:r w:rsidRPr="004B6EAB">
        <w:t>To avoid delay in payment it is important that your claim is complete and that it includes a valid Contribution Reference Number, a signed claim form and the following supporting information:</w:t>
      </w:r>
    </w:p>
    <w:p w14:paraId="32AF75C9" w14:textId="77777777" w:rsidR="00421E79" w:rsidRPr="004B6EAB" w:rsidRDefault="00421E79" w:rsidP="00421E79">
      <w:pPr>
        <w:pStyle w:val="ListParagraph"/>
        <w:numPr>
          <w:ilvl w:val="0"/>
          <w:numId w:val="2"/>
        </w:numPr>
        <w:spacing w:before="0" w:after="160" w:line="259" w:lineRule="auto"/>
        <w:ind w:left="391" w:hanging="391"/>
        <w:contextualSpacing w:val="0"/>
        <w:jc w:val="both"/>
      </w:pPr>
      <w:r w:rsidRPr="004B6EAB">
        <w:t>A valid pro-forma invoice/payment request which clearly states it comes from LLF and includes an invoice number or unique payment reference number; full banking/billing details; amount to be paid; currency required; brief description of expenditure or dedicated allocation.</w:t>
      </w:r>
    </w:p>
    <w:p w14:paraId="10465C7D" w14:textId="77777777" w:rsidR="00421E79" w:rsidRPr="004B6EAB" w:rsidRDefault="00421E79" w:rsidP="00421E79">
      <w:pPr>
        <w:pStyle w:val="ListParagraph"/>
        <w:numPr>
          <w:ilvl w:val="0"/>
          <w:numId w:val="2"/>
        </w:numPr>
        <w:spacing w:before="0" w:after="160" w:line="259" w:lineRule="auto"/>
        <w:contextualSpacing w:val="0"/>
        <w:jc w:val="both"/>
      </w:pPr>
      <w:r w:rsidRPr="004B6EAB">
        <w:t>Completed Claim for Payment form attached.</w:t>
      </w:r>
    </w:p>
    <w:p w14:paraId="00738179" w14:textId="2A18755F" w:rsidR="00421E79" w:rsidRPr="004B6EAB" w:rsidRDefault="00421E79" w:rsidP="00421E79">
      <w:pPr>
        <w:spacing w:after="0"/>
        <w:jc w:val="both"/>
        <w:rPr>
          <w:b/>
          <w:bCs/>
        </w:rPr>
      </w:pPr>
      <w:bookmarkStart w:id="10" w:name="_1735461700"/>
      <w:bookmarkStart w:id="11" w:name="_1779197072"/>
      <w:bookmarkEnd w:id="10"/>
      <w:bookmarkEnd w:id="11"/>
      <w:r w:rsidRPr="004B6EAB">
        <w:rPr>
          <w:b/>
          <w:bCs/>
        </w:rPr>
        <w:t>Claims which do not have this information will be sent back to you, which may lead to a delay in payment.</w:t>
      </w:r>
    </w:p>
    <w:p w14:paraId="6A3AAD7C" w14:textId="77777777" w:rsidR="00421E79" w:rsidRPr="004B6EAB" w:rsidRDefault="00421E79" w:rsidP="00421E79">
      <w:pPr>
        <w:spacing w:before="0" w:after="160"/>
        <w:jc w:val="both"/>
      </w:pPr>
    </w:p>
    <w:p w14:paraId="715057B4" w14:textId="00DB13BD" w:rsidR="00421E79" w:rsidRPr="004B6EAB" w:rsidRDefault="00421E79" w:rsidP="009C63C9">
      <w:pPr>
        <w:spacing w:before="0" w:after="0" w:line="240" w:lineRule="auto"/>
        <w:rPr>
          <w:b/>
          <w:bCs/>
          <w:sz w:val="28"/>
          <w:szCs w:val="28"/>
        </w:rPr>
      </w:pPr>
      <w:r w:rsidRPr="004B6EAB">
        <w:br w:type="page"/>
      </w:r>
      <w:r w:rsidRPr="004B6EAB">
        <w:rPr>
          <w:b/>
          <w:bCs/>
          <w:sz w:val="28"/>
          <w:szCs w:val="28"/>
        </w:rPr>
        <w:lastRenderedPageBreak/>
        <w:t>Annex D: Joint Donor Language on sexual exploitation, abuse and sexual harassment (SEAH)</w:t>
      </w:r>
      <w:r w:rsidRPr="004B6EAB">
        <w:rPr>
          <w:rFonts w:eastAsia="Times New Roman"/>
        </w:rPr>
        <w:t>  </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5"/>
      </w:tblGrid>
      <w:tr w:rsidR="00421E79" w:rsidRPr="004B6EAB" w14:paraId="1D89551F" w14:textId="77777777" w:rsidTr="46F1387F">
        <w:trPr>
          <w:trHeight w:val="300"/>
        </w:trPr>
        <w:tc>
          <w:tcPr>
            <w:tcW w:w="8925" w:type="dxa"/>
            <w:tcBorders>
              <w:top w:val="single" w:sz="6" w:space="0" w:color="auto"/>
              <w:left w:val="single" w:sz="6" w:space="0" w:color="auto"/>
              <w:bottom w:val="single" w:sz="6" w:space="0" w:color="auto"/>
              <w:right w:val="single" w:sz="6" w:space="0" w:color="auto"/>
            </w:tcBorders>
            <w:hideMark/>
          </w:tcPr>
          <w:p w14:paraId="32418E9A" w14:textId="678122C9" w:rsidR="00421E79" w:rsidRPr="004B6EAB" w:rsidRDefault="00421E79" w:rsidP="009B6164">
            <w:pPr>
              <w:spacing w:before="0" w:after="0" w:line="240" w:lineRule="auto"/>
              <w:ind w:left="-30" w:right="-30"/>
              <w:textAlignment w:val="baseline"/>
              <w:rPr>
                <w:rFonts w:eastAsia="Times New Roman" w:cs="Arial"/>
                <w:sz w:val="20"/>
                <w:szCs w:val="20"/>
                <w:lang w:eastAsia="en-GB"/>
              </w:rPr>
            </w:pPr>
            <w:r w:rsidRPr="004B6EAB">
              <w:rPr>
                <w:rFonts w:eastAsia="Times New Roman" w:cs="Arial"/>
                <w:sz w:val="20"/>
                <w:szCs w:val="20"/>
                <w:lang w:eastAsia="en-GB"/>
              </w:rPr>
              <w:t>1. The Participants have a zero tolerance for inaction approach to tackling sexual exploitation, abuse and harassment (“SEAH”).</w:t>
            </w:r>
            <w:hyperlink r:id="rId22" w:anchor="_ftn1" w:tgtFrame="_blank" w:history="1">
              <w:r w:rsidRPr="004B6EAB">
                <w:rPr>
                  <w:rFonts w:eastAsia="Times New Roman" w:cs="Arial"/>
                  <w:sz w:val="20"/>
                  <w:szCs w:val="20"/>
                  <w:u w:val="single"/>
                  <w:vertAlign w:val="superscript"/>
                  <w:lang w:eastAsia="en-GB"/>
                </w:rPr>
                <w:t>[1]</w:t>
              </w:r>
            </w:hyperlink>
            <w:r w:rsidRPr="004B6EAB">
              <w:rPr>
                <w:rFonts w:eastAsia="Times New Roman" w:cs="Arial"/>
                <w:sz w:val="20"/>
                <w:szCs w:val="20"/>
                <w:lang w:eastAsia="en-GB"/>
              </w:rPr>
              <w:t xml:space="preserve"> This means the Partner, and its implementing partners, will take all reasonable and adequate steps to prevent SEAH of any person linked to the delivery of this Memorandum by both its employees and any implementing partner for DEFRA funds and respond appropriately when reports of SEAH arise. The Partner must apply the IASC Six Core Principles Relating to Sexual Exploitation and Abuse and the following principles and practices when implementing this </w:t>
            </w:r>
            <w:r w:rsidR="00473D08" w:rsidRPr="004B6EAB">
              <w:rPr>
                <w:rFonts w:eastAsia="Times New Roman" w:cs="Arial"/>
                <w:sz w:val="20"/>
                <w:szCs w:val="20"/>
                <w:lang w:eastAsia="en-GB"/>
              </w:rPr>
              <w:t>P</w:t>
            </w:r>
            <w:r w:rsidRPr="004B6EAB">
              <w:rPr>
                <w:rFonts w:eastAsia="Times New Roman" w:cs="Arial"/>
                <w:sz w:val="20"/>
                <w:szCs w:val="20"/>
                <w:lang w:eastAsia="en-GB"/>
              </w:rPr>
              <w:t>rogramme and provide evidence to demonstrate this where required: </w:t>
            </w:r>
          </w:p>
          <w:p w14:paraId="18086750" w14:textId="77777777" w:rsidR="00421E79" w:rsidRPr="004B6EAB" w:rsidRDefault="00421E79" w:rsidP="009B6164">
            <w:pPr>
              <w:numPr>
                <w:ilvl w:val="0"/>
                <w:numId w:val="18"/>
              </w:numPr>
              <w:spacing w:before="0" w:after="0" w:line="240" w:lineRule="auto"/>
              <w:ind w:left="330" w:firstLine="0"/>
              <w:textAlignment w:val="baseline"/>
              <w:rPr>
                <w:rFonts w:eastAsia="Times New Roman" w:cs="Arial"/>
                <w:sz w:val="20"/>
                <w:szCs w:val="20"/>
                <w:lang w:eastAsia="en-GB"/>
              </w:rPr>
            </w:pPr>
            <w:r w:rsidRPr="004B6EAB">
              <w:rPr>
                <w:rFonts w:eastAsia="Times New Roman" w:cs="Arial"/>
                <w:sz w:val="20"/>
                <w:szCs w:val="20"/>
                <w:lang w:eastAsia="en-GB"/>
              </w:rPr>
              <w:t>Adherence to the IASC-Minimum Operation Standards and/or SEA elements of the Core Humanitarian Standard on Quality and Accountability; </w:t>
            </w:r>
          </w:p>
          <w:p w14:paraId="157038D7" w14:textId="77777777" w:rsidR="00421E79" w:rsidRPr="004B6EAB" w:rsidRDefault="00421E79" w:rsidP="009B6164">
            <w:pPr>
              <w:numPr>
                <w:ilvl w:val="0"/>
                <w:numId w:val="19"/>
              </w:numPr>
              <w:spacing w:before="0" w:after="0" w:line="240" w:lineRule="auto"/>
              <w:ind w:left="330" w:firstLine="0"/>
              <w:textAlignment w:val="baseline"/>
              <w:rPr>
                <w:rFonts w:eastAsia="Times New Roman" w:cs="Arial"/>
                <w:sz w:val="20"/>
                <w:szCs w:val="20"/>
                <w:lang w:eastAsia="en-GB"/>
              </w:rPr>
            </w:pPr>
            <w:r w:rsidRPr="004B6EAB">
              <w:rPr>
                <w:rFonts w:eastAsia="Times New Roman" w:cs="Arial"/>
                <w:sz w:val="20"/>
                <w:szCs w:val="20"/>
                <w:lang w:eastAsia="en-GB"/>
              </w:rPr>
              <w:t>A survivor-centred approach</w:t>
            </w:r>
            <w:hyperlink r:id="rId23" w:anchor="_ftn2" w:tgtFrame="_blank" w:history="1">
              <w:r w:rsidRPr="004B6EAB">
                <w:rPr>
                  <w:rFonts w:eastAsia="Times New Roman" w:cs="Arial"/>
                  <w:sz w:val="20"/>
                  <w:szCs w:val="20"/>
                  <w:u w:val="single"/>
                  <w:vertAlign w:val="superscript"/>
                  <w:lang w:eastAsia="en-GB"/>
                </w:rPr>
                <w:t>[2]</w:t>
              </w:r>
            </w:hyperlink>
            <w:r w:rsidRPr="004B6EAB">
              <w:rPr>
                <w:rFonts w:eastAsia="Times New Roman" w:cs="Arial"/>
                <w:sz w:val="20"/>
                <w:szCs w:val="20"/>
                <w:lang w:eastAsia="en-GB"/>
              </w:rPr>
              <w:t xml:space="preserve"> to SEAH issues; </w:t>
            </w:r>
          </w:p>
          <w:p w14:paraId="0D413C3E" w14:textId="77777777" w:rsidR="00421E79" w:rsidRPr="004B6EAB" w:rsidRDefault="00421E79" w:rsidP="009B6164">
            <w:pPr>
              <w:numPr>
                <w:ilvl w:val="0"/>
                <w:numId w:val="20"/>
              </w:numPr>
              <w:spacing w:before="0" w:after="0" w:line="240" w:lineRule="auto"/>
              <w:ind w:left="330" w:firstLine="0"/>
              <w:textAlignment w:val="baseline"/>
              <w:rPr>
                <w:rFonts w:eastAsia="Times New Roman" w:cs="Arial"/>
                <w:sz w:val="20"/>
                <w:szCs w:val="20"/>
                <w:lang w:eastAsia="en-GB"/>
              </w:rPr>
            </w:pPr>
            <w:r w:rsidRPr="004B6EAB">
              <w:rPr>
                <w:rFonts w:eastAsia="Times New Roman" w:cs="Arial"/>
                <w:sz w:val="20"/>
                <w:szCs w:val="20"/>
                <w:lang w:eastAsia="en-GB"/>
              </w:rPr>
              <w:t>Strong leadership and signalling on tackling SEAH; </w:t>
            </w:r>
          </w:p>
          <w:p w14:paraId="1AB0C97A" w14:textId="77777777" w:rsidR="00421E79" w:rsidRPr="004B6EAB" w:rsidRDefault="00421E79" w:rsidP="009B6164">
            <w:pPr>
              <w:numPr>
                <w:ilvl w:val="0"/>
                <w:numId w:val="21"/>
              </w:numPr>
              <w:spacing w:before="0" w:after="0" w:line="240" w:lineRule="auto"/>
              <w:ind w:left="330" w:firstLine="0"/>
              <w:textAlignment w:val="baseline"/>
              <w:rPr>
                <w:rFonts w:eastAsia="Times New Roman" w:cs="Arial"/>
                <w:sz w:val="20"/>
                <w:szCs w:val="20"/>
                <w:lang w:eastAsia="en-GB"/>
              </w:rPr>
            </w:pPr>
            <w:r w:rsidRPr="004B6EAB">
              <w:rPr>
                <w:rFonts w:eastAsia="Times New Roman" w:cs="Arial"/>
                <w:sz w:val="20"/>
                <w:szCs w:val="20"/>
                <w:lang w:eastAsia="en-GB"/>
              </w:rPr>
              <w:t>Make all reasonable and adequate efforts to address gender inequality and other power imbalances; </w:t>
            </w:r>
          </w:p>
          <w:p w14:paraId="0B2E1495" w14:textId="77777777" w:rsidR="00421E79" w:rsidRPr="004B6EAB" w:rsidRDefault="00421E79" w:rsidP="009B6164">
            <w:pPr>
              <w:numPr>
                <w:ilvl w:val="0"/>
                <w:numId w:val="22"/>
              </w:numPr>
              <w:spacing w:before="0" w:after="0" w:line="240" w:lineRule="auto"/>
              <w:ind w:left="330" w:firstLine="0"/>
              <w:textAlignment w:val="baseline"/>
              <w:rPr>
                <w:rFonts w:eastAsia="Times New Roman" w:cs="Arial"/>
                <w:sz w:val="20"/>
                <w:szCs w:val="20"/>
                <w:lang w:eastAsia="en-GB"/>
              </w:rPr>
            </w:pPr>
            <w:r w:rsidRPr="004B6EAB">
              <w:rPr>
                <w:rFonts w:eastAsia="Times New Roman" w:cs="Arial"/>
                <w:sz w:val="20"/>
                <w:szCs w:val="20"/>
                <w:lang w:eastAsia="en-GB"/>
              </w:rPr>
              <w:t>Robust reporting to enhance accountability and transparency; </w:t>
            </w:r>
          </w:p>
          <w:p w14:paraId="605AFC2E" w14:textId="37755640" w:rsidR="00421E79" w:rsidRPr="004B6EAB" w:rsidRDefault="00421E79" w:rsidP="004B6EAB">
            <w:pPr>
              <w:numPr>
                <w:ilvl w:val="0"/>
                <w:numId w:val="23"/>
              </w:numPr>
              <w:spacing w:before="0" w:after="0" w:line="240" w:lineRule="auto"/>
              <w:ind w:left="330" w:firstLine="0"/>
              <w:textAlignment w:val="baseline"/>
              <w:rPr>
                <w:rFonts w:eastAsia="Times New Roman" w:cs="Arial"/>
                <w:sz w:val="20"/>
                <w:szCs w:val="20"/>
                <w:lang w:eastAsia="en-GB"/>
              </w:rPr>
            </w:pPr>
            <w:r w:rsidRPr="004B6EAB">
              <w:rPr>
                <w:rFonts w:eastAsia="Times New Roman" w:cs="Arial"/>
                <w:sz w:val="20"/>
                <w:szCs w:val="20"/>
                <w:lang w:eastAsia="en-GB"/>
              </w:rPr>
              <w:t>Ensure that SEAH standards from this arrangement are reflected in funding templates with implementing partners.</w:t>
            </w:r>
          </w:p>
        </w:tc>
      </w:tr>
      <w:tr w:rsidR="00421E79" w:rsidRPr="004B6EAB" w14:paraId="5440BCA2" w14:textId="77777777" w:rsidTr="46F1387F">
        <w:trPr>
          <w:trHeight w:val="300"/>
        </w:trPr>
        <w:tc>
          <w:tcPr>
            <w:tcW w:w="8925" w:type="dxa"/>
            <w:tcBorders>
              <w:top w:val="single" w:sz="6" w:space="0" w:color="auto"/>
              <w:left w:val="single" w:sz="6" w:space="0" w:color="auto"/>
              <w:bottom w:val="single" w:sz="6" w:space="0" w:color="auto"/>
              <w:right w:val="single" w:sz="6" w:space="0" w:color="auto"/>
            </w:tcBorders>
            <w:hideMark/>
          </w:tcPr>
          <w:p w14:paraId="389339AA" w14:textId="3EEFC986" w:rsidR="00421E79" w:rsidRPr="004B6EAB" w:rsidRDefault="00421E79" w:rsidP="46F1387F">
            <w:pPr>
              <w:spacing w:before="0" w:after="0" w:line="240" w:lineRule="auto"/>
              <w:ind w:left="-30" w:right="-30"/>
              <w:textAlignment w:val="baseline"/>
              <w:rPr>
                <w:rFonts w:eastAsia="Times New Roman" w:cs="Arial"/>
                <w:sz w:val="20"/>
                <w:szCs w:val="20"/>
                <w:lang w:eastAsia="en-GB"/>
              </w:rPr>
            </w:pPr>
            <w:r w:rsidRPr="004B6EAB">
              <w:rPr>
                <w:rFonts w:eastAsia="Times New Roman" w:cs="Arial"/>
                <w:sz w:val="20"/>
                <w:szCs w:val="20"/>
                <w:lang w:eastAsia="en-GB"/>
              </w:rPr>
              <w:t>2. The Partner will adhere to the following reporting requirements: </w:t>
            </w:r>
          </w:p>
          <w:p w14:paraId="0317F977" w14:textId="3313EE56" w:rsidR="00421E79" w:rsidRPr="004B6EAB" w:rsidRDefault="00421E79" w:rsidP="009B6164">
            <w:pPr>
              <w:numPr>
                <w:ilvl w:val="0"/>
                <w:numId w:val="24"/>
              </w:numPr>
              <w:spacing w:before="0" w:after="0" w:line="240" w:lineRule="auto"/>
              <w:ind w:left="330" w:firstLine="0"/>
              <w:textAlignment w:val="baseline"/>
              <w:rPr>
                <w:rFonts w:eastAsia="Times New Roman" w:cs="Arial"/>
                <w:sz w:val="20"/>
                <w:szCs w:val="20"/>
                <w:lang w:eastAsia="en-GB"/>
              </w:rPr>
            </w:pPr>
            <w:r w:rsidRPr="004B6EAB">
              <w:rPr>
                <w:rFonts w:eastAsia="Times New Roman" w:cs="Arial"/>
                <w:sz w:val="20"/>
                <w:szCs w:val="20"/>
                <w:lang w:eastAsia="en-GB"/>
              </w:rPr>
              <w:t>The Partner will promptly contact through written notice to ODA.Safeguarding@defra.gov.uk to report any allegation credible enough to warrant an investigation of SEAH related to this Memorandum</w:t>
            </w:r>
            <w:r w:rsidR="0005324B" w:rsidRPr="004B6EAB">
              <w:rPr>
                <w:rFonts w:eastAsia="Times New Roman" w:cs="Arial"/>
                <w:sz w:val="20"/>
                <w:szCs w:val="20"/>
                <w:lang w:eastAsia="en-GB"/>
              </w:rPr>
              <w:t xml:space="preserve">, in accordance with the reporting </w:t>
            </w:r>
            <w:r w:rsidR="00BD16E0" w:rsidRPr="004B6EAB">
              <w:rPr>
                <w:rFonts w:eastAsia="Times New Roman" w:cs="Arial"/>
                <w:sz w:val="20"/>
                <w:szCs w:val="20"/>
                <w:lang w:eastAsia="en-GB"/>
              </w:rPr>
              <w:t>expectations</w:t>
            </w:r>
            <w:r w:rsidR="0005324B" w:rsidRPr="004B6EAB">
              <w:rPr>
                <w:rFonts w:eastAsia="Times New Roman" w:cs="Arial"/>
                <w:sz w:val="20"/>
                <w:szCs w:val="20"/>
                <w:lang w:eastAsia="en-GB"/>
              </w:rPr>
              <w:t xml:space="preserve"> set out in the contribution letter</w:t>
            </w:r>
            <w:r w:rsidRPr="004B6EAB">
              <w:rPr>
                <w:rFonts w:eastAsia="Times New Roman" w:cs="Arial"/>
                <w:sz w:val="20"/>
                <w:szCs w:val="20"/>
                <w:lang w:eastAsia="en-GB"/>
              </w:rPr>
              <w:t>.</w:t>
            </w:r>
          </w:p>
          <w:p w14:paraId="65A3B417" w14:textId="74583A45" w:rsidR="00421E79" w:rsidRPr="004B6EAB" w:rsidRDefault="00421E79" w:rsidP="004B6EAB">
            <w:pPr>
              <w:numPr>
                <w:ilvl w:val="0"/>
                <w:numId w:val="25"/>
              </w:numPr>
              <w:spacing w:before="0" w:after="0" w:line="240" w:lineRule="auto"/>
              <w:ind w:left="330" w:firstLine="0"/>
              <w:textAlignment w:val="baseline"/>
              <w:rPr>
                <w:rFonts w:eastAsia="Times New Roman" w:cs="Arial"/>
                <w:sz w:val="20"/>
                <w:szCs w:val="20"/>
                <w:lang w:eastAsia="en-GB"/>
              </w:rPr>
            </w:pPr>
            <w:r w:rsidRPr="004B6EAB">
              <w:rPr>
                <w:rFonts w:eastAsia="Times New Roman" w:cs="Arial"/>
                <w:sz w:val="20"/>
                <w:szCs w:val="20"/>
                <w:lang w:eastAsia="en-GB"/>
              </w:rPr>
              <w:t xml:space="preserve">The Partner should also promptly report to </w:t>
            </w:r>
            <w:hyperlink r:id="rId24" w:tgtFrame="_blank" w:history="1">
              <w:r w:rsidRPr="004B6EAB">
                <w:rPr>
                  <w:rFonts w:eastAsia="Times New Roman" w:cs="Arial"/>
                  <w:sz w:val="20"/>
                  <w:szCs w:val="20"/>
                  <w:u w:val="single"/>
                  <w:lang w:eastAsia="en-GB"/>
                </w:rPr>
                <w:t>ODA.Safeguarding@defra.gov.uk</w:t>
              </w:r>
            </w:hyperlink>
            <w:r w:rsidRPr="004B6EAB">
              <w:rPr>
                <w:rFonts w:eastAsia="Times New Roman" w:cs="Arial"/>
                <w:sz w:val="20"/>
                <w:szCs w:val="20"/>
                <w:lang w:eastAsia="en-GB"/>
              </w:rPr>
              <w:t xml:space="preserve"> for any allegation credible enough to warrant an investigation of SEAH that are not directly related to this Memorandum but would be of significant impact to the partnership</w:t>
            </w:r>
            <w:r w:rsidR="0005324B" w:rsidRPr="004B6EAB">
              <w:rPr>
                <w:rFonts w:eastAsia="Times New Roman" w:cs="Arial"/>
                <w:sz w:val="20"/>
                <w:szCs w:val="20"/>
                <w:lang w:eastAsia="en-GB"/>
              </w:rPr>
              <w:t xml:space="preserve">, in accordance with the reporting </w:t>
            </w:r>
            <w:r w:rsidR="00B72314" w:rsidRPr="004B6EAB">
              <w:rPr>
                <w:rFonts w:eastAsia="Times New Roman" w:cs="Arial"/>
                <w:sz w:val="20"/>
                <w:szCs w:val="20"/>
                <w:lang w:eastAsia="en-GB"/>
              </w:rPr>
              <w:t>expectations</w:t>
            </w:r>
            <w:r w:rsidR="0005324B" w:rsidRPr="004B6EAB">
              <w:rPr>
                <w:rFonts w:eastAsia="Times New Roman" w:cs="Arial"/>
                <w:sz w:val="20"/>
                <w:szCs w:val="20"/>
                <w:lang w:eastAsia="en-GB"/>
              </w:rPr>
              <w:t xml:space="preserve"> set out in the contribution letter</w:t>
            </w:r>
            <w:r w:rsidRPr="004B6EAB">
              <w:rPr>
                <w:rFonts w:eastAsia="Times New Roman" w:cs="Arial"/>
                <w:sz w:val="20"/>
                <w:szCs w:val="20"/>
                <w:lang w:eastAsia="en-GB"/>
              </w:rPr>
              <w:t>. </w:t>
            </w:r>
          </w:p>
        </w:tc>
      </w:tr>
      <w:tr w:rsidR="00421E79" w:rsidRPr="004B6EAB" w14:paraId="39C9BE3D" w14:textId="4C2DB9EE" w:rsidTr="46F1387F">
        <w:trPr>
          <w:trHeight w:val="300"/>
        </w:trPr>
        <w:tc>
          <w:tcPr>
            <w:tcW w:w="8925" w:type="dxa"/>
            <w:tcBorders>
              <w:top w:val="single" w:sz="6" w:space="0" w:color="auto"/>
              <w:left w:val="single" w:sz="6" w:space="0" w:color="auto"/>
              <w:bottom w:val="single" w:sz="6" w:space="0" w:color="auto"/>
              <w:right w:val="single" w:sz="6" w:space="0" w:color="auto"/>
            </w:tcBorders>
            <w:hideMark/>
          </w:tcPr>
          <w:p w14:paraId="2FAA77FC" w14:textId="62BEE2F3" w:rsidR="00421E79" w:rsidRPr="004B6EAB" w:rsidRDefault="00421E79" w:rsidP="004B6EAB">
            <w:pPr>
              <w:spacing w:before="0" w:after="0" w:line="240" w:lineRule="auto"/>
              <w:ind w:left="-30" w:right="-30"/>
              <w:textAlignment w:val="baseline"/>
              <w:rPr>
                <w:rFonts w:eastAsia="Times New Roman" w:cs="Arial"/>
                <w:sz w:val="20"/>
                <w:szCs w:val="20"/>
                <w:lang w:eastAsia="en-GB"/>
              </w:rPr>
            </w:pPr>
            <w:r w:rsidRPr="004B6EAB">
              <w:rPr>
                <w:rFonts w:eastAsia="Times New Roman" w:cs="Arial"/>
                <w:sz w:val="20"/>
                <w:szCs w:val="20"/>
                <w:lang w:eastAsia="en-GB"/>
              </w:rPr>
              <w:t>3. The report, as referred to in paragraph 2.a and 2.b, will indicate: [agreement/arrangement number], nature of the alleged misconduct, date of alleged misconduct, date of first report to Partner, location [as/if specified by [donor]], involvement of implementing partner, state of affairs concerning the investigation and the action that will be taken by the Partner, and whether the case is referred to law enforcement. The organisation will provide updates on the status of the case. The notice will be given in writing and delivered to the point of contact mentioned in paragraph 2.a and 2.b. </w:t>
            </w:r>
            <w:r w:rsidR="0005324B" w:rsidRPr="004B6EAB">
              <w:rPr>
                <w:rFonts w:eastAsia="Times New Roman" w:cs="Arial"/>
                <w:sz w:val="20"/>
                <w:szCs w:val="20"/>
                <w:lang w:eastAsia="en-GB"/>
              </w:rPr>
              <w:t xml:space="preserve">This is in accordance with the reporting </w:t>
            </w:r>
            <w:r w:rsidR="007D3102" w:rsidRPr="004B6EAB">
              <w:rPr>
                <w:rFonts w:eastAsia="Times New Roman" w:cs="Arial"/>
                <w:sz w:val="20"/>
                <w:szCs w:val="20"/>
                <w:lang w:eastAsia="en-GB"/>
              </w:rPr>
              <w:t>expectations</w:t>
            </w:r>
            <w:r w:rsidR="0005324B" w:rsidRPr="004B6EAB">
              <w:rPr>
                <w:rFonts w:eastAsia="Times New Roman" w:cs="Arial"/>
                <w:sz w:val="20"/>
                <w:szCs w:val="20"/>
                <w:lang w:eastAsia="en-GB"/>
              </w:rPr>
              <w:t xml:space="preserve"> set out in the contribution letter and will use LLF’s existing </w:t>
            </w:r>
            <w:r w:rsidR="007D3102" w:rsidRPr="004B6EAB">
              <w:rPr>
                <w:rFonts w:eastAsia="Times New Roman" w:cs="Arial"/>
                <w:sz w:val="20"/>
                <w:szCs w:val="20"/>
                <w:lang w:eastAsia="en-GB"/>
              </w:rPr>
              <w:t xml:space="preserve">reporting </w:t>
            </w:r>
            <w:r w:rsidR="0005324B" w:rsidRPr="004B6EAB">
              <w:rPr>
                <w:rFonts w:eastAsia="Times New Roman" w:cs="Arial"/>
                <w:sz w:val="20"/>
                <w:szCs w:val="20"/>
                <w:lang w:eastAsia="en-GB"/>
              </w:rPr>
              <w:t>framework.</w:t>
            </w:r>
          </w:p>
        </w:tc>
      </w:tr>
      <w:tr w:rsidR="00421E79" w:rsidRPr="004B6EAB" w14:paraId="26BB76C5" w14:textId="77777777" w:rsidTr="46F1387F">
        <w:trPr>
          <w:trHeight w:val="300"/>
        </w:trPr>
        <w:tc>
          <w:tcPr>
            <w:tcW w:w="8925" w:type="dxa"/>
            <w:tcBorders>
              <w:top w:val="single" w:sz="6" w:space="0" w:color="auto"/>
              <w:left w:val="single" w:sz="6" w:space="0" w:color="auto"/>
              <w:bottom w:val="single" w:sz="6" w:space="0" w:color="auto"/>
              <w:right w:val="single" w:sz="6" w:space="0" w:color="auto"/>
            </w:tcBorders>
            <w:hideMark/>
          </w:tcPr>
          <w:p w14:paraId="44EF2DC3" w14:textId="798F7642" w:rsidR="00421E79" w:rsidRPr="004B6EAB" w:rsidRDefault="00421E79" w:rsidP="004B6EAB">
            <w:pPr>
              <w:spacing w:before="0" w:after="0" w:line="240" w:lineRule="auto"/>
              <w:ind w:left="-30" w:right="-30"/>
              <w:textAlignment w:val="baseline"/>
              <w:rPr>
                <w:rFonts w:ascii="Times New Roman" w:eastAsia="Times New Roman" w:hAnsi="Times New Roman"/>
                <w:szCs w:val="24"/>
                <w:lang w:eastAsia="en-GB"/>
              </w:rPr>
            </w:pPr>
            <w:r w:rsidRPr="004B6EAB">
              <w:rPr>
                <w:rFonts w:eastAsia="Times New Roman" w:cs="Arial"/>
                <w:sz w:val="20"/>
                <w:szCs w:val="20"/>
                <w:lang w:eastAsia="en-GB"/>
              </w:rPr>
              <w:t>4. It is understood and accepted that the Partner’s arrangement to report on SEAH is subject to not compromising the safety, security, privacy and due process rights of any concerned persons. </w:t>
            </w:r>
          </w:p>
        </w:tc>
      </w:tr>
      <w:tr w:rsidR="00421E79" w:rsidRPr="004B6EAB" w14:paraId="547EA402" w14:textId="77777777" w:rsidTr="46F1387F">
        <w:trPr>
          <w:trHeight w:val="300"/>
        </w:trPr>
        <w:tc>
          <w:tcPr>
            <w:tcW w:w="8925" w:type="dxa"/>
            <w:tcBorders>
              <w:top w:val="single" w:sz="6" w:space="0" w:color="auto"/>
              <w:left w:val="single" w:sz="6" w:space="0" w:color="auto"/>
              <w:bottom w:val="single" w:sz="6" w:space="0" w:color="auto"/>
              <w:right w:val="single" w:sz="6" w:space="0" w:color="auto"/>
            </w:tcBorders>
            <w:hideMark/>
          </w:tcPr>
          <w:p w14:paraId="1B02C650" w14:textId="0641308A" w:rsidR="00421E79" w:rsidRPr="004B6EAB" w:rsidRDefault="00421E79" w:rsidP="004B6EAB">
            <w:pPr>
              <w:spacing w:before="0" w:after="0" w:line="240" w:lineRule="auto"/>
              <w:ind w:left="-30" w:right="-30"/>
              <w:textAlignment w:val="baseline"/>
              <w:rPr>
                <w:rFonts w:ascii="Times New Roman" w:eastAsia="Times New Roman" w:hAnsi="Times New Roman"/>
                <w:szCs w:val="24"/>
                <w:lang w:eastAsia="en-GB"/>
              </w:rPr>
            </w:pPr>
            <w:r w:rsidRPr="004B6EAB">
              <w:rPr>
                <w:rFonts w:eastAsia="Times New Roman" w:cs="Arial"/>
                <w:sz w:val="20"/>
                <w:szCs w:val="20"/>
                <w:lang w:eastAsia="en-GB"/>
              </w:rPr>
              <w:t>5. When the Partner becomes aware of suspicions or complaints of SEAH, the Partner will take swift and appropriate action to stop harm occurring, investigate and report to relevant authorities (for criminal matters) when safe to do so and after considering the wishes of the survivor. </w:t>
            </w:r>
          </w:p>
        </w:tc>
      </w:tr>
      <w:tr w:rsidR="00421E79" w:rsidRPr="004B6EAB" w14:paraId="170E576F" w14:textId="77777777" w:rsidTr="46F1387F">
        <w:trPr>
          <w:trHeight w:val="300"/>
        </w:trPr>
        <w:tc>
          <w:tcPr>
            <w:tcW w:w="8925" w:type="dxa"/>
            <w:tcBorders>
              <w:top w:val="single" w:sz="6" w:space="0" w:color="auto"/>
              <w:left w:val="single" w:sz="6" w:space="0" w:color="auto"/>
              <w:bottom w:val="single" w:sz="6" w:space="0" w:color="auto"/>
              <w:right w:val="single" w:sz="6" w:space="0" w:color="auto"/>
            </w:tcBorders>
            <w:hideMark/>
          </w:tcPr>
          <w:p w14:paraId="1966C7DE" w14:textId="77777777" w:rsidR="00421E79" w:rsidRPr="004B6EAB" w:rsidRDefault="00421E79" w:rsidP="009B6164">
            <w:pPr>
              <w:spacing w:before="0" w:after="0" w:line="240" w:lineRule="auto"/>
              <w:ind w:left="-30" w:right="-30"/>
              <w:textAlignment w:val="baseline"/>
              <w:rPr>
                <w:rFonts w:ascii="Times New Roman" w:eastAsia="Times New Roman" w:hAnsi="Times New Roman"/>
                <w:szCs w:val="24"/>
                <w:lang w:eastAsia="en-GB"/>
              </w:rPr>
            </w:pPr>
            <w:r w:rsidRPr="004B6EAB">
              <w:rPr>
                <w:rFonts w:eastAsia="Times New Roman" w:cs="Arial"/>
                <w:sz w:val="20"/>
                <w:szCs w:val="20"/>
                <w:lang w:eastAsia="en-GB"/>
              </w:rPr>
              <w:t>6. The donor or any of its duly authori</w:t>
            </w:r>
            <w:r w:rsidRPr="004B6EAB">
              <w:rPr>
                <w:rFonts w:ascii="Times New Roman" w:eastAsia="Times New Roman" w:hAnsi="Times New Roman"/>
                <w:sz w:val="20"/>
                <w:szCs w:val="20"/>
                <w:lang w:eastAsia="en-GB"/>
              </w:rPr>
              <w:t>s</w:t>
            </w:r>
            <w:r w:rsidRPr="004B6EAB">
              <w:rPr>
                <w:rFonts w:eastAsia="Times New Roman" w:cs="Arial"/>
                <w:sz w:val="20"/>
                <w:szCs w:val="20"/>
                <w:lang w:eastAsia="en-GB"/>
              </w:rPr>
              <w:t>ed representatives may at all times carry out reviews, evaluations or other control measures to verify the Partner’s zero tolerance for SEAH. The Partner shall fully cooperate with the donor or any of its duly authorized representatives or agents to carry out such control measures. </w:t>
            </w:r>
          </w:p>
        </w:tc>
      </w:tr>
    </w:tbl>
    <w:p w14:paraId="1C3CF141" w14:textId="77777777" w:rsidR="00421E79" w:rsidRPr="004B6EAB" w:rsidRDefault="00421E79" w:rsidP="00421E79">
      <w:pPr>
        <w:spacing w:before="0" w:after="0" w:line="240" w:lineRule="auto"/>
        <w:ind w:left="-30" w:right="-30"/>
        <w:jc w:val="both"/>
        <w:textAlignment w:val="baseline"/>
        <w:rPr>
          <w:rFonts w:ascii="Segoe UI" w:eastAsia="Times New Roman" w:hAnsi="Segoe UI" w:cs="Segoe UI"/>
          <w:sz w:val="18"/>
          <w:szCs w:val="18"/>
          <w:lang w:eastAsia="en-GB"/>
        </w:rPr>
      </w:pPr>
      <w:r w:rsidRPr="004B6EAB">
        <w:rPr>
          <w:rFonts w:ascii="Times New Roman" w:eastAsia="Times New Roman" w:hAnsi="Times New Roman"/>
          <w:szCs w:val="24"/>
          <w:lang w:eastAsia="en-GB"/>
        </w:rPr>
        <w:t> </w:t>
      </w:r>
    </w:p>
    <w:p w14:paraId="68FFF95E" w14:textId="77777777" w:rsidR="00421E79" w:rsidRPr="004B6EAB" w:rsidRDefault="00421E79" w:rsidP="00421E79">
      <w:pPr>
        <w:spacing w:before="0" w:after="0" w:line="240" w:lineRule="auto"/>
        <w:ind w:left="-30" w:right="-30"/>
        <w:jc w:val="both"/>
        <w:textAlignment w:val="baseline"/>
        <w:rPr>
          <w:rFonts w:eastAsia="Times New Roman" w:cs="Arial"/>
          <w:sz w:val="18"/>
          <w:szCs w:val="18"/>
          <w:lang w:eastAsia="en-GB"/>
        </w:rPr>
      </w:pPr>
      <w:hyperlink r:id="rId25" w:anchor="_ftnref1" w:tgtFrame="_blank" w:history="1">
        <w:r w:rsidRPr="004B6EAB">
          <w:rPr>
            <w:rFonts w:eastAsia="Times New Roman" w:cs="Arial"/>
            <w:sz w:val="18"/>
            <w:szCs w:val="18"/>
            <w:u w:val="single"/>
            <w:vertAlign w:val="superscript"/>
            <w:lang w:eastAsia="en-GB"/>
          </w:rPr>
          <w:t>[1]</w:t>
        </w:r>
      </w:hyperlink>
      <w:r w:rsidRPr="004B6EAB">
        <w:rPr>
          <w:rFonts w:eastAsia="Times New Roman" w:cs="Arial"/>
          <w:sz w:val="18"/>
          <w:szCs w:val="18"/>
          <w:lang w:eastAsia="en-GB"/>
        </w:rPr>
        <w:t xml:space="preserve"> See UNGA Resolution A/RES/73/148 for the definition of sexual harassment and UNSG Bulletin ST/SGB/2003/13 for the definition of sexual exploitation and abuse. Both definitions are included in the DAC Recommendation on Ending Sexual Exploitation, Abuse, and Harassment in Development Co-operation and Humanitarian Assistance: Key Pillars of Prevention and Response. </w:t>
      </w:r>
    </w:p>
    <w:p w14:paraId="3F0E722D" w14:textId="77777777" w:rsidR="00421E79" w:rsidRPr="004B6EAB" w:rsidRDefault="00421E79" w:rsidP="00421E79">
      <w:pPr>
        <w:spacing w:before="0" w:after="0" w:line="240" w:lineRule="auto"/>
        <w:ind w:left="-30" w:right="-30"/>
        <w:jc w:val="both"/>
        <w:textAlignment w:val="baseline"/>
        <w:rPr>
          <w:rFonts w:eastAsia="Times New Roman" w:cs="Arial"/>
          <w:sz w:val="18"/>
          <w:szCs w:val="18"/>
          <w:lang w:eastAsia="en-GB"/>
        </w:rPr>
      </w:pPr>
      <w:hyperlink r:id="rId26" w:anchor="_ftnref2" w:tgtFrame="_blank" w:history="1">
        <w:r w:rsidRPr="004B6EAB">
          <w:rPr>
            <w:rFonts w:eastAsia="Times New Roman" w:cs="Arial"/>
            <w:sz w:val="18"/>
            <w:szCs w:val="18"/>
            <w:u w:val="single"/>
            <w:vertAlign w:val="superscript"/>
            <w:lang w:eastAsia="en-GB"/>
          </w:rPr>
          <w:t>[2]</w:t>
        </w:r>
      </w:hyperlink>
      <w:r w:rsidRPr="004B6EAB">
        <w:rPr>
          <w:rFonts w:eastAsia="Times New Roman" w:cs="Arial"/>
          <w:sz w:val="18"/>
          <w:szCs w:val="18"/>
          <w:lang w:eastAsia="en-GB"/>
        </w:rPr>
        <w:t xml:space="preserve"> A survivor-centred approach is one for which the survivor’s dignity, experiences, considerations, needs, and resiliencies are placed at the centre of the process, from the initial programme design to investigating and responding to potential incidents. Consistent with the </w:t>
      </w:r>
      <w:hyperlink r:id="rId27" w:tgtFrame="_blank" w:history="1">
        <w:r w:rsidRPr="004B6EAB">
          <w:rPr>
            <w:rFonts w:eastAsia="Times New Roman" w:cs="Arial"/>
            <w:sz w:val="18"/>
            <w:szCs w:val="18"/>
            <w:u w:val="single"/>
            <w:lang w:eastAsia="en-GB"/>
          </w:rPr>
          <w:t>UN Protocol on Allegations of SEA Involving Implementing Partners</w:t>
        </w:r>
      </w:hyperlink>
      <w:r w:rsidRPr="004B6EAB">
        <w:rPr>
          <w:rFonts w:eastAsia="Times New Roman" w:cs="Arial"/>
          <w:sz w:val="18"/>
          <w:szCs w:val="18"/>
          <w:lang w:eastAsia="en-GB"/>
        </w:rPr>
        <w:t>, the survivor should be informed, participate in the decision-making process, and provide consent on the possible use and disclosure of their information. Those interacting with the survivor and/or handling information regarding the allegation must maintain confidentiality, ensure safety of the survivor, and apply survivor-centred principles which are safety, confidentiality, respect, and non-discrimination. When the survivor is a child, the approach must consider the best interests of the child and engage with the family/caregivers as appropriate. Staff and partners should comply with host country and local child welfare and protection legislation and international standards, whichever gives greater protection. </w:t>
      </w:r>
    </w:p>
    <w:p w14:paraId="283EF8D3" w14:textId="77777777" w:rsidR="00421E79" w:rsidRPr="004B6EAB" w:rsidRDefault="00421E79" w:rsidP="00421E79">
      <w:pPr>
        <w:spacing w:before="0" w:after="0" w:line="240" w:lineRule="auto"/>
        <w:ind w:right="-30"/>
        <w:jc w:val="both"/>
        <w:textAlignment w:val="baseline"/>
        <w:rPr>
          <w:rFonts w:eastAsia="Times New Roman" w:cs="Arial"/>
          <w:sz w:val="18"/>
          <w:szCs w:val="18"/>
          <w:lang w:eastAsia="en-GB"/>
        </w:rPr>
      </w:pPr>
    </w:p>
    <w:p w14:paraId="12DC6D47" w14:textId="77777777" w:rsidR="00421E79" w:rsidRPr="004B6EAB" w:rsidRDefault="00421E79" w:rsidP="00421E79">
      <w:pPr>
        <w:spacing w:before="0" w:after="0" w:line="240" w:lineRule="auto"/>
        <w:ind w:right="-30"/>
        <w:jc w:val="both"/>
        <w:textAlignment w:val="baseline"/>
        <w:rPr>
          <w:rFonts w:eastAsia="Times New Roman" w:cs="Arial"/>
          <w:sz w:val="18"/>
          <w:szCs w:val="18"/>
          <w:lang w:eastAsia="en-GB"/>
        </w:rPr>
      </w:pPr>
    </w:p>
    <w:p w14:paraId="4BACA441" w14:textId="77777777" w:rsidR="001A20B8" w:rsidRPr="004B6EAB" w:rsidRDefault="001A20B8" w:rsidP="00421E79">
      <w:pPr>
        <w:spacing w:before="0" w:after="0" w:line="240" w:lineRule="auto"/>
        <w:ind w:right="-30"/>
        <w:jc w:val="both"/>
        <w:textAlignment w:val="baseline"/>
        <w:rPr>
          <w:rFonts w:eastAsia="Times New Roman" w:cs="Arial"/>
          <w:sz w:val="18"/>
          <w:szCs w:val="18"/>
          <w:lang w:eastAsia="en-GB"/>
        </w:rPr>
        <w:sectPr w:rsidR="001A20B8" w:rsidRPr="004B6EAB">
          <w:pgSz w:w="11906" w:h="16838"/>
          <w:pgMar w:top="1440" w:right="1440" w:bottom="1440" w:left="1440" w:header="708" w:footer="708" w:gutter="0"/>
          <w:cols w:space="708"/>
          <w:docGrid w:linePitch="360"/>
        </w:sectPr>
      </w:pPr>
    </w:p>
    <w:p w14:paraId="71481755" w14:textId="77777777" w:rsidR="001A20B8" w:rsidRPr="004B6EAB" w:rsidRDefault="001A20B8" w:rsidP="00421E79">
      <w:pPr>
        <w:spacing w:before="0" w:after="0" w:line="240" w:lineRule="auto"/>
        <w:ind w:right="-30"/>
        <w:jc w:val="both"/>
        <w:textAlignment w:val="baseline"/>
        <w:rPr>
          <w:rFonts w:eastAsia="Times New Roman" w:cs="Arial"/>
          <w:sz w:val="18"/>
          <w:szCs w:val="18"/>
          <w:lang w:eastAsia="en-GB"/>
        </w:rPr>
      </w:pPr>
    </w:p>
    <w:p w14:paraId="15A4F9A5" w14:textId="0AD2CB14" w:rsidR="00421E79" w:rsidRPr="004B6EAB" w:rsidRDefault="00421E79" w:rsidP="00421E79">
      <w:pPr>
        <w:spacing w:before="0" w:after="0" w:line="240" w:lineRule="auto"/>
        <w:textAlignment w:val="baseline"/>
        <w:rPr>
          <w:rFonts w:ascii="Segoe UI" w:eastAsia="Times New Roman" w:hAnsi="Segoe UI" w:cs="Segoe UI"/>
          <w:b/>
          <w:bCs/>
          <w:sz w:val="28"/>
          <w:szCs w:val="28"/>
          <w:lang w:eastAsia="en-GB"/>
        </w:rPr>
      </w:pPr>
      <w:r w:rsidRPr="004B6EAB">
        <w:rPr>
          <w:rFonts w:eastAsia="Times New Roman" w:cs="Arial"/>
          <w:b/>
          <w:bCs/>
          <w:sz w:val="28"/>
          <w:szCs w:val="28"/>
          <w:lang w:eastAsia="en-GB"/>
        </w:rPr>
        <w:t xml:space="preserve">Annex </w:t>
      </w:r>
      <w:r w:rsidR="0005324B" w:rsidRPr="004B6EAB">
        <w:rPr>
          <w:rFonts w:eastAsia="Times New Roman" w:cs="Arial"/>
          <w:b/>
          <w:bCs/>
          <w:sz w:val="28"/>
          <w:szCs w:val="28"/>
          <w:lang w:eastAsia="en-GB"/>
        </w:rPr>
        <w:t>E</w:t>
      </w:r>
      <w:r w:rsidRPr="004B6EAB">
        <w:rPr>
          <w:rFonts w:eastAsia="Times New Roman" w:cs="Arial"/>
          <w:b/>
          <w:bCs/>
          <w:sz w:val="28"/>
          <w:szCs w:val="28"/>
          <w:lang w:eastAsia="en-GB"/>
        </w:rPr>
        <w:t>: visibility statement template</w:t>
      </w:r>
    </w:p>
    <w:p w14:paraId="7509FB11" w14:textId="77777777" w:rsidR="00421E79" w:rsidRPr="004B6EAB" w:rsidRDefault="00421E79" w:rsidP="00421E79">
      <w:pPr>
        <w:spacing w:before="0" w:after="0" w:line="240" w:lineRule="auto"/>
        <w:textAlignment w:val="baseline"/>
        <w:rPr>
          <w:rFonts w:eastAsia="Times New Roman" w:cs="Arial"/>
          <w:b/>
          <w:szCs w:val="24"/>
          <w:lang w:eastAsia="en-GB"/>
        </w:rPr>
      </w:pPr>
    </w:p>
    <w:p w14:paraId="1AF1A9FF" w14:textId="77777777" w:rsidR="00421E79" w:rsidRPr="004B6EAB" w:rsidRDefault="00421E79" w:rsidP="00421E79">
      <w:pPr>
        <w:spacing w:before="0" w:after="0" w:line="240" w:lineRule="auto"/>
        <w:textAlignment w:val="baseline"/>
        <w:rPr>
          <w:rFonts w:eastAsia="Times New Roman" w:cs="Arial"/>
          <w:szCs w:val="24"/>
          <w:lang w:eastAsia="en-GB"/>
        </w:rPr>
      </w:pPr>
      <w:r w:rsidRPr="004B6EAB">
        <w:rPr>
          <w:rFonts w:eastAsia="Times New Roman" w:cs="Arial"/>
          <w:b/>
          <w:bCs/>
          <w:szCs w:val="24"/>
          <w:lang w:eastAsia="en-GB"/>
        </w:rPr>
        <w:t>UK aid and UK International Development visibility statement</w:t>
      </w:r>
    </w:p>
    <w:p w14:paraId="441367FD" w14:textId="77777777" w:rsidR="00421E79" w:rsidRPr="004B6EAB" w:rsidRDefault="00421E79" w:rsidP="00421E79">
      <w:pPr>
        <w:spacing w:before="0" w:after="0" w:line="240" w:lineRule="auto"/>
        <w:textAlignment w:val="baseline"/>
        <w:rPr>
          <w:rFonts w:eastAsia="Times New Roman" w:cs="Arial"/>
          <w:szCs w:val="24"/>
          <w:lang w:eastAsia="en-GB"/>
        </w:rPr>
      </w:pPr>
    </w:p>
    <w:p w14:paraId="37893246" w14:textId="2849F4AA" w:rsidR="00421E79" w:rsidRPr="004B6EAB" w:rsidRDefault="00421E79" w:rsidP="00421E79">
      <w:pPr>
        <w:spacing w:before="0" w:after="0" w:line="240" w:lineRule="auto"/>
        <w:textAlignment w:val="baseline"/>
        <w:rPr>
          <w:rFonts w:eastAsia="Times New Roman" w:cs="Arial"/>
          <w:color w:val="000000"/>
          <w:szCs w:val="24"/>
          <w:lang w:eastAsia="en-GB"/>
        </w:rPr>
      </w:pPr>
      <w:r w:rsidRPr="004B6EAB">
        <w:rPr>
          <w:rFonts w:eastAsia="Times New Roman" w:cs="Arial"/>
          <w:szCs w:val="24"/>
          <w:lang w:eastAsia="en-GB"/>
        </w:rPr>
        <w:t xml:space="preserve">As part of your funding agreement with Defra, you are required to acknowledge funding from the </w:t>
      </w:r>
      <w:r w:rsidRPr="004B6EAB">
        <w:rPr>
          <w:rFonts w:eastAsia="Times New Roman" w:cs="Arial"/>
          <w:color w:val="000000"/>
          <w:szCs w:val="24"/>
          <w:lang w:eastAsia="en-GB"/>
        </w:rPr>
        <w:t xml:space="preserve">UK government on your ODA funded programme, in written materials and verbal statements and through use of the UK International Development (UK Dev) logo on </w:t>
      </w:r>
      <w:r w:rsidR="00473D08" w:rsidRPr="004B6EAB">
        <w:rPr>
          <w:rFonts w:eastAsia="Times New Roman" w:cs="Arial"/>
          <w:color w:val="000000"/>
          <w:szCs w:val="24"/>
          <w:lang w:eastAsia="en-GB"/>
        </w:rPr>
        <w:t>P</w:t>
      </w:r>
      <w:r w:rsidRPr="004B6EAB">
        <w:rPr>
          <w:rFonts w:eastAsia="Times New Roman" w:cs="Arial"/>
          <w:color w:val="000000"/>
          <w:szCs w:val="24"/>
          <w:lang w:eastAsia="en-GB"/>
        </w:rPr>
        <w:t xml:space="preserve">rogramme assets. Please refer to the UK Dev branding guidance for further information on how to acknowledge ODA funding from the UK government. Please note that from April 27, 2023, the UK aid logo will be used mainly for humanitarian and rapid onset disaster responses. If you are not clear on what logo to use, then check with your </w:t>
      </w:r>
      <w:r w:rsidRPr="004B6EAB">
        <w:rPr>
          <w:rFonts w:eastAsia="Times New Roman" w:cs="Arial"/>
          <w:szCs w:val="24"/>
          <w:lang w:eastAsia="en-GB"/>
        </w:rPr>
        <w:t>Defra</w:t>
      </w:r>
      <w:r w:rsidRPr="004B6EAB">
        <w:rPr>
          <w:rFonts w:eastAsia="Times New Roman" w:cs="Arial"/>
          <w:color w:val="000000"/>
          <w:szCs w:val="24"/>
          <w:lang w:eastAsia="en-GB"/>
        </w:rPr>
        <w:t xml:space="preserve"> programme manager.</w:t>
      </w:r>
    </w:p>
    <w:p w14:paraId="255A6758" w14:textId="77777777" w:rsidR="00421E79" w:rsidRPr="004B6EAB" w:rsidRDefault="00421E79" w:rsidP="00421E79">
      <w:pPr>
        <w:spacing w:before="0" w:after="0" w:line="240" w:lineRule="auto"/>
        <w:textAlignment w:val="baseline"/>
        <w:rPr>
          <w:rFonts w:ascii="Segoe UI" w:eastAsia="Times New Roman" w:hAnsi="Segoe UI" w:cs="Segoe UI"/>
          <w:sz w:val="18"/>
          <w:szCs w:val="18"/>
          <w:lang w:eastAsia="en-GB"/>
        </w:rPr>
      </w:pPr>
    </w:p>
    <w:p w14:paraId="183B727D" w14:textId="77777777" w:rsidR="00421E79" w:rsidRPr="004B6EAB" w:rsidRDefault="00421E79" w:rsidP="00421E79">
      <w:pPr>
        <w:spacing w:before="0" w:after="0" w:line="240" w:lineRule="auto"/>
        <w:textAlignment w:val="baseline"/>
        <w:rPr>
          <w:rFonts w:eastAsia="Times New Roman" w:cs="Arial"/>
          <w:szCs w:val="24"/>
          <w:lang w:eastAsia="en-GB"/>
        </w:rPr>
      </w:pPr>
      <w:r w:rsidRPr="004B6EAB">
        <w:rPr>
          <w:rFonts w:eastAsia="Times New Roman" w:cs="Arial"/>
          <w:szCs w:val="24"/>
          <w:lang w:eastAsia="en-GB"/>
        </w:rPr>
        <w:t>You may be asked to provide, as part of your agreed reporting to Defra, evidence of the branding in use, including photographs of the logo in the field and examples of communications materials.</w:t>
      </w:r>
    </w:p>
    <w:p w14:paraId="3BA3DEE1" w14:textId="77777777" w:rsidR="00421E79" w:rsidRPr="004B6EAB" w:rsidRDefault="00421E79" w:rsidP="00421E79">
      <w:pPr>
        <w:spacing w:before="0" w:after="0" w:line="240" w:lineRule="auto"/>
        <w:textAlignment w:val="baseline"/>
        <w:rPr>
          <w:rFonts w:ascii="Segoe UI" w:eastAsia="Times New Roman" w:hAnsi="Segoe UI" w:cs="Segoe UI"/>
          <w:sz w:val="18"/>
          <w:szCs w:val="18"/>
          <w:lang w:eastAsia="en-GB"/>
        </w:rPr>
      </w:pPr>
    </w:p>
    <w:p w14:paraId="18AA43CB" w14:textId="77777777" w:rsidR="00421E79" w:rsidRPr="004B6EAB" w:rsidRDefault="00421E79" w:rsidP="00421E79">
      <w:pPr>
        <w:spacing w:before="0" w:after="0" w:line="240" w:lineRule="auto"/>
        <w:textAlignment w:val="baseline"/>
        <w:rPr>
          <w:rFonts w:eastAsia="Times New Roman" w:cs="Arial"/>
          <w:szCs w:val="24"/>
          <w:lang w:eastAsia="en-GB"/>
        </w:rPr>
      </w:pPr>
      <w:r w:rsidRPr="004B6EAB">
        <w:rPr>
          <w:rFonts w:eastAsia="Times New Roman" w:cs="Arial"/>
          <w:szCs w:val="24"/>
          <w:lang w:eastAsia="en-GB"/>
        </w:rPr>
        <w:t>By completing and signing this statement you agree to fulfil these requirements.</w:t>
      </w:r>
    </w:p>
    <w:p w14:paraId="56F7855B" w14:textId="77777777" w:rsidR="00421E79" w:rsidRPr="004B6EAB" w:rsidRDefault="00421E79" w:rsidP="00421E79">
      <w:pPr>
        <w:spacing w:before="0"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21E79" w:rsidRPr="004B6EAB" w14:paraId="14915BC0" w14:textId="77777777" w:rsidTr="009B6164">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70C3E041" w14:textId="77777777" w:rsidR="00421E79" w:rsidRPr="004B6EAB" w:rsidRDefault="00421E79" w:rsidP="009B6164">
            <w:pPr>
              <w:spacing w:before="0" w:after="0" w:line="240" w:lineRule="auto"/>
              <w:textAlignment w:val="baseline"/>
              <w:rPr>
                <w:rFonts w:eastAsia="Times New Roman" w:cs="Arial"/>
                <w:sz w:val="20"/>
                <w:szCs w:val="20"/>
                <w:lang w:eastAsia="en-GB"/>
              </w:rPr>
            </w:pPr>
            <w:r w:rsidRPr="004B6EAB">
              <w:rPr>
                <w:rFonts w:eastAsia="Times New Roman" w:cs="Arial"/>
                <w:b/>
                <w:sz w:val="20"/>
                <w:szCs w:val="20"/>
                <w:lang w:eastAsia="en-GB"/>
              </w:rPr>
              <w:t>1. Organisation name:</w:t>
            </w:r>
            <w:r w:rsidRPr="004B6EAB">
              <w:rPr>
                <w:rFonts w:eastAsia="Times New Roman" w:cs="Arial"/>
                <w:sz w:val="20"/>
                <w:szCs w:val="20"/>
                <w:lang w:eastAsia="en-GB"/>
              </w:rPr>
              <w:t> </w:t>
            </w:r>
          </w:p>
          <w:p w14:paraId="257F028B" w14:textId="3AABF497" w:rsidR="00421E79" w:rsidRPr="004B6EAB" w:rsidRDefault="00421E79" w:rsidP="009B6164">
            <w:pPr>
              <w:spacing w:before="0" w:after="0" w:line="240" w:lineRule="auto"/>
              <w:textAlignment w:val="baseline"/>
              <w:rPr>
                <w:rFonts w:eastAsia="Times New Roman" w:cs="Arial"/>
                <w:sz w:val="20"/>
                <w:szCs w:val="20"/>
                <w:lang w:eastAsia="en-GB"/>
              </w:rPr>
            </w:pPr>
            <w:r w:rsidRPr="004B6EAB">
              <w:rPr>
                <w:rFonts w:eastAsia="Times New Roman" w:cs="Arial"/>
                <w:sz w:val="20"/>
                <w:szCs w:val="20"/>
                <w:lang w:eastAsia="en-GB"/>
              </w:rPr>
              <w:t> </w:t>
            </w:r>
            <w:r w:rsidR="00F651A1" w:rsidRPr="004B6EAB">
              <w:rPr>
                <w:rFonts w:eastAsia="Times New Roman" w:cs="Arial"/>
                <w:sz w:val="20"/>
                <w:szCs w:val="20"/>
                <w:lang w:eastAsia="en-GB"/>
              </w:rPr>
              <w:t>Legacy Landscapes Fund</w:t>
            </w:r>
          </w:p>
        </w:tc>
      </w:tr>
      <w:tr w:rsidR="00421E79" w:rsidRPr="004B6EAB" w14:paraId="5837C0EB" w14:textId="77777777" w:rsidTr="009B6164">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277992A5" w14:textId="01692F93" w:rsidR="00421E79" w:rsidRPr="004B6EAB" w:rsidRDefault="009E1180" w:rsidP="009E1180">
            <w:pPr>
              <w:spacing w:before="0" w:after="0" w:line="240" w:lineRule="auto"/>
              <w:textAlignment w:val="baseline"/>
              <w:rPr>
                <w:rFonts w:eastAsia="Times New Roman" w:cs="Arial"/>
                <w:sz w:val="20"/>
                <w:szCs w:val="20"/>
                <w:lang w:eastAsia="en-GB"/>
              </w:rPr>
            </w:pPr>
            <w:r w:rsidRPr="004B6EAB">
              <w:rPr>
                <w:rFonts w:eastAsia="Times New Roman" w:cs="Arial"/>
                <w:b/>
                <w:sz w:val="20"/>
                <w:szCs w:val="20"/>
                <w:lang w:eastAsia="en-GB"/>
              </w:rPr>
              <w:t xml:space="preserve">2. </w:t>
            </w:r>
            <w:r w:rsidR="00421E79" w:rsidRPr="004B6EAB">
              <w:rPr>
                <w:rFonts w:eastAsia="Times New Roman" w:cs="Arial"/>
                <w:b/>
                <w:sz w:val="20"/>
                <w:szCs w:val="20"/>
                <w:lang w:eastAsia="en-GB"/>
              </w:rPr>
              <w:t>Programme name and brief description of what it will deliver: </w:t>
            </w:r>
            <w:r w:rsidR="00421E79" w:rsidRPr="004B6EAB">
              <w:rPr>
                <w:rFonts w:eastAsia="Times New Roman" w:cs="Arial"/>
                <w:sz w:val="20"/>
                <w:szCs w:val="20"/>
                <w:lang w:eastAsia="en-GB"/>
              </w:rPr>
              <w:t> </w:t>
            </w:r>
          </w:p>
          <w:p w14:paraId="484E6613" w14:textId="77777777" w:rsidR="009E1180" w:rsidRPr="004B6EAB" w:rsidRDefault="009E1180" w:rsidP="00F911A7">
            <w:pPr>
              <w:pStyle w:val="ListParagraph"/>
              <w:spacing w:before="0" w:after="0" w:line="240" w:lineRule="auto"/>
              <w:ind w:left="390"/>
              <w:textAlignment w:val="baseline"/>
              <w:rPr>
                <w:rFonts w:eastAsia="Times New Roman" w:cs="Arial"/>
                <w:sz w:val="20"/>
                <w:szCs w:val="20"/>
                <w:lang w:eastAsia="en-GB"/>
              </w:rPr>
            </w:pPr>
          </w:p>
          <w:p w14:paraId="30516CA0" w14:textId="77777777" w:rsidR="009E1180" w:rsidRPr="004B6EAB" w:rsidRDefault="00421E79" w:rsidP="009E1180">
            <w:pPr>
              <w:spacing w:before="0" w:after="0"/>
              <w:jc w:val="both"/>
              <w:rPr>
                <w:rFonts w:eastAsia="Times New Roman" w:cs="Arial"/>
                <w:sz w:val="20"/>
                <w:szCs w:val="20"/>
                <w:lang w:eastAsia="en-GB"/>
              </w:rPr>
            </w:pPr>
            <w:r w:rsidRPr="004B6EAB">
              <w:rPr>
                <w:rFonts w:eastAsia="Times New Roman" w:cs="Arial"/>
                <w:sz w:val="20"/>
                <w:szCs w:val="20"/>
                <w:lang w:eastAsia="en-GB"/>
              </w:rPr>
              <w:t> </w:t>
            </w:r>
            <w:r w:rsidR="009E1180" w:rsidRPr="004B6EAB">
              <w:rPr>
                <w:rFonts w:eastAsia="Times New Roman" w:cs="Arial"/>
                <w:sz w:val="20"/>
                <w:szCs w:val="20"/>
                <w:lang w:eastAsia="en-GB"/>
              </w:rPr>
              <w:t>Contribution to Legacy Landscapes Fund (“LLF”)</w:t>
            </w:r>
          </w:p>
          <w:p w14:paraId="3A37D80B" w14:textId="2D2CF21F" w:rsidR="009E1180" w:rsidRPr="004B6EAB" w:rsidRDefault="009E1180" w:rsidP="00F911A7">
            <w:pPr>
              <w:spacing w:before="0" w:after="0"/>
              <w:ind w:left="75"/>
              <w:jc w:val="both"/>
              <w:rPr>
                <w:rFonts w:eastAsia="Times New Roman" w:cs="Arial"/>
                <w:sz w:val="20"/>
                <w:szCs w:val="20"/>
                <w:lang w:eastAsia="en-GB"/>
              </w:rPr>
            </w:pPr>
            <w:r w:rsidRPr="004B6EAB">
              <w:rPr>
                <w:rFonts w:eastAsia="Times New Roman" w:cs="Arial"/>
                <w:sz w:val="20"/>
                <w:szCs w:val="20"/>
                <w:lang w:eastAsia="en-GB"/>
              </w:rPr>
              <w:br/>
            </w:r>
            <w:r w:rsidRPr="004B6EAB">
              <w:rPr>
                <w:rFonts w:cs="Arial"/>
                <w:sz w:val="20"/>
                <w:szCs w:val="20"/>
              </w:rPr>
              <w:t>Anticipated Programme objectives and outcomes include:</w:t>
            </w:r>
          </w:p>
          <w:p w14:paraId="0B67ECE6" w14:textId="77777777" w:rsidR="009E1180" w:rsidRPr="004B6EAB" w:rsidRDefault="009E1180" w:rsidP="009E1180">
            <w:pPr>
              <w:pStyle w:val="ListParagraph"/>
              <w:numPr>
                <w:ilvl w:val="0"/>
                <w:numId w:val="51"/>
              </w:numPr>
              <w:spacing w:before="100" w:beforeAutospacing="1" w:after="0" w:line="240" w:lineRule="auto"/>
              <w:contextualSpacing w:val="0"/>
              <w:jc w:val="both"/>
              <w:rPr>
                <w:rFonts w:cs="Arial"/>
                <w:sz w:val="20"/>
                <w:szCs w:val="20"/>
              </w:rPr>
            </w:pPr>
            <w:r w:rsidRPr="004B6EAB">
              <w:rPr>
                <w:rFonts w:cs="Arial"/>
                <w:sz w:val="20"/>
                <w:szCs w:val="20"/>
              </w:rPr>
              <w:t xml:space="preserve">The long-term sustainable financing of protected areas and their buffer zones, with the development and implementation of long-term management strategies. </w:t>
            </w:r>
          </w:p>
          <w:p w14:paraId="2CF7F14C" w14:textId="77777777" w:rsidR="009E1180" w:rsidRPr="004B6EAB" w:rsidRDefault="009E1180" w:rsidP="009E1180">
            <w:pPr>
              <w:pStyle w:val="ListParagraph"/>
              <w:numPr>
                <w:ilvl w:val="0"/>
                <w:numId w:val="51"/>
              </w:numPr>
              <w:spacing w:before="100" w:beforeAutospacing="1" w:after="0" w:line="240" w:lineRule="auto"/>
              <w:ind w:left="714" w:hanging="357"/>
              <w:contextualSpacing w:val="0"/>
              <w:jc w:val="both"/>
              <w:rPr>
                <w:rFonts w:cs="Arial"/>
                <w:sz w:val="20"/>
                <w:szCs w:val="20"/>
              </w:rPr>
            </w:pPr>
            <w:r w:rsidRPr="004B6EAB">
              <w:rPr>
                <w:rFonts w:cs="Arial"/>
                <w:sz w:val="20"/>
                <w:szCs w:val="20"/>
              </w:rPr>
              <w:t>Additional finance leveraged with Defra’s ODA spend at an expected ratio of 2:1 (2 for Defra and 1 for leveraged funds), for the sites supported by the contribution, or 1:1:1 (1 for Defra funds, 1 for private funds and 1 for philanthropic funds)</w:t>
            </w:r>
          </w:p>
          <w:p w14:paraId="3EF0BDDC" w14:textId="77777777" w:rsidR="009E1180" w:rsidRPr="004B6EAB" w:rsidRDefault="009E1180" w:rsidP="009E1180">
            <w:pPr>
              <w:pStyle w:val="ListParagraph"/>
              <w:numPr>
                <w:ilvl w:val="0"/>
                <w:numId w:val="51"/>
              </w:numPr>
              <w:spacing w:before="100" w:beforeAutospacing="1" w:after="0" w:line="240" w:lineRule="auto"/>
              <w:ind w:left="714" w:hanging="357"/>
              <w:contextualSpacing w:val="0"/>
              <w:jc w:val="both"/>
              <w:rPr>
                <w:rFonts w:cs="Arial"/>
                <w:sz w:val="20"/>
                <w:szCs w:val="20"/>
              </w:rPr>
            </w:pPr>
            <w:r w:rsidRPr="004B6EAB">
              <w:rPr>
                <w:rFonts w:cs="Arial"/>
                <w:sz w:val="20"/>
                <w:szCs w:val="20"/>
              </w:rPr>
              <w:t>Maximising benefits for local communities, Indigenous people and women, ensuring high levels of participation and transparency.</w:t>
            </w:r>
          </w:p>
          <w:p w14:paraId="34B0852D" w14:textId="77777777" w:rsidR="009E1180" w:rsidRPr="004B6EAB" w:rsidRDefault="009E1180" w:rsidP="009E1180">
            <w:pPr>
              <w:pStyle w:val="ListParagraph"/>
              <w:numPr>
                <w:ilvl w:val="0"/>
                <w:numId w:val="51"/>
              </w:numPr>
              <w:spacing w:before="100" w:beforeAutospacing="1" w:after="0" w:line="240" w:lineRule="auto"/>
              <w:ind w:left="714" w:hanging="357"/>
              <w:contextualSpacing w:val="0"/>
              <w:jc w:val="both"/>
              <w:rPr>
                <w:rFonts w:cs="Arial"/>
                <w:sz w:val="20"/>
                <w:szCs w:val="20"/>
              </w:rPr>
            </w:pPr>
            <w:r w:rsidRPr="004B6EAB">
              <w:rPr>
                <w:rFonts w:cs="Arial"/>
                <w:sz w:val="20"/>
                <w:szCs w:val="20"/>
              </w:rPr>
              <w:t xml:space="preserve">Supporting sustainable livelihoods and community well-being, benefiting local individuals and families, with the social and economic benefits (e.g., revenue/income, tourism) being recognised, promoted and maintained. </w:t>
            </w:r>
          </w:p>
          <w:p w14:paraId="72F1EA88" w14:textId="77777777" w:rsidR="009E1180" w:rsidRPr="004B6EAB" w:rsidRDefault="009E1180" w:rsidP="009E1180">
            <w:pPr>
              <w:pStyle w:val="ListParagraph"/>
              <w:numPr>
                <w:ilvl w:val="0"/>
                <w:numId w:val="51"/>
              </w:numPr>
              <w:spacing w:before="100" w:beforeAutospacing="1" w:after="0" w:line="240" w:lineRule="auto"/>
              <w:ind w:left="714" w:hanging="357"/>
              <w:contextualSpacing w:val="0"/>
              <w:jc w:val="both"/>
              <w:rPr>
                <w:rFonts w:cs="Arial"/>
                <w:sz w:val="20"/>
                <w:szCs w:val="20"/>
              </w:rPr>
            </w:pPr>
            <w:r w:rsidRPr="004B6EAB">
              <w:rPr>
                <w:rFonts w:cs="Arial"/>
                <w:sz w:val="20"/>
                <w:szCs w:val="20"/>
              </w:rPr>
              <w:t xml:space="preserve">Demonstrated impact of climate change mitigation through carbon storage and sequestration in the protected areas under funding. </w:t>
            </w:r>
          </w:p>
          <w:p w14:paraId="45BF65C8" w14:textId="77777777" w:rsidR="009E1180" w:rsidRPr="004B6EAB" w:rsidRDefault="009E1180" w:rsidP="009E1180">
            <w:pPr>
              <w:pStyle w:val="ListParagraph"/>
              <w:numPr>
                <w:ilvl w:val="0"/>
                <w:numId w:val="51"/>
              </w:numPr>
              <w:spacing w:before="100" w:beforeAutospacing="1" w:after="0" w:line="240" w:lineRule="auto"/>
              <w:ind w:left="714" w:hanging="357"/>
              <w:contextualSpacing w:val="0"/>
              <w:jc w:val="both"/>
              <w:rPr>
                <w:rFonts w:cs="Arial"/>
                <w:sz w:val="20"/>
                <w:szCs w:val="20"/>
              </w:rPr>
            </w:pPr>
            <w:r w:rsidRPr="004B6EAB">
              <w:rPr>
                <w:rFonts w:cs="Arial"/>
                <w:sz w:val="20"/>
                <w:szCs w:val="20"/>
              </w:rPr>
              <w:t xml:space="preserve">Demonstrated impact of ecosystem services and stability in the protected areas under funding. </w:t>
            </w:r>
          </w:p>
          <w:p w14:paraId="5AB08598" w14:textId="77777777" w:rsidR="009E1180" w:rsidRPr="004B6EAB" w:rsidRDefault="009E1180" w:rsidP="009E1180">
            <w:pPr>
              <w:pStyle w:val="ListParagraph"/>
              <w:numPr>
                <w:ilvl w:val="0"/>
                <w:numId w:val="51"/>
              </w:numPr>
              <w:spacing w:before="100" w:beforeAutospacing="1" w:after="0" w:line="240" w:lineRule="auto"/>
              <w:ind w:left="714" w:hanging="357"/>
              <w:contextualSpacing w:val="0"/>
              <w:jc w:val="both"/>
              <w:rPr>
                <w:rFonts w:cs="Arial"/>
                <w:sz w:val="20"/>
                <w:szCs w:val="20"/>
              </w:rPr>
            </w:pPr>
            <w:r w:rsidRPr="004B6EAB">
              <w:rPr>
                <w:rFonts w:cs="Arial"/>
                <w:sz w:val="20"/>
                <w:szCs w:val="20"/>
              </w:rPr>
              <w:t xml:space="preserve">Demonstrated impact of ecological integrity in the protected areas under funding. </w:t>
            </w:r>
          </w:p>
          <w:p w14:paraId="4101ED30" w14:textId="77777777" w:rsidR="009E1180" w:rsidRPr="004B6EAB" w:rsidRDefault="009E1180" w:rsidP="009E1180">
            <w:pPr>
              <w:pStyle w:val="ListParagraph"/>
              <w:numPr>
                <w:ilvl w:val="0"/>
                <w:numId w:val="51"/>
              </w:numPr>
              <w:spacing w:before="100" w:beforeAutospacing="1" w:after="0" w:line="240" w:lineRule="auto"/>
              <w:ind w:left="714" w:hanging="357"/>
              <w:contextualSpacing w:val="0"/>
              <w:jc w:val="both"/>
              <w:rPr>
                <w:rFonts w:cs="Arial"/>
                <w:sz w:val="20"/>
                <w:szCs w:val="20"/>
              </w:rPr>
            </w:pPr>
            <w:r w:rsidRPr="004B6EAB">
              <w:rPr>
                <w:rFonts w:cs="Arial"/>
                <w:sz w:val="20"/>
                <w:szCs w:val="20"/>
              </w:rPr>
              <w:t>Piloting of innovating approaches to conservation and protected area management.</w:t>
            </w:r>
          </w:p>
          <w:p w14:paraId="7DFB78C3" w14:textId="01F52388" w:rsidR="00421E79" w:rsidRPr="004B6EAB" w:rsidRDefault="00421E79" w:rsidP="009B6164">
            <w:pPr>
              <w:spacing w:before="0" w:after="0" w:line="240" w:lineRule="auto"/>
              <w:textAlignment w:val="baseline"/>
              <w:rPr>
                <w:rFonts w:eastAsia="Times New Roman" w:cs="Arial"/>
                <w:sz w:val="20"/>
                <w:szCs w:val="20"/>
                <w:lang w:eastAsia="en-GB"/>
              </w:rPr>
            </w:pPr>
          </w:p>
          <w:p w14:paraId="3354D337" w14:textId="77777777" w:rsidR="00421E79" w:rsidRPr="004B6EAB" w:rsidRDefault="00421E79" w:rsidP="009B6164">
            <w:pPr>
              <w:spacing w:before="0" w:after="0" w:line="240" w:lineRule="auto"/>
              <w:textAlignment w:val="baseline"/>
              <w:rPr>
                <w:rFonts w:eastAsia="Times New Roman" w:cs="Arial"/>
                <w:sz w:val="20"/>
                <w:szCs w:val="20"/>
                <w:lang w:eastAsia="en-GB"/>
              </w:rPr>
            </w:pPr>
            <w:r w:rsidRPr="004B6EAB">
              <w:rPr>
                <w:rFonts w:eastAsia="Times New Roman" w:cs="Arial"/>
                <w:sz w:val="20"/>
                <w:szCs w:val="20"/>
                <w:lang w:eastAsia="en-GB"/>
              </w:rPr>
              <w:t> </w:t>
            </w:r>
          </w:p>
        </w:tc>
      </w:tr>
      <w:tr w:rsidR="00421E79" w:rsidRPr="004B6EAB" w14:paraId="574B90B0" w14:textId="77777777" w:rsidTr="009B6164">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4919642F" w14:textId="482B62F3" w:rsidR="00C41C44" w:rsidRPr="00C41C44" w:rsidRDefault="00421E79" w:rsidP="00F911A7">
            <w:pPr>
              <w:pStyle w:val="ListParagraph"/>
              <w:numPr>
                <w:ilvl w:val="0"/>
                <w:numId w:val="52"/>
              </w:numPr>
              <w:spacing w:before="0" w:after="0" w:line="240" w:lineRule="auto"/>
              <w:textAlignment w:val="baseline"/>
              <w:rPr>
                <w:rFonts w:eastAsia="Times New Roman" w:cs="Arial"/>
                <w:sz w:val="20"/>
                <w:szCs w:val="20"/>
                <w:lang w:val="en-US" w:eastAsia="en-GB"/>
              </w:rPr>
            </w:pPr>
            <w:r w:rsidRPr="004B6EAB">
              <w:rPr>
                <w:rFonts w:eastAsia="Times New Roman" w:cs="Arial"/>
                <w:b/>
                <w:sz w:val="20"/>
                <w:szCs w:val="20"/>
                <w:lang w:eastAsia="en-GB"/>
              </w:rPr>
              <w:t xml:space="preserve">3a. Please list the assets that will be delivered by the </w:t>
            </w:r>
            <w:r w:rsidR="00473D08" w:rsidRPr="004B6EAB">
              <w:rPr>
                <w:rFonts w:eastAsia="Times New Roman" w:cs="Arial"/>
                <w:b/>
                <w:sz w:val="20"/>
                <w:szCs w:val="20"/>
                <w:lang w:eastAsia="en-GB"/>
              </w:rPr>
              <w:t>P</w:t>
            </w:r>
            <w:r w:rsidRPr="004B6EAB">
              <w:rPr>
                <w:rFonts w:eastAsia="Times New Roman" w:cs="Arial"/>
                <w:b/>
                <w:sz w:val="20"/>
                <w:szCs w:val="20"/>
                <w:lang w:eastAsia="en-GB"/>
              </w:rPr>
              <w:t xml:space="preserve">rogramme that will carry the UK aid or UK International </w:t>
            </w:r>
            <w:r w:rsidRPr="004B6EAB">
              <w:rPr>
                <w:rFonts w:eastAsia="Times New Roman" w:cs="Arial"/>
                <w:b/>
                <w:bCs/>
                <w:sz w:val="20"/>
                <w:szCs w:val="20"/>
                <w:lang w:eastAsia="en-GB"/>
              </w:rPr>
              <w:t>Development</w:t>
            </w:r>
            <w:r w:rsidRPr="004B6EAB">
              <w:rPr>
                <w:rFonts w:eastAsia="Times New Roman" w:cs="Arial"/>
                <w:b/>
                <w:sz w:val="20"/>
                <w:szCs w:val="20"/>
                <w:lang w:eastAsia="en-GB"/>
              </w:rPr>
              <w:t xml:space="preserve"> logo or acknowledgement of UK International Development funding</w:t>
            </w:r>
            <w:r w:rsidRPr="004B6EAB">
              <w:rPr>
                <w:rFonts w:eastAsia="Times New Roman" w:cs="Arial"/>
                <w:sz w:val="20"/>
                <w:szCs w:val="20"/>
                <w:lang w:eastAsia="en-GB"/>
              </w:rPr>
              <w:t>.</w:t>
            </w:r>
            <w:r w:rsidR="000E6D0B">
              <w:rPr>
                <w:rFonts w:eastAsia="Times New Roman" w:cs="Arial"/>
                <w:sz w:val="20"/>
                <w:szCs w:val="20"/>
                <w:lang w:eastAsia="en-GB"/>
              </w:rPr>
              <w:t xml:space="preserve"> </w:t>
            </w:r>
            <w:r w:rsidRPr="004B6EAB">
              <w:rPr>
                <w:rFonts w:eastAsia="Times New Roman" w:cs="Arial"/>
                <w:sz w:val="20"/>
                <w:szCs w:val="20"/>
                <w:lang w:eastAsia="en-GB"/>
              </w:rPr>
              <w:t xml:space="preserve">List all assets including physical items and supplies, and other non-physical items that will be delivered as part of the </w:t>
            </w:r>
            <w:r w:rsidR="00473D08" w:rsidRPr="004B6EAB">
              <w:rPr>
                <w:rFonts w:eastAsia="Times New Roman" w:cs="Arial"/>
                <w:sz w:val="20"/>
                <w:szCs w:val="20"/>
                <w:lang w:eastAsia="en-GB"/>
              </w:rPr>
              <w:t>P</w:t>
            </w:r>
            <w:r w:rsidRPr="004B6EAB">
              <w:rPr>
                <w:rFonts w:eastAsia="Times New Roman" w:cs="Arial"/>
                <w:sz w:val="20"/>
                <w:szCs w:val="20"/>
                <w:lang w:eastAsia="en-GB"/>
              </w:rPr>
              <w:t>rogramme e.g., annual reports, research reports, websites, press releases, other communication or event materials (refer to Sections 5 &amp; 6 of the branding guidance for more information on where UK International Development branding should / should not appear).  </w:t>
            </w:r>
          </w:p>
          <w:p w14:paraId="70164467" w14:textId="184C7B0D" w:rsidR="00863DC2" w:rsidRPr="004B6EAB" w:rsidRDefault="00863DC2" w:rsidP="00F911A7">
            <w:pPr>
              <w:pStyle w:val="ListParagraph"/>
              <w:numPr>
                <w:ilvl w:val="0"/>
                <w:numId w:val="52"/>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Brochures &amp; pamphlets:</w:t>
            </w:r>
            <w:r w:rsidRPr="004B6EAB">
              <w:rPr>
                <w:rFonts w:eastAsia="Times New Roman" w:cs="Arial"/>
                <w:sz w:val="20"/>
                <w:szCs w:val="20"/>
                <w:lang w:val="en-US" w:eastAsia="en-GB"/>
              </w:rPr>
              <w:t xml:space="preserve"> Informational materials describing LLF’s programs, goals, and initiatives.</w:t>
            </w:r>
          </w:p>
          <w:p w14:paraId="214B0E31" w14:textId="5AB4196A" w:rsidR="00863DC2" w:rsidRPr="004B6EAB" w:rsidRDefault="00863DC2" w:rsidP="00863DC2">
            <w:pPr>
              <w:numPr>
                <w:ilvl w:val="0"/>
                <w:numId w:val="52"/>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Reports &amp; publications:</w:t>
            </w:r>
            <w:r w:rsidRPr="004B6EAB">
              <w:rPr>
                <w:rFonts w:eastAsia="Times New Roman" w:cs="Arial"/>
                <w:sz w:val="20"/>
                <w:szCs w:val="20"/>
                <w:lang w:val="en-US" w:eastAsia="en-GB"/>
              </w:rPr>
              <w:t xml:space="preserve"> Annual reports, impact reports, and other publications produced by LLF.</w:t>
            </w:r>
          </w:p>
          <w:p w14:paraId="576C417F" w14:textId="7FCF868D" w:rsidR="00863DC2" w:rsidRPr="004B6EAB" w:rsidRDefault="00863DC2" w:rsidP="00863DC2">
            <w:pPr>
              <w:numPr>
                <w:ilvl w:val="0"/>
                <w:numId w:val="52"/>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lastRenderedPageBreak/>
              <w:t>Newsletters:</w:t>
            </w:r>
            <w:r w:rsidRPr="004B6EAB">
              <w:rPr>
                <w:rFonts w:eastAsia="Times New Roman" w:cs="Arial"/>
                <w:sz w:val="20"/>
                <w:szCs w:val="20"/>
                <w:lang w:val="en-US" w:eastAsia="en-GB"/>
              </w:rPr>
              <w:t xml:space="preserve"> </w:t>
            </w:r>
            <w:r w:rsidR="005217DA" w:rsidRPr="004B6EAB">
              <w:rPr>
                <w:rFonts w:eastAsia="Times New Roman" w:cs="Arial"/>
                <w:sz w:val="20"/>
                <w:szCs w:val="20"/>
                <w:lang w:val="en-US" w:eastAsia="en-GB"/>
              </w:rPr>
              <w:t>Digital</w:t>
            </w:r>
            <w:r w:rsidRPr="004B6EAB">
              <w:rPr>
                <w:rFonts w:eastAsia="Times New Roman" w:cs="Arial"/>
                <w:sz w:val="20"/>
                <w:szCs w:val="20"/>
                <w:lang w:val="en-US" w:eastAsia="en-GB"/>
              </w:rPr>
              <w:t xml:space="preserve"> newsletters that are distributed to stakeholders, donors, and the public.</w:t>
            </w:r>
          </w:p>
          <w:p w14:paraId="6F197ADA" w14:textId="53C346C5" w:rsidR="00863DC2" w:rsidRPr="004B6EAB" w:rsidRDefault="00863DC2" w:rsidP="00863DC2">
            <w:pPr>
              <w:numPr>
                <w:ilvl w:val="0"/>
                <w:numId w:val="52"/>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Flyers &amp; </w:t>
            </w:r>
            <w:r w:rsidR="005217DA" w:rsidRPr="004B6EAB">
              <w:rPr>
                <w:rFonts w:eastAsia="Times New Roman" w:cs="Arial"/>
                <w:b/>
                <w:bCs/>
                <w:sz w:val="20"/>
                <w:szCs w:val="20"/>
                <w:lang w:val="en-US" w:eastAsia="en-GB"/>
              </w:rPr>
              <w:t>p</w:t>
            </w:r>
            <w:r w:rsidRPr="004B6EAB">
              <w:rPr>
                <w:rFonts w:eastAsia="Times New Roman" w:cs="Arial"/>
                <w:b/>
                <w:bCs/>
                <w:sz w:val="20"/>
                <w:szCs w:val="20"/>
                <w:lang w:val="en-US" w:eastAsia="en-GB"/>
              </w:rPr>
              <w:t>osters</w:t>
            </w:r>
            <w:r w:rsidR="005217DA" w:rsidRPr="004B6EAB">
              <w:rPr>
                <w:rFonts w:eastAsia="Times New Roman" w:cs="Arial"/>
                <w:b/>
                <w:bCs/>
                <w:sz w:val="20"/>
                <w:szCs w:val="20"/>
                <w:lang w:val="en-US" w:eastAsia="en-GB"/>
              </w:rPr>
              <w:t>:</w:t>
            </w:r>
            <w:r w:rsidRPr="004B6EAB">
              <w:rPr>
                <w:rFonts w:eastAsia="Times New Roman" w:cs="Arial"/>
                <w:sz w:val="20"/>
                <w:szCs w:val="20"/>
                <w:lang w:val="en-US" w:eastAsia="en-GB"/>
              </w:rPr>
              <w:t xml:space="preserve"> Promotional materials for events, conferences, or outreach programs.</w:t>
            </w:r>
          </w:p>
          <w:p w14:paraId="50FD1140" w14:textId="2C9FC42A" w:rsidR="00863DC2" w:rsidRPr="004B6EAB" w:rsidRDefault="00863DC2" w:rsidP="00F911A7">
            <w:pPr>
              <w:numPr>
                <w:ilvl w:val="0"/>
                <w:numId w:val="52"/>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Fact </w:t>
            </w:r>
            <w:r w:rsidR="005217DA" w:rsidRPr="004B6EAB">
              <w:rPr>
                <w:rFonts w:eastAsia="Times New Roman" w:cs="Arial"/>
                <w:b/>
                <w:bCs/>
                <w:sz w:val="20"/>
                <w:szCs w:val="20"/>
                <w:lang w:val="en-US" w:eastAsia="en-GB"/>
              </w:rPr>
              <w:t>s</w:t>
            </w:r>
            <w:r w:rsidRPr="004B6EAB">
              <w:rPr>
                <w:rFonts w:eastAsia="Times New Roman" w:cs="Arial"/>
                <w:b/>
                <w:bCs/>
                <w:sz w:val="20"/>
                <w:szCs w:val="20"/>
                <w:lang w:val="en-US" w:eastAsia="en-GB"/>
              </w:rPr>
              <w:t>heets</w:t>
            </w:r>
            <w:r w:rsidR="005217DA" w:rsidRPr="004B6EAB">
              <w:rPr>
                <w:rFonts w:eastAsia="Times New Roman" w:cs="Arial"/>
                <w:b/>
                <w:bCs/>
                <w:sz w:val="20"/>
                <w:szCs w:val="20"/>
                <w:lang w:val="en-US" w:eastAsia="en-GB"/>
              </w:rPr>
              <w:t>:</w:t>
            </w:r>
            <w:r w:rsidRPr="004B6EAB">
              <w:rPr>
                <w:rFonts w:eastAsia="Times New Roman" w:cs="Arial"/>
                <w:sz w:val="20"/>
                <w:szCs w:val="20"/>
                <w:lang w:val="en-US" w:eastAsia="en-GB"/>
              </w:rPr>
              <w:t xml:space="preserve"> Brief documents summarizing key information about LLF projects, partnerships, or initiatives.</w:t>
            </w:r>
          </w:p>
          <w:p w14:paraId="178BAB34" w14:textId="64F2B6F9" w:rsidR="00863DC2" w:rsidRPr="004B6EAB" w:rsidRDefault="00863DC2" w:rsidP="00863DC2">
            <w:pPr>
              <w:numPr>
                <w:ilvl w:val="0"/>
                <w:numId w:val="53"/>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Website &amp; </w:t>
            </w:r>
            <w:r w:rsidR="005217DA" w:rsidRPr="004B6EAB">
              <w:rPr>
                <w:rFonts w:eastAsia="Times New Roman" w:cs="Arial"/>
                <w:b/>
                <w:bCs/>
                <w:sz w:val="20"/>
                <w:szCs w:val="20"/>
                <w:lang w:val="en-US" w:eastAsia="en-GB"/>
              </w:rPr>
              <w:t>landscape pages</w:t>
            </w:r>
            <w:r w:rsidR="005217DA" w:rsidRPr="004B6EAB">
              <w:rPr>
                <w:rFonts w:eastAsia="Times New Roman" w:cs="Arial"/>
                <w:sz w:val="20"/>
                <w:szCs w:val="20"/>
                <w:lang w:val="en-US" w:eastAsia="en-GB"/>
              </w:rPr>
              <w:t>:</w:t>
            </w:r>
            <w:r w:rsidRPr="004B6EAB">
              <w:rPr>
                <w:rFonts w:eastAsia="Times New Roman" w:cs="Arial"/>
                <w:sz w:val="20"/>
                <w:szCs w:val="20"/>
                <w:lang w:val="en-US" w:eastAsia="en-GB"/>
              </w:rPr>
              <w:t xml:space="preserve"> Official LLF website,</w:t>
            </w:r>
            <w:r w:rsidR="005217DA" w:rsidRPr="004B6EAB">
              <w:rPr>
                <w:rFonts w:eastAsia="Times New Roman" w:cs="Arial"/>
                <w:sz w:val="20"/>
                <w:szCs w:val="20"/>
                <w:lang w:val="en-US" w:eastAsia="en-GB"/>
              </w:rPr>
              <w:t xml:space="preserve"> grant</w:t>
            </w:r>
            <w:r w:rsidRPr="004B6EAB">
              <w:rPr>
                <w:rFonts w:eastAsia="Times New Roman" w:cs="Arial"/>
                <w:sz w:val="20"/>
                <w:szCs w:val="20"/>
                <w:lang w:val="en-US" w:eastAsia="en-GB"/>
              </w:rPr>
              <w:t xml:space="preserve">-specific </w:t>
            </w:r>
            <w:r w:rsidR="005217DA" w:rsidRPr="004B6EAB">
              <w:rPr>
                <w:rFonts w:eastAsia="Times New Roman" w:cs="Arial"/>
                <w:sz w:val="20"/>
                <w:szCs w:val="20"/>
                <w:lang w:val="en-US" w:eastAsia="en-GB"/>
              </w:rPr>
              <w:t>pages</w:t>
            </w:r>
            <w:r w:rsidRPr="004B6EAB">
              <w:rPr>
                <w:rFonts w:eastAsia="Times New Roman" w:cs="Arial"/>
                <w:sz w:val="20"/>
                <w:szCs w:val="20"/>
                <w:lang w:val="en-US" w:eastAsia="en-GB"/>
              </w:rPr>
              <w:t>, or landing pages related to collaborative efforts with Defra.</w:t>
            </w:r>
          </w:p>
          <w:p w14:paraId="6433B365" w14:textId="76093646" w:rsidR="00863DC2" w:rsidRPr="004B6EAB" w:rsidRDefault="00863DC2" w:rsidP="00863DC2">
            <w:pPr>
              <w:numPr>
                <w:ilvl w:val="0"/>
                <w:numId w:val="53"/>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Social </w:t>
            </w:r>
            <w:r w:rsidR="005217DA" w:rsidRPr="004B6EAB">
              <w:rPr>
                <w:rFonts w:eastAsia="Times New Roman" w:cs="Arial"/>
                <w:b/>
                <w:bCs/>
                <w:sz w:val="20"/>
                <w:szCs w:val="20"/>
                <w:lang w:val="en-US" w:eastAsia="en-GB"/>
              </w:rPr>
              <w:t>m</w:t>
            </w:r>
            <w:r w:rsidRPr="004B6EAB">
              <w:rPr>
                <w:rFonts w:eastAsia="Times New Roman" w:cs="Arial"/>
                <w:b/>
                <w:bCs/>
                <w:sz w:val="20"/>
                <w:szCs w:val="20"/>
                <w:lang w:val="en-US" w:eastAsia="en-GB"/>
              </w:rPr>
              <w:t>edia</w:t>
            </w:r>
            <w:r w:rsidR="005217DA" w:rsidRPr="004B6EAB">
              <w:rPr>
                <w:rFonts w:eastAsia="Times New Roman" w:cs="Arial"/>
                <w:sz w:val="20"/>
                <w:szCs w:val="20"/>
                <w:lang w:val="en-US" w:eastAsia="en-GB"/>
              </w:rPr>
              <w:t>:</w:t>
            </w:r>
            <w:r w:rsidRPr="004B6EAB">
              <w:rPr>
                <w:rFonts w:eastAsia="Times New Roman" w:cs="Arial"/>
                <w:sz w:val="20"/>
                <w:szCs w:val="20"/>
                <w:lang w:val="en-US" w:eastAsia="en-GB"/>
              </w:rPr>
              <w:t xml:space="preserve"> Posts on social media platforms (e.g., LinkedIn, Instagram) to promote joint efforts or initiatives with Defra.</w:t>
            </w:r>
          </w:p>
          <w:p w14:paraId="01891D8A" w14:textId="2DCC5776" w:rsidR="00863DC2" w:rsidRPr="004B6EAB" w:rsidRDefault="00863DC2" w:rsidP="00863DC2">
            <w:pPr>
              <w:numPr>
                <w:ilvl w:val="0"/>
                <w:numId w:val="53"/>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Webinars &amp; </w:t>
            </w:r>
            <w:r w:rsidR="005217DA" w:rsidRPr="004B6EAB">
              <w:rPr>
                <w:rFonts w:eastAsia="Times New Roman" w:cs="Arial"/>
                <w:b/>
                <w:bCs/>
                <w:sz w:val="20"/>
                <w:szCs w:val="20"/>
                <w:lang w:val="en-US" w:eastAsia="en-GB"/>
              </w:rPr>
              <w:t>o</w:t>
            </w:r>
            <w:r w:rsidRPr="004B6EAB">
              <w:rPr>
                <w:rFonts w:eastAsia="Times New Roman" w:cs="Arial"/>
                <w:b/>
                <w:bCs/>
                <w:sz w:val="20"/>
                <w:szCs w:val="20"/>
                <w:lang w:val="en-US" w:eastAsia="en-GB"/>
              </w:rPr>
              <w:t xml:space="preserve">nline </w:t>
            </w:r>
            <w:r w:rsidR="005217DA" w:rsidRPr="004B6EAB">
              <w:rPr>
                <w:rFonts w:eastAsia="Times New Roman" w:cs="Arial"/>
                <w:b/>
                <w:bCs/>
                <w:sz w:val="20"/>
                <w:szCs w:val="20"/>
                <w:lang w:val="en-US" w:eastAsia="en-GB"/>
              </w:rPr>
              <w:t>e</w:t>
            </w:r>
            <w:r w:rsidRPr="004B6EAB">
              <w:rPr>
                <w:rFonts w:eastAsia="Times New Roman" w:cs="Arial"/>
                <w:b/>
                <w:bCs/>
                <w:sz w:val="20"/>
                <w:szCs w:val="20"/>
                <w:lang w:val="en-US" w:eastAsia="en-GB"/>
              </w:rPr>
              <w:t>vents</w:t>
            </w:r>
            <w:r w:rsidR="005217DA" w:rsidRPr="004B6EAB">
              <w:rPr>
                <w:rFonts w:eastAsia="Times New Roman" w:cs="Arial"/>
                <w:sz w:val="20"/>
                <w:szCs w:val="20"/>
                <w:lang w:val="en-US" w:eastAsia="en-GB"/>
              </w:rPr>
              <w:t xml:space="preserve">: </w:t>
            </w:r>
            <w:r w:rsidRPr="004B6EAB">
              <w:rPr>
                <w:rFonts w:eastAsia="Times New Roman" w:cs="Arial"/>
                <w:sz w:val="20"/>
                <w:szCs w:val="20"/>
                <w:lang w:val="en-US" w:eastAsia="en-GB"/>
              </w:rPr>
              <w:t xml:space="preserve">Promotional materials for webinars, online conferences, or virtual roundtables hosted by LLF </w:t>
            </w:r>
            <w:r w:rsidR="0098730F" w:rsidRPr="004B6EAB">
              <w:rPr>
                <w:rFonts w:eastAsia="Times New Roman" w:cs="Arial"/>
                <w:sz w:val="20"/>
                <w:szCs w:val="20"/>
                <w:lang w:val="en-US" w:eastAsia="en-GB"/>
              </w:rPr>
              <w:t>to promote joint efforts of initiatives with Defra</w:t>
            </w:r>
            <w:r w:rsidRPr="004B6EAB">
              <w:rPr>
                <w:rFonts w:eastAsia="Times New Roman" w:cs="Arial"/>
                <w:sz w:val="20"/>
                <w:szCs w:val="20"/>
                <w:lang w:val="en-US" w:eastAsia="en-GB"/>
              </w:rPr>
              <w:t>.</w:t>
            </w:r>
          </w:p>
          <w:p w14:paraId="7A3FF0EC" w14:textId="5A8A9505" w:rsidR="00863DC2" w:rsidRPr="004B6EAB" w:rsidRDefault="00863DC2" w:rsidP="00863DC2">
            <w:pPr>
              <w:numPr>
                <w:ilvl w:val="0"/>
                <w:numId w:val="54"/>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Conference </w:t>
            </w:r>
            <w:r w:rsidR="0098730F" w:rsidRPr="004B6EAB">
              <w:rPr>
                <w:rFonts w:eastAsia="Times New Roman" w:cs="Arial"/>
                <w:b/>
                <w:bCs/>
                <w:sz w:val="20"/>
                <w:szCs w:val="20"/>
                <w:lang w:val="en-US" w:eastAsia="en-GB"/>
              </w:rPr>
              <w:t>m</w:t>
            </w:r>
            <w:r w:rsidRPr="004B6EAB">
              <w:rPr>
                <w:rFonts w:eastAsia="Times New Roman" w:cs="Arial"/>
                <w:b/>
                <w:bCs/>
                <w:sz w:val="20"/>
                <w:szCs w:val="20"/>
                <w:lang w:val="en-US" w:eastAsia="en-GB"/>
              </w:rPr>
              <w:t>aterials</w:t>
            </w:r>
            <w:r w:rsidR="0098730F" w:rsidRPr="004B6EAB">
              <w:rPr>
                <w:rFonts w:eastAsia="Times New Roman" w:cs="Arial"/>
                <w:sz w:val="20"/>
                <w:szCs w:val="20"/>
                <w:lang w:val="en-US" w:eastAsia="en-GB"/>
              </w:rPr>
              <w:t>:</w:t>
            </w:r>
            <w:r w:rsidRPr="004B6EAB">
              <w:rPr>
                <w:rFonts w:eastAsia="Times New Roman" w:cs="Arial"/>
                <w:sz w:val="20"/>
                <w:szCs w:val="20"/>
                <w:lang w:val="en-US" w:eastAsia="en-GB"/>
              </w:rPr>
              <w:t xml:space="preserve"> </w:t>
            </w:r>
            <w:r w:rsidR="0098730F" w:rsidRPr="004B6EAB">
              <w:rPr>
                <w:rFonts w:eastAsia="Times New Roman" w:cs="Arial"/>
                <w:sz w:val="20"/>
                <w:szCs w:val="20"/>
                <w:lang w:val="en-US" w:eastAsia="en-GB"/>
              </w:rPr>
              <w:t>e</w:t>
            </w:r>
            <w:r w:rsidRPr="004B6EAB">
              <w:rPr>
                <w:rFonts w:eastAsia="Times New Roman" w:cs="Arial"/>
                <w:sz w:val="20"/>
                <w:szCs w:val="20"/>
                <w:lang w:val="en-US" w:eastAsia="en-GB"/>
              </w:rPr>
              <w:t xml:space="preserve">vent banners, displays, and presentations at conferences, seminars, or workshops </w:t>
            </w:r>
            <w:r w:rsidR="00B44F52" w:rsidRPr="004B6EAB">
              <w:rPr>
                <w:rFonts w:eastAsia="Times New Roman" w:cs="Arial"/>
                <w:sz w:val="20"/>
                <w:szCs w:val="20"/>
                <w:lang w:val="en-US" w:eastAsia="en-GB"/>
              </w:rPr>
              <w:t>to promote joint efforts of initiatives with Defra.</w:t>
            </w:r>
          </w:p>
          <w:p w14:paraId="020A8F06" w14:textId="40ACBA79" w:rsidR="00863DC2" w:rsidRPr="004B6EAB" w:rsidRDefault="00863DC2" w:rsidP="00863DC2">
            <w:pPr>
              <w:numPr>
                <w:ilvl w:val="0"/>
                <w:numId w:val="54"/>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Exhibition </w:t>
            </w:r>
            <w:r w:rsidR="00B44F52" w:rsidRPr="004B6EAB">
              <w:rPr>
                <w:rFonts w:eastAsia="Times New Roman" w:cs="Arial"/>
                <w:b/>
                <w:bCs/>
                <w:sz w:val="20"/>
                <w:szCs w:val="20"/>
                <w:lang w:val="en-US" w:eastAsia="en-GB"/>
              </w:rPr>
              <w:t>s</w:t>
            </w:r>
            <w:r w:rsidRPr="004B6EAB">
              <w:rPr>
                <w:rFonts w:eastAsia="Times New Roman" w:cs="Arial"/>
                <w:b/>
                <w:bCs/>
                <w:sz w:val="20"/>
                <w:szCs w:val="20"/>
                <w:lang w:val="en-US" w:eastAsia="en-GB"/>
              </w:rPr>
              <w:t>tands</w:t>
            </w:r>
            <w:r w:rsidR="00B44F52" w:rsidRPr="004B6EAB">
              <w:rPr>
                <w:rFonts w:eastAsia="Times New Roman" w:cs="Arial"/>
                <w:sz w:val="20"/>
                <w:szCs w:val="20"/>
                <w:lang w:val="en-US" w:eastAsia="en-GB"/>
              </w:rPr>
              <w:t>:</w:t>
            </w:r>
            <w:r w:rsidRPr="004B6EAB">
              <w:rPr>
                <w:rFonts w:eastAsia="Times New Roman" w:cs="Arial"/>
                <w:sz w:val="20"/>
                <w:szCs w:val="20"/>
                <w:lang w:val="en-US" w:eastAsia="en-GB"/>
              </w:rPr>
              <w:t xml:space="preserve"> Signage, backdrops, and branded materials used at physical or virtual events,</w:t>
            </w:r>
            <w:r w:rsidR="00B44F52" w:rsidRPr="004B6EAB">
              <w:rPr>
                <w:rFonts w:eastAsia="Times New Roman" w:cs="Arial"/>
                <w:sz w:val="20"/>
                <w:szCs w:val="20"/>
                <w:lang w:val="en-US" w:eastAsia="en-GB"/>
              </w:rPr>
              <w:t xml:space="preserve"> or</w:t>
            </w:r>
            <w:r w:rsidRPr="004B6EAB">
              <w:rPr>
                <w:rFonts w:eastAsia="Times New Roman" w:cs="Arial"/>
                <w:sz w:val="20"/>
                <w:szCs w:val="20"/>
                <w:lang w:val="en-US" w:eastAsia="en-GB"/>
              </w:rPr>
              <w:t xml:space="preserve"> conferences</w:t>
            </w:r>
            <w:r w:rsidR="00B44F52" w:rsidRPr="004B6EAB">
              <w:rPr>
                <w:rFonts w:eastAsia="Times New Roman" w:cs="Arial"/>
                <w:sz w:val="20"/>
                <w:szCs w:val="20"/>
                <w:lang w:val="en-US" w:eastAsia="en-GB"/>
              </w:rPr>
              <w:t>.</w:t>
            </w:r>
          </w:p>
          <w:p w14:paraId="061DD1A4" w14:textId="77777777" w:rsidR="00B44F52" w:rsidRPr="004B6EAB" w:rsidRDefault="00863DC2" w:rsidP="00B44F52">
            <w:pPr>
              <w:numPr>
                <w:ilvl w:val="0"/>
                <w:numId w:val="54"/>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Event </w:t>
            </w:r>
            <w:r w:rsidR="00B44F52" w:rsidRPr="004B6EAB">
              <w:rPr>
                <w:rFonts w:eastAsia="Times New Roman" w:cs="Arial"/>
                <w:b/>
                <w:bCs/>
                <w:sz w:val="20"/>
                <w:szCs w:val="20"/>
                <w:lang w:val="en-US" w:eastAsia="en-GB"/>
              </w:rPr>
              <w:t>i</w:t>
            </w:r>
            <w:r w:rsidRPr="004B6EAB">
              <w:rPr>
                <w:rFonts w:eastAsia="Times New Roman" w:cs="Arial"/>
                <w:b/>
                <w:bCs/>
                <w:sz w:val="20"/>
                <w:szCs w:val="20"/>
                <w:lang w:val="en-US" w:eastAsia="en-GB"/>
              </w:rPr>
              <w:t xml:space="preserve">nvitations &amp; </w:t>
            </w:r>
            <w:r w:rsidR="00B44F52" w:rsidRPr="004B6EAB">
              <w:rPr>
                <w:rFonts w:eastAsia="Times New Roman" w:cs="Arial"/>
                <w:b/>
                <w:bCs/>
                <w:sz w:val="20"/>
                <w:szCs w:val="20"/>
                <w:lang w:val="en-US" w:eastAsia="en-GB"/>
              </w:rPr>
              <w:t>p</w:t>
            </w:r>
            <w:r w:rsidRPr="004B6EAB">
              <w:rPr>
                <w:rFonts w:eastAsia="Times New Roman" w:cs="Arial"/>
                <w:b/>
                <w:bCs/>
                <w:sz w:val="20"/>
                <w:szCs w:val="20"/>
                <w:lang w:val="en-US" w:eastAsia="en-GB"/>
              </w:rPr>
              <w:t>rograms</w:t>
            </w:r>
            <w:r w:rsidR="00B44F52" w:rsidRPr="004B6EAB">
              <w:rPr>
                <w:rFonts w:eastAsia="Times New Roman" w:cs="Arial"/>
                <w:sz w:val="20"/>
                <w:szCs w:val="20"/>
                <w:lang w:val="en-US" w:eastAsia="en-GB"/>
              </w:rPr>
              <w:t>:</w:t>
            </w:r>
            <w:r w:rsidRPr="004B6EAB">
              <w:rPr>
                <w:rFonts w:eastAsia="Times New Roman" w:cs="Arial"/>
                <w:sz w:val="20"/>
                <w:szCs w:val="20"/>
                <w:lang w:val="en-US" w:eastAsia="en-GB"/>
              </w:rPr>
              <w:t xml:space="preserve"> Invitations, programs, and other printed materials for events or meetings where Defra’s involvement is highlighted.</w:t>
            </w:r>
          </w:p>
          <w:p w14:paraId="03F1A8E2" w14:textId="37A865E3" w:rsidR="00863DC2" w:rsidRPr="004B6EAB" w:rsidRDefault="00863DC2" w:rsidP="00863DC2">
            <w:pPr>
              <w:numPr>
                <w:ilvl w:val="0"/>
                <w:numId w:val="57"/>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Video </w:t>
            </w:r>
            <w:r w:rsidR="0010307D" w:rsidRPr="004B6EAB">
              <w:rPr>
                <w:rFonts w:eastAsia="Times New Roman" w:cs="Arial"/>
                <w:b/>
                <w:bCs/>
                <w:sz w:val="20"/>
                <w:szCs w:val="20"/>
                <w:lang w:val="en-US" w:eastAsia="en-GB"/>
              </w:rPr>
              <w:t>c</w:t>
            </w:r>
            <w:r w:rsidRPr="004B6EAB">
              <w:rPr>
                <w:rFonts w:eastAsia="Times New Roman" w:cs="Arial"/>
                <w:b/>
                <w:bCs/>
                <w:sz w:val="20"/>
                <w:szCs w:val="20"/>
                <w:lang w:val="en-US" w:eastAsia="en-GB"/>
              </w:rPr>
              <w:t>ontent</w:t>
            </w:r>
            <w:r w:rsidR="0010307D" w:rsidRPr="004B6EAB">
              <w:rPr>
                <w:rFonts w:eastAsia="Times New Roman" w:cs="Arial"/>
                <w:sz w:val="20"/>
                <w:szCs w:val="20"/>
                <w:lang w:val="en-US" w:eastAsia="en-GB"/>
              </w:rPr>
              <w:t>:</w:t>
            </w:r>
            <w:r w:rsidRPr="004B6EAB">
              <w:rPr>
                <w:rFonts w:eastAsia="Times New Roman" w:cs="Arial"/>
                <w:sz w:val="20"/>
                <w:szCs w:val="20"/>
                <w:lang w:val="en-US" w:eastAsia="en-GB"/>
              </w:rPr>
              <w:t xml:space="preserve"> Videos produced by LLF or in partnership with Defra, including promotional videos, impact stories, and joint campaigns.</w:t>
            </w:r>
          </w:p>
          <w:p w14:paraId="05BA2195" w14:textId="03A2FDBC" w:rsidR="00863DC2" w:rsidRPr="004B6EAB" w:rsidRDefault="00863DC2" w:rsidP="00F911A7">
            <w:pPr>
              <w:numPr>
                <w:ilvl w:val="0"/>
                <w:numId w:val="57"/>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Infographics</w:t>
            </w:r>
            <w:r w:rsidR="0010307D" w:rsidRPr="004B6EAB">
              <w:rPr>
                <w:rFonts w:eastAsia="Times New Roman" w:cs="Arial"/>
                <w:sz w:val="20"/>
                <w:szCs w:val="20"/>
                <w:lang w:val="en-US" w:eastAsia="en-GB"/>
              </w:rPr>
              <w:t>:</w:t>
            </w:r>
            <w:r w:rsidRPr="004B6EAB">
              <w:rPr>
                <w:rFonts w:eastAsia="Times New Roman" w:cs="Arial"/>
                <w:sz w:val="20"/>
                <w:szCs w:val="20"/>
                <w:lang w:val="en-US" w:eastAsia="en-GB"/>
              </w:rPr>
              <w:t xml:space="preserve"> Visual representations of data or project results that incorporate the Defra logo alongside LLF’s own branding.</w:t>
            </w:r>
          </w:p>
          <w:p w14:paraId="32995DC8" w14:textId="51E5DBFE" w:rsidR="00863DC2" w:rsidRPr="004B6EAB" w:rsidRDefault="00863DC2" w:rsidP="00863DC2">
            <w:pPr>
              <w:numPr>
                <w:ilvl w:val="0"/>
                <w:numId w:val="61"/>
              </w:numPr>
              <w:spacing w:before="0" w:after="0" w:line="240" w:lineRule="auto"/>
              <w:textAlignment w:val="baseline"/>
              <w:rPr>
                <w:rFonts w:eastAsia="Times New Roman" w:cs="Arial"/>
                <w:sz w:val="20"/>
                <w:szCs w:val="20"/>
                <w:lang w:val="en-US" w:eastAsia="en-GB"/>
              </w:rPr>
            </w:pPr>
            <w:r w:rsidRPr="004B6EAB">
              <w:rPr>
                <w:rFonts w:eastAsia="Times New Roman" w:cs="Arial"/>
                <w:b/>
                <w:bCs/>
                <w:sz w:val="20"/>
                <w:szCs w:val="20"/>
                <w:lang w:val="en-US" w:eastAsia="en-GB"/>
              </w:rPr>
              <w:t xml:space="preserve">Collaborative </w:t>
            </w:r>
            <w:r w:rsidR="00A666CA" w:rsidRPr="004B6EAB">
              <w:rPr>
                <w:rFonts w:eastAsia="Times New Roman" w:cs="Arial"/>
                <w:b/>
                <w:bCs/>
                <w:sz w:val="20"/>
                <w:szCs w:val="20"/>
                <w:lang w:val="en-US" w:eastAsia="en-GB"/>
              </w:rPr>
              <w:t>r</w:t>
            </w:r>
            <w:r w:rsidRPr="004B6EAB">
              <w:rPr>
                <w:rFonts w:eastAsia="Times New Roman" w:cs="Arial"/>
                <w:b/>
                <w:bCs/>
                <w:sz w:val="20"/>
                <w:szCs w:val="20"/>
                <w:lang w:val="en-US" w:eastAsia="en-GB"/>
              </w:rPr>
              <w:t xml:space="preserve">eports with </w:t>
            </w:r>
            <w:r w:rsidR="00A666CA" w:rsidRPr="004B6EAB">
              <w:rPr>
                <w:rFonts w:eastAsia="Times New Roman" w:cs="Arial"/>
                <w:b/>
                <w:bCs/>
                <w:sz w:val="20"/>
                <w:szCs w:val="20"/>
                <w:lang w:val="en-US" w:eastAsia="en-GB"/>
              </w:rPr>
              <w:t>grantees</w:t>
            </w:r>
            <w:r w:rsidR="00A666CA" w:rsidRPr="004B6EAB">
              <w:rPr>
                <w:rFonts w:eastAsia="Times New Roman" w:cs="Arial"/>
                <w:sz w:val="20"/>
                <w:szCs w:val="20"/>
                <w:lang w:val="en-US" w:eastAsia="en-GB"/>
              </w:rPr>
              <w:t>:</w:t>
            </w:r>
            <w:r w:rsidRPr="004B6EAB">
              <w:rPr>
                <w:rFonts w:eastAsia="Times New Roman" w:cs="Arial"/>
                <w:sz w:val="20"/>
                <w:szCs w:val="20"/>
                <w:lang w:val="en-US" w:eastAsia="en-GB"/>
              </w:rPr>
              <w:t xml:space="preserve"> Any joint publications or research reports developed with other stakeholders,</w:t>
            </w:r>
            <w:r w:rsidR="00A666CA" w:rsidRPr="004B6EAB">
              <w:rPr>
                <w:rFonts w:eastAsia="Times New Roman" w:cs="Arial"/>
                <w:sz w:val="20"/>
                <w:szCs w:val="20"/>
                <w:lang w:val="en-US" w:eastAsia="en-GB"/>
              </w:rPr>
              <w:t xml:space="preserve"> including downstream partners,</w:t>
            </w:r>
            <w:r w:rsidRPr="004B6EAB">
              <w:rPr>
                <w:rFonts w:eastAsia="Times New Roman" w:cs="Arial"/>
                <w:sz w:val="20"/>
                <w:szCs w:val="20"/>
                <w:lang w:val="en-US" w:eastAsia="en-GB"/>
              </w:rPr>
              <w:t xml:space="preserve"> where the Defra logo may be included alongside LLF’s.</w:t>
            </w:r>
          </w:p>
          <w:p w14:paraId="40780459" w14:textId="18E21DF6" w:rsidR="00421E79" w:rsidRPr="004B6EAB" w:rsidRDefault="00863DC2" w:rsidP="009B6164">
            <w:pPr>
              <w:spacing w:before="0" w:after="0" w:line="240" w:lineRule="auto"/>
              <w:textAlignment w:val="baseline"/>
              <w:rPr>
                <w:rFonts w:eastAsia="Times New Roman" w:cs="Arial"/>
                <w:sz w:val="20"/>
                <w:szCs w:val="20"/>
                <w:lang w:eastAsia="en-GB"/>
              </w:rPr>
            </w:pPr>
            <w:r w:rsidRPr="004B6EAB">
              <w:rPr>
                <w:rFonts w:eastAsia="Times New Roman" w:cs="Arial"/>
                <w:b/>
                <w:bCs/>
                <w:sz w:val="20"/>
                <w:szCs w:val="20"/>
                <w:lang w:val="en-US" w:eastAsia="en-GB"/>
              </w:rPr>
              <w:t xml:space="preserve">Press </w:t>
            </w:r>
            <w:r w:rsidR="00A666CA" w:rsidRPr="004B6EAB">
              <w:rPr>
                <w:rFonts w:eastAsia="Times New Roman" w:cs="Arial"/>
                <w:b/>
                <w:bCs/>
                <w:sz w:val="20"/>
                <w:szCs w:val="20"/>
                <w:lang w:val="en-US" w:eastAsia="en-GB"/>
              </w:rPr>
              <w:t>c</w:t>
            </w:r>
            <w:r w:rsidRPr="004B6EAB">
              <w:rPr>
                <w:rFonts w:eastAsia="Times New Roman" w:cs="Arial"/>
                <w:b/>
                <w:bCs/>
                <w:sz w:val="20"/>
                <w:szCs w:val="20"/>
                <w:lang w:val="en-US" w:eastAsia="en-GB"/>
              </w:rPr>
              <w:t xml:space="preserve">onferences &amp; </w:t>
            </w:r>
            <w:r w:rsidR="00A666CA" w:rsidRPr="004B6EAB">
              <w:rPr>
                <w:rFonts w:eastAsia="Times New Roman" w:cs="Arial"/>
                <w:b/>
                <w:bCs/>
                <w:sz w:val="20"/>
                <w:szCs w:val="20"/>
                <w:lang w:val="en-US" w:eastAsia="en-GB"/>
              </w:rPr>
              <w:t>m</w:t>
            </w:r>
            <w:r w:rsidRPr="004B6EAB">
              <w:rPr>
                <w:rFonts w:eastAsia="Times New Roman" w:cs="Arial"/>
                <w:b/>
                <w:bCs/>
                <w:sz w:val="20"/>
                <w:szCs w:val="20"/>
                <w:lang w:val="en-US" w:eastAsia="en-GB"/>
              </w:rPr>
              <w:t xml:space="preserve">edia </w:t>
            </w:r>
            <w:r w:rsidR="00A666CA" w:rsidRPr="004B6EAB">
              <w:rPr>
                <w:rFonts w:eastAsia="Times New Roman" w:cs="Arial"/>
                <w:b/>
                <w:bCs/>
                <w:sz w:val="20"/>
                <w:szCs w:val="20"/>
                <w:lang w:val="en-US" w:eastAsia="en-GB"/>
              </w:rPr>
              <w:t>b</w:t>
            </w:r>
            <w:r w:rsidRPr="004B6EAB">
              <w:rPr>
                <w:rFonts w:eastAsia="Times New Roman" w:cs="Arial"/>
                <w:b/>
                <w:bCs/>
                <w:sz w:val="20"/>
                <w:szCs w:val="20"/>
                <w:lang w:val="en-US" w:eastAsia="en-GB"/>
              </w:rPr>
              <w:t>riefings</w:t>
            </w:r>
            <w:r w:rsidR="00A666CA" w:rsidRPr="004B6EAB">
              <w:rPr>
                <w:rFonts w:eastAsia="Times New Roman" w:cs="Arial"/>
                <w:sz w:val="20"/>
                <w:szCs w:val="20"/>
                <w:lang w:val="en-US" w:eastAsia="en-GB"/>
              </w:rPr>
              <w:t>: b</w:t>
            </w:r>
            <w:r w:rsidRPr="004B6EAB">
              <w:rPr>
                <w:rFonts w:eastAsia="Times New Roman" w:cs="Arial"/>
                <w:sz w:val="20"/>
                <w:szCs w:val="20"/>
                <w:lang w:val="en-US" w:eastAsia="en-GB"/>
              </w:rPr>
              <w:t>ackground materials, media kits, and statements issued during press conferences.</w:t>
            </w:r>
          </w:p>
        </w:tc>
      </w:tr>
      <w:tr w:rsidR="00421E79" w:rsidRPr="004B6EAB" w14:paraId="54484EAE" w14:textId="77777777" w:rsidTr="009B6164">
        <w:trPr>
          <w:trHeight w:val="300"/>
        </w:trPr>
        <w:tc>
          <w:tcPr>
            <w:tcW w:w="9015" w:type="dxa"/>
            <w:tcBorders>
              <w:top w:val="single" w:sz="6" w:space="0" w:color="000000"/>
              <w:left w:val="single" w:sz="6" w:space="0" w:color="000000"/>
              <w:bottom w:val="single" w:sz="6" w:space="0" w:color="000000"/>
              <w:right w:val="single" w:sz="6" w:space="0" w:color="000000"/>
            </w:tcBorders>
            <w:hideMark/>
          </w:tcPr>
          <w:p w14:paraId="08FA9F49" w14:textId="455B503A" w:rsidR="00421E79" w:rsidRPr="004B6EAB" w:rsidRDefault="00421E79" w:rsidP="009B6164">
            <w:pPr>
              <w:spacing w:before="0" w:after="0" w:line="240" w:lineRule="auto"/>
              <w:textAlignment w:val="baseline"/>
              <w:rPr>
                <w:rFonts w:eastAsia="Times New Roman" w:cs="Arial"/>
                <w:sz w:val="20"/>
                <w:szCs w:val="20"/>
                <w:lang w:eastAsia="en-GB"/>
              </w:rPr>
            </w:pPr>
            <w:r w:rsidRPr="004B6EAB">
              <w:rPr>
                <w:rFonts w:eastAsia="Times New Roman" w:cs="Arial"/>
                <w:b/>
                <w:sz w:val="20"/>
                <w:szCs w:val="20"/>
                <w:lang w:eastAsia="en-GB"/>
              </w:rPr>
              <w:lastRenderedPageBreak/>
              <w:t xml:space="preserve">3b. Please list the assets that will be delivered by the project that will not carry the UK aid or UK International Development logo and/or acknowledgement of funding and explain clearly why these items will not carry UK aid or </w:t>
            </w:r>
            <w:r w:rsidRPr="004B6EAB">
              <w:rPr>
                <w:rFonts w:eastAsia="Times New Roman" w:cs="Arial"/>
                <w:b/>
                <w:bCs/>
                <w:sz w:val="20"/>
                <w:szCs w:val="20"/>
                <w:lang w:eastAsia="en-GB"/>
              </w:rPr>
              <w:t>UK</w:t>
            </w:r>
            <w:r w:rsidRPr="004B6EAB">
              <w:rPr>
                <w:rFonts w:eastAsia="Times New Roman" w:cs="Arial"/>
                <w:b/>
                <w:sz w:val="20"/>
                <w:szCs w:val="20"/>
                <w:lang w:eastAsia="en-GB"/>
              </w:rPr>
              <w:t xml:space="preserve"> International Development branding. All exceptions require approval by the Head of Department of the team in whose portfolio the </w:t>
            </w:r>
            <w:r w:rsidR="00473D08" w:rsidRPr="004B6EAB">
              <w:rPr>
                <w:rFonts w:eastAsia="Times New Roman" w:cs="Arial"/>
                <w:b/>
                <w:sz w:val="20"/>
                <w:szCs w:val="20"/>
                <w:lang w:eastAsia="en-GB"/>
              </w:rPr>
              <w:t>P</w:t>
            </w:r>
            <w:r w:rsidRPr="004B6EAB">
              <w:rPr>
                <w:rFonts w:eastAsia="Times New Roman" w:cs="Arial"/>
                <w:b/>
                <w:sz w:val="20"/>
                <w:szCs w:val="20"/>
                <w:lang w:eastAsia="en-GB"/>
              </w:rPr>
              <w:t xml:space="preserve">rogramme sits and a record of this approval, e.g. an email, should be kept along with the </w:t>
            </w:r>
            <w:r w:rsidR="00473D08" w:rsidRPr="004B6EAB">
              <w:rPr>
                <w:rFonts w:eastAsia="Times New Roman" w:cs="Arial"/>
                <w:b/>
                <w:sz w:val="20"/>
                <w:szCs w:val="20"/>
                <w:lang w:eastAsia="en-GB"/>
              </w:rPr>
              <w:t>P</w:t>
            </w:r>
            <w:r w:rsidRPr="004B6EAB">
              <w:rPr>
                <w:rFonts w:eastAsia="Times New Roman" w:cs="Arial"/>
                <w:b/>
                <w:sz w:val="20"/>
                <w:szCs w:val="20"/>
                <w:lang w:eastAsia="en-GB"/>
              </w:rPr>
              <w:t xml:space="preserve">rogramme documentation </w:t>
            </w:r>
            <w:r w:rsidRPr="004B6EAB">
              <w:rPr>
                <w:rFonts w:eastAsia="Times New Roman" w:cs="Arial"/>
                <w:i/>
                <w:sz w:val="20"/>
                <w:szCs w:val="20"/>
                <w:lang w:eastAsia="en-GB"/>
              </w:rPr>
              <w:t>(refer to Section 6 of the UK aid branding guidance for more information on branding exceptions): </w:t>
            </w:r>
            <w:r w:rsidRPr="004B6EAB">
              <w:rPr>
                <w:rFonts w:eastAsia="Times New Roman" w:cs="Arial"/>
                <w:sz w:val="20"/>
                <w:szCs w:val="20"/>
                <w:lang w:eastAsia="en-GB"/>
              </w:rPr>
              <w:t> </w:t>
            </w:r>
          </w:p>
          <w:p w14:paraId="11BD63DA" w14:textId="77777777" w:rsidR="00421E79" w:rsidRPr="004B6EAB" w:rsidRDefault="00421E79" w:rsidP="009B6164">
            <w:pPr>
              <w:spacing w:before="0" w:after="0" w:line="240" w:lineRule="auto"/>
              <w:textAlignment w:val="baseline"/>
              <w:rPr>
                <w:rFonts w:eastAsia="Times New Roman" w:cs="Arial"/>
                <w:sz w:val="20"/>
                <w:szCs w:val="20"/>
                <w:lang w:eastAsia="en-GB"/>
              </w:rPr>
            </w:pPr>
            <w:r w:rsidRPr="004B6EAB">
              <w:rPr>
                <w:rFonts w:eastAsia="Times New Roman" w:cs="Arial"/>
                <w:sz w:val="20"/>
                <w:szCs w:val="20"/>
                <w:lang w:eastAsia="en-GB"/>
              </w:rPr>
              <w:t> </w:t>
            </w:r>
          </w:p>
          <w:p w14:paraId="29AC5BBE" w14:textId="77777777" w:rsidR="00421E79" w:rsidRPr="004B6EAB" w:rsidRDefault="00421E79" w:rsidP="009B6164">
            <w:pPr>
              <w:spacing w:before="0" w:after="0" w:line="240" w:lineRule="auto"/>
              <w:textAlignment w:val="baseline"/>
              <w:rPr>
                <w:rFonts w:eastAsia="Times New Roman" w:cs="Arial"/>
                <w:sz w:val="20"/>
                <w:szCs w:val="20"/>
                <w:lang w:eastAsia="en-GB"/>
              </w:rPr>
            </w:pPr>
            <w:r w:rsidRPr="004B6EAB">
              <w:rPr>
                <w:rFonts w:eastAsia="Times New Roman" w:cs="Arial"/>
                <w:sz w:val="20"/>
                <w:szCs w:val="20"/>
                <w:lang w:eastAsia="en-GB"/>
              </w:rPr>
              <w:t> </w:t>
            </w:r>
          </w:p>
        </w:tc>
      </w:tr>
    </w:tbl>
    <w:p w14:paraId="74FF4E10" w14:textId="77777777" w:rsidR="00421E79" w:rsidRPr="004B6EAB" w:rsidRDefault="00421E79" w:rsidP="00421E79">
      <w:pPr>
        <w:spacing w:before="0" w:after="0" w:line="240" w:lineRule="auto"/>
        <w:textAlignment w:val="baseline"/>
        <w:rPr>
          <w:rFonts w:ascii="Segoe UI" w:eastAsia="Times New Roman" w:hAnsi="Segoe UI" w:cs="Segoe UI"/>
          <w:sz w:val="18"/>
          <w:szCs w:val="18"/>
          <w:lang w:eastAsia="en-GB"/>
        </w:rPr>
      </w:pPr>
      <w:r w:rsidRPr="004B6EAB">
        <w:rPr>
          <w:rFonts w:eastAsia="Times New Roman" w:cs="Arial"/>
          <w:szCs w:val="24"/>
          <w:lang w:eastAsia="en-GB"/>
        </w:rPr>
        <w:t> </w:t>
      </w:r>
    </w:p>
    <w:p w14:paraId="0162A863" w14:textId="77777777" w:rsidR="00421E79" w:rsidRPr="004B6EAB" w:rsidRDefault="00421E79" w:rsidP="00421E79">
      <w:pPr>
        <w:spacing w:before="0" w:after="0" w:line="240" w:lineRule="auto"/>
        <w:textAlignment w:val="baseline"/>
        <w:rPr>
          <w:rFonts w:ascii="Segoe UI" w:eastAsia="Times New Roman" w:hAnsi="Segoe UI" w:cs="Segoe UI"/>
          <w:sz w:val="18"/>
          <w:szCs w:val="18"/>
          <w:lang w:eastAsia="en-GB"/>
        </w:rPr>
      </w:pPr>
      <w:r w:rsidRPr="004B6EAB">
        <w:rPr>
          <w:rFonts w:eastAsia="Times New Roman" w:cs="Arial"/>
          <w:b/>
          <w:szCs w:val="24"/>
          <w:lang w:eastAsia="en-GB"/>
        </w:rPr>
        <w:t>Declaration: </w:t>
      </w:r>
      <w:r w:rsidRPr="004B6EAB">
        <w:rPr>
          <w:rFonts w:eastAsia="Times New Roman" w:cs="Arial"/>
          <w:szCs w:val="24"/>
          <w:lang w:eastAsia="en-GB"/>
        </w:rPr>
        <w:t> </w:t>
      </w:r>
    </w:p>
    <w:p w14:paraId="40E29915" w14:textId="772098C6" w:rsidR="00421E79" w:rsidRPr="004B6EAB" w:rsidRDefault="00421E79" w:rsidP="00421E79">
      <w:pPr>
        <w:spacing w:before="0" w:after="0" w:line="240" w:lineRule="auto"/>
        <w:textAlignment w:val="baseline"/>
        <w:rPr>
          <w:rFonts w:ascii="Segoe UI" w:eastAsia="Times New Roman" w:hAnsi="Segoe UI" w:cs="Segoe UI"/>
          <w:sz w:val="18"/>
          <w:szCs w:val="18"/>
          <w:lang w:eastAsia="en-GB"/>
        </w:rPr>
      </w:pPr>
      <w:r w:rsidRPr="004B6EAB">
        <w:rPr>
          <w:rFonts w:eastAsia="Times New Roman" w:cs="Arial"/>
          <w:szCs w:val="24"/>
          <w:lang w:eastAsia="en-GB"/>
        </w:rPr>
        <w:t xml:space="preserve">I understand that no UK International Development funds may be used to procure any promotional communications goods or activities that do not have a direct impact on the successful delivery of this </w:t>
      </w:r>
      <w:r w:rsidR="00473D08" w:rsidRPr="004B6EAB">
        <w:rPr>
          <w:rFonts w:eastAsia="Times New Roman" w:cs="Arial"/>
          <w:szCs w:val="24"/>
          <w:lang w:eastAsia="en-GB"/>
        </w:rPr>
        <w:t>P</w:t>
      </w:r>
      <w:r w:rsidRPr="004B6EAB">
        <w:rPr>
          <w:rFonts w:eastAsia="Times New Roman" w:cs="Arial"/>
          <w:szCs w:val="24"/>
          <w:lang w:eastAsia="en-GB"/>
        </w:rPr>
        <w:t>rogramme or serve to increase the transparency of funding.  </w:t>
      </w:r>
    </w:p>
    <w:p w14:paraId="5017A088" w14:textId="190ECAA2" w:rsidR="00421E79" w:rsidRPr="004B6EAB" w:rsidRDefault="00421E79" w:rsidP="00421E79">
      <w:pPr>
        <w:spacing w:before="0" w:after="0" w:line="240" w:lineRule="auto"/>
        <w:textAlignment w:val="baseline"/>
        <w:rPr>
          <w:rFonts w:eastAsia="Times New Roman" w:cs="Arial"/>
          <w:szCs w:val="24"/>
          <w:lang w:eastAsia="en-GB"/>
        </w:rPr>
      </w:pPr>
      <w:r w:rsidRPr="004B6EAB">
        <w:rPr>
          <w:rFonts w:eastAsia="Times New Roman" w:cs="Arial"/>
          <w:szCs w:val="24"/>
          <w:lang w:eastAsia="en-GB"/>
        </w:rPr>
        <w:t>By signing this statement, you agree to fulfil the commitments stated above</w:t>
      </w:r>
      <w:r w:rsidR="003A762B">
        <w:rPr>
          <w:rFonts w:eastAsia="Times New Roman" w:cs="Arial"/>
          <w:szCs w:val="24"/>
          <w:lang w:eastAsia="en-GB"/>
        </w:rPr>
        <w:t>.</w:t>
      </w:r>
    </w:p>
    <w:p w14:paraId="357667E9" w14:textId="77777777" w:rsidR="00421E79" w:rsidRPr="004B6EAB" w:rsidRDefault="00421E79" w:rsidP="00421E79">
      <w:pPr>
        <w:spacing w:before="0" w:after="0" w:line="240" w:lineRule="auto"/>
        <w:textAlignment w:val="baseline"/>
        <w:rPr>
          <w:rFonts w:ascii="Segoe UI" w:eastAsia="Times New Roman" w:hAnsi="Segoe UI" w:cs="Segoe UI"/>
          <w:sz w:val="18"/>
          <w:szCs w:val="18"/>
          <w:lang w:eastAsia="en-GB"/>
        </w:rPr>
      </w:pPr>
    </w:p>
    <w:sectPr w:rsidR="00421E79" w:rsidRPr="004B6E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5110" w14:textId="77777777" w:rsidR="00E83BCC" w:rsidRDefault="00E83BCC" w:rsidP="003D0878">
      <w:pPr>
        <w:spacing w:before="0" w:after="0" w:line="240" w:lineRule="auto"/>
      </w:pPr>
      <w:r>
        <w:separator/>
      </w:r>
    </w:p>
  </w:endnote>
  <w:endnote w:type="continuationSeparator" w:id="0">
    <w:p w14:paraId="48DBF1F0" w14:textId="77777777" w:rsidR="00E83BCC" w:rsidRDefault="00E83BCC" w:rsidP="003D08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BF5B" w14:textId="77777777" w:rsidR="00E83BCC" w:rsidRDefault="00E83BCC" w:rsidP="003D0878">
      <w:pPr>
        <w:spacing w:before="0" w:after="0" w:line="240" w:lineRule="auto"/>
      </w:pPr>
      <w:r>
        <w:separator/>
      </w:r>
    </w:p>
  </w:footnote>
  <w:footnote w:type="continuationSeparator" w:id="0">
    <w:p w14:paraId="169C9E22" w14:textId="77777777" w:rsidR="00E83BCC" w:rsidRDefault="00E83BCC" w:rsidP="003D087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4182F9C"/>
    <w:lvl w:ilvl="0">
      <w:start w:val="1"/>
      <w:numFmt w:val="decimal"/>
      <w:pStyle w:val="Level1"/>
      <w:lvlText w:val="%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851"/>
        </w:tabs>
        <w:ind w:left="851" w:hanging="851"/>
      </w:pPr>
      <w:rPr>
        <w:rFonts w:ascii="Arial" w:hAnsi="Arial"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840846"/>
    <w:multiLevelType w:val="multilevel"/>
    <w:tmpl w:val="3472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8552A"/>
    <w:multiLevelType w:val="multilevel"/>
    <w:tmpl w:val="FE80061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E942E1"/>
    <w:multiLevelType w:val="multilevel"/>
    <w:tmpl w:val="DEB8EB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626384"/>
    <w:multiLevelType w:val="multilevel"/>
    <w:tmpl w:val="06D437E0"/>
    <w:lvl w:ilvl="0">
      <w:start w:val="1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8781B91"/>
    <w:multiLevelType w:val="multilevel"/>
    <w:tmpl w:val="7F3E0D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490051"/>
    <w:multiLevelType w:val="hybridMultilevel"/>
    <w:tmpl w:val="C3FC3708"/>
    <w:lvl w:ilvl="0" w:tplc="9892C76C">
      <w:start w:val="1"/>
      <w:numFmt w:val="lowerLetter"/>
      <w:lvlText w:val="%1)"/>
      <w:lvlJc w:val="left"/>
      <w:pPr>
        <w:ind w:left="1020" w:hanging="360"/>
      </w:pPr>
    </w:lvl>
    <w:lvl w:ilvl="1" w:tplc="12F49B30">
      <w:start w:val="1"/>
      <w:numFmt w:val="lowerLetter"/>
      <w:lvlText w:val="%2)"/>
      <w:lvlJc w:val="left"/>
      <w:pPr>
        <w:ind w:left="1020" w:hanging="360"/>
      </w:pPr>
    </w:lvl>
    <w:lvl w:ilvl="2" w:tplc="1C207FAC">
      <w:start w:val="1"/>
      <w:numFmt w:val="lowerLetter"/>
      <w:lvlText w:val="%3)"/>
      <w:lvlJc w:val="left"/>
      <w:pPr>
        <w:ind w:left="1020" w:hanging="360"/>
      </w:pPr>
    </w:lvl>
    <w:lvl w:ilvl="3" w:tplc="6E6491EC">
      <w:start w:val="1"/>
      <w:numFmt w:val="lowerLetter"/>
      <w:lvlText w:val="%4)"/>
      <w:lvlJc w:val="left"/>
      <w:pPr>
        <w:ind w:left="1020" w:hanging="360"/>
      </w:pPr>
    </w:lvl>
    <w:lvl w:ilvl="4" w:tplc="A0B86302">
      <w:start w:val="1"/>
      <w:numFmt w:val="lowerLetter"/>
      <w:lvlText w:val="%5)"/>
      <w:lvlJc w:val="left"/>
      <w:pPr>
        <w:ind w:left="1020" w:hanging="360"/>
      </w:pPr>
    </w:lvl>
    <w:lvl w:ilvl="5" w:tplc="A7F63B12">
      <w:start w:val="1"/>
      <w:numFmt w:val="lowerLetter"/>
      <w:lvlText w:val="%6)"/>
      <w:lvlJc w:val="left"/>
      <w:pPr>
        <w:ind w:left="1020" w:hanging="360"/>
      </w:pPr>
    </w:lvl>
    <w:lvl w:ilvl="6" w:tplc="78D27D66">
      <w:start w:val="1"/>
      <w:numFmt w:val="lowerLetter"/>
      <w:lvlText w:val="%7)"/>
      <w:lvlJc w:val="left"/>
      <w:pPr>
        <w:ind w:left="1020" w:hanging="360"/>
      </w:pPr>
    </w:lvl>
    <w:lvl w:ilvl="7" w:tplc="5742F89E">
      <w:start w:val="1"/>
      <w:numFmt w:val="lowerLetter"/>
      <w:lvlText w:val="%8)"/>
      <w:lvlJc w:val="left"/>
      <w:pPr>
        <w:ind w:left="1020" w:hanging="360"/>
      </w:pPr>
    </w:lvl>
    <w:lvl w:ilvl="8" w:tplc="88943BD8">
      <w:start w:val="1"/>
      <w:numFmt w:val="lowerLetter"/>
      <w:lvlText w:val="%9)"/>
      <w:lvlJc w:val="left"/>
      <w:pPr>
        <w:ind w:left="1020" w:hanging="360"/>
      </w:pPr>
    </w:lvl>
  </w:abstractNum>
  <w:abstractNum w:abstractNumId="7" w15:restartNumberingAfterBreak="0">
    <w:nsid w:val="0D412327"/>
    <w:multiLevelType w:val="hybridMultilevel"/>
    <w:tmpl w:val="B21EB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997BC1"/>
    <w:multiLevelType w:val="multilevel"/>
    <w:tmpl w:val="D46824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F141A9"/>
    <w:multiLevelType w:val="hybridMultilevel"/>
    <w:tmpl w:val="BB2E67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077D66"/>
    <w:multiLevelType w:val="multilevel"/>
    <w:tmpl w:val="1D44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4724F"/>
    <w:multiLevelType w:val="hybridMultilevel"/>
    <w:tmpl w:val="1B40E4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2" w15:restartNumberingAfterBreak="0">
    <w:nsid w:val="1DB02F1B"/>
    <w:multiLevelType w:val="multilevel"/>
    <w:tmpl w:val="AE5E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4394F"/>
    <w:multiLevelType w:val="multilevel"/>
    <w:tmpl w:val="9EB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147D3A"/>
    <w:multiLevelType w:val="hybridMultilevel"/>
    <w:tmpl w:val="BFCEC720"/>
    <w:lvl w:ilvl="0" w:tplc="B4C6992A">
      <w:start w:val="1"/>
      <w:numFmt w:val="decimal"/>
      <w:lvlText w:val="%1."/>
      <w:lvlJc w:val="left"/>
      <w:pPr>
        <w:ind w:left="1020" w:hanging="360"/>
      </w:pPr>
    </w:lvl>
    <w:lvl w:ilvl="1" w:tplc="67D6E998">
      <w:start w:val="1"/>
      <w:numFmt w:val="decimal"/>
      <w:lvlText w:val="%2."/>
      <w:lvlJc w:val="left"/>
      <w:pPr>
        <w:ind w:left="1020" w:hanging="360"/>
      </w:pPr>
    </w:lvl>
    <w:lvl w:ilvl="2" w:tplc="3052213E">
      <w:start w:val="1"/>
      <w:numFmt w:val="decimal"/>
      <w:lvlText w:val="%3."/>
      <w:lvlJc w:val="left"/>
      <w:pPr>
        <w:ind w:left="1020" w:hanging="360"/>
      </w:pPr>
    </w:lvl>
    <w:lvl w:ilvl="3" w:tplc="9F2CF0A6">
      <w:start w:val="1"/>
      <w:numFmt w:val="decimal"/>
      <w:lvlText w:val="%4."/>
      <w:lvlJc w:val="left"/>
      <w:pPr>
        <w:ind w:left="1020" w:hanging="360"/>
      </w:pPr>
    </w:lvl>
    <w:lvl w:ilvl="4" w:tplc="9FB6B0B0">
      <w:start w:val="1"/>
      <w:numFmt w:val="decimal"/>
      <w:lvlText w:val="%5."/>
      <w:lvlJc w:val="left"/>
      <w:pPr>
        <w:ind w:left="1020" w:hanging="360"/>
      </w:pPr>
    </w:lvl>
    <w:lvl w:ilvl="5" w:tplc="D91A5B0C">
      <w:start w:val="1"/>
      <w:numFmt w:val="decimal"/>
      <w:lvlText w:val="%6."/>
      <w:lvlJc w:val="left"/>
      <w:pPr>
        <w:ind w:left="1020" w:hanging="360"/>
      </w:pPr>
    </w:lvl>
    <w:lvl w:ilvl="6" w:tplc="62C46A10">
      <w:start w:val="1"/>
      <w:numFmt w:val="decimal"/>
      <w:lvlText w:val="%7."/>
      <w:lvlJc w:val="left"/>
      <w:pPr>
        <w:ind w:left="1020" w:hanging="360"/>
      </w:pPr>
    </w:lvl>
    <w:lvl w:ilvl="7" w:tplc="72E433AE">
      <w:start w:val="1"/>
      <w:numFmt w:val="decimal"/>
      <w:lvlText w:val="%8."/>
      <w:lvlJc w:val="left"/>
      <w:pPr>
        <w:ind w:left="1020" w:hanging="360"/>
      </w:pPr>
    </w:lvl>
    <w:lvl w:ilvl="8" w:tplc="FEC0923E">
      <w:start w:val="1"/>
      <w:numFmt w:val="decimal"/>
      <w:lvlText w:val="%9."/>
      <w:lvlJc w:val="left"/>
      <w:pPr>
        <w:ind w:left="1020" w:hanging="360"/>
      </w:pPr>
    </w:lvl>
  </w:abstractNum>
  <w:abstractNum w:abstractNumId="15" w15:restartNumberingAfterBreak="0">
    <w:nsid w:val="2027431D"/>
    <w:multiLevelType w:val="multilevel"/>
    <w:tmpl w:val="9806A0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21308"/>
    <w:multiLevelType w:val="hybridMultilevel"/>
    <w:tmpl w:val="38965E94"/>
    <w:lvl w:ilvl="0" w:tplc="0740A546">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97603"/>
    <w:multiLevelType w:val="hybridMultilevel"/>
    <w:tmpl w:val="316459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63501E"/>
    <w:multiLevelType w:val="hybridMultilevel"/>
    <w:tmpl w:val="BB2E67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625961"/>
    <w:multiLevelType w:val="multilevel"/>
    <w:tmpl w:val="388019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92707AC"/>
    <w:multiLevelType w:val="hybridMultilevel"/>
    <w:tmpl w:val="1DC0D588"/>
    <w:lvl w:ilvl="0" w:tplc="4AD405F6">
      <w:start w:val="1"/>
      <w:numFmt w:val="decimal"/>
      <w:lvlText w:val="%1."/>
      <w:lvlJc w:val="left"/>
      <w:pPr>
        <w:ind w:left="1020" w:hanging="360"/>
      </w:pPr>
    </w:lvl>
    <w:lvl w:ilvl="1" w:tplc="EE90BDA0">
      <w:start w:val="1"/>
      <w:numFmt w:val="decimal"/>
      <w:lvlText w:val="%2."/>
      <w:lvlJc w:val="left"/>
      <w:pPr>
        <w:ind w:left="1020" w:hanging="360"/>
      </w:pPr>
    </w:lvl>
    <w:lvl w:ilvl="2" w:tplc="3426FC44">
      <w:start w:val="1"/>
      <w:numFmt w:val="decimal"/>
      <w:lvlText w:val="%3."/>
      <w:lvlJc w:val="left"/>
      <w:pPr>
        <w:ind w:left="1020" w:hanging="360"/>
      </w:pPr>
    </w:lvl>
    <w:lvl w:ilvl="3" w:tplc="4A5E832C">
      <w:start w:val="1"/>
      <w:numFmt w:val="decimal"/>
      <w:lvlText w:val="%4."/>
      <w:lvlJc w:val="left"/>
      <w:pPr>
        <w:ind w:left="1020" w:hanging="360"/>
      </w:pPr>
    </w:lvl>
    <w:lvl w:ilvl="4" w:tplc="C4C40DB0">
      <w:start w:val="1"/>
      <w:numFmt w:val="decimal"/>
      <w:lvlText w:val="%5."/>
      <w:lvlJc w:val="left"/>
      <w:pPr>
        <w:ind w:left="1020" w:hanging="360"/>
      </w:pPr>
    </w:lvl>
    <w:lvl w:ilvl="5" w:tplc="706679FA">
      <w:start w:val="1"/>
      <w:numFmt w:val="decimal"/>
      <w:lvlText w:val="%6."/>
      <w:lvlJc w:val="left"/>
      <w:pPr>
        <w:ind w:left="1020" w:hanging="360"/>
      </w:pPr>
    </w:lvl>
    <w:lvl w:ilvl="6" w:tplc="0602FDDC">
      <w:start w:val="1"/>
      <w:numFmt w:val="decimal"/>
      <w:lvlText w:val="%7."/>
      <w:lvlJc w:val="left"/>
      <w:pPr>
        <w:ind w:left="1020" w:hanging="360"/>
      </w:pPr>
    </w:lvl>
    <w:lvl w:ilvl="7" w:tplc="7922AA66">
      <w:start w:val="1"/>
      <w:numFmt w:val="decimal"/>
      <w:lvlText w:val="%8."/>
      <w:lvlJc w:val="left"/>
      <w:pPr>
        <w:ind w:left="1020" w:hanging="360"/>
      </w:pPr>
    </w:lvl>
    <w:lvl w:ilvl="8" w:tplc="9E34E026">
      <w:start w:val="1"/>
      <w:numFmt w:val="decimal"/>
      <w:lvlText w:val="%9."/>
      <w:lvlJc w:val="left"/>
      <w:pPr>
        <w:ind w:left="1020" w:hanging="360"/>
      </w:pPr>
    </w:lvl>
  </w:abstractNum>
  <w:abstractNum w:abstractNumId="21" w15:restartNumberingAfterBreak="0">
    <w:nsid w:val="2EE412F9"/>
    <w:multiLevelType w:val="multilevel"/>
    <w:tmpl w:val="41607FF0"/>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705F2E"/>
    <w:multiLevelType w:val="multilevel"/>
    <w:tmpl w:val="5F98CB5E"/>
    <w:lvl w:ilvl="0">
      <w:start w:val="10"/>
      <w:numFmt w:val="decimal"/>
      <w:lvlText w:val="%1"/>
      <w:lvlJc w:val="left"/>
      <w:pPr>
        <w:ind w:left="460" w:hanging="460"/>
      </w:pPr>
      <w:rPr>
        <w:rFonts w:hint="default"/>
        <w:b w:val="0"/>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2216758"/>
    <w:multiLevelType w:val="hybridMultilevel"/>
    <w:tmpl w:val="B64CF608"/>
    <w:lvl w:ilvl="0" w:tplc="E790244C">
      <w:start w:val="1"/>
      <w:numFmt w:val="decimal"/>
      <w:suff w:val="space"/>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5E56BE"/>
    <w:multiLevelType w:val="multilevel"/>
    <w:tmpl w:val="1E0294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3B97789"/>
    <w:multiLevelType w:val="multilevel"/>
    <w:tmpl w:val="833049B8"/>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4C47414"/>
    <w:multiLevelType w:val="hybridMultilevel"/>
    <w:tmpl w:val="DA0EEAB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36A06327"/>
    <w:multiLevelType w:val="multilevel"/>
    <w:tmpl w:val="4F6E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21872"/>
    <w:multiLevelType w:val="hybridMultilevel"/>
    <w:tmpl w:val="13BC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2A45B0"/>
    <w:multiLevelType w:val="multilevel"/>
    <w:tmpl w:val="8182C164"/>
    <w:lvl w:ilvl="0">
      <w:start w:val="2"/>
      <w:numFmt w:val="decimal"/>
      <w:lvlText w:val="%1"/>
      <w:lvlJc w:val="left"/>
      <w:pPr>
        <w:ind w:left="360" w:hanging="360"/>
      </w:pPr>
      <w:rPr>
        <w:rFonts w:ascii="Arial" w:hAnsi="Arial" w:cs="Arial" w:hint="default"/>
        <w:i/>
        <w:sz w:val="22"/>
      </w:rPr>
    </w:lvl>
    <w:lvl w:ilvl="1">
      <w:start w:val="8"/>
      <w:numFmt w:val="decimal"/>
      <w:lvlText w:val="%1.%2"/>
      <w:lvlJc w:val="left"/>
      <w:pPr>
        <w:ind w:left="360" w:hanging="360"/>
      </w:pPr>
      <w:rPr>
        <w:rFonts w:ascii="Arial" w:hAnsi="Arial" w:cs="Arial" w:hint="default"/>
        <w:i/>
        <w:sz w:val="22"/>
      </w:rPr>
    </w:lvl>
    <w:lvl w:ilvl="2">
      <w:start w:val="1"/>
      <w:numFmt w:val="decimal"/>
      <w:lvlText w:val="%1.%2.%3"/>
      <w:lvlJc w:val="left"/>
      <w:pPr>
        <w:ind w:left="720" w:hanging="720"/>
      </w:pPr>
      <w:rPr>
        <w:rFonts w:ascii="Arial" w:hAnsi="Arial" w:cs="Arial" w:hint="default"/>
        <w:i/>
        <w:sz w:val="22"/>
      </w:rPr>
    </w:lvl>
    <w:lvl w:ilvl="3">
      <w:start w:val="1"/>
      <w:numFmt w:val="decimal"/>
      <w:lvlText w:val="%1.%2.%3.%4"/>
      <w:lvlJc w:val="left"/>
      <w:pPr>
        <w:ind w:left="1080" w:hanging="1080"/>
      </w:pPr>
      <w:rPr>
        <w:rFonts w:ascii="Arial" w:hAnsi="Arial" w:cs="Arial" w:hint="default"/>
        <w:i/>
        <w:sz w:val="22"/>
      </w:rPr>
    </w:lvl>
    <w:lvl w:ilvl="4">
      <w:start w:val="1"/>
      <w:numFmt w:val="decimal"/>
      <w:lvlText w:val="%1.%2.%3.%4.%5"/>
      <w:lvlJc w:val="left"/>
      <w:pPr>
        <w:ind w:left="1080" w:hanging="1080"/>
      </w:pPr>
      <w:rPr>
        <w:rFonts w:ascii="Arial" w:hAnsi="Arial" w:cs="Arial" w:hint="default"/>
        <w:i/>
        <w:sz w:val="22"/>
      </w:rPr>
    </w:lvl>
    <w:lvl w:ilvl="5">
      <w:start w:val="1"/>
      <w:numFmt w:val="decimal"/>
      <w:lvlText w:val="%1.%2.%3.%4.%5.%6"/>
      <w:lvlJc w:val="left"/>
      <w:pPr>
        <w:ind w:left="1440" w:hanging="1440"/>
      </w:pPr>
      <w:rPr>
        <w:rFonts w:ascii="Arial" w:hAnsi="Arial" w:cs="Arial" w:hint="default"/>
        <w:i/>
        <w:sz w:val="22"/>
      </w:rPr>
    </w:lvl>
    <w:lvl w:ilvl="6">
      <w:start w:val="1"/>
      <w:numFmt w:val="decimal"/>
      <w:lvlText w:val="%1.%2.%3.%4.%5.%6.%7"/>
      <w:lvlJc w:val="left"/>
      <w:pPr>
        <w:ind w:left="1440" w:hanging="1440"/>
      </w:pPr>
      <w:rPr>
        <w:rFonts w:ascii="Arial" w:hAnsi="Arial" w:cs="Arial" w:hint="default"/>
        <w:i/>
        <w:sz w:val="22"/>
      </w:rPr>
    </w:lvl>
    <w:lvl w:ilvl="7">
      <w:start w:val="1"/>
      <w:numFmt w:val="decimal"/>
      <w:lvlText w:val="%1.%2.%3.%4.%5.%6.%7.%8"/>
      <w:lvlJc w:val="left"/>
      <w:pPr>
        <w:ind w:left="1800" w:hanging="1800"/>
      </w:pPr>
      <w:rPr>
        <w:rFonts w:ascii="Arial" w:hAnsi="Arial" w:cs="Arial" w:hint="default"/>
        <w:i/>
        <w:sz w:val="22"/>
      </w:rPr>
    </w:lvl>
    <w:lvl w:ilvl="8">
      <w:start w:val="1"/>
      <w:numFmt w:val="decimal"/>
      <w:lvlText w:val="%1.%2.%3.%4.%5.%6.%7.%8.%9"/>
      <w:lvlJc w:val="left"/>
      <w:pPr>
        <w:ind w:left="1800" w:hanging="1800"/>
      </w:pPr>
      <w:rPr>
        <w:rFonts w:ascii="Arial" w:hAnsi="Arial" w:cs="Arial" w:hint="default"/>
        <w:i/>
        <w:sz w:val="22"/>
      </w:rPr>
    </w:lvl>
  </w:abstractNum>
  <w:abstractNum w:abstractNumId="30" w15:restartNumberingAfterBreak="0">
    <w:nsid w:val="3A201C01"/>
    <w:multiLevelType w:val="multilevel"/>
    <w:tmpl w:val="2900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8259FD"/>
    <w:multiLevelType w:val="multilevel"/>
    <w:tmpl w:val="3182CC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A9E767E"/>
    <w:multiLevelType w:val="hybridMultilevel"/>
    <w:tmpl w:val="3418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B074A9"/>
    <w:multiLevelType w:val="multilevel"/>
    <w:tmpl w:val="85A8E17A"/>
    <w:lvl w:ilvl="0">
      <w:start w:val="3"/>
      <w:numFmt w:val="decimal"/>
      <w:lvlText w:val="%1"/>
      <w:lvlJc w:val="left"/>
      <w:pPr>
        <w:ind w:left="108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34" w15:restartNumberingAfterBreak="0">
    <w:nsid w:val="40FC34CA"/>
    <w:multiLevelType w:val="multilevel"/>
    <w:tmpl w:val="D31A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122199"/>
    <w:multiLevelType w:val="multilevel"/>
    <w:tmpl w:val="560EC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4B21E1A"/>
    <w:multiLevelType w:val="hybridMultilevel"/>
    <w:tmpl w:val="150021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CD1B31"/>
    <w:multiLevelType w:val="multilevel"/>
    <w:tmpl w:val="AF2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A164B3"/>
    <w:multiLevelType w:val="multilevel"/>
    <w:tmpl w:val="FED6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D02F28"/>
    <w:multiLevelType w:val="hybridMultilevel"/>
    <w:tmpl w:val="9B7206CE"/>
    <w:lvl w:ilvl="0" w:tplc="7936ABE0">
      <w:start w:val="1"/>
      <w:numFmt w:val="decimal"/>
      <w:lvlText w:val="%1."/>
      <w:lvlJc w:val="left"/>
      <w:pPr>
        <w:ind w:left="720" w:hanging="360"/>
      </w:pPr>
    </w:lvl>
    <w:lvl w:ilvl="1" w:tplc="508EE080">
      <w:start w:val="1"/>
      <w:numFmt w:val="decimal"/>
      <w:lvlText w:val="%2."/>
      <w:lvlJc w:val="left"/>
      <w:pPr>
        <w:ind w:left="720" w:hanging="360"/>
      </w:pPr>
    </w:lvl>
    <w:lvl w:ilvl="2" w:tplc="3C5041DE">
      <w:start w:val="1"/>
      <w:numFmt w:val="decimal"/>
      <w:lvlText w:val="%3."/>
      <w:lvlJc w:val="left"/>
      <w:pPr>
        <w:ind w:left="720" w:hanging="360"/>
      </w:pPr>
    </w:lvl>
    <w:lvl w:ilvl="3" w:tplc="56044080">
      <w:start w:val="1"/>
      <w:numFmt w:val="decimal"/>
      <w:lvlText w:val="%4."/>
      <w:lvlJc w:val="left"/>
      <w:pPr>
        <w:ind w:left="720" w:hanging="360"/>
      </w:pPr>
    </w:lvl>
    <w:lvl w:ilvl="4" w:tplc="EA569472">
      <w:start w:val="1"/>
      <w:numFmt w:val="decimal"/>
      <w:lvlText w:val="%5."/>
      <w:lvlJc w:val="left"/>
      <w:pPr>
        <w:ind w:left="720" w:hanging="360"/>
      </w:pPr>
    </w:lvl>
    <w:lvl w:ilvl="5" w:tplc="5E7C2590">
      <w:start w:val="1"/>
      <w:numFmt w:val="decimal"/>
      <w:lvlText w:val="%6."/>
      <w:lvlJc w:val="left"/>
      <w:pPr>
        <w:ind w:left="720" w:hanging="360"/>
      </w:pPr>
    </w:lvl>
    <w:lvl w:ilvl="6" w:tplc="8DBCCFD2">
      <w:start w:val="1"/>
      <w:numFmt w:val="decimal"/>
      <w:lvlText w:val="%7."/>
      <w:lvlJc w:val="left"/>
      <w:pPr>
        <w:ind w:left="720" w:hanging="360"/>
      </w:pPr>
    </w:lvl>
    <w:lvl w:ilvl="7" w:tplc="4A8EBB3E">
      <w:start w:val="1"/>
      <w:numFmt w:val="decimal"/>
      <w:lvlText w:val="%8."/>
      <w:lvlJc w:val="left"/>
      <w:pPr>
        <w:ind w:left="720" w:hanging="360"/>
      </w:pPr>
    </w:lvl>
    <w:lvl w:ilvl="8" w:tplc="DD581524">
      <w:start w:val="1"/>
      <w:numFmt w:val="decimal"/>
      <w:lvlText w:val="%9."/>
      <w:lvlJc w:val="left"/>
      <w:pPr>
        <w:ind w:left="720" w:hanging="360"/>
      </w:pPr>
    </w:lvl>
  </w:abstractNum>
  <w:abstractNum w:abstractNumId="40" w15:restartNumberingAfterBreak="0">
    <w:nsid w:val="52DB53DC"/>
    <w:multiLevelType w:val="multilevel"/>
    <w:tmpl w:val="CF96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7A3BA1"/>
    <w:multiLevelType w:val="multilevel"/>
    <w:tmpl w:val="B0BEEE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7A934C5"/>
    <w:multiLevelType w:val="hybridMultilevel"/>
    <w:tmpl w:val="7F0ED9C0"/>
    <w:lvl w:ilvl="0" w:tplc="BE4048B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8806D7A"/>
    <w:multiLevelType w:val="multilevel"/>
    <w:tmpl w:val="8264B5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9A670FD"/>
    <w:multiLevelType w:val="multilevel"/>
    <w:tmpl w:val="D9B0BA44"/>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val="0"/>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A872881"/>
    <w:multiLevelType w:val="multilevel"/>
    <w:tmpl w:val="4E38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7F5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E552C78"/>
    <w:multiLevelType w:val="hybridMultilevel"/>
    <w:tmpl w:val="A9EC4830"/>
    <w:lvl w:ilvl="0" w:tplc="7A5E0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5FA22326"/>
    <w:multiLevelType w:val="hybridMultilevel"/>
    <w:tmpl w:val="4BBA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2F46FA"/>
    <w:multiLevelType w:val="hybridMultilevel"/>
    <w:tmpl w:val="7A5EE2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46B39B5"/>
    <w:multiLevelType w:val="multilevel"/>
    <w:tmpl w:val="3ECEC9AC"/>
    <w:lvl w:ilvl="0">
      <w:start w:val="10"/>
      <w:numFmt w:val="decimal"/>
      <w:lvlText w:val="%1"/>
      <w:lvlJc w:val="left"/>
      <w:pPr>
        <w:ind w:left="460" w:hanging="460"/>
      </w:pPr>
      <w:rPr>
        <w:rFonts w:hint="default"/>
        <w:b w:val="0"/>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8542DEB"/>
    <w:multiLevelType w:val="multilevel"/>
    <w:tmpl w:val="826603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8F54200"/>
    <w:multiLevelType w:val="hybridMultilevel"/>
    <w:tmpl w:val="55505FEE"/>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53" w15:restartNumberingAfterBreak="0">
    <w:nsid w:val="68FF5061"/>
    <w:multiLevelType w:val="multilevel"/>
    <w:tmpl w:val="9C2843C2"/>
    <w:lvl w:ilvl="0">
      <w:start w:val="10"/>
      <w:numFmt w:val="decimal"/>
      <w:lvlText w:val="%1"/>
      <w:lvlJc w:val="left"/>
      <w:pPr>
        <w:ind w:left="460" w:hanging="460"/>
      </w:pPr>
      <w:rPr>
        <w:rFonts w:hint="default"/>
        <w:b w:val="0"/>
      </w:rPr>
    </w:lvl>
    <w:lvl w:ilvl="1">
      <w:start w:val="1"/>
      <w:numFmt w:val="decimal"/>
      <w:lvlText w:val="%1.%2"/>
      <w:lvlJc w:val="left"/>
      <w:pPr>
        <w:ind w:left="920" w:hanging="460"/>
      </w:pPr>
      <w:rPr>
        <w:rFonts w:hint="default"/>
        <w:b w:val="0"/>
      </w:rPr>
    </w:lvl>
    <w:lvl w:ilvl="2">
      <w:start w:val="1"/>
      <w:numFmt w:val="decimal"/>
      <w:lvlText w:val="%1.%2.%3"/>
      <w:lvlJc w:val="left"/>
      <w:pPr>
        <w:ind w:left="1640" w:hanging="720"/>
      </w:pPr>
      <w:rPr>
        <w:rFonts w:hint="default"/>
        <w:b w:val="0"/>
      </w:rPr>
    </w:lvl>
    <w:lvl w:ilvl="3">
      <w:start w:val="1"/>
      <w:numFmt w:val="decimal"/>
      <w:lvlText w:val="%1.%2.%3.%4"/>
      <w:lvlJc w:val="left"/>
      <w:pPr>
        <w:ind w:left="2460" w:hanging="1080"/>
      </w:pPr>
      <w:rPr>
        <w:rFonts w:hint="default"/>
        <w:b w:val="0"/>
      </w:rPr>
    </w:lvl>
    <w:lvl w:ilvl="4">
      <w:start w:val="1"/>
      <w:numFmt w:val="decimal"/>
      <w:lvlText w:val="%1.%2.%3.%4.%5"/>
      <w:lvlJc w:val="left"/>
      <w:pPr>
        <w:ind w:left="2920" w:hanging="1080"/>
      </w:pPr>
      <w:rPr>
        <w:rFonts w:hint="default"/>
        <w:b w:val="0"/>
      </w:rPr>
    </w:lvl>
    <w:lvl w:ilvl="5">
      <w:start w:val="1"/>
      <w:numFmt w:val="decimal"/>
      <w:lvlText w:val="%1.%2.%3.%4.%5.%6"/>
      <w:lvlJc w:val="left"/>
      <w:pPr>
        <w:ind w:left="3740" w:hanging="1440"/>
      </w:pPr>
      <w:rPr>
        <w:rFonts w:hint="default"/>
        <w:b w:val="0"/>
      </w:rPr>
    </w:lvl>
    <w:lvl w:ilvl="6">
      <w:start w:val="1"/>
      <w:numFmt w:val="decimal"/>
      <w:lvlText w:val="%1.%2.%3.%4.%5.%6.%7"/>
      <w:lvlJc w:val="left"/>
      <w:pPr>
        <w:ind w:left="4200" w:hanging="1440"/>
      </w:pPr>
      <w:rPr>
        <w:rFonts w:hint="default"/>
        <w:b w:val="0"/>
      </w:rPr>
    </w:lvl>
    <w:lvl w:ilvl="7">
      <w:start w:val="1"/>
      <w:numFmt w:val="decimal"/>
      <w:lvlText w:val="%1.%2.%3.%4.%5.%6.%7.%8"/>
      <w:lvlJc w:val="left"/>
      <w:pPr>
        <w:ind w:left="5020" w:hanging="1800"/>
      </w:pPr>
      <w:rPr>
        <w:rFonts w:hint="default"/>
        <w:b w:val="0"/>
      </w:rPr>
    </w:lvl>
    <w:lvl w:ilvl="8">
      <w:start w:val="1"/>
      <w:numFmt w:val="decimal"/>
      <w:lvlText w:val="%1.%2.%3.%4.%5.%6.%7.%8.%9"/>
      <w:lvlJc w:val="left"/>
      <w:pPr>
        <w:ind w:left="5480" w:hanging="1800"/>
      </w:pPr>
      <w:rPr>
        <w:rFonts w:hint="default"/>
        <w:b w:val="0"/>
      </w:rPr>
    </w:lvl>
  </w:abstractNum>
  <w:abstractNum w:abstractNumId="54" w15:restartNumberingAfterBreak="0">
    <w:nsid w:val="6B2D5B56"/>
    <w:multiLevelType w:val="hybridMultilevel"/>
    <w:tmpl w:val="7E8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865AB8"/>
    <w:multiLevelType w:val="hybridMultilevel"/>
    <w:tmpl w:val="09BE0BF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BB51340"/>
    <w:multiLevelType w:val="hybridMultilevel"/>
    <w:tmpl w:val="7F10EB9E"/>
    <w:lvl w:ilvl="0" w:tplc="A58A1792">
      <w:start w:val="1"/>
      <w:numFmt w:val="decimal"/>
      <w:lvlText w:val="%1."/>
      <w:lvlJc w:val="left"/>
      <w:pPr>
        <w:ind w:left="1020" w:hanging="360"/>
      </w:pPr>
    </w:lvl>
    <w:lvl w:ilvl="1" w:tplc="92FE85E2">
      <w:start w:val="1"/>
      <w:numFmt w:val="decimal"/>
      <w:lvlText w:val="%2."/>
      <w:lvlJc w:val="left"/>
      <w:pPr>
        <w:ind w:left="1020" w:hanging="360"/>
      </w:pPr>
    </w:lvl>
    <w:lvl w:ilvl="2" w:tplc="D6425C9E">
      <w:start w:val="1"/>
      <w:numFmt w:val="decimal"/>
      <w:lvlText w:val="%3."/>
      <w:lvlJc w:val="left"/>
      <w:pPr>
        <w:ind w:left="1020" w:hanging="360"/>
      </w:pPr>
    </w:lvl>
    <w:lvl w:ilvl="3" w:tplc="6C80FCAA">
      <w:start w:val="1"/>
      <w:numFmt w:val="decimal"/>
      <w:lvlText w:val="%4."/>
      <w:lvlJc w:val="left"/>
      <w:pPr>
        <w:ind w:left="1020" w:hanging="360"/>
      </w:pPr>
    </w:lvl>
    <w:lvl w:ilvl="4" w:tplc="CD664B64">
      <w:start w:val="1"/>
      <w:numFmt w:val="decimal"/>
      <w:lvlText w:val="%5."/>
      <w:lvlJc w:val="left"/>
      <w:pPr>
        <w:ind w:left="1020" w:hanging="360"/>
      </w:pPr>
    </w:lvl>
    <w:lvl w:ilvl="5" w:tplc="CB7CF064">
      <w:start w:val="1"/>
      <w:numFmt w:val="decimal"/>
      <w:lvlText w:val="%6."/>
      <w:lvlJc w:val="left"/>
      <w:pPr>
        <w:ind w:left="1020" w:hanging="360"/>
      </w:pPr>
    </w:lvl>
    <w:lvl w:ilvl="6" w:tplc="F366394E">
      <w:start w:val="1"/>
      <w:numFmt w:val="decimal"/>
      <w:lvlText w:val="%7."/>
      <w:lvlJc w:val="left"/>
      <w:pPr>
        <w:ind w:left="1020" w:hanging="360"/>
      </w:pPr>
    </w:lvl>
    <w:lvl w:ilvl="7" w:tplc="B4A00F16">
      <w:start w:val="1"/>
      <w:numFmt w:val="decimal"/>
      <w:lvlText w:val="%8."/>
      <w:lvlJc w:val="left"/>
      <w:pPr>
        <w:ind w:left="1020" w:hanging="360"/>
      </w:pPr>
    </w:lvl>
    <w:lvl w:ilvl="8" w:tplc="2DE043A0">
      <w:start w:val="1"/>
      <w:numFmt w:val="decimal"/>
      <w:lvlText w:val="%9."/>
      <w:lvlJc w:val="left"/>
      <w:pPr>
        <w:ind w:left="1020" w:hanging="360"/>
      </w:pPr>
    </w:lvl>
  </w:abstractNum>
  <w:abstractNum w:abstractNumId="58" w15:restartNumberingAfterBreak="0">
    <w:nsid w:val="7E085FE0"/>
    <w:multiLevelType w:val="hybridMultilevel"/>
    <w:tmpl w:val="CEF88C44"/>
    <w:lvl w:ilvl="0" w:tplc="9C64391E">
      <w:start w:val="1"/>
      <w:numFmt w:val="lowerLetter"/>
      <w:lvlText w:val="%1)"/>
      <w:lvlJc w:val="left"/>
      <w:pPr>
        <w:ind w:left="1020" w:hanging="360"/>
      </w:pPr>
    </w:lvl>
    <w:lvl w:ilvl="1" w:tplc="96D60904">
      <w:start w:val="1"/>
      <w:numFmt w:val="lowerLetter"/>
      <w:lvlText w:val="%2)"/>
      <w:lvlJc w:val="left"/>
      <w:pPr>
        <w:ind w:left="1020" w:hanging="360"/>
      </w:pPr>
    </w:lvl>
    <w:lvl w:ilvl="2" w:tplc="30881ABE">
      <w:start w:val="1"/>
      <w:numFmt w:val="lowerLetter"/>
      <w:lvlText w:val="%3)"/>
      <w:lvlJc w:val="left"/>
      <w:pPr>
        <w:ind w:left="1020" w:hanging="360"/>
      </w:pPr>
    </w:lvl>
    <w:lvl w:ilvl="3" w:tplc="65782010">
      <w:start w:val="1"/>
      <w:numFmt w:val="lowerLetter"/>
      <w:lvlText w:val="%4)"/>
      <w:lvlJc w:val="left"/>
      <w:pPr>
        <w:ind w:left="1020" w:hanging="360"/>
      </w:pPr>
    </w:lvl>
    <w:lvl w:ilvl="4" w:tplc="6060C3B8">
      <w:start w:val="1"/>
      <w:numFmt w:val="lowerLetter"/>
      <w:lvlText w:val="%5)"/>
      <w:lvlJc w:val="left"/>
      <w:pPr>
        <w:ind w:left="1020" w:hanging="360"/>
      </w:pPr>
    </w:lvl>
    <w:lvl w:ilvl="5" w:tplc="233AD2E6">
      <w:start w:val="1"/>
      <w:numFmt w:val="lowerLetter"/>
      <w:lvlText w:val="%6)"/>
      <w:lvlJc w:val="left"/>
      <w:pPr>
        <w:ind w:left="1020" w:hanging="360"/>
      </w:pPr>
    </w:lvl>
    <w:lvl w:ilvl="6" w:tplc="6EAC1E2C">
      <w:start w:val="1"/>
      <w:numFmt w:val="lowerLetter"/>
      <w:lvlText w:val="%7)"/>
      <w:lvlJc w:val="left"/>
      <w:pPr>
        <w:ind w:left="1020" w:hanging="360"/>
      </w:pPr>
    </w:lvl>
    <w:lvl w:ilvl="7" w:tplc="CC9CF49C">
      <w:start w:val="1"/>
      <w:numFmt w:val="lowerLetter"/>
      <w:lvlText w:val="%8)"/>
      <w:lvlJc w:val="left"/>
      <w:pPr>
        <w:ind w:left="1020" w:hanging="360"/>
      </w:pPr>
    </w:lvl>
    <w:lvl w:ilvl="8" w:tplc="AC802AC8">
      <w:start w:val="1"/>
      <w:numFmt w:val="lowerLetter"/>
      <w:lvlText w:val="%9)"/>
      <w:lvlJc w:val="left"/>
      <w:pPr>
        <w:ind w:left="1020" w:hanging="360"/>
      </w:pPr>
    </w:lvl>
  </w:abstractNum>
  <w:num w:numId="1" w16cid:durableId="2002007559">
    <w:abstractNumId w:val="54"/>
  </w:num>
  <w:num w:numId="2" w16cid:durableId="635646364">
    <w:abstractNumId w:val="15"/>
  </w:num>
  <w:num w:numId="3" w16cid:durableId="876282098">
    <w:abstractNumId w:val="0"/>
  </w:num>
  <w:num w:numId="4" w16cid:durableId="1562983179">
    <w:abstractNumId w:val="21"/>
  </w:num>
  <w:num w:numId="5" w16cid:durableId="1477533455">
    <w:abstractNumId w:val="55"/>
  </w:num>
  <w:num w:numId="6" w16cid:durableId="1261646648">
    <w:abstractNumId w:val="18"/>
  </w:num>
  <w:num w:numId="7" w16cid:durableId="1334795004">
    <w:abstractNumId w:val="23"/>
  </w:num>
  <w:num w:numId="8" w16cid:durableId="660424631">
    <w:abstractNumId w:val="36"/>
  </w:num>
  <w:num w:numId="9" w16cid:durableId="1022511093">
    <w:abstractNumId w:val="47"/>
  </w:num>
  <w:num w:numId="10" w16cid:durableId="2083865015">
    <w:abstractNumId w:val="56"/>
  </w:num>
  <w:num w:numId="11" w16cid:durableId="545795685">
    <w:abstractNumId w:val="16"/>
  </w:num>
  <w:num w:numId="12" w16cid:durableId="131947229">
    <w:abstractNumId w:val="17"/>
  </w:num>
  <w:num w:numId="13" w16cid:durableId="557787113">
    <w:abstractNumId w:val="49"/>
  </w:num>
  <w:num w:numId="14" w16cid:durableId="1480655557">
    <w:abstractNumId w:val="57"/>
  </w:num>
  <w:num w:numId="15" w16cid:durableId="947857434">
    <w:abstractNumId w:val="39"/>
  </w:num>
  <w:num w:numId="16" w16cid:durableId="1509297800">
    <w:abstractNumId w:val="20"/>
  </w:num>
  <w:num w:numId="17" w16cid:durableId="1348099249">
    <w:abstractNumId w:val="28"/>
  </w:num>
  <w:num w:numId="18" w16cid:durableId="440682178">
    <w:abstractNumId w:val="35"/>
  </w:num>
  <w:num w:numId="19" w16cid:durableId="1075472098">
    <w:abstractNumId w:val="31"/>
  </w:num>
  <w:num w:numId="20" w16cid:durableId="253510994">
    <w:abstractNumId w:val="43"/>
  </w:num>
  <w:num w:numId="21" w16cid:durableId="654068952">
    <w:abstractNumId w:val="24"/>
  </w:num>
  <w:num w:numId="22" w16cid:durableId="1827936751">
    <w:abstractNumId w:val="8"/>
  </w:num>
  <w:num w:numId="23" w16cid:durableId="1704986496">
    <w:abstractNumId w:val="41"/>
  </w:num>
  <w:num w:numId="24" w16cid:durableId="1746999542">
    <w:abstractNumId w:val="51"/>
  </w:num>
  <w:num w:numId="25" w16cid:durableId="186480708">
    <w:abstractNumId w:val="3"/>
  </w:num>
  <w:num w:numId="26" w16cid:durableId="413865316">
    <w:abstractNumId w:val="5"/>
  </w:num>
  <w:num w:numId="27" w16cid:durableId="1167014316">
    <w:abstractNumId w:val="13"/>
  </w:num>
  <w:num w:numId="28" w16cid:durableId="228813203">
    <w:abstractNumId w:val="19"/>
  </w:num>
  <w:num w:numId="29" w16cid:durableId="1757896384">
    <w:abstractNumId w:val="32"/>
  </w:num>
  <w:num w:numId="30" w16cid:durableId="1370569028">
    <w:abstractNumId w:val="29"/>
  </w:num>
  <w:num w:numId="31" w16cid:durableId="1467353025">
    <w:abstractNumId w:val="11"/>
  </w:num>
  <w:num w:numId="32" w16cid:durableId="1883595948">
    <w:abstractNumId w:val="52"/>
  </w:num>
  <w:num w:numId="33" w16cid:durableId="169679604">
    <w:abstractNumId w:val="25"/>
  </w:num>
  <w:num w:numId="34" w16cid:durableId="1860579620">
    <w:abstractNumId w:val="44"/>
  </w:num>
  <w:num w:numId="35" w16cid:durableId="1340347343">
    <w:abstractNumId w:val="7"/>
  </w:num>
  <w:num w:numId="36" w16cid:durableId="14579355">
    <w:abstractNumId w:val="46"/>
  </w:num>
  <w:num w:numId="37" w16cid:durableId="25839369">
    <w:abstractNumId w:val="42"/>
  </w:num>
  <w:num w:numId="38" w16cid:durableId="1351680139">
    <w:abstractNumId w:val="58"/>
  </w:num>
  <w:num w:numId="39" w16cid:durableId="638346984">
    <w:abstractNumId w:val="6"/>
  </w:num>
  <w:num w:numId="40" w16cid:durableId="419496870">
    <w:abstractNumId w:val="0"/>
    <w:lvlOverride w:ilvl="0">
      <w:startOverride w:val="6"/>
    </w:lvlOverride>
    <w:lvlOverride w:ilvl="1">
      <w:startOverride w:val="1"/>
    </w:lvlOverride>
  </w:num>
  <w:num w:numId="41" w16cid:durableId="1477868306">
    <w:abstractNumId w:val="26"/>
  </w:num>
  <w:num w:numId="42" w16cid:durableId="930700491">
    <w:abstractNumId w:val="22"/>
  </w:num>
  <w:num w:numId="43" w16cid:durableId="1651908881">
    <w:abstractNumId w:val="53"/>
  </w:num>
  <w:num w:numId="44" w16cid:durableId="694506230">
    <w:abstractNumId w:val="50"/>
  </w:num>
  <w:num w:numId="45" w16cid:durableId="1849557001">
    <w:abstractNumId w:val="2"/>
  </w:num>
  <w:num w:numId="46" w16cid:durableId="1650209320">
    <w:abstractNumId w:val="33"/>
  </w:num>
  <w:num w:numId="47" w16cid:durableId="2036424979">
    <w:abstractNumId w:val="4"/>
  </w:num>
  <w:num w:numId="48" w16cid:durableId="1959678470">
    <w:abstractNumId w:val="14"/>
  </w:num>
  <w:num w:numId="49" w16cid:durableId="119153394">
    <w:abstractNumId w:val="54"/>
  </w:num>
  <w:num w:numId="50" w16cid:durableId="548104701">
    <w:abstractNumId w:val="48"/>
  </w:num>
  <w:num w:numId="51" w16cid:durableId="942305403">
    <w:abstractNumId w:val="9"/>
  </w:num>
  <w:num w:numId="52" w16cid:durableId="991712886">
    <w:abstractNumId w:val="34"/>
  </w:num>
  <w:num w:numId="53" w16cid:durableId="991254107">
    <w:abstractNumId w:val="27"/>
  </w:num>
  <w:num w:numId="54" w16cid:durableId="1886678676">
    <w:abstractNumId w:val="10"/>
  </w:num>
  <w:num w:numId="55" w16cid:durableId="1657223640">
    <w:abstractNumId w:val="1"/>
  </w:num>
  <w:num w:numId="56" w16cid:durableId="679428355">
    <w:abstractNumId w:val="37"/>
  </w:num>
  <w:num w:numId="57" w16cid:durableId="1568028085">
    <w:abstractNumId w:val="45"/>
  </w:num>
  <w:num w:numId="58" w16cid:durableId="308439495">
    <w:abstractNumId w:val="12"/>
  </w:num>
  <w:num w:numId="59" w16cid:durableId="1413745456">
    <w:abstractNumId w:val="38"/>
  </w:num>
  <w:num w:numId="60" w16cid:durableId="1202132153">
    <w:abstractNumId w:val="40"/>
  </w:num>
  <w:num w:numId="61" w16cid:durableId="719669490">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BE"/>
    <w:rsid w:val="000015B9"/>
    <w:rsid w:val="0000169B"/>
    <w:rsid w:val="000021E5"/>
    <w:rsid w:val="0000255C"/>
    <w:rsid w:val="00004FAF"/>
    <w:rsid w:val="000058E1"/>
    <w:rsid w:val="00012F43"/>
    <w:rsid w:val="0001642A"/>
    <w:rsid w:val="00016CBA"/>
    <w:rsid w:val="000202E8"/>
    <w:rsid w:val="00021842"/>
    <w:rsid w:val="00024BC1"/>
    <w:rsid w:val="00024F1A"/>
    <w:rsid w:val="00027668"/>
    <w:rsid w:val="00030C00"/>
    <w:rsid w:val="00032247"/>
    <w:rsid w:val="000370D4"/>
    <w:rsid w:val="00040406"/>
    <w:rsid w:val="00040DF5"/>
    <w:rsid w:val="000426C2"/>
    <w:rsid w:val="000430FD"/>
    <w:rsid w:val="00043976"/>
    <w:rsid w:val="000442F0"/>
    <w:rsid w:val="000467F5"/>
    <w:rsid w:val="0005041F"/>
    <w:rsid w:val="00050650"/>
    <w:rsid w:val="0005324B"/>
    <w:rsid w:val="00054BC1"/>
    <w:rsid w:val="00055D11"/>
    <w:rsid w:val="00062F27"/>
    <w:rsid w:val="00063EB2"/>
    <w:rsid w:val="00066AE5"/>
    <w:rsid w:val="00070679"/>
    <w:rsid w:val="00071EAD"/>
    <w:rsid w:val="000743C9"/>
    <w:rsid w:val="00076756"/>
    <w:rsid w:val="00077BD7"/>
    <w:rsid w:val="000802CA"/>
    <w:rsid w:val="00086B40"/>
    <w:rsid w:val="00086F91"/>
    <w:rsid w:val="00087046"/>
    <w:rsid w:val="00087579"/>
    <w:rsid w:val="000921F5"/>
    <w:rsid w:val="00093054"/>
    <w:rsid w:val="00093599"/>
    <w:rsid w:val="00093EB5"/>
    <w:rsid w:val="00097E73"/>
    <w:rsid w:val="000A5BB8"/>
    <w:rsid w:val="000B0210"/>
    <w:rsid w:val="000B0DC8"/>
    <w:rsid w:val="000B28C7"/>
    <w:rsid w:val="000B4580"/>
    <w:rsid w:val="000B66CF"/>
    <w:rsid w:val="000C3379"/>
    <w:rsid w:val="000C4279"/>
    <w:rsid w:val="000C7CD1"/>
    <w:rsid w:val="000C7EF5"/>
    <w:rsid w:val="000D1ABE"/>
    <w:rsid w:val="000D1F09"/>
    <w:rsid w:val="000D2F9A"/>
    <w:rsid w:val="000D692F"/>
    <w:rsid w:val="000E03A5"/>
    <w:rsid w:val="000E08F3"/>
    <w:rsid w:val="000E0D61"/>
    <w:rsid w:val="000E1886"/>
    <w:rsid w:val="000E3354"/>
    <w:rsid w:val="000E6D0B"/>
    <w:rsid w:val="000E768E"/>
    <w:rsid w:val="000E7C80"/>
    <w:rsid w:val="000F0682"/>
    <w:rsid w:val="000F0AB7"/>
    <w:rsid w:val="000F57D4"/>
    <w:rsid w:val="000F5D7F"/>
    <w:rsid w:val="000F6B98"/>
    <w:rsid w:val="00100D23"/>
    <w:rsid w:val="00101AC5"/>
    <w:rsid w:val="0010307D"/>
    <w:rsid w:val="0010313C"/>
    <w:rsid w:val="001043CE"/>
    <w:rsid w:val="00104973"/>
    <w:rsid w:val="0010610D"/>
    <w:rsid w:val="00106F0C"/>
    <w:rsid w:val="001070F8"/>
    <w:rsid w:val="00113823"/>
    <w:rsid w:val="00116EB6"/>
    <w:rsid w:val="001170F2"/>
    <w:rsid w:val="001210D4"/>
    <w:rsid w:val="00122488"/>
    <w:rsid w:val="00124EB9"/>
    <w:rsid w:val="001260BE"/>
    <w:rsid w:val="00126136"/>
    <w:rsid w:val="00126A2F"/>
    <w:rsid w:val="00127593"/>
    <w:rsid w:val="001313D1"/>
    <w:rsid w:val="001346C2"/>
    <w:rsid w:val="00135158"/>
    <w:rsid w:val="00137131"/>
    <w:rsid w:val="00140D1C"/>
    <w:rsid w:val="00142345"/>
    <w:rsid w:val="001423BE"/>
    <w:rsid w:val="001437AF"/>
    <w:rsid w:val="0014384B"/>
    <w:rsid w:val="00143FE3"/>
    <w:rsid w:val="0014631B"/>
    <w:rsid w:val="00146FE9"/>
    <w:rsid w:val="00147BB5"/>
    <w:rsid w:val="00147EAD"/>
    <w:rsid w:val="0015206E"/>
    <w:rsid w:val="001618BC"/>
    <w:rsid w:val="001618ED"/>
    <w:rsid w:val="0016364D"/>
    <w:rsid w:val="00164487"/>
    <w:rsid w:val="001644DE"/>
    <w:rsid w:val="00166A3A"/>
    <w:rsid w:val="0017075D"/>
    <w:rsid w:val="00170E95"/>
    <w:rsid w:val="00171032"/>
    <w:rsid w:val="00172823"/>
    <w:rsid w:val="001760F7"/>
    <w:rsid w:val="00180878"/>
    <w:rsid w:val="00181AF2"/>
    <w:rsid w:val="001824B1"/>
    <w:rsid w:val="00182725"/>
    <w:rsid w:val="00183420"/>
    <w:rsid w:val="001839A9"/>
    <w:rsid w:val="001906AF"/>
    <w:rsid w:val="00190D45"/>
    <w:rsid w:val="0019118C"/>
    <w:rsid w:val="0019126C"/>
    <w:rsid w:val="00192688"/>
    <w:rsid w:val="00193578"/>
    <w:rsid w:val="00193B46"/>
    <w:rsid w:val="00195653"/>
    <w:rsid w:val="00197F9C"/>
    <w:rsid w:val="001A1F88"/>
    <w:rsid w:val="001A20B8"/>
    <w:rsid w:val="001A21D6"/>
    <w:rsid w:val="001A51BF"/>
    <w:rsid w:val="001A55F3"/>
    <w:rsid w:val="001A701F"/>
    <w:rsid w:val="001B024E"/>
    <w:rsid w:val="001B08EE"/>
    <w:rsid w:val="001B0A75"/>
    <w:rsid w:val="001B2521"/>
    <w:rsid w:val="001B3EF4"/>
    <w:rsid w:val="001B5044"/>
    <w:rsid w:val="001B5087"/>
    <w:rsid w:val="001B6181"/>
    <w:rsid w:val="001B641A"/>
    <w:rsid w:val="001C27FC"/>
    <w:rsid w:val="001C3CDF"/>
    <w:rsid w:val="001C6CA4"/>
    <w:rsid w:val="001D28F9"/>
    <w:rsid w:val="001D4FB6"/>
    <w:rsid w:val="001E0EA7"/>
    <w:rsid w:val="001E6EB0"/>
    <w:rsid w:val="001E7D41"/>
    <w:rsid w:val="001F2032"/>
    <w:rsid w:val="001F272C"/>
    <w:rsid w:val="001F311F"/>
    <w:rsid w:val="001F6A09"/>
    <w:rsid w:val="002021DE"/>
    <w:rsid w:val="00202249"/>
    <w:rsid w:val="002036D2"/>
    <w:rsid w:val="00204337"/>
    <w:rsid w:val="002044C4"/>
    <w:rsid w:val="002046A5"/>
    <w:rsid w:val="00204CBD"/>
    <w:rsid w:val="002050C1"/>
    <w:rsid w:val="0020517F"/>
    <w:rsid w:val="002051D6"/>
    <w:rsid w:val="00206927"/>
    <w:rsid w:val="00211A0D"/>
    <w:rsid w:val="00212199"/>
    <w:rsid w:val="00212FEA"/>
    <w:rsid w:val="00213082"/>
    <w:rsid w:val="00213A96"/>
    <w:rsid w:val="002159DC"/>
    <w:rsid w:val="00216443"/>
    <w:rsid w:val="00221944"/>
    <w:rsid w:val="00223ED5"/>
    <w:rsid w:val="00225C25"/>
    <w:rsid w:val="00226CF7"/>
    <w:rsid w:val="00227217"/>
    <w:rsid w:val="00230967"/>
    <w:rsid w:val="00230C9D"/>
    <w:rsid w:val="00230D12"/>
    <w:rsid w:val="00232F1A"/>
    <w:rsid w:val="0023319E"/>
    <w:rsid w:val="00237241"/>
    <w:rsid w:val="002400AC"/>
    <w:rsid w:val="00241B0A"/>
    <w:rsid w:val="00243299"/>
    <w:rsid w:val="0024568E"/>
    <w:rsid w:val="00245A32"/>
    <w:rsid w:val="00246106"/>
    <w:rsid w:val="002526FE"/>
    <w:rsid w:val="00252ED7"/>
    <w:rsid w:val="00253E81"/>
    <w:rsid w:val="0025497C"/>
    <w:rsid w:val="00255227"/>
    <w:rsid w:val="00255F49"/>
    <w:rsid w:val="00257D62"/>
    <w:rsid w:val="00260CC7"/>
    <w:rsid w:val="00261749"/>
    <w:rsid w:val="0026282E"/>
    <w:rsid w:val="00263457"/>
    <w:rsid w:val="00263B4D"/>
    <w:rsid w:val="00264E84"/>
    <w:rsid w:val="00266136"/>
    <w:rsid w:val="0026797D"/>
    <w:rsid w:val="00267B01"/>
    <w:rsid w:val="0027140F"/>
    <w:rsid w:val="00272768"/>
    <w:rsid w:val="00276F35"/>
    <w:rsid w:val="00277024"/>
    <w:rsid w:val="0028003B"/>
    <w:rsid w:val="00282C4B"/>
    <w:rsid w:val="00284308"/>
    <w:rsid w:val="00286322"/>
    <w:rsid w:val="00290101"/>
    <w:rsid w:val="0029152B"/>
    <w:rsid w:val="0029576F"/>
    <w:rsid w:val="00296A38"/>
    <w:rsid w:val="002970C9"/>
    <w:rsid w:val="00297C1B"/>
    <w:rsid w:val="002A0ACD"/>
    <w:rsid w:val="002A298C"/>
    <w:rsid w:val="002A5335"/>
    <w:rsid w:val="002B0DE3"/>
    <w:rsid w:val="002B2A84"/>
    <w:rsid w:val="002B435B"/>
    <w:rsid w:val="002B4EC7"/>
    <w:rsid w:val="002C0A62"/>
    <w:rsid w:val="002C0D96"/>
    <w:rsid w:val="002C38AA"/>
    <w:rsid w:val="002C3E03"/>
    <w:rsid w:val="002C47F7"/>
    <w:rsid w:val="002C57DA"/>
    <w:rsid w:val="002C76CC"/>
    <w:rsid w:val="002D1549"/>
    <w:rsid w:val="002D1DDD"/>
    <w:rsid w:val="002D216A"/>
    <w:rsid w:val="002D40A2"/>
    <w:rsid w:val="002D781B"/>
    <w:rsid w:val="002E1C08"/>
    <w:rsid w:val="002E1D09"/>
    <w:rsid w:val="002E1ED5"/>
    <w:rsid w:val="002E2E4A"/>
    <w:rsid w:val="002E414C"/>
    <w:rsid w:val="002E48CB"/>
    <w:rsid w:val="002E4C29"/>
    <w:rsid w:val="002F1432"/>
    <w:rsid w:val="002F1DA1"/>
    <w:rsid w:val="002F27CA"/>
    <w:rsid w:val="002F48EB"/>
    <w:rsid w:val="002F5008"/>
    <w:rsid w:val="002F5FC5"/>
    <w:rsid w:val="002F6224"/>
    <w:rsid w:val="003026C9"/>
    <w:rsid w:val="0030354B"/>
    <w:rsid w:val="003050B7"/>
    <w:rsid w:val="00306668"/>
    <w:rsid w:val="00311CA9"/>
    <w:rsid w:val="00312A16"/>
    <w:rsid w:val="0031722F"/>
    <w:rsid w:val="0031728A"/>
    <w:rsid w:val="00317CBA"/>
    <w:rsid w:val="00320C42"/>
    <w:rsid w:val="00324643"/>
    <w:rsid w:val="00326210"/>
    <w:rsid w:val="003276D3"/>
    <w:rsid w:val="00327C0F"/>
    <w:rsid w:val="00330310"/>
    <w:rsid w:val="00330803"/>
    <w:rsid w:val="0033307D"/>
    <w:rsid w:val="00333228"/>
    <w:rsid w:val="00333387"/>
    <w:rsid w:val="00333E9C"/>
    <w:rsid w:val="00334C27"/>
    <w:rsid w:val="00334D06"/>
    <w:rsid w:val="003360E3"/>
    <w:rsid w:val="00337777"/>
    <w:rsid w:val="00340FAF"/>
    <w:rsid w:val="0034136F"/>
    <w:rsid w:val="00343D18"/>
    <w:rsid w:val="00346527"/>
    <w:rsid w:val="00346AE4"/>
    <w:rsid w:val="00347E5D"/>
    <w:rsid w:val="00350914"/>
    <w:rsid w:val="00353C4E"/>
    <w:rsid w:val="00354003"/>
    <w:rsid w:val="00354944"/>
    <w:rsid w:val="003552B4"/>
    <w:rsid w:val="00357718"/>
    <w:rsid w:val="003605E1"/>
    <w:rsid w:val="00361CF5"/>
    <w:rsid w:val="00364BAD"/>
    <w:rsid w:val="003650B8"/>
    <w:rsid w:val="00366CF8"/>
    <w:rsid w:val="003703BC"/>
    <w:rsid w:val="003706F9"/>
    <w:rsid w:val="00374A69"/>
    <w:rsid w:val="00374EAF"/>
    <w:rsid w:val="00375CCD"/>
    <w:rsid w:val="003774F7"/>
    <w:rsid w:val="00380D8D"/>
    <w:rsid w:val="00381284"/>
    <w:rsid w:val="00386F02"/>
    <w:rsid w:val="003934FE"/>
    <w:rsid w:val="00395EA2"/>
    <w:rsid w:val="003A0243"/>
    <w:rsid w:val="003A2E11"/>
    <w:rsid w:val="003A646D"/>
    <w:rsid w:val="003A762B"/>
    <w:rsid w:val="003A79F4"/>
    <w:rsid w:val="003A7C9F"/>
    <w:rsid w:val="003B05F6"/>
    <w:rsid w:val="003B32F7"/>
    <w:rsid w:val="003B3624"/>
    <w:rsid w:val="003B3830"/>
    <w:rsid w:val="003B4E1B"/>
    <w:rsid w:val="003B52E9"/>
    <w:rsid w:val="003B6992"/>
    <w:rsid w:val="003B70A8"/>
    <w:rsid w:val="003C0C66"/>
    <w:rsid w:val="003C1A7F"/>
    <w:rsid w:val="003C3D55"/>
    <w:rsid w:val="003D027D"/>
    <w:rsid w:val="003D0878"/>
    <w:rsid w:val="003D48D8"/>
    <w:rsid w:val="003D5B3A"/>
    <w:rsid w:val="003D5D57"/>
    <w:rsid w:val="003D6B95"/>
    <w:rsid w:val="003E133D"/>
    <w:rsid w:val="003E1952"/>
    <w:rsid w:val="003E1D0E"/>
    <w:rsid w:val="003E1D4E"/>
    <w:rsid w:val="003E208A"/>
    <w:rsid w:val="003E227F"/>
    <w:rsid w:val="003E4BDB"/>
    <w:rsid w:val="003E674C"/>
    <w:rsid w:val="003E68DA"/>
    <w:rsid w:val="003E7FE7"/>
    <w:rsid w:val="003F2206"/>
    <w:rsid w:val="003F3021"/>
    <w:rsid w:val="003F40AB"/>
    <w:rsid w:val="003F564E"/>
    <w:rsid w:val="00400F40"/>
    <w:rsid w:val="004021D4"/>
    <w:rsid w:val="00402C61"/>
    <w:rsid w:val="00406929"/>
    <w:rsid w:val="00416A45"/>
    <w:rsid w:val="004176E8"/>
    <w:rsid w:val="004202F1"/>
    <w:rsid w:val="00420BD1"/>
    <w:rsid w:val="00420C35"/>
    <w:rsid w:val="00420E2F"/>
    <w:rsid w:val="00421E79"/>
    <w:rsid w:val="00423D4B"/>
    <w:rsid w:val="00425380"/>
    <w:rsid w:val="004275B6"/>
    <w:rsid w:val="00431864"/>
    <w:rsid w:val="0043260F"/>
    <w:rsid w:val="004400B2"/>
    <w:rsid w:val="004400DC"/>
    <w:rsid w:val="00443C2B"/>
    <w:rsid w:val="00445926"/>
    <w:rsid w:val="00451B23"/>
    <w:rsid w:val="00461FBE"/>
    <w:rsid w:val="00463250"/>
    <w:rsid w:val="004636BE"/>
    <w:rsid w:val="00467CD1"/>
    <w:rsid w:val="00470140"/>
    <w:rsid w:val="004729AD"/>
    <w:rsid w:val="0047376E"/>
    <w:rsid w:val="00473924"/>
    <w:rsid w:val="00473D08"/>
    <w:rsid w:val="00474E54"/>
    <w:rsid w:val="00477A9F"/>
    <w:rsid w:val="00481558"/>
    <w:rsid w:val="00483C22"/>
    <w:rsid w:val="0048428B"/>
    <w:rsid w:val="00484548"/>
    <w:rsid w:val="004853C1"/>
    <w:rsid w:val="00485861"/>
    <w:rsid w:val="00486587"/>
    <w:rsid w:val="0049207F"/>
    <w:rsid w:val="004922E4"/>
    <w:rsid w:val="00492D61"/>
    <w:rsid w:val="00494682"/>
    <w:rsid w:val="004974F7"/>
    <w:rsid w:val="004A008B"/>
    <w:rsid w:val="004A0FF8"/>
    <w:rsid w:val="004A1FFA"/>
    <w:rsid w:val="004A2B25"/>
    <w:rsid w:val="004A2C90"/>
    <w:rsid w:val="004A4B4B"/>
    <w:rsid w:val="004A71BE"/>
    <w:rsid w:val="004A765A"/>
    <w:rsid w:val="004A7A96"/>
    <w:rsid w:val="004B044F"/>
    <w:rsid w:val="004B4AFA"/>
    <w:rsid w:val="004B5705"/>
    <w:rsid w:val="004B6EAB"/>
    <w:rsid w:val="004C5A49"/>
    <w:rsid w:val="004C62F2"/>
    <w:rsid w:val="004D190C"/>
    <w:rsid w:val="004D3D94"/>
    <w:rsid w:val="004D439F"/>
    <w:rsid w:val="004D54D1"/>
    <w:rsid w:val="004D74FB"/>
    <w:rsid w:val="004E04D3"/>
    <w:rsid w:val="004E0A00"/>
    <w:rsid w:val="004E155D"/>
    <w:rsid w:val="004E1B91"/>
    <w:rsid w:val="004E3A6D"/>
    <w:rsid w:val="004E5487"/>
    <w:rsid w:val="004E65CA"/>
    <w:rsid w:val="004E6FFF"/>
    <w:rsid w:val="004E7EF1"/>
    <w:rsid w:val="004F268D"/>
    <w:rsid w:val="004F371B"/>
    <w:rsid w:val="004F39C5"/>
    <w:rsid w:val="004F76E3"/>
    <w:rsid w:val="004F7B6E"/>
    <w:rsid w:val="005029F4"/>
    <w:rsid w:val="00505FD5"/>
    <w:rsid w:val="00506713"/>
    <w:rsid w:val="00510692"/>
    <w:rsid w:val="00512A6D"/>
    <w:rsid w:val="00514038"/>
    <w:rsid w:val="00516E7F"/>
    <w:rsid w:val="005170F6"/>
    <w:rsid w:val="00517572"/>
    <w:rsid w:val="005205CC"/>
    <w:rsid w:val="005217DA"/>
    <w:rsid w:val="00521F91"/>
    <w:rsid w:val="00523F1D"/>
    <w:rsid w:val="00524B7C"/>
    <w:rsid w:val="005257FC"/>
    <w:rsid w:val="005264CB"/>
    <w:rsid w:val="005265C1"/>
    <w:rsid w:val="0052720A"/>
    <w:rsid w:val="00527C6A"/>
    <w:rsid w:val="0053048E"/>
    <w:rsid w:val="00530C7B"/>
    <w:rsid w:val="00530E2C"/>
    <w:rsid w:val="00531A2F"/>
    <w:rsid w:val="00531DC1"/>
    <w:rsid w:val="005323D0"/>
    <w:rsid w:val="0053308E"/>
    <w:rsid w:val="0053656B"/>
    <w:rsid w:val="005413CB"/>
    <w:rsid w:val="0054176D"/>
    <w:rsid w:val="00543539"/>
    <w:rsid w:val="005442AD"/>
    <w:rsid w:val="00544A27"/>
    <w:rsid w:val="005457D1"/>
    <w:rsid w:val="0054604D"/>
    <w:rsid w:val="0055377E"/>
    <w:rsid w:val="00553F47"/>
    <w:rsid w:val="005574FA"/>
    <w:rsid w:val="00557EB6"/>
    <w:rsid w:val="0056538D"/>
    <w:rsid w:val="00571CC1"/>
    <w:rsid w:val="0057213B"/>
    <w:rsid w:val="0057479A"/>
    <w:rsid w:val="0057621F"/>
    <w:rsid w:val="0058017B"/>
    <w:rsid w:val="00581423"/>
    <w:rsid w:val="005829A9"/>
    <w:rsid w:val="0058537A"/>
    <w:rsid w:val="00585573"/>
    <w:rsid w:val="00586111"/>
    <w:rsid w:val="00586296"/>
    <w:rsid w:val="0058637E"/>
    <w:rsid w:val="00587BA6"/>
    <w:rsid w:val="00594E0C"/>
    <w:rsid w:val="005955C6"/>
    <w:rsid w:val="00595882"/>
    <w:rsid w:val="00597738"/>
    <w:rsid w:val="005A1D54"/>
    <w:rsid w:val="005A2D7B"/>
    <w:rsid w:val="005A2F67"/>
    <w:rsid w:val="005A6911"/>
    <w:rsid w:val="005A7798"/>
    <w:rsid w:val="005B1511"/>
    <w:rsid w:val="005B288F"/>
    <w:rsid w:val="005B656C"/>
    <w:rsid w:val="005C17CB"/>
    <w:rsid w:val="005C2556"/>
    <w:rsid w:val="005C2DF2"/>
    <w:rsid w:val="005C3B78"/>
    <w:rsid w:val="005C6C82"/>
    <w:rsid w:val="005D00AF"/>
    <w:rsid w:val="005D0416"/>
    <w:rsid w:val="005D30E2"/>
    <w:rsid w:val="005D4183"/>
    <w:rsid w:val="005D47C9"/>
    <w:rsid w:val="005D5062"/>
    <w:rsid w:val="005D6A22"/>
    <w:rsid w:val="005D6DB5"/>
    <w:rsid w:val="005D7EB1"/>
    <w:rsid w:val="005E1B11"/>
    <w:rsid w:val="005E5077"/>
    <w:rsid w:val="005E5C22"/>
    <w:rsid w:val="005E6991"/>
    <w:rsid w:val="005E7A25"/>
    <w:rsid w:val="005F3CBD"/>
    <w:rsid w:val="005F3F5B"/>
    <w:rsid w:val="005F4D86"/>
    <w:rsid w:val="005F7093"/>
    <w:rsid w:val="005F7FFC"/>
    <w:rsid w:val="00600392"/>
    <w:rsid w:val="00602683"/>
    <w:rsid w:val="00603E78"/>
    <w:rsid w:val="006044E2"/>
    <w:rsid w:val="00604CFE"/>
    <w:rsid w:val="006070B3"/>
    <w:rsid w:val="00607358"/>
    <w:rsid w:val="00607BBF"/>
    <w:rsid w:val="00607C04"/>
    <w:rsid w:val="00611E92"/>
    <w:rsid w:val="006130A9"/>
    <w:rsid w:val="006168EF"/>
    <w:rsid w:val="00621071"/>
    <w:rsid w:val="006212D4"/>
    <w:rsid w:val="00623694"/>
    <w:rsid w:val="006241B5"/>
    <w:rsid w:val="00624A52"/>
    <w:rsid w:val="00626AAE"/>
    <w:rsid w:val="00634501"/>
    <w:rsid w:val="00634CCC"/>
    <w:rsid w:val="00634D30"/>
    <w:rsid w:val="0063568E"/>
    <w:rsid w:val="00635B6A"/>
    <w:rsid w:val="00636B5D"/>
    <w:rsid w:val="00640A17"/>
    <w:rsid w:val="00641B02"/>
    <w:rsid w:val="00643E9E"/>
    <w:rsid w:val="00646629"/>
    <w:rsid w:val="00647915"/>
    <w:rsid w:val="00647A8B"/>
    <w:rsid w:val="00647B5B"/>
    <w:rsid w:val="00650800"/>
    <w:rsid w:val="006519EB"/>
    <w:rsid w:val="00651EBE"/>
    <w:rsid w:val="00661962"/>
    <w:rsid w:val="006622FB"/>
    <w:rsid w:val="00665CC8"/>
    <w:rsid w:val="006668C9"/>
    <w:rsid w:val="006707B2"/>
    <w:rsid w:val="006711DF"/>
    <w:rsid w:val="00671C28"/>
    <w:rsid w:val="006727BC"/>
    <w:rsid w:val="006732EF"/>
    <w:rsid w:val="00677D7D"/>
    <w:rsid w:val="006804AB"/>
    <w:rsid w:val="006804FF"/>
    <w:rsid w:val="0068350D"/>
    <w:rsid w:val="00684EEB"/>
    <w:rsid w:val="00686A02"/>
    <w:rsid w:val="00686A03"/>
    <w:rsid w:val="006870F5"/>
    <w:rsid w:val="00690B03"/>
    <w:rsid w:val="00691F27"/>
    <w:rsid w:val="00692AD2"/>
    <w:rsid w:val="006934CD"/>
    <w:rsid w:val="006967D0"/>
    <w:rsid w:val="006A5FCE"/>
    <w:rsid w:val="006A60A8"/>
    <w:rsid w:val="006A61C6"/>
    <w:rsid w:val="006B0389"/>
    <w:rsid w:val="006B094A"/>
    <w:rsid w:val="006B28E7"/>
    <w:rsid w:val="006B46D7"/>
    <w:rsid w:val="006B5664"/>
    <w:rsid w:val="006C1F52"/>
    <w:rsid w:val="006C3030"/>
    <w:rsid w:val="006D00C2"/>
    <w:rsid w:val="006D2298"/>
    <w:rsid w:val="006D53D7"/>
    <w:rsid w:val="006D78CA"/>
    <w:rsid w:val="006D7B9D"/>
    <w:rsid w:val="006E5989"/>
    <w:rsid w:val="006E5EAB"/>
    <w:rsid w:val="006E6209"/>
    <w:rsid w:val="006E704A"/>
    <w:rsid w:val="006F129E"/>
    <w:rsid w:val="006F2273"/>
    <w:rsid w:val="006F2493"/>
    <w:rsid w:val="006F5189"/>
    <w:rsid w:val="006F573E"/>
    <w:rsid w:val="006F5FAB"/>
    <w:rsid w:val="006F72A4"/>
    <w:rsid w:val="00700068"/>
    <w:rsid w:val="00702684"/>
    <w:rsid w:val="00703178"/>
    <w:rsid w:val="007037A6"/>
    <w:rsid w:val="00706059"/>
    <w:rsid w:val="00707F31"/>
    <w:rsid w:val="00707FB4"/>
    <w:rsid w:val="00711146"/>
    <w:rsid w:val="0071181F"/>
    <w:rsid w:val="00713D80"/>
    <w:rsid w:val="00722917"/>
    <w:rsid w:val="00727E32"/>
    <w:rsid w:val="00731801"/>
    <w:rsid w:val="00733057"/>
    <w:rsid w:val="00733818"/>
    <w:rsid w:val="0073402E"/>
    <w:rsid w:val="00735EDE"/>
    <w:rsid w:val="00736A1E"/>
    <w:rsid w:val="00737C7E"/>
    <w:rsid w:val="007401E9"/>
    <w:rsid w:val="007426FA"/>
    <w:rsid w:val="00744E8B"/>
    <w:rsid w:val="0074524A"/>
    <w:rsid w:val="00745C81"/>
    <w:rsid w:val="007471FF"/>
    <w:rsid w:val="0074798C"/>
    <w:rsid w:val="00747AAC"/>
    <w:rsid w:val="00750810"/>
    <w:rsid w:val="00752C1F"/>
    <w:rsid w:val="00756F2F"/>
    <w:rsid w:val="007573D0"/>
    <w:rsid w:val="00757B70"/>
    <w:rsid w:val="00757DEA"/>
    <w:rsid w:val="00760D30"/>
    <w:rsid w:val="00762ED5"/>
    <w:rsid w:val="0076543B"/>
    <w:rsid w:val="0076597D"/>
    <w:rsid w:val="00766A41"/>
    <w:rsid w:val="00766E21"/>
    <w:rsid w:val="0076702D"/>
    <w:rsid w:val="007702EB"/>
    <w:rsid w:val="00770D0F"/>
    <w:rsid w:val="00772DA9"/>
    <w:rsid w:val="00773C69"/>
    <w:rsid w:val="00777F3D"/>
    <w:rsid w:val="00780F1D"/>
    <w:rsid w:val="00781364"/>
    <w:rsid w:val="00786D82"/>
    <w:rsid w:val="00790FE4"/>
    <w:rsid w:val="00792761"/>
    <w:rsid w:val="00794FAE"/>
    <w:rsid w:val="00796C67"/>
    <w:rsid w:val="00797AF5"/>
    <w:rsid w:val="007A3A54"/>
    <w:rsid w:val="007A44AF"/>
    <w:rsid w:val="007A4711"/>
    <w:rsid w:val="007A7C5A"/>
    <w:rsid w:val="007B013F"/>
    <w:rsid w:val="007B11D3"/>
    <w:rsid w:val="007B6419"/>
    <w:rsid w:val="007B6A0A"/>
    <w:rsid w:val="007C05B0"/>
    <w:rsid w:val="007C3560"/>
    <w:rsid w:val="007C3A65"/>
    <w:rsid w:val="007D02DB"/>
    <w:rsid w:val="007D3102"/>
    <w:rsid w:val="007D51DA"/>
    <w:rsid w:val="007E30B3"/>
    <w:rsid w:val="007E3686"/>
    <w:rsid w:val="007E3B71"/>
    <w:rsid w:val="007E67D0"/>
    <w:rsid w:val="007F0CCF"/>
    <w:rsid w:val="007F2E65"/>
    <w:rsid w:val="007F33CA"/>
    <w:rsid w:val="007F5709"/>
    <w:rsid w:val="007F60A5"/>
    <w:rsid w:val="0080000A"/>
    <w:rsid w:val="00800978"/>
    <w:rsid w:val="00800EBE"/>
    <w:rsid w:val="0080214E"/>
    <w:rsid w:val="008025A7"/>
    <w:rsid w:val="00804439"/>
    <w:rsid w:val="0080491F"/>
    <w:rsid w:val="00804D49"/>
    <w:rsid w:val="00804FD2"/>
    <w:rsid w:val="00805A33"/>
    <w:rsid w:val="00807FE2"/>
    <w:rsid w:val="0081027E"/>
    <w:rsid w:val="008107F7"/>
    <w:rsid w:val="00810E44"/>
    <w:rsid w:val="00814E36"/>
    <w:rsid w:val="00817C68"/>
    <w:rsid w:val="008202D2"/>
    <w:rsid w:val="00821975"/>
    <w:rsid w:val="00823A44"/>
    <w:rsid w:val="00826F4B"/>
    <w:rsid w:val="00832869"/>
    <w:rsid w:val="008332EE"/>
    <w:rsid w:val="00833803"/>
    <w:rsid w:val="00835639"/>
    <w:rsid w:val="008368F8"/>
    <w:rsid w:val="00837E42"/>
    <w:rsid w:val="008463D3"/>
    <w:rsid w:val="0085099A"/>
    <w:rsid w:val="00854EE2"/>
    <w:rsid w:val="00855622"/>
    <w:rsid w:val="00856176"/>
    <w:rsid w:val="0085640A"/>
    <w:rsid w:val="008565EB"/>
    <w:rsid w:val="0085732F"/>
    <w:rsid w:val="008606FF"/>
    <w:rsid w:val="0086198B"/>
    <w:rsid w:val="0086228E"/>
    <w:rsid w:val="008627CC"/>
    <w:rsid w:val="00862AA0"/>
    <w:rsid w:val="00863DC2"/>
    <w:rsid w:val="00865CD9"/>
    <w:rsid w:val="00866204"/>
    <w:rsid w:val="008706AD"/>
    <w:rsid w:val="00871A4A"/>
    <w:rsid w:val="0088144E"/>
    <w:rsid w:val="00882A14"/>
    <w:rsid w:val="00882C9E"/>
    <w:rsid w:val="00885A1C"/>
    <w:rsid w:val="008868F2"/>
    <w:rsid w:val="0088748E"/>
    <w:rsid w:val="00890321"/>
    <w:rsid w:val="008903D8"/>
    <w:rsid w:val="00893036"/>
    <w:rsid w:val="00894D9A"/>
    <w:rsid w:val="008974F6"/>
    <w:rsid w:val="008A0606"/>
    <w:rsid w:val="008A1AF7"/>
    <w:rsid w:val="008A1E55"/>
    <w:rsid w:val="008A3005"/>
    <w:rsid w:val="008A3063"/>
    <w:rsid w:val="008A5103"/>
    <w:rsid w:val="008A518D"/>
    <w:rsid w:val="008A52D1"/>
    <w:rsid w:val="008B4D57"/>
    <w:rsid w:val="008B591E"/>
    <w:rsid w:val="008B5991"/>
    <w:rsid w:val="008B5F9A"/>
    <w:rsid w:val="008B6044"/>
    <w:rsid w:val="008B6281"/>
    <w:rsid w:val="008C083B"/>
    <w:rsid w:val="008C17F2"/>
    <w:rsid w:val="008C2779"/>
    <w:rsid w:val="008C3796"/>
    <w:rsid w:val="008C429F"/>
    <w:rsid w:val="008C50CC"/>
    <w:rsid w:val="008C538F"/>
    <w:rsid w:val="008C627E"/>
    <w:rsid w:val="008C7A6C"/>
    <w:rsid w:val="008D4721"/>
    <w:rsid w:val="008D6823"/>
    <w:rsid w:val="008D6CE4"/>
    <w:rsid w:val="008E0BF5"/>
    <w:rsid w:val="008E3476"/>
    <w:rsid w:val="008E36F3"/>
    <w:rsid w:val="008E5737"/>
    <w:rsid w:val="008E57C8"/>
    <w:rsid w:val="008E6CFD"/>
    <w:rsid w:val="008E6EC5"/>
    <w:rsid w:val="008F2DC2"/>
    <w:rsid w:val="008F43A0"/>
    <w:rsid w:val="0090156C"/>
    <w:rsid w:val="009057DE"/>
    <w:rsid w:val="009102DF"/>
    <w:rsid w:val="0091194F"/>
    <w:rsid w:val="009124D0"/>
    <w:rsid w:val="00912AB4"/>
    <w:rsid w:val="009136F0"/>
    <w:rsid w:val="00913BFB"/>
    <w:rsid w:val="00914C62"/>
    <w:rsid w:val="0091797F"/>
    <w:rsid w:val="009234F8"/>
    <w:rsid w:val="00924081"/>
    <w:rsid w:val="00931995"/>
    <w:rsid w:val="009339B9"/>
    <w:rsid w:val="00933EE5"/>
    <w:rsid w:val="00934D77"/>
    <w:rsid w:val="00935787"/>
    <w:rsid w:val="00936347"/>
    <w:rsid w:val="009400C6"/>
    <w:rsid w:val="00940EC3"/>
    <w:rsid w:val="00941238"/>
    <w:rsid w:val="009448F5"/>
    <w:rsid w:val="00944ECE"/>
    <w:rsid w:val="00947D85"/>
    <w:rsid w:val="00951164"/>
    <w:rsid w:val="00951D0F"/>
    <w:rsid w:val="00951EE4"/>
    <w:rsid w:val="00956115"/>
    <w:rsid w:val="00956BDC"/>
    <w:rsid w:val="00964A2F"/>
    <w:rsid w:val="0096508C"/>
    <w:rsid w:val="00965354"/>
    <w:rsid w:val="00970311"/>
    <w:rsid w:val="00971469"/>
    <w:rsid w:val="009734BD"/>
    <w:rsid w:val="009748AB"/>
    <w:rsid w:val="00974FB0"/>
    <w:rsid w:val="0098089F"/>
    <w:rsid w:val="0098307C"/>
    <w:rsid w:val="00983751"/>
    <w:rsid w:val="009841F7"/>
    <w:rsid w:val="00986B8C"/>
    <w:rsid w:val="0098730F"/>
    <w:rsid w:val="009877AF"/>
    <w:rsid w:val="00987CFC"/>
    <w:rsid w:val="0099004A"/>
    <w:rsid w:val="009918B7"/>
    <w:rsid w:val="00992D7F"/>
    <w:rsid w:val="00993054"/>
    <w:rsid w:val="00994D6D"/>
    <w:rsid w:val="00995DA0"/>
    <w:rsid w:val="009A0A37"/>
    <w:rsid w:val="009A5439"/>
    <w:rsid w:val="009A658B"/>
    <w:rsid w:val="009B01D4"/>
    <w:rsid w:val="009B0271"/>
    <w:rsid w:val="009B2300"/>
    <w:rsid w:val="009B3B2A"/>
    <w:rsid w:val="009B5BC2"/>
    <w:rsid w:val="009B6164"/>
    <w:rsid w:val="009B7DE6"/>
    <w:rsid w:val="009C03A9"/>
    <w:rsid w:val="009C249A"/>
    <w:rsid w:val="009C2AAE"/>
    <w:rsid w:val="009C2EAF"/>
    <w:rsid w:val="009C465E"/>
    <w:rsid w:val="009C4C1B"/>
    <w:rsid w:val="009C530C"/>
    <w:rsid w:val="009C608D"/>
    <w:rsid w:val="009C63C9"/>
    <w:rsid w:val="009D00C9"/>
    <w:rsid w:val="009D0953"/>
    <w:rsid w:val="009D443D"/>
    <w:rsid w:val="009D517F"/>
    <w:rsid w:val="009E1180"/>
    <w:rsid w:val="009E17A6"/>
    <w:rsid w:val="009E3BEF"/>
    <w:rsid w:val="009E61E5"/>
    <w:rsid w:val="009E7F82"/>
    <w:rsid w:val="009F06D4"/>
    <w:rsid w:val="009F548C"/>
    <w:rsid w:val="009F6062"/>
    <w:rsid w:val="009F7876"/>
    <w:rsid w:val="00A00ECB"/>
    <w:rsid w:val="00A01EFA"/>
    <w:rsid w:val="00A023AF"/>
    <w:rsid w:val="00A02D0D"/>
    <w:rsid w:val="00A032A9"/>
    <w:rsid w:val="00A0380F"/>
    <w:rsid w:val="00A05D5D"/>
    <w:rsid w:val="00A074E1"/>
    <w:rsid w:val="00A112D0"/>
    <w:rsid w:val="00A11514"/>
    <w:rsid w:val="00A15AAC"/>
    <w:rsid w:val="00A17333"/>
    <w:rsid w:val="00A20A26"/>
    <w:rsid w:val="00A25180"/>
    <w:rsid w:val="00A251DE"/>
    <w:rsid w:val="00A258C4"/>
    <w:rsid w:val="00A2690B"/>
    <w:rsid w:val="00A31226"/>
    <w:rsid w:val="00A31BB5"/>
    <w:rsid w:val="00A3511E"/>
    <w:rsid w:val="00A360D1"/>
    <w:rsid w:val="00A3784D"/>
    <w:rsid w:val="00A41AC9"/>
    <w:rsid w:val="00A44157"/>
    <w:rsid w:val="00A4427C"/>
    <w:rsid w:val="00A45CCB"/>
    <w:rsid w:val="00A47FCA"/>
    <w:rsid w:val="00A50026"/>
    <w:rsid w:val="00A501A8"/>
    <w:rsid w:val="00A53058"/>
    <w:rsid w:val="00A54B15"/>
    <w:rsid w:val="00A55679"/>
    <w:rsid w:val="00A56004"/>
    <w:rsid w:val="00A563F9"/>
    <w:rsid w:val="00A57D29"/>
    <w:rsid w:val="00A606E4"/>
    <w:rsid w:val="00A62A23"/>
    <w:rsid w:val="00A62ECE"/>
    <w:rsid w:val="00A62F1E"/>
    <w:rsid w:val="00A64488"/>
    <w:rsid w:val="00A661C1"/>
    <w:rsid w:val="00A666CA"/>
    <w:rsid w:val="00A676FD"/>
    <w:rsid w:val="00A73FF4"/>
    <w:rsid w:val="00A7410F"/>
    <w:rsid w:val="00A77922"/>
    <w:rsid w:val="00A82C75"/>
    <w:rsid w:val="00A830F2"/>
    <w:rsid w:val="00A90369"/>
    <w:rsid w:val="00A907DD"/>
    <w:rsid w:val="00A91437"/>
    <w:rsid w:val="00AA18D7"/>
    <w:rsid w:val="00AA2DE9"/>
    <w:rsid w:val="00AA378E"/>
    <w:rsid w:val="00AA380D"/>
    <w:rsid w:val="00AA3B54"/>
    <w:rsid w:val="00AB014E"/>
    <w:rsid w:val="00AB02F9"/>
    <w:rsid w:val="00AB5913"/>
    <w:rsid w:val="00AC0F32"/>
    <w:rsid w:val="00AC1D3D"/>
    <w:rsid w:val="00AC2B0C"/>
    <w:rsid w:val="00AD0190"/>
    <w:rsid w:val="00AD198D"/>
    <w:rsid w:val="00AD32D8"/>
    <w:rsid w:val="00AD4930"/>
    <w:rsid w:val="00AD7640"/>
    <w:rsid w:val="00AE1332"/>
    <w:rsid w:val="00AE1ECA"/>
    <w:rsid w:val="00AE277D"/>
    <w:rsid w:val="00AE2AA2"/>
    <w:rsid w:val="00AE5C75"/>
    <w:rsid w:val="00AF06D1"/>
    <w:rsid w:val="00AF0B58"/>
    <w:rsid w:val="00AF3EE5"/>
    <w:rsid w:val="00AF584F"/>
    <w:rsid w:val="00AF5EEC"/>
    <w:rsid w:val="00AF5FED"/>
    <w:rsid w:val="00AF7584"/>
    <w:rsid w:val="00AF7E61"/>
    <w:rsid w:val="00B0475A"/>
    <w:rsid w:val="00B06789"/>
    <w:rsid w:val="00B06BCC"/>
    <w:rsid w:val="00B06BF7"/>
    <w:rsid w:val="00B07CEB"/>
    <w:rsid w:val="00B11EB8"/>
    <w:rsid w:val="00B12DA6"/>
    <w:rsid w:val="00B14222"/>
    <w:rsid w:val="00B14921"/>
    <w:rsid w:val="00B14D3F"/>
    <w:rsid w:val="00B162FB"/>
    <w:rsid w:val="00B16F45"/>
    <w:rsid w:val="00B21F5E"/>
    <w:rsid w:val="00B23740"/>
    <w:rsid w:val="00B23857"/>
    <w:rsid w:val="00B246F2"/>
    <w:rsid w:val="00B257D9"/>
    <w:rsid w:val="00B257E6"/>
    <w:rsid w:val="00B25C7B"/>
    <w:rsid w:val="00B318E9"/>
    <w:rsid w:val="00B31CBE"/>
    <w:rsid w:val="00B324C7"/>
    <w:rsid w:val="00B3402F"/>
    <w:rsid w:val="00B354C4"/>
    <w:rsid w:val="00B36F3C"/>
    <w:rsid w:val="00B4254F"/>
    <w:rsid w:val="00B44F52"/>
    <w:rsid w:val="00B45411"/>
    <w:rsid w:val="00B467BB"/>
    <w:rsid w:val="00B47797"/>
    <w:rsid w:val="00B5089F"/>
    <w:rsid w:val="00B516C7"/>
    <w:rsid w:val="00B54F26"/>
    <w:rsid w:val="00B54F96"/>
    <w:rsid w:val="00B56816"/>
    <w:rsid w:val="00B60441"/>
    <w:rsid w:val="00B60B99"/>
    <w:rsid w:val="00B62688"/>
    <w:rsid w:val="00B635DE"/>
    <w:rsid w:val="00B645D7"/>
    <w:rsid w:val="00B64CA2"/>
    <w:rsid w:val="00B70440"/>
    <w:rsid w:val="00B70814"/>
    <w:rsid w:val="00B7208F"/>
    <w:rsid w:val="00B72314"/>
    <w:rsid w:val="00B72AC9"/>
    <w:rsid w:val="00B72B6C"/>
    <w:rsid w:val="00B80A5A"/>
    <w:rsid w:val="00B905B4"/>
    <w:rsid w:val="00B92597"/>
    <w:rsid w:val="00B92DC1"/>
    <w:rsid w:val="00B930A0"/>
    <w:rsid w:val="00B968B7"/>
    <w:rsid w:val="00B96DFB"/>
    <w:rsid w:val="00B97BD8"/>
    <w:rsid w:val="00BA0D9E"/>
    <w:rsid w:val="00BA0FC7"/>
    <w:rsid w:val="00BA242C"/>
    <w:rsid w:val="00BA4C74"/>
    <w:rsid w:val="00BA4C89"/>
    <w:rsid w:val="00BA5BE7"/>
    <w:rsid w:val="00BA6683"/>
    <w:rsid w:val="00BB0EDB"/>
    <w:rsid w:val="00BB2B4C"/>
    <w:rsid w:val="00BB32A4"/>
    <w:rsid w:val="00BB3D3C"/>
    <w:rsid w:val="00BB48C0"/>
    <w:rsid w:val="00BB7CC7"/>
    <w:rsid w:val="00BC1081"/>
    <w:rsid w:val="00BC12E4"/>
    <w:rsid w:val="00BC163A"/>
    <w:rsid w:val="00BC27A1"/>
    <w:rsid w:val="00BD16E0"/>
    <w:rsid w:val="00BD3E30"/>
    <w:rsid w:val="00BD40DD"/>
    <w:rsid w:val="00BD727E"/>
    <w:rsid w:val="00BE1659"/>
    <w:rsid w:val="00BE20BD"/>
    <w:rsid w:val="00BE392F"/>
    <w:rsid w:val="00BE5150"/>
    <w:rsid w:val="00BE7F3E"/>
    <w:rsid w:val="00BF0E2B"/>
    <w:rsid w:val="00BF1B4E"/>
    <w:rsid w:val="00BF26D2"/>
    <w:rsid w:val="00BF32C4"/>
    <w:rsid w:val="00BF4364"/>
    <w:rsid w:val="00BF4E64"/>
    <w:rsid w:val="00C00D70"/>
    <w:rsid w:val="00C02B58"/>
    <w:rsid w:val="00C0398E"/>
    <w:rsid w:val="00C0564B"/>
    <w:rsid w:val="00C05CFC"/>
    <w:rsid w:val="00C066F9"/>
    <w:rsid w:val="00C120E3"/>
    <w:rsid w:val="00C1606D"/>
    <w:rsid w:val="00C1780E"/>
    <w:rsid w:val="00C21340"/>
    <w:rsid w:val="00C213EB"/>
    <w:rsid w:val="00C25286"/>
    <w:rsid w:val="00C30456"/>
    <w:rsid w:val="00C3268D"/>
    <w:rsid w:val="00C32B3B"/>
    <w:rsid w:val="00C32B6A"/>
    <w:rsid w:val="00C34BC0"/>
    <w:rsid w:val="00C40B4C"/>
    <w:rsid w:val="00C410B7"/>
    <w:rsid w:val="00C414AF"/>
    <w:rsid w:val="00C41C44"/>
    <w:rsid w:val="00C41D9A"/>
    <w:rsid w:val="00C451F4"/>
    <w:rsid w:val="00C463CF"/>
    <w:rsid w:val="00C46B09"/>
    <w:rsid w:val="00C50F6F"/>
    <w:rsid w:val="00C512E6"/>
    <w:rsid w:val="00C52968"/>
    <w:rsid w:val="00C56E84"/>
    <w:rsid w:val="00C614F7"/>
    <w:rsid w:val="00C7236D"/>
    <w:rsid w:val="00C73E17"/>
    <w:rsid w:val="00C7417C"/>
    <w:rsid w:val="00C77B92"/>
    <w:rsid w:val="00C80EDA"/>
    <w:rsid w:val="00C82F71"/>
    <w:rsid w:val="00C8426A"/>
    <w:rsid w:val="00C85EC6"/>
    <w:rsid w:val="00C867D4"/>
    <w:rsid w:val="00C90153"/>
    <w:rsid w:val="00C91296"/>
    <w:rsid w:val="00C93BEF"/>
    <w:rsid w:val="00C94433"/>
    <w:rsid w:val="00C945BB"/>
    <w:rsid w:val="00C9681E"/>
    <w:rsid w:val="00CA448E"/>
    <w:rsid w:val="00CA6757"/>
    <w:rsid w:val="00CA71A2"/>
    <w:rsid w:val="00CA7CF8"/>
    <w:rsid w:val="00CB1BA3"/>
    <w:rsid w:val="00CB3796"/>
    <w:rsid w:val="00CB3F9A"/>
    <w:rsid w:val="00CB4562"/>
    <w:rsid w:val="00CB58A1"/>
    <w:rsid w:val="00CC3B1D"/>
    <w:rsid w:val="00CC6488"/>
    <w:rsid w:val="00CC6CB5"/>
    <w:rsid w:val="00CD3AD2"/>
    <w:rsid w:val="00CD45E7"/>
    <w:rsid w:val="00CD56D8"/>
    <w:rsid w:val="00CE0295"/>
    <w:rsid w:val="00CE1E7F"/>
    <w:rsid w:val="00CE3FCA"/>
    <w:rsid w:val="00CE4B5E"/>
    <w:rsid w:val="00CE7C3C"/>
    <w:rsid w:val="00CE7CDC"/>
    <w:rsid w:val="00CF0BC6"/>
    <w:rsid w:val="00CF128E"/>
    <w:rsid w:val="00CF13A6"/>
    <w:rsid w:val="00CF2674"/>
    <w:rsid w:val="00CF4659"/>
    <w:rsid w:val="00CF46AF"/>
    <w:rsid w:val="00CF577B"/>
    <w:rsid w:val="00CF7CAC"/>
    <w:rsid w:val="00D00D4E"/>
    <w:rsid w:val="00D02204"/>
    <w:rsid w:val="00D0295E"/>
    <w:rsid w:val="00D02FD1"/>
    <w:rsid w:val="00D0627E"/>
    <w:rsid w:val="00D109CB"/>
    <w:rsid w:val="00D12762"/>
    <w:rsid w:val="00D16C3D"/>
    <w:rsid w:val="00D17234"/>
    <w:rsid w:val="00D1762E"/>
    <w:rsid w:val="00D17B1B"/>
    <w:rsid w:val="00D21BF1"/>
    <w:rsid w:val="00D21FF6"/>
    <w:rsid w:val="00D22DEE"/>
    <w:rsid w:val="00D237C5"/>
    <w:rsid w:val="00D23CDB"/>
    <w:rsid w:val="00D2403E"/>
    <w:rsid w:val="00D2480B"/>
    <w:rsid w:val="00D249C6"/>
    <w:rsid w:val="00D25A3C"/>
    <w:rsid w:val="00D26B72"/>
    <w:rsid w:val="00D27BC2"/>
    <w:rsid w:val="00D31364"/>
    <w:rsid w:val="00D334F6"/>
    <w:rsid w:val="00D46550"/>
    <w:rsid w:val="00D47B61"/>
    <w:rsid w:val="00D55610"/>
    <w:rsid w:val="00D556AE"/>
    <w:rsid w:val="00D5684B"/>
    <w:rsid w:val="00D57A24"/>
    <w:rsid w:val="00D57A97"/>
    <w:rsid w:val="00D62AF1"/>
    <w:rsid w:val="00D64524"/>
    <w:rsid w:val="00D65ADD"/>
    <w:rsid w:val="00D67DFE"/>
    <w:rsid w:val="00D70DED"/>
    <w:rsid w:val="00D7184D"/>
    <w:rsid w:val="00D72AEB"/>
    <w:rsid w:val="00D84E3B"/>
    <w:rsid w:val="00D86A04"/>
    <w:rsid w:val="00D942F7"/>
    <w:rsid w:val="00DA04AB"/>
    <w:rsid w:val="00DA09FA"/>
    <w:rsid w:val="00DA17A6"/>
    <w:rsid w:val="00DA1A4D"/>
    <w:rsid w:val="00DA4C8E"/>
    <w:rsid w:val="00DA5E0C"/>
    <w:rsid w:val="00DA747B"/>
    <w:rsid w:val="00DB4781"/>
    <w:rsid w:val="00DB5F0E"/>
    <w:rsid w:val="00DB605A"/>
    <w:rsid w:val="00DB625A"/>
    <w:rsid w:val="00DC2245"/>
    <w:rsid w:val="00DC4659"/>
    <w:rsid w:val="00DC630B"/>
    <w:rsid w:val="00DC7D7C"/>
    <w:rsid w:val="00DD0CEB"/>
    <w:rsid w:val="00DD2701"/>
    <w:rsid w:val="00DD41BF"/>
    <w:rsid w:val="00DD4CB6"/>
    <w:rsid w:val="00DE2616"/>
    <w:rsid w:val="00DE4131"/>
    <w:rsid w:val="00DE52DF"/>
    <w:rsid w:val="00DE5F11"/>
    <w:rsid w:val="00DF05F2"/>
    <w:rsid w:val="00DF139E"/>
    <w:rsid w:val="00DF1EA8"/>
    <w:rsid w:val="00DF33A7"/>
    <w:rsid w:val="00DF5009"/>
    <w:rsid w:val="00DF5F13"/>
    <w:rsid w:val="00DF6927"/>
    <w:rsid w:val="00E01337"/>
    <w:rsid w:val="00E035BD"/>
    <w:rsid w:val="00E03CA0"/>
    <w:rsid w:val="00E0754A"/>
    <w:rsid w:val="00E079C6"/>
    <w:rsid w:val="00E13BB0"/>
    <w:rsid w:val="00E15646"/>
    <w:rsid w:val="00E157A9"/>
    <w:rsid w:val="00E1659E"/>
    <w:rsid w:val="00E16FBE"/>
    <w:rsid w:val="00E17C5C"/>
    <w:rsid w:val="00E23D81"/>
    <w:rsid w:val="00E2770D"/>
    <w:rsid w:val="00E303C0"/>
    <w:rsid w:val="00E32D19"/>
    <w:rsid w:val="00E33918"/>
    <w:rsid w:val="00E35111"/>
    <w:rsid w:val="00E3529F"/>
    <w:rsid w:val="00E40A62"/>
    <w:rsid w:val="00E42D38"/>
    <w:rsid w:val="00E46482"/>
    <w:rsid w:val="00E4753B"/>
    <w:rsid w:val="00E4774F"/>
    <w:rsid w:val="00E4787F"/>
    <w:rsid w:val="00E5371B"/>
    <w:rsid w:val="00E54CB6"/>
    <w:rsid w:val="00E55252"/>
    <w:rsid w:val="00E56FAE"/>
    <w:rsid w:val="00E57C38"/>
    <w:rsid w:val="00E57D6C"/>
    <w:rsid w:val="00E60FF7"/>
    <w:rsid w:val="00E611E4"/>
    <w:rsid w:val="00E61692"/>
    <w:rsid w:val="00E62774"/>
    <w:rsid w:val="00E65909"/>
    <w:rsid w:val="00E66451"/>
    <w:rsid w:val="00E67E4F"/>
    <w:rsid w:val="00E70435"/>
    <w:rsid w:val="00E716D2"/>
    <w:rsid w:val="00E7373A"/>
    <w:rsid w:val="00E73D5C"/>
    <w:rsid w:val="00E74D78"/>
    <w:rsid w:val="00E7533D"/>
    <w:rsid w:val="00E80020"/>
    <w:rsid w:val="00E81383"/>
    <w:rsid w:val="00E81F08"/>
    <w:rsid w:val="00E8282C"/>
    <w:rsid w:val="00E83BCC"/>
    <w:rsid w:val="00E85B92"/>
    <w:rsid w:val="00E903B2"/>
    <w:rsid w:val="00E91419"/>
    <w:rsid w:val="00E92E09"/>
    <w:rsid w:val="00E941AA"/>
    <w:rsid w:val="00E94C6F"/>
    <w:rsid w:val="00E955AD"/>
    <w:rsid w:val="00E96689"/>
    <w:rsid w:val="00EA0E75"/>
    <w:rsid w:val="00EA3617"/>
    <w:rsid w:val="00EA3AD7"/>
    <w:rsid w:val="00EB0F8A"/>
    <w:rsid w:val="00EB108A"/>
    <w:rsid w:val="00EB14CC"/>
    <w:rsid w:val="00EB195D"/>
    <w:rsid w:val="00EB4D44"/>
    <w:rsid w:val="00EB5753"/>
    <w:rsid w:val="00EB649B"/>
    <w:rsid w:val="00EC0C40"/>
    <w:rsid w:val="00EC502B"/>
    <w:rsid w:val="00EC547C"/>
    <w:rsid w:val="00ED0C86"/>
    <w:rsid w:val="00ED11EF"/>
    <w:rsid w:val="00ED29E5"/>
    <w:rsid w:val="00ED750B"/>
    <w:rsid w:val="00ED759A"/>
    <w:rsid w:val="00ED75E0"/>
    <w:rsid w:val="00ED7FC8"/>
    <w:rsid w:val="00EE026F"/>
    <w:rsid w:val="00EE061C"/>
    <w:rsid w:val="00EE2052"/>
    <w:rsid w:val="00EE41F2"/>
    <w:rsid w:val="00EE45FA"/>
    <w:rsid w:val="00EE4704"/>
    <w:rsid w:val="00EE4BF0"/>
    <w:rsid w:val="00EE5561"/>
    <w:rsid w:val="00EE6509"/>
    <w:rsid w:val="00EF4124"/>
    <w:rsid w:val="00EF44F7"/>
    <w:rsid w:val="00EF4A0D"/>
    <w:rsid w:val="00EF6106"/>
    <w:rsid w:val="00EF68D6"/>
    <w:rsid w:val="00F02F23"/>
    <w:rsid w:val="00F0412B"/>
    <w:rsid w:val="00F04B5C"/>
    <w:rsid w:val="00F04F59"/>
    <w:rsid w:val="00F061B0"/>
    <w:rsid w:val="00F074A3"/>
    <w:rsid w:val="00F1486C"/>
    <w:rsid w:val="00F16422"/>
    <w:rsid w:val="00F16551"/>
    <w:rsid w:val="00F1797B"/>
    <w:rsid w:val="00F20CE2"/>
    <w:rsid w:val="00F23680"/>
    <w:rsid w:val="00F2578F"/>
    <w:rsid w:val="00F259DD"/>
    <w:rsid w:val="00F25EC7"/>
    <w:rsid w:val="00F2676A"/>
    <w:rsid w:val="00F26BE7"/>
    <w:rsid w:val="00F26E25"/>
    <w:rsid w:val="00F26ED8"/>
    <w:rsid w:val="00F31EE0"/>
    <w:rsid w:val="00F32CC6"/>
    <w:rsid w:val="00F32D46"/>
    <w:rsid w:val="00F343A6"/>
    <w:rsid w:val="00F40ECA"/>
    <w:rsid w:val="00F426C4"/>
    <w:rsid w:val="00F4588B"/>
    <w:rsid w:val="00F526F0"/>
    <w:rsid w:val="00F54670"/>
    <w:rsid w:val="00F553A1"/>
    <w:rsid w:val="00F56322"/>
    <w:rsid w:val="00F568A5"/>
    <w:rsid w:val="00F6042D"/>
    <w:rsid w:val="00F605B0"/>
    <w:rsid w:val="00F61238"/>
    <w:rsid w:val="00F62466"/>
    <w:rsid w:val="00F651A1"/>
    <w:rsid w:val="00F679C6"/>
    <w:rsid w:val="00F72F87"/>
    <w:rsid w:val="00F74612"/>
    <w:rsid w:val="00F77BFE"/>
    <w:rsid w:val="00F81F00"/>
    <w:rsid w:val="00F848BC"/>
    <w:rsid w:val="00F86C51"/>
    <w:rsid w:val="00F87BC0"/>
    <w:rsid w:val="00F91022"/>
    <w:rsid w:val="00F911A7"/>
    <w:rsid w:val="00F912FD"/>
    <w:rsid w:val="00F919A9"/>
    <w:rsid w:val="00F92A8A"/>
    <w:rsid w:val="00F93605"/>
    <w:rsid w:val="00F95888"/>
    <w:rsid w:val="00F96B05"/>
    <w:rsid w:val="00F9717E"/>
    <w:rsid w:val="00FA295E"/>
    <w:rsid w:val="00FA6385"/>
    <w:rsid w:val="00FA6E2B"/>
    <w:rsid w:val="00FA7C37"/>
    <w:rsid w:val="00FB1BD5"/>
    <w:rsid w:val="00FB35B2"/>
    <w:rsid w:val="00FB5AD8"/>
    <w:rsid w:val="00FB6D7B"/>
    <w:rsid w:val="00FB711E"/>
    <w:rsid w:val="00FB764F"/>
    <w:rsid w:val="00FC085C"/>
    <w:rsid w:val="00FC0DAE"/>
    <w:rsid w:val="00FC1B18"/>
    <w:rsid w:val="00FC1F20"/>
    <w:rsid w:val="00FC2DDD"/>
    <w:rsid w:val="00FC31B1"/>
    <w:rsid w:val="00FD2537"/>
    <w:rsid w:val="00FD3488"/>
    <w:rsid w:val="00FD4F56"/>
    <w:rsid w:val="00FD62E1"/>
    <w:rsid w:val="00FD74F9"/>
    <w:rsid w:val="00FE0260"/>
    <w:rsid w:val="00FE1A59"/>
    <w:rsid w:val="00FE420D"/>
    <w:rsid w:val="00FE7E3A"/>
    <w:rsid w:val="00FE7EDF"/>
    <w:rsid w:val="00FF00C9"/>
    <w:rsid w:val="00FF1AAF"/>
    <w:rsid w:val="00FF2222"/>
    <w:rsid w:val="00FF6E6E"/>
    <w:rsid w:val="2477FCCB"/>
    <w:rsid w:val="46F1387F"/>
    <w:rsid w:val="5C24DB5F"/>
    <w:rsid w:val="7136039C"/>
    <w:rsid w:val="74F410B3"/>
    <w:rsid w:val="7CF82C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95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00EBE"/>
    <w:pPr>
      <w:spacing w:before="240" w:after="120" w:line="276"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800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0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0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0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00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EBE"/>
    <w:rPr>
      <w:rFonts w:eastAsiaTheme="majorEastAsia" w:cstheme="majorBidi"/>
      <w:color w:val="272727" w:themeColor="text1" w:themeTint="D8"/>
    </w:rPr>
  </w:style>
  <w:style w:type="paragraph" w:styleId="Title">
    <w:name w:val="Title"/>
    <w:basedOn w:val="Normal"/>
    <w:next w:val="Normal"/>
    <w:link w:val="TitleChar"/>
    <w:uiPriority w:val="10"/>
    <w:qFormat/>
    <w:rsid w:val="00800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EBE"/>
    <w:pPr>
      <w:spacing w:before="160"/>
      <w:jc w:val="center"/>
    </w:pPr>
    <w:rPr>
      <w:i/>
      <w:iCs/>
      <w:color w:val="404040" w:themeColor="text1" w:themeTint="BF"/>
    </w:rPr>
  </w:style>
  <w:style w:type="character" w:customStyle="1" w:styleId="QuoteChar">
    <w:name w:val="Quote Char"/>
    <w:basedOn w:val="DefaultParagraphFont"/>
    <w:link w:val="Quote"/>
    <w:uiPriority w:val="29"/>
    <w:rsid w:val="00800EBE"/>
    <w:rPr>
      <w:i/>
      <w:iCs/>
      <w:color w:val="404040" w:themeColor="text1" w:themeTint="BF"/>
    </w:rPr>
  </w:style>
  <w:style w:type="paragraph" w:styleId="ListParagraph">
    <w:name w:val="List Paragraph"/>
    <w:aliases w:val="Numbered Para 1,Dot pt,No Spacing1,List Paragraph Char Char Char,Indicator Text,List Paragraph1,Bullet Points,MAIN CONTENT,List Paragraph12,F5 List Paragraph,OBC Bullet,Bullet 1,List Paragraph11,Colorful List - Accent 11,L"/>
    <w:basedOn w:val="Normal"/>
    <w:link w:val="ListParagraphChar"/>
    <w:uiPriority w:val="34"/>
    <w:qFormat/>
    <w:rsid w:val="00800EBE"/>
    <w:pPr>
      <w:ind w:left="720"/>
      <w:contextualSpacing/>
    </w:pPr>
  </w:style>
  <w:style w:type="character" w:styleId="IntenseEmphasis">
    <w:name w:val="Intense Emphasis"/>
    <w:basedOn w:val="DefaultParagraphFont"/>
    <w:uiPriority w:val="21"/>
    <w:qFormat/>
    <w:rsid w:val="00800EBE"/>
    <w:rPr>
      <w:i/>
      <w:iCs/>
      <w:color w:val="0F4761" w:themeColor="accent1" w:themeShade="BF"/>
    </w:rPr>
  </w:style>
  <w:style w:type="paragraph" w:styleId="IntenseQuote">
    <w:name w:val="Intense Quote"/>
    <w:basedOn w:val="Normal"/>
    <w:next w:val="Normal"/>
    <w:link w:val="IntenseQuoteChar"/>
    <w:uiPriority w:val="30"/>
    <w:qFormat/>
    <w:rsid w:val="00800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BE"/>
    <w:rPr>
      <w:i/>
      <w:iCs/>
      <w:color w:val="0F4761" w:themeColor="accent1" w:themeShade="BF"/>
    </w:rPr>
  </w:style>
  <w:style w:type="character" w:styleId="IntenseReference">
    <w:name w:val="Intense Reference"/>
    <w:basedOn w:val="DefaultParagraphFont"/>
    <w:uiPriority w:val="32"/>
    <w:qFormat/>
    <w:rsid w:val="00800EBE"/>
    <w:rPr>
      <w:b/>
      <w:bCs/>
      <w:smallCaps/>
      <w:color w:val="0F4761" w:themeColor="accent1" w:themeShade="BF"/>
      <w:spacing w:val="5"/>
    </w:rPr>
  </w:style>
  <w:style w:type="character" w:styleId="Hyperlink">
    <w:name w:val="Hyperlink"/>
    <w:uiPriority w:val="99"/>
    <w:rsid w:val="00800EBE"/>
    <w:rPr>
      <w:color w:val="0000FF"/>
      <w:u w:val="single"/>
    </w:rPr>
  </w:style>
  <w:style w:type="paragraph" w:styleId="Footer">
    <w:name w:val="footer"/>
    <w:basedOn w:val="Normal"/>
    <w:link w:val="FooterChar"/>
    <w:rsid w:val="00800EBE"/>
    <w:pPr>
      <w:tabs>
        <w:tab w:val="center" w:pos="4153"/>
        <w:tab w:val="right" w:pos="8306"/>
      </w:tabs>
    </w:pPr>
    <w:rPr>
      <w:sz w:val="18"/>
    </w:rPr>
  </w:style>
  <w:style w:type="character" w:customStyle="1" w:styleId="FooterChar">
    <w:name w:val="Footer Char"/>
    <w:basedOn w:val="DefaultParagraphFont"/>
    <w:link w:val="Footer"/>
    <w:rsid w:val="00800EBE"/>
    <w:rPr>
      <w:rFonts w:ascii="Arial" w:eastAsia="Calibri" w:hAnsi="Arial" w:cs="Times New Roman"/>
      <w:kern w:val="0"/>
      <w:sz w:val="18"/>
      <w14:ligatures w14:val="none"/>
    </w:rPr>
  </w:style>
  <w:style w:type="paragraph" w:styleId="Header">
    <w:name w:val="header"/>
    <w:basedOn w:val="Normal"/>
    <w:link w:val="HeaderChar"/>
    <w:rsid w:val="00800EBE"/>
    <w:pPr>
      <w:tabs>
        <w:tab w:val="center" w:pos="4153"/>
        <w:tab w:val="right" w:pos="8306"/>
      </w:tabs>
    </w:pPr>
    <w:rPr>
      <w:sz w:val="18"/>
    </w:rPr>
  </w:style>
  <w:style w:type="character" w:customStyle="1" w:styleId="HeaderChar">
    <w:name w:val="Header Char"/>
    <w:basedOn w:val="DefaultParagraphFont"/>
    <w:link w:val="Header"/>
    <w:rsid w:val="00800EBE"/>
    <w:rPr>
      <w:rFonts w:ascii="Arial" w:eastAsia="Calibri" w:hAnsi="Arial" w:cs="Times New Roman"/>
      <w:kern w:val="0"/>
      <w:sz w:val="18"/>
      <w14:ligatures w14:val="none"/>
    </w:rPr>
  </w:style>
  <w:style w:type="paragraph" w:customStyle="1" w:styleId="Contents">
    <w:name w:val="Contents"/>
    <w:basedOn w:val="Normal"/>
    <w:uiPriority w:val="9"/>
    <w:rsid w:val="00800EBE"/>
    <w:pPr>
      <w:spacing w:before="480"/>
    </w:pPr>
    <w:rPr>
      <w:b/>
      <w:color w:val="000000"/>
      <w:sz w:val="28"/>
    </w:rPr>
  </w:style>
  <w:style w:type="paragraph" w:customStyle="1" w:styleId="TableText">
    <w:name w:val="Table Text"/>
    <w:basedOn w:val="Normal"/>
    <w:qFormat/>
    <w:rsid w:val="00800EBE"/>
    <w:pPr>
      <w:spacing w:before="60" w:after="80"/>
    </w:pPr>
    <w:rPr>
      <w:sz w:val="22"/>
    </w:rPr>
  </w:style>
  <w:style w:type="character" w:styleId="UnresolvedMention">
    <w:name w:val="Unresolved Mention"/>
    <w:uiPriority w:val="99"/>
    <w:unhideWhenUsed/>
    <w:rsid w:val="00800EBE"/>
    <w:rPr>
      <w:color w:val="605E5C"/>
      <w:shd w:val="clear" w:color="auto" w:fill="E1DFDD"/>
    </w:rPr>
  </w:style>
  <w:style w:type="paragraph" w:customStyle="1" w:styleId="Default">
    <w:name w:val="Default"/>
    <w:rsid w:val="00800EB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CommentReference">
    <w:name w:val="annotation reference"/>
    <w:uiPriority w:val="99"/>
    <w:rsid w:val="00800EBE"/>
    <w:rPr>
      <w:sz w:val="16"/>
      <w:szCs w:val="16"/>
    </w:rPr>
  </w:style>
  <w:style w:type="paragraph" w:styleId="CommentText">
    <w:name w:val="annotation text"/>
    <w:basedOn w:val="Normal"/>
    <w:link w:val="CommentTextChar"/>
    <w:uiPriority w:val="99"/>
    <w:rsid w:val="00800EBE"/>
    <w:rPr>
      <w:sz w:val="20"/>
      <w:szCs w:val="20"/>
    </w:rPr>
  </w:style>
  <w:style w:type="character" w:customStyle="1" w:styleId="CommentTextChar">
    <w:name w:val="Comment Text Char"/>
    <w:basedOn w:val="DefaultParagraphFont"/>
    <w:link w:val="CommentText"/>
    <w:uiPriority w:val="99"/>
    <w:rsid w:val="00800EBE"/>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rsid w:val="00800EBE"/>
    <w:rPr>
      <w:b/>
      <w:bCs/>
    </w:rPr>
  </w:style>
  <w:style w:type="character" w:customStyle="1" w:styleId="CommentSubjectChar">
    <w:name w:val="Comment Subject Char"/>
    <w:basedOn w:val="CommentTextChar"/>
    <w:link w:val="CommentSubject"/>
    <w:rsid w:val="00800EBE"/>
    <w:rPr>
      <w:rFonts w:ascii="Arial" w:eastAsia="Calibri" w:hAnsi="Arial" w:cs="Times New Roman"/>
      <w:b/>
      <w:bCs/>
      <w:kern w:val="0"/>
      <w:sz w:val="20"/>
      <w:szCs w:val="20"/>
      <w14:ligatures w14:val="none"/>
    </w:rPr>
  </w:style>
  <w:style w:type="paragraph" w:styleId="Revision">
    <w:name w:val="Revision"/>
    <w:hidden/>
    <w:uiPriority w:val="99"/>
    <w:semiHidden/>
    <w:rsid w:val="00800EBE"/>
    <w:pPr>
      <w:spacing w:after="0" w:line="240" w:lineRule="auto"/>
    </w:pPr>
    <w:rPr>
      <w:rFonts w:ascii="Arial" w:eastAsia="Calibri" w:hAnsi="Arial" w:cs="Times New Roman"/>
      <w:kern w:val="0"/>
      <w:sz w:val="24"/>
      <w14:ligatures w14:val="none"/>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L Char"/>
    <w:link w:val="ListParagraph"/>
    <w:uiPriority w:val="34"/>
    <w:qFormat/>
    <w:rsid w:val="00800EBE"/>
  </w:style>
  <w:style w:type="paragraph" w:styleId="BodyText">
    <w:name w:val="Body Text"/>
    <w:basedOn w:val="Normal"/>
    <w:link w:val="BodyTextChar"/>
    <w:uiPriority w:val="1"/>
    <w:qFormat/>
    <w:rsid w:val="00800EBE"/>
    <w:pPr>
      <w:autoSpaceDE w:val="0"/>
      <w:autoSpaceDN w:val="0"/>
      <w:adjustRightInd w:val="0"/>
      <w:spacing w:before="4" w:after="0" w:line="240" w:lineRule="auto"/>
    </w:pPr>
    <w:rPr>
      <w:rFonts w:cs="Arial"/>
      <w:sz w:val="22"/>
      <w:lang w:val="en-US"/>
    </w:rPr>
  </w:style>
  <w:style w:type="character" w:customStyle="1" w:styleId="BodyTextChar">
    <w:name w:val="Body Text Char"/>
    <w:basedOn w:val="DefaultParagraphFont"/>
    <w:link w:val="BodyText"/>
    <w:uiPriority w:val="1"/>
    <w:rsid w:val="00800EBE"/>
    <w:rPr>
      <w:rFonts w:ascii="Arial" w:eastAsia="Calibri" w:hAnsi="Arial" w:cs="Arial"/>
      <w:kern w:val="0"/>
      <w:lang w:val="en-US"/>
      <w14:ligatures w14:val="none"/>
    </w:rPr>
  </w:style>
  <w:style w:type="paragraph" w:styleId="FootnoteText">
    <w:name w:val="footnote text"/>
    <w:basedOn w:val="Normal"/>
    <w:link w:val="FootnoteTextChar"/>
    <w:uiPriority w:val="99"/>
    <w:unhideWhenUsed/>
    <w:qFormat/>
    <w:rsid w:val="00800EBE"/>
    <w:pPr>
      <w:widowControl w:val="0"/>
      <w:autoSpaceDE w:val="0"/>
      <w:autoSpaceDN w:val="0"/>
      <w:adjustRightInd w:val="0"/>
      <w:spacing w:before="0" w:after="0" w:line="240" w:lineRule="auto"/>
    </w:pPr>
    <w:rPr>
      <w:rFonts w:eastAsia="Times New Roman" w:cs="Arial"/>
      <w:sz w:val="20"/>
      <w:szCs w:val="20"/>
      <w:lang w:val="en-US"/>
    </w:rPr>
  </w:style>
  <w:style w:type="character" w:customStyle="1" w:styleId="FootnoteTextChar">
    <w:name w:val="Footnote Text Char"/>
    <w:basedOn w:val="DefaultParagraphFont"/>
    <w:link w:val="FootnoteText"/>
    <w:uiPriority w:val="99"/>
    <w:rsid w:val="00800EBE"/>
    <w:rPr>
      <w:rFonts w:ascii="Arial" w:eastAsia="Times New Roman" w:hAnsi="Arial" w:cs="Arial"/>
      <w:kern w:val="0"/>
      <w:sz w:val="20"/>
      <w:szCs w:val="20"/>
      <w:lang w:val="en-US"/>
      <w14:ligatures w14:val="none"/>
    </w:rPr>
  </w:style>
  <w:style w:type="character" w:styleId="FootnoteReference">
    <w:name w:val="footnote reference"/>
    <w:uiPriority w:val="99"/>
    <w:unhideWhenUsed/>
    <w:rsid w:val="00800EBE"/>
    <w:rPr>
      <w:vertAlign w:val="superscript"/>
    </w:rPr>
  </w:style>
  <w:style w:type="character" w:customStyle="1" w:styleId="normaltextrun">
    <w:name w:val="normaltextrun"/>
    <w:basedOn w:val="DefaultParagraphFont"/>
    <w:rsid w:val="00800EBE"/>
  </w:style>
  <w:style w:type="table" w:styleId="TableGrid">
    <w:name w:val="Table Grid"/>
    <w:basedOn w:val="TableNormal"/>
    <w:uiPriority w:val="39"/>
    <w:rsid w:val="00800EB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5linespacing">
    <w:name w:val="Normal + 1.5 line spacing"/>
    <w:basedOn w:val="Normal"/>
    <w:link w:val="Normal15linespacingChar"/>
    <w:rsid w:val="00800EBE"/>
    <w:pPr>
      <w:spacing w:before="0" w:after="0" w:line="360" w:lineRule="auto"/>
    </w:pPr>
    <w:rPr>
      <w:rFonts w:eastAsia="Times New Roman"/>
      <w:sz w:val="20"/>
      <w:szCs w:val="24"/>
    </w:rPr>
  </w:style>
  <w:style w:type="character" w:customStyle="1" w:styleId="Normal15linespacingChar">
    <w:name w:val="Normal + 1.5 line spacing Char"/>
    <w:link w:val="Normal15linespacing"/>
    <w:rsid w:val="00800EBE"/>
    <w:rPr>
      <w:rFonts w:ascii="Arial" w:eastAsia="Times New Roman" w:hAnsi="Arial" w:cs="Times New Roman"/>
      <w:kern w:val="0"/>
      <w:sz w:val="20"/>
      <w:szCs w:val="24"/>
      <w14:ligatures w14:val="none"/>
    </w:rPr>
  </w:style>
  <w:style w:type="character" w:styleId="Mention">
    <w:name w:val="Mention"/>
    <w:basedOn w:val="DefaultParagraphFont"/>
    <w:uiPriority w:val="99"/>
    <w:unhideWhenUsed/>
    <w:rsid w:val="00800EBE"/>
    <w:rPr>
      <w:color w:val="2B579A"/>
      <w:shd w:val="clear" w:color="auto" w:fill="E1DFDD"/>
    </w:rPr>
  </w:style>
  <w:style w:type="paragraph" w:customStyle="1" w:styleId="Level1">
    <w:name w:val="Level 1"/>
    <w:basedOn w:val="Normal"/>
    <w:qFormat/>
    <w:rsid w:val="00800EBE"/>
    <w:pPr>
      <w:numPr>
        <w:numId w:val="3"/>
      </w:numPr>
      <w:adjustRightInd w:val="0"/>
      <w:spacing w:before="0" w:after="240" w:line="240" w:lineRule="auto"/>
      <w:jc w:val="both"/>
      <w:outlineLvl w:val="0"/>
    </w:pPr>
    <w:rPr>
      <w:rFonts w:eastAsia="Arial" w:cs="Arial"/>
      <w:sz w:val="20"/>
      <w:szCs w:val="20"/>
      <w:lang w:eastAsia="en-GB"/>
    </w:rPr>
  </w:style>
  <w:style w:type="paragraph" w:customStyle="1" w:styleId="Level2">
    <w:name w:val="Level 2"/>
    <w:basedOn w:val="Normal"/>
    <w:rsid w:val="00800EBE"/>
    <w:pPr>
      <w:numPr>
        <w:ilvl w:val="1"/>
        <w:numId w:val="3"/>
      </w:numPr>
      <w:adjustRightInd w:val="0"/>
      <w:spacing w:before="0" w:after="240" w:line="240" w:lineRule="auto"/>
      <w:jc w:val="both"/>
      <w:outlineLvl w:val="1"/>
    </w:pPr>
    <w:rPr>
      <w:rFonts w:eastAsia="Arial" w:cs="Arial"/>
      <w:sz w:val="20"/>
      <w:szCs w:val="20"/>
      <w:lang w:eastAsia="en-GB"/>
    </w:rPr>
  </w:style>
  <w:style w:type="paragraph" w:customStyle="1" w:styleId="Level3">
    <w:name w:val="Level 3"/>
    <w:basedOn w:val="Normal"/>
    <w:rsid w:val="00800EBE"/>
    <w:pPr>
      <w:numPr>
        <w:ilvl w:val="2"/>
        <w:numId w:val="3"/>
      </w:numPr>
      <w:adjustRightInd w:val="0"/>
      <w:spacing w:before="0" w:after="240" w:line="240" w:lineRule="auto"/>
      <w:jc w:val="both"/>
      <w:outlineLvl w:val="2"/>
    </w:pPr>
    <w:rPr>
      <w:rFonts w:eastAsia="Arial" w:cs="Arial"/>
      <w:sz w:val="20"/>
      <w:szCs w:val="20"/>
      <w:lang w:eastAsia="en-GB"/>
    </w:rPr>
  </w:style>
  <w:style w:type="paragraph" w:customStyle="1" w:styleId="Level4">
    <w:name w:val="Level 4"/>
    <w:basedOn w:val="Normal"/>
    <w:rsid w:val="00800EBE"/>
    <w:pPr>
      <w:numPr>
        <w:ilvl w:val="3"/>
        <w:numId w:val="3"/>
      </w:numPr>
      <w:adjustRightInd w:val="0"/>
      <w:spacing w:before="0" w:after="240" w:line="240" w:lineRule="auto"/>
      <w:jc w:val="both"/>
      <w:outlineLvl w:val="3"/>
    </w:pPr>
    <w:rPr>
      <w:rFonts w:eastAsia="Arial" w:cs="Arial"/>
      <w:sz w:val="20"/>
      <w:szCs w:val="20"/>
      <w:lang w:eastAsia="en-GB"/>
    </w:rPr>
  </w:style>
  <w:style w:type="paragraph" w:customStyle="1" w:styleId="Level5">
    <w:name w:val="Level 5"/>
    <w:basedOn w:val="Normal"/>
    <w:rsid w:val="00800EBE"/>
    <w:pPr>
      <w:numPr>
        <w:ilvl w:val="4"/>
        <w:numId w:val="3"/>
      </w:numPr>
      <w:adjustRightInd w:val="0"/>
      <w:spacing w:before="0" w:after="240" w:line="240" w:lineRule="auto"/>
      <w:jc w:val="both"/>
      <w:outlineLvl w:val="4"/>
    </w:pPr>
    <w:rPr>
      <w:rFonts w:eastAsia="Arial" w:cs="Arial"/>
      <w:sz w:val="20"/>
      <w:szCs w:val="20"/>
      <w:lang w:eastAsia="en-GB"/>
    </w:rPr>
  </w:style>
  <w:style w:type="paragraph" w:customStyle="1" w:styleId="Level6">
    <w:name w:val="Level 6"/>
    <w:basedOn w:val="Normal"/>
    <w:rsid w:val="00800EBE"/>
    <w:pPr>
      <w:numPr>
        <w:ilvl w:val="5"/>
        <w:numId w:val="3"/>
      </w:numPr>
      <w:adjustRightInd w:val="0"/>
      <w:spacing w:before="0" w:after="240" w:line="240" w:lineRule="auto"/>
      <w:jc w:val="both"/>
      <w:outlineLvl w:val="5"/>
    </w:pPr>
    <w:rPr>
      <w:rFonts w:eastAsia="Arial" w:cs="Arial"/>
      <w:sz w:val="20"/>
      <w:szCs w:val="20"/>
      <w:lang w:eastAsia="en-GB"/>
    </w:rPr>
  </w:style>
  <w:style w:type="paragraph" w:styleId="TOCHeading">
    <w:name w:val="TOC Heading"/>
    <w:basedOn w:val="Heading1"/>
    <w:next w:val="Normal"/>
    <w:uiPriority w:val="39"/>
    <w:unhideWhenUsed/>
    <w:qFormat/>
    <w:rsid w:val="00800EBE"/>
    <w:pPr>
      <w:spacing w:before="240" w:after="0"/>
      <w:outlineLvl w:val="9"/>
    </w:pPr>
    <w:rPr>
      <w:sz w:val="32"/>
      <w:szCs w:val="32"/>
      <w:lang w:val="en-US"/>
    </w:rPr>
  </w:style>
  <w:style w:type="paragraph" w:styleId="TOC1">
    <w:name w:val="toc 1"/>
    <w:basedOn w:val="Normal"/>
    <w:next w:val="Normal"/>
    <w:autoRedefine/>
    <w:uiPriority w:val="39"/>
    <w:rsid w:val="00800EBE"/>
    <w:pPr>
      <w:spacing w:after="100"/>
    </w:pPr>
  </w:style>
  <w:style w:type="paragraph" w:styleId="TOC2">
    <w:name w:val="toc 2"/>
    <w:basedOn w:val="Normal"/>
    <w:next w:val="Normal"/>
    <w:autoRedefine/>
    <w:uiPriority w:val="39"/>
    <w:rsid w:val="00800EBE"/>
    <w:pPr>
      <w:spacing w:after="100"/>
      <w:ind w:left="240"/>
    </w:pPr>
  </w:style>
  <w:style w:type="paragraph" w:customStyle="1" w:styleId="GPSL1CLAUSEHEADING">
    <w:name w:val="GPS L1 CLAUSE HEADING"/>
    <w:basedOn w:val="Normal"/>
    <w:next w:val="Normal"/>
    <w:qFormat/>
    <w:rsid w:val="00800EBE"/>
    <w:pPr>
      <w:numPr>
        <w:numId w:val="10"/>
      </w:numPr>
      <w:tabs>
        <w:tab w:val="left" w:pos="567"/>
      </w:tabs>
      <w:adjustRightInd w:val="0"/>
      <w:spacing w:after="240" w:line="240" w:lineRule="auto"/>
      <w:jc w:val="both"/>
      <w:outlineLvl w:val="1"/>
    </w:pPr>
    <w:rPr>
      <w:rFonts w:ascii="Calibri" w:eastAsia="STZhongsong" w:hAnsi="Calibri" w:cs="Arial"/>
      <w:b/>
      <w:caps/>
      <w:sz w:val="22"/>
      <w:lang w:eastAsia="zh-CN"/>
    </w:rPr>
  </w:style>
  <w:style w:type="paragraph" w:customStyle="1" w:styleId="GPSL2numberedclause">
    <w:name w:val="GPS L2 numbered clause"/>
    <w:basedOn w:val="Normal"/>
    <w:link w:val="GPSL2numberedclauseChar1"/>
    <w:qFormat/>
    <w:rsid w:val="00800EBE"/>
    <w:pPr>
      <w:numPr>
        <w:ilvl w:val="1"/>
        <w:numId w:val="10"/>
      </w:numPr>
      <w:tabs>
        <w:tab w:val="left" w:pos="1134"/>
      </w:tabs>
      <w:adjustRightInd w:val="0"/>
      <w:spacing w:before="120" w:line="240" w:lineRule="auto"/>
      <w:jc w:val="both"/>
    </w:pPr>
    <w:rPr>
      <w:rFonts w:ascii="Calibri" w:eastAsia="Times New Roman" w:hAnsi="Calibri" w:cs="Arial"/>
      <w:sz w:val="22"/>
      <w:lang w:eastAsia="zh-CN"/>
    </w:rPr>
  </w:style>
  <w:style w:type="paragraph" w:customStyle="1" w:styleId="GPSL3numberedclause">
    <w:name w:val="GPS L3 numbered clause"/>
    <w:basedOn w:val="GPSL2numberedclause"/>
    <w:qFormat/>
    <w:rsid w:val="00800EBE"/>
    <w:pPr>
      <w:numPr>
        <w:ilvl w:val="2"/>
      </w:numPr>
      <w:tabs>
        <w:tab w:val="num" w:pos="360"/>
        <w:tab w:val="left" w:pos="2127"/>
      </w:tabs>
      <w:ind w:left="2160" w:hanging="180"/>
    </w:pPr>
  </w:style>
  <w:style w:type="paragraph" w:customStyle="1" w:styleId="GPSL4numberedclause">
    <w:name w:val="GPS L4 numbered clause"/>
    <w:basedOn w:val="GPSL3numberedclause"/>
    <w:qFormat/>
    <w:rsid w:val="00800EBE"/>
    <w:pPr>
      <w:numPr>
        <w:ilvl w:val="3"/>
      </w:numPr>
      <w:tabs>
        <w:tab w:val="clear" w:pos="1134"/>
        <w:tab w:val="num" w:pos="360"/>
        <w:tab w:val="left" w:pos="2694"/>
      </w:tabs>
      <w:ind w:left="2880" w:hanging="360"/>
    </w:pPr>
    <w:rPr>
      <w:szCs w:val="20"/>
    </w:rPr>
  </w:style>
  <w:style w:type="character" w:customStyle="1" w:styleId="GPSL2numberedclauseChar1">
    <w:name w:val="GPS L2 numbered clause Char1"/>
    <w:link w:val="GPSL2numberedclause"/>
    <w:rsid w:val="00800EBE"/>
    <w:rPr>
      <w:rFonts w:ascii="Calibri" w:eastAsia="Times New Roman" w:hAnsi="Calibri" w:cs="Arial"/>
      <w:kern w:val="0"/>
      <w:lang w:eastAsia="zh-CN"/>
      <w14:ligatures w14:val="none"/>
    </w:rPr>
  </w:style>
  <w:style w:type="paragraph" w:customStyle="1" w:styleId="GPSL5numberedclause">
    <w:name w:val="GPS L5 numbered clause"/>
    <w:basedOn w:val="GPSL4numberedclause"/>
    <w:qFormat/>
    <w:rsid w:val="00800EBE"/>
    <w:pPr>
      <w:numPr>
        <w:ilvl w:val="4"/>
      </w:numPr>
      <w:tabs>
        <w:tab w:val="clear" w:pos="2694"/>
        <w:tab w:val="num" w:pos="360"/>
        <w:tab w:val="left" w:pos="3119"/>
      </w:tabs>
      <w:ind w:left="3600" w:hanging="360"/>
    </w:pPr>
  </w:style>
  <w:style w:type="paragraph" w:customStyle="1" w:styleId="GPSL6numbered">
    <w:name w:val="GPS L6 numbered"/>
    <w:basedOn w:val="GPSL5numberedclause"/>
    <w:qFormat/>
    <w:rsid w:val="00800EBE"/>
    <w:pPr>
      <w:numPr>
        <w:ilvl w:val="5"/>
      </w:numPr>
      <w:tabs>
        <w:tab w:val="clear" w:pos="3119"/>
        <w:tab w:val="num" w:pos="360"/>
        <w:tab w:val="left" w:pos="3544"/>
      </w:tabs>
      <w:ind w:left="4320" w:hanging="180"/>
    </w:pPr>
  </w:style>
  <w:style w:type="paragraph" w:styleId="PlainText">
    <w:name w:val="Plain Text"/>
    <w:basedOn w:val="Normal"/>
    <w:link w:val="PlainTextChar"/>
    <w:uiPriority w:val="99"/>
    <w:unhideWhenUsed/>
    <w:rsid w:val="00800EBE"/>
    <w:pPr>
      <w:spacing w:before="0" w:after="0" w:line="240" w:lineRule="auto"/>
    </w:pPr>
    <w:rPr>
      <w:rFonts w:eastAsiaTheme="minorHAnsi" w:cstheme="minorBidi"/>
      <w:sz w:val="22"/>
      <w:szCs w:val="21"/>
    </w:rPr>
  </w:style>
  <w:style w:type="character" w:customStyle="1" w:styleId="PlainTextChar">
    <w:name w:val="Plain Text Char"/>
    <w:basedOn w:val="DefaultParagraphFont"/>
    <w:link w:val="PlainText"/>
    <w:uiPriority w:val="99"/>
    <w:rsid w:val="00800EBE"/>
    <w:rPr>
      <w:rFonts w:ascii="Arial" w:hAnsi="Arial"/>
      <w:kern w:val="0"/>
      <w:szCs w:val="21"/>
      <w14:ligatures w14:val="none"/>
    </w:rPr>
  </w:style>
  <w:style w:type="character" w:styleId="FollowedHyperlink">
    <w:name w:val="FollowedHyperlink"/>
    <w:basedOn w:val="DefaultParagraphFont"/>
    <w:rsid w:val="00800EBE"/>
    <w:rPr>
      <w:color w:val="96607D" w:themeColor="followedHyperlink"/>
      <w:u w:val="single"/>
    </w:rPr>
  </w:style>
  <w:style w:type="paragraph" w:customStyle="1" w:styleId="paragraph">
    <w:name w:val="paragraph"/>
    <w:basedOn w:val="Normal"/>
    <w:rsid w:val="00800EBE"/>
    <w:pPr>
      <w:spacing w:before="100" w:beforeAutospacing="1" w:after="100" w:afterAutospacing="1" w:line="240" w:lineRule="auto"/>
    </w:pPr>
    <w:rPr>
      <w:rFonts w:ascii="Times New Roman" w:eastAsia="Times New Roman" w:hAnsi="Times New Roman"/>
      <w:szCs w:val="24"/>
      <w:lang w:eastAsia="en-GB"/>
    </w:rPr>
  </w:style>
  <w:style w:type="character" w:customStyle="1" w:styleId="eop">
    <w:name w:val="eop"/>
    <w:basedOn w:val="DefaultParagraphFont"/>
    <w:rsid w:val="00800EBE"/>
  </w:style>
  <w:style w:type="paragraph" w:customStyle="1" w:styleId="pf0">
    <w:name w:val="pf0"/>
    <w:basedOn w:val="Normal"/>
    <w:rsid w:val="00800EBE"/>
    <w:pPr>
      <w:spacing w:before="100" w:beforeAutospacing="1" w:after="100" w:afterAutospacing="1" w:line="240" w:lineRule="auto"/>
    </w:pPr>
    <w:rPr>
      <w:rFonts w:ascii="Times New Roman" w:eastAsia="Times New Roman" w:hAnsi="Times New Roman"/>
      <w:szCs w:val="24"/>
      <w:lang w:eastAsia="en-GB"/>
    </w:rPr>
  </w:style>
  <w:style w:type="character" w:customStyle="1" w:styleId="cf01">
    <w:name w:val="cf01"/>
    <w:basedOn w:val="DefaultParagraphFont"/>
    <w:rsid w:val="00800EBE"/>
    <w:rPr>
      <w:rFonts w:ascii="Segoe UI" w:hAnsi="Segoe UI" w:cs="Segoe UI" w:hint="default"/>
      <w:sz w:val="18"/>
      <w:szCs w:val="18"/>
    </w:rPr>
  </w:style>
  <w:style w:type="character" w:customStyle="1" w:styleId="scxw139930939">
    <w:name w:val="scxw139930939"/>
    <w:basedOn w:val="DefaultParagraphFont"/>
    <w:rsid w:val="00800EBE"/>
  </w:style>
  <w:style w:type="paragraph" w:styleId="NormalWeb">
    <w:name w:val="Normal (Web)"/>
    <w:basedOn w:val="Normal"/>
    <w:uiPriority w:val="99"/>
    <w:unhideWhenUsed/>
    <w:rsid w:val="00800EBE"/>
    <w:pPr>
      <w:spacing w:before="100" w:beforeAutospacing="1" w:after="100" w:afterAutospacing="1" w:line="240" w:lineRule="auto"/>
    </w:pPr>
    <w:rPr>
      <w:rFonts w:ascii="Times New Roman" w:eastAsiaTheme="minorEastAsia" w:hAnsi="Times New Roman"/>
      <w:szCs w:val="24"/>
      <w:lang w:val="de-DE" w:eastAsia="de-DE"/>
    </w:rPr>
  </w:style>
  <w:style w:type="character" w:customStyle="1" w:styleId="cf11">
    <w:name w:val="cf11"/>
    <w:basedOn w:val="DefaultParagraphFont"/>
    <w:rsid w:val="00800EBE"/>
    <w:rPr>
      <w:rFonts w:ascii="Segoe UI" w:hAnsi="Segoe UI" w:cs="Segoe UI" w:hint="default"/>
      <w:sz w:val="18"/>
      <w:szCs w:val="18"/>
    </w:rPr>
  </w:style>
  <w:style w:type="character" w:customStyle="1" w:styleId="cf21">
    <w:name w:val="cf21"/>
    <w:basedOn w:val="DefaultParagraphFont"/>
    <w:rsid w:val="00800EBE"/>
    <w:rPr>
      <w:rFonts w:ascii="Segoe UI" w:hAnsi="Segoe UI" w:cs="Segoe UI" w:hint="default"/>
      <w:sz w:val="18"/>
      <w:szCs w:val="18"/>
      <w:u w:val="single"/>
    </w:rPr>
  </w:style>
  <w:style w:type="character" w:customStyle="1" w:styleId="UnresolvedMention1">
    <w:name w:val="Unresolved Mention1"/>
    <w:uiPriority w:val="99"/>
    <w:unhideWhenUsed/>
    <w:rsid w:val="00800EBE"/>
    <w:rPr>
      <w:color w:val="605E5C"/>
      <w:shd w:val="clear" w:color="auto" w:fill="E1DFDD"/>
    </w:rPr>
  </w:style>
  <w:style w:type="character" w:customStyle="1" w:styleId="Mention1">
    <w:name w:val="Mention1"/>
    <w:basedOn w:val="DefaultParagraphFont"/>
    <w:uiPriority w:val="99"/>
    <w:unhideWhenUsed/>
    <w:rsid w:val="00800EBE"/>
    <w:rPr>
      <w:color w:val="2B579A"/>
      <w:shd w:val="clear" w:color="auto" w:fill="E1DFDD"/>
    </w:rPr>
  </w:style>
  <w:style w:type="paragraph" w:styleId="BalloonText">
    <w:name w:val="Balloon Text"/>
    <w:basedOn w:val="Normal"/>
    <w:link w:val="BalloonTextChar"/>
    <w:rsid w:val="00800EB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00EBE"/>
    <w:rPr>
      <w:rFonts w:ascii="Segoe UI" w:eastAsia="Calibri" w:hAnsi="Segoe UI" w:cs="Segoe UI"/>
      <w:kern w:val="0"/>
      <w:sz w:val="18"/>
      <w:szCs w:val="18"/>
      <w14:ligatures w14:val="none"/>
    </w:rPr>
  </w:style>
  <w:style w:type="table" w:customStyle="1" w:styleId="TableGrid1">
    <w:name w:val="Table Grid1"/>
    <w:basedOn w:val="TableNormal"/>
    <w:next w:val="TableGrid"/>
    <w:uiPriority w:val="59"/>
    <w:rsid w:val="00800EB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6298">
      <w:bodyDiv w:val="1"/>
      <w:marLeft w:val="0"/>
      <w:marRight w:val="0"/>
      <w:marTop w:val="0"/>
      <w:marBottom w:val="0"/>
      <w:divBdr>
        <w:top w:val="none" w:sz="0" w:space="0" w:color="auto"/>
        <w:left w:val="none" w:sz="0" w:space="0" w:color="auto"/>
        <w:bottom w:val="none" w:sz="0" w:space="0" w:color="auto"/>
        <w:right w:val="none" w:sz="0" w:space="0" w:color="auto"/>
      </w:divBdr>
    </w:div>
    <w:div w:id="281769572">
      <w:bodyDiv w:val="1"/>
      <w:marLeft w:val="0"/>
      <w:marRight w:val="0"/>
      <w:marTop w:val="0"/>
      <w:marBottom w:val="0"/>
      <w:divBdr>
        <w:top w:val="none" w:sz="0" w:space="0" w:color="auto"/>
        <w:left w:val="none" w:sz="0" w:space="0" w:color="auto"/>
        <w:bottom w:val="none" w:sz="0" w:space="0" w:color="auto"/>
        <w:right w:val="none" w:sz="0" w:space="0" w:color="auto"/>
      </w:divBdr>
    </w:div>
    <w:div w:id="837965426">
      <w:bodyDiv w:val="1"/>
      <w:marLeft w:val="0"/>
      <w:marRight w:val="0"/>
      <w:marTop w:val="0"/>
      <w:marBottom w:val="0"/>
      <w:divBdr>
        <w:top w:val="none" w:sz="0" w:space="0" w:color="auto"/>
        <w:left w:val="none" w:sz="0" w:space="0" w:color="auto"/>
        <w:bottom w:val="none" w:sz="0" w:space="0" w:color="auto"/>
        <w:right w:val="none" w:sz="0" w:space="0" w:color="auto"/>
      </w:divBdr>
    </w:div>
    <w:div w:id="1023020781">
      <w:bodyDiv w:val="1"/>
      <w:marLeft w:val="0"/>
      <w:marRight w:val="0"/>
      <w:marTop w:val="0"/>
      <w:marBottom w:val="0"/>
      <w:divBdr>
        <w:top w:val="none" w:sz="0" w:space="0" w:color="auto"/>
        <w:left w:val="none" w:sz="0" w:space="0" w:color="auto"/>
        <w:bottom w:val="none" w:sz="0" w:space="0" w:color="auto"/>
        <w:right w:val="none" w:sz="0" w:space="0" w:color="auto"/>
      </w:divBdr>
    </w:div>
    <w:div w:id="1375230486">
      <w:bodyDiv w:val="1"/>
      <w:marLeft w:val="0"/>
      <w:marRight w:val="0"/>
      <w:marTop w:val="0"/>
      <w:marBottom w:val="0"/>
      <w:divBdr>
        <w:top w:val="none" w:sz="0" w:space="0" w:color="auto"/>
        <w:left w:val="none" w:sz="0" w:space="0" w:color="auto"/>
        <w:bottom w:val="none" w:sz="0" w:space="0" w:color="auto"/>
        <w:right w:val="none" w:sz="0" w:space="0" w:color="auto"/>
      </w:divBdr>
    </w:div>
    <w:div w:id="1480683801">
      <w:bodyDiv w:val="1"/>
      <w:marLeft w:val="0"/>
      <w:marRight w:val="0"/>
      <w:marTop w:val="0"/>
      <w:marBottom w:val="0"/>
      <w:divBdr>
        <w:top w:val="none" w:sz="0" w:space="0" w:color="auto"/>
        <w:left w:val="none" w:sz="0" w:space="0" w:color="auto"/>
        <w:bottom w:val="none" w:sz="0" w:space="0" w:color="auto"/>
        <w:right w:val="none" w:sz="0" w:space="0" w:color="auto"/>
      </w:divBdr>
    </w:div>
    <w:div w:id="1512260652">
      <w:bodyDiv w:val="1"/>
      <w:marLeft w:val="0"/>
      <w:marRight w:val="0"/>
      <w:marTop w:val="0"/>
      <w:marBottom w:val="0"/>
      <w:divBdr>
        <w:top w:val="none" w:sz="0" w:space="0" w:color="auto"/>
        <w:left w:val="none" w:sz="0" w:space="0" w:color="auto"/>
        <w:bottom w:val="none" w:sz="0" w:space="0" w:color="auto"/>
        <w:right w:val="none" w:sz="0" w:space="0" w:color="auto"/>
      </w:divBdr>
    </w:div>
    <w:div w:id="1914466112">
      <w:bodyDiv w:val="1"/>
      <w:marLeft w:val="0"/>
      <w:marRight w:val="0"/>
      <w:marTop w:val="0"/>
      <w:marBottom w:val="0"/>
      <w:divBdr>
        <w:top w:val="none" w:sz="0" w:space="0" w:color="auto"/>
        <w:left w:val="none" w:sz="0" w:space="0" w:color="auto"/>
        <w:bottom w:val="none" w:sz="0" w:space="0" w:color="auto"/>
        <w:right w:val="none" w:sz="0" w:space="0" w:color="auto"/>
      </w:divBdr>
    </w:div>
    <w:div w:id="193458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fra.sharepoint.com/sites/WorkDelivery3043/Ecosystems%20Protection%20%20Restoration/30%20by%2030/17%20Legacy%20Landscapes%20Fund/f)%20LLF%20Agreement,%20commercial%20and%20legal%20input/UK%20International%20Climate%20Finance%20Results:%20methodologies%20and%20reports%20-%20GOV.UK%20(www.gov.uk)" TargetMode="External"/><Relationship Id="rId18" Type="http://schemas.openxmlformats.org/officeDocument/2006/relationships/hyperlink" Target="https://iatistandard.org/en/" TargetMode="External"/><Relationship Id="rId26" Type="http://schemas.openxmlformats.org/officeDocument/2006/relationships/hyperlink" Target="https://ukc-word-edit.officeapps.live.com/we/wordeditorframe.aspx?ui=en-US&amp;rs=en-GB&amp;wopisrc=https%3A%2F%2Fdefra.sharepoint.com%2Fsites%2FWorkDelivery3043%2F_vti_bin%2Fwopi.ashx%2Ffiles%2Ff3ff253ced5c42ceb79c834a797e7f3a&amp;wdenableroaming=1&amp;mscc=1&amp;hid=3DE814A1-1049-8000-6512-37545D6F747F.0&amp;uih=sharepointcom&amp;wdlcid=en-US&amp;jsapi=1&amp;jsapiver=v2&amp;corrid=0f4af986-7d60-93f3-786b-58b4fc7c23dd&amp;usid=0f4af986-7d60-93f3-786b-58b4fc7c23dd&amp;newsession=1&amp;sftc=1&amp;uihit=docaspx&amp;muv=1&amp;cac=1&amp;sams=1&amp;mtf=1&amp;sfp=1&amp;sdp=1&amp;hch=1&amp;hwfh=1&amp;dchat=1&amp;sc=%7B%22pmo%22%3A%22https%3A%2F%2Fdefra.sharepoint.com%22%2C%22pmshare%22%3Atrue%7D&amp;ctp=LeastProtected&amp;rct=Normal&amp;wdorigin=ItemsView&amp;wdhostclicktime=1710409317403&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chr.info/the-misconduct-disclosure-scheme" TargetMode="External"/><Relationship Id="rId25" Type="http://schemas.openxmlformats.org/officeDocument/2006/relationships/hyperlink" Target="https://ukc-word-edit.officeapps.live.com/we/wordeditorframe.aspx?ui=en-US&amp;rs=en-GB&amp;wopisrc=https%3A%2F%2Fdefra.sharepoint.com%2Fsites%2FWorkDelivery3043%2F_vti_bin%2Fwopi.ashx%2Ffiles%2Ff3ff253ced5c42ceb79c834a797e7f3a&amp;wdenableroaming=1&amp;mscc=1&amp;hid=3DE814A1-1049-8000-6512-37545D6F747F.0&amp;uih=sharepointcom&amp;wdlcid=en-US&amp;jsapi=1&amp;jsapiver=v2&amp;corrid=0f4af986-7d60-93f3-786b-58b4fc7c23dd&amp;usid=0f4af986-7d60-93f3-786b-58b4fc7c23dd&amp;newsession=1&amp;sftc=1&amp;uihit=docaspx&amp;muv=1&amp;cac=1&amp;sams=1&amp;mtf=1&amp;sfp=1&amp;sdp=1&amp;hch=1&amp;hwfh=1&amp;dchat=1&amp;sc=%7B%22pmo%22%3A%22https%3A%2F%2Fdefra.sharepoint.com%22%2C%22pmshare%22%3Atrue%7D&amp;ctp=LeastProtected&amp;rct=Normal&amp;wdorigin=ItemsView&amp;wdhostclicktime=1710409317403&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yperlink" Target="https://interagencystandingcommittee.org/system/files/iasc_six_core_principles_relating_to_sexual_exploitation_and_abuse_sept_2019.pdf" TargetMode="External"/><Relationship Id="rId20" Type="http://schemas.openxmlformats.org/officeDocument/2006/relationships/hyperlink" Target="https://digitalprinciple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ODA.Safeguarding@defra.gov.uk" TargetMode="External"/><Relationship Id="rId5" Type="http://schemas.openxmlformats.org/officeDocument/2006/relationships/customXml" Target="../customXml/item5.xml"/><Relationship Id="rId15" Type="http://schemas.openxmlformats.org/officeDocument/2006/relationships/hyperlink" Target="mailto:fraudanderror@defra.gov.uk" TargetMode="External"/><Relationship Id="rId23" Type="http://schemas.openxmlformats.org/officeDocument/2006/relationships/hyperlink" Target="https://ukc-word-edit.officeapps.live.com/we/wordeditorframe.aspx?ui=en-US&amp;rs=en-GB&amp;wopisrc=https%3A%2F%2Fdefra.sharepoint.com%2Fsites%2FWorkDelivery3043%2F_vti_bin%2Fwopi.ashx%2Ffiles%2Ff3ff253ced5c42ceb79c834a797e7f3a&amp;wdenableroaming=1&amp;mscc=1&amp;hid=3DE814A1-1049-8000-6512-37545D6F747F.0&amp;uih=sharepointcom&amp;wdlcid=en-US&amp;jsapi=1&amp;jsapiver=v2&amp;corrid=0f4af986-7d60-93f3-786b-58b4fc7c23dd&amp;usid=0f4af986-7d60-93f3-786b-58b4fc7c23dd&amp;newsession=1&amp;sftc=1&amp;uihit=docaspx&amp;muv=1&amp;cac=1&amp;sams=1&amp;mtf=1&amp;sfp=1&amp;sdp=1&amp;hch=1&amp;hwfh=1&amp;dchat=1&amp;sc=%7B%22pmo%22%3A%22https%3A%2F%2Fdefra.sharepoint.com%22%2C%22pmshare%22%3Atrue%7D&amp;ctp=LeastProtected&amp;rct=Normal&amp;wdorigin=ItemsView&amp;wdhostclicktime=1710409317403&amp;instantedit=1&amp;wopicomplete=1&amp;wdredirectionreason=Unified_SingleFlush"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gcs.civilservice.gov.uk/guidance/marketing/branding-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DA.Safeguarding@defra.gov.uk" TargetMode="External"/><Relationship Id="rId22" Type="http://schemas.openxmlformats.org/officeDocument/2006/relationships/hyperlink" Target="https://ukc-word-edit.officeapps.live.com/we/wordeditorframe.aspx?ui=en-US&amp;rs=en-GB&amp;wopisrc=https%3A%2F%2Fdefra.sharepoint.com%2Fsites%2FWorkDelivery3043%2F_vti_bin%2Fwopi.ashx%2Ffiles%2Ff3ff253ced5c42ceb79c834a797e7f3a&amp;wdenableroaming=1&amp;mscc=1&amp;hid=3DE814A1-1049-8000-6512-37545D6F747F.0&amp;uih=sharepointcom&amp;wdlcid=en-US&amp;jsapi=1&amp;jsapiver=v2&amp;corrid=0f4af986-7d60-93f3-786b-58b4fc7c23dd&amp;usid=0f4af986-7d60-93f3-786b-58b4fc7c23dd&amp;newsession=1&amp;sftc=1&amp;uihit=docaspx&amp;muv=1&amp;cac=1&amp;sams=1&amp;mtf=1&amp;sfp=1&amp;sdp=1&amp;hch=1&amp;hwfh=1&amp;dchat=1&amp;sc=%7B%22pmo%22%3A%22https%3A%2F%2Fdefra.sharepoint.com%22%2C%22pmshare%22%3Atrue%7D&amp;ctp=LeastProtected&amp;rct=Normal&amp;wdorigin=ItemsView&amp;wdhostclicktime=1710409317403&amp;instantedit=1&amp;wopicomplete=1&amp;wdredirectionreason=Unified_SingleFlush" TargetMode="External"/><Relationship Id="rId27" Type="http://schemas.openxmlformats.org/officeDocument/2006/relationships/hyperlink" Target="https://interagencystandingcommittee.org/system/files/un_protocol_on_sea_allegations_involving_implementing_partner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48165BB6036824B9DD866DF030A216B" ma:contentTypeVersion="26" ma:contentTypeDescription="Create a new document." ma:contentTypeScope="" ma:versionID="b0354bed3ac6cbd501f7d524bbc22106">
  <xsd:schema xmlns:xsd="http://www.w3.org/2001/XMLSchema" xmlns:xs="http://www.w3.org/2001/XMLSchema" xmlns:p="http://schemas.microsoft.com/office/2006/metadata/properties" xmlns:ns1="http://schemas.microsoft.com/sharepoint/v3" xmlns:ns2="662745e8-e224-48e8-a2e3-254862b8c2f5" xmlns:ns3="6259cb10-b468-4b8f-8ecb-4980047b602e" xmlns:ns4="835ea493-751c-4f32-b609-34a140130801" targetNamespace="http://schemas.microsoft.com/office/2006/metadata/properties" ma:root="true" ma:fieldsID="2fc5a21c083053f6791a502f094e4c28" ns1:_="" ns2:_="" ns3:_="" ns4:_="">
    <xsd:import namespace="http://schemas.microsoft.com/sharepoint/v3"/>
    <xsd:import namespace="662745e8-e224-48e8-a2e3-254862b8c2f5"/>
    <xsd:import namespace="6259cb10-b468-4b8f-8ecb-4980047b602e"/>
    <xsd:import namespace="835ea493-751c-4f32-b609-34a14013080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ServiceDateTaken" minOccurs="0"/>
                <xsd:element ref="ns3:MediaLengthInSeconds" minOccurs="0"/>
                <xsd:element ref="ns4:SharedWithUsers" minOccurs="0"/>
                <xsd:element ref="ns4:SharedWithDetails" minOccurs="0"/>
                <xsd:element ref="ns1:_ip_UnifiedCompliancePolicyProperties" minOccurs="0"/>
                <xsd:element ref="ns1:_ip_UnifiedCompliancePolicyUIAction" minOccurs="0"/>
                <xsd:element ref="ns3:MediaServiceObjectDetectorVersions" minOccurs="0"/>
                <xsd:element ref="ns3:MediaServiceLocation" minOccurs="0"/>
                <xsd:element ref="ns3:MediaServiceSearchPropertie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16bdf7e-6d2f-4b99-8762-622e67fd1998}" ma:internalName="TaxCatchAll" ma:showField="CatchAllData" ma:web="835ea493-751c-4f32-b609-34a1401308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16bdf7e-6d2f-4b99-8762-622e67fd1998}" ma:internalName="TaxCatchAllLabel" ma:readOnly="true" ma:showField="CatchAllDataLabel" ma:web="835ea493-751c-4f32-b609-34a14013080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DA and International Biodiversity Funds" ma:internalName="Team" ma:readOnly="false">
      <xsd:simpleType>
        <xsd:restriction base="dms:Text"/>
      </xsd:simpleType>
    </xsd:element>
    <xsd:element name="Topic" ma:index="20" nillable="true" ma:displayName="Topic" ma:default="Ecosystems Protection &amp; Restora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59cb10-b468-4b8f-8ecb-4980047b602e"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ea493-751c-4f32-b609-34a140130801"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lcf76f155ced4ddcb4097134ff3c332f xmlns="6259cb10-b468-4b8f-8ecb-4980047b602e">
      <Terms xmlns="http://schemas.microsoft.com/office/infopath/2007/PartnerControls"/>
    </lcf76f155ced4ddcb4097134ff3c332f>
    <Topic xmlns="662745e8-e224-48e8-a2e3-254862b8c2f5">Ecosystems Protection &amp; Restoration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ODA and International Biodiversity Funds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EEB6-F145-49E2-A90A-8C6DEDB22570}">
  <ds:schemaRefs>
    <ds:schemaRef ds:uri="http://schemas.microsoft.com/sharepoint/v3/contenttype/forms"/>
  </ds:schemaRefs>
</ds:datastoreItem>
</file>

<file path=customXml/itemProps2.xml><?xml version="1.0" encoding="utf-8"?>
<ds:datastoreItem xmlns:ds="http://schemas.openxmlformats.org/officeDocument/2006/customXml" ds:itemID="{5A5DB71C-DDE9-491A-9CDC-08D1BB69809A}">
  <ds:schemaRefs>
    <ds:schemaRef ds:uri="Microsoft.SharePoint.Taxonomy.ContentTypeSync"/>
  </ds:schemaRefs>
</ds:datastoreItem>
</file>

<file path=customXml/itemProps3.xml><?xml version="1.0" encoding="utf-8"?>
<ds:datastoreItem xmlns:ds="http://schemas.openxmlformats.org/officeDocument/2006/customXml" ds:itemID="{B2CEFD03-082F-44A0-BA68-B38157C2E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259cb10-b468-4b8f-8ecb-4980047b602e"/>
    <ds:schemaRef ds:uri="835ea493-751c-4f32-b609-34a140130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B5642-913D-4DC6-AF6B-2E36A821C2AD}">
  <ds:schemaRefs>
    <ds:schemaRef ds:uri="http://schemas.microsoft.com/office/2006/metadata/properties"/>
    <ds:schemaRef ds:uri="http://schemas.microsoft.com/office/infopath/2007/PartnerControls"/>
    <ds:schemaRef ds:uri="662745e8-e224-48e8-a2e3-254862b8c2f5"/>
    <ds:schemaRef ds:uri="http://schemas.microsoft.com/sharepoint/v3"/>
    <ds:schemaRef ds:uri="6259cb10-b468-4b8f-8ecb-4980047b602e"/>
  </ds:schemaRefs>
</ds:datastoreItem>
</file>

<file path=customXml/itemProps5.xml><?xml version="1.0" encoding="utf-8"?>
<ds:datastoreItem xmlns:ds="http://schemas.openxmlformats.org/officeDocument/2006/customXml" ds:itemID="{164107B9-A200-4324-92EA-6C371AF9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9492</Words>
  <Characters>57144</Characters>
  <Application>Microsoft Office Word</Application>
  <DocSecurity>0</DocSecurity>
  <Lines>1002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2026-05-05T18:19:00Z</dcterms:created>
  <dcterms:modified xsi:type="dcterms:W3CDTF">2026-05-05T18:19:00Z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0x010100A5BF1C78D9F64B679A5EBDE1C6598EBC0100B48165BB6036824B9DD866DF030A216B</vt:lpwstr>
  </property>
  <property fmtid="{D5CDD505-2E9C-101B-9397-08002B2CF9AE}" pid="3" name="InformationType">
    <vt:lpwstr/>
  </property>
  <property fmtid="{D5CDD505-2E9C-101B-9397-08002B2CF9AE}" pid="4" name="Distribution">
    <vt:lpwstr>5;#External|1104eb68-55d8-494f-b6ba-c5473579de73</vt:lpwstr>
  </property>
  <property fmtid="{D5CDD505-2E9C-101B-9397-08002B2CF9AE}" pid="5" name="MediaServiceImageTags">
    <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OrganisationalUnit">
    <vt:lpwstr>3;#Core Defra|026223dd-2e56-4615-868d-7c5bfd566810</vt:lpwstr>
  </property>
  <property fmtid="{D5CDD505-2E9C-101B-9397-08002B2CF9AE}" pid="9" name="docLang">
    <vt:lpwstr>en</vt:lpwstr>
  </property>
  <property fmtid="{D5CDD505-2E9C-101B-9397-08002B2CF9AE}" pid="10" name="HOSiteType">
    <vt:lpwstr>6;#Work Delivery|388f4f80-46e6-4bcd-8bd1-cea0059da8bd</vt:lpwstr>
  </property>
</Properties>
</file>