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EB3AE" w14:textId="08C47EE7" w:rsidR="006F3AE7" w:rsidRPr="00227210" w:rsidRDefault="00F17CBE" w:rsidP="7B0FE44A">
      <w:pPr>
        <w:pStyle w:val="Heading2"/>
        <w:jc w:val="center"/>
        <w:rPr>
          <w:i w:val="0"/>
        </w:rPr>
      </w:pPr>
      <w:r w:rsidRPr="7B0FE44A">
        <w:rPr>
          <w:i w:val="0"/>
        </w:rPr>
        <w:t xml:space="preserve">Land Degradation Neutrality Fund </w:t>
      </w:r>
      <w:r w:rsidR="006F3AE7" w:rsidRPr="7B0FE44A">
        <w:rPr>
          <w:i w:val="0"/>
        </w:rPr>
        <w:t xml:space="preserve">Annual Review </w:t>
      </w:r>
      <w:r w:rsidRPr="7B0FE44A">
        <w:rPr>
          <w:i w:val="0"/>
        </w:rPr>
        <w:t>–</w:t>
      </w:r>
      <w:r w:rsidR="006F3AE7" w:rsidRPr="7B0FE44A">
        <w:rPr>
          <w:i w:val="0"/>
        </w:rPr>
        <w:t xml:space="preserve"> 2021</w:t>
      </w:r>
      <w:r w:rsidRPr="7B0FE44A">
        <w:rPr>
          <w:i w:val="0"/>
        </w:rPr>
        <w:t xml:space="preserve"> Performance</w:t>
      </w:r>
    </w:p>
    <w:p w14:paraId="4F1FFEFD" w14:textId="77777777" w:rsidR="006F3AE7" w:rsidRPr="00F70DBE" w:rsidRDefault="006F3AE7" w:rsidP="006F3AE7">
      <w:pPr>
        <w:rPr>
          <w:b/>
          <w:sz w:val="22"/>
          <w:szCs w:val="22"/>
        </w:rPr>
      </w:pPr>
    </w:p>
    <w:tbl>
      <w:tblPr>
        <w:tblStyle w:val="TableGrid"/>
        <w:tblW w:w="0" w:type="auto"/>
        <w:tblLook w:val="04A0" w:firstRow="1" w:lastRow="0" w:firstColumn="1" w:lastColumn="0" w:noHBand="0" w:noVBand="1"/>
      </w:tblPr>
      <w:tblGrid>
        <w:gridCol w:w="3964"/>
        <w:gridCol w:w="2410"/>
        <w:gridCol w:w="2642"/>
      </w:tblGrid>
      <w:tr w:rsidR="006F3AE7" w:rsidRPr="00F70DBE" w14:paraId="47F4281E" w14:textId="77777777" w:rsidTr="002816BC">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19861584" w14:textId="732BFC1B" w:rsidR="006F3AE7" w:rsidRPr="00CC6489" w:rsidRDefault="006F3AE7" w:rsidP="00FD6297">
            <w:pPr>
              <w:rPr>
                <w:b/>
                <w:sz w:val="20"/>
                <w:szCs w:val="22"/>
              </w:rPr>
            </w:pPr>
            <w:r w:rsidRPr="00CC6489">
              <w:rPr>
                <w:b/>
                <w:sz w:val="20"/>
                <w:szCs w:val="22"/>
              </w:rPr>
              <w:t xml:space="preserve">Title:  </w:t>
            </w:r>
            <w:r w:rsidR="000B2B57">
              <w:rPr>
                <w:b/>
                <w:sz w:val="20"/>
                <w:szCs w:val="22"/>
              </w:rPr>
              <w:t>The Land Degradation Neutrality (LDN) Fund</w:t>
            </w:r>
          </w:p>
        </w:tc>
      </w:tr>
      <w:tr w:rsidR="006F3AE7" w:rsidRPr="00F70DBE" w14:paraId="0D529975" w14:textId="77777777" w:rsidTr="002816BC">
        <w:trPr>
          <w:trHeight w:val="413"/>
        </w:trPr>
        <w:tc>
          <w:tcPr>
            <w:tcW w:w="6374"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CB3E574" w14:textId="2F2F6AC6" w:rsidR="006F3AE7" w:rsidRPr="00CC6489" w:rsidRDefault="006F3AE7" w:rsidP="00FD6297">
            <w:pPr>
              <w:rPr>
                <w:b/>
                <w:sz w:val="20"/>
                <w:szCs w:val="22"/>
              </w:rPr>
            </w:pPr>
            <w:r w:rsidRPr="00CC6489">
              <w:rPr>
                <w:b/>
                <w:sz w:val="20"/>
                <w:szCs w:val="22"/>
              </w:rPr>
              <w:t xml:space="preserve">Programme Value £ (full life): </w:t>
            </w:r>
            <w:r w:rsidR="000B2B57">
              <w:rPr>
                <w:b/>
                <w:sz w:val="20"/>
                <w:szCs w:val="22"/>
              </w:rPr>
              <w:t>£10m GBP</w:t>
            </w:r>
          </w:p>
        </w:tc>
        <w:tc>
          <w:tcPr>
            <w:tcW w:w="2642"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1C769C30" w14:textId="27989CE5" w:rsidR="006F3AE7" w:rsidRPr="00CC6489" w:rsidRDefault="006F3AE7" w:rsidP="00FD6297">
            <w:pPr>
              <w:rPr>
                <w:b/>
                <w:sz w:val="20"/>
                <w:szCs w:val="22"/>
              </w:rPr>
            </w:pPr>
            <w:r w:rsidRPr="00CC6489">
              <w:rPr>
                <w:b/>
                <w:sz w:val="20"/>
                <w:szCs w:val="22"/>
              </w:rPr>
              <w:t xml:space="preserve">Review </w:t>
            </w:r>
            <w:r w:rsidR="002816BC">
              <w:rPr>
                <w:b/>
                <w:sz w:val="20"/>
                <w:szCs w:val="22"/>
              </w:rPr>
              <w:t>d</w:t>
            </w:r>
            <w:r w:rsidRPr="00CC6489">
              <w:rPr>
                <w:b/>
                <w:sz w:val="20"/>
                <w:szCs w:val="22"/>
              </w:rPr>
              <w:t xml:space="preserve">ate: </w:t>
            </w:r>
            <w:r w:rsidR="000B2B57">
              <w:rPr>
                <w:b/>
                <w:sz w:val="20"/>
                <w:szCs w:val="22"/>
              </w:rPr>
              <w:t>202</w:t>
            </w:r>
            <w:r w:rsidR="009C7060">
              <w:rPr>
                <w:b/>
                <w:sz w:val="20"/>
                <w:szCs w:val="22"/>
              </w:rPr>
              <w:t>2</w:t>
            </w:r>
          </w:p>
        </w:tc>
      </w:tr>
      <w:tr w:rsidR="006F3AE7" w:rsidRPr="00F70DBE" w14:paraId="7BCDC10B" w14:textId="77777777" w:rsidTr="002816BC">
        <w:trPr>
          <w:trHeight w:val="300"/>
        </w:trPr>
        <w:tc>
          <w:tcPr>
            <w:tcW w:w="3964" w:type="dxa"/>
            <w:tcBorders>
              <w:top w:val="dotted" w:sz="2" w:space="0" w:color="000000" w:themeColor="text1"/>
              <w:left w:val="single" w:sz="4" w:space="0" w:color="auto"/>
              <w:bottom w:val="single" w:sz="4" w:space="0" w:color="auto"/>
              <w:right w:val="dotted" w:sz="2" w:space="0" w:color="000000" w:themeColor="text1"/>
            </w:tcBorders>
          </w:tcPr>
          <w:p w14:paraId="34D5E3F0" w14:textId="77777777" w:rsidR="006F3AE7" w:rsidRPr="00CC6489" w:rsidRDefault="006F3AE7" w:rsidP="00FD6297">
            <w:pPr>
              <w:rPr>
                <w:b/>
                <w:sz w:val="20"/>
                <w:szCs w:val="22"/>
              </w:rPr>
            </w:pPr>
            <w:r w:rsidRPr="00CC6489">
              <w:rPr>
                <w:b/>
                <w:sz w:val="20"/>
                <w:szCs w:val="22"/>
              </w:rPr>
              <w:t xml:space="preserve">Programme Code: </w:t>
            </w:r>
            <w:r w:rsidRPr="00CC6489">
              <w:rPr>
                <w:sz w:val="20"/>
                <w:szCs w:val="22"/>
              </w:rPr>
              <w:t>[</w:t>
            </w:r>
            <w:r w:rsidRPr="00CC6489">
              <w:rPr>
                <w:rFonts w:cs="Arial"/>
                <w:sz w:val="20"/>
                <w:szCs w:val="20"/>
              </w:rPr>
              <w:t>AMP ID#]</w:t>
            </w:r>
          </w:p>
          <w:p w14:paraId="0C963E24" w14:textId="77777777" w:rsidR="006F3AE7" w:rsidRPr="00CC6489" w:rsidRDefault="006F3AE7" w:rsidP="00FD6297">
            <w:pPr>
              <w:rPr>
                <w:b/>
                <w:sz w:val="20"/>
                <w:szCs w:val="22"/>
              </w:rPr>
            </w:pPr>
          </w:p>
        </w:tc>
        <w:tc>
          <w:tcPr>
            <w:tcW w:w="2410"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7ADA9748" w14:textId="4BFB1014" w:rsidR="006F3AE7" w:rsidRPr="00CC6489" w:rsidRDefault="002816BC" w:rsidP="00FD6297">
            <w:pPr>
              <w:rPr>
                <w:b/>
                <w:sz w:val="20"/>
                <w:szCs w:val="22"/>
              </w:rPr>
            </w:pPr>
            <w:r>
              <w:rPr>
                <w:b/>
                <w:sz w:val="20"/>
                <w:szCs w:val="22"/>
              </w:rPr>
              <w:t>AMP start d</w:t>
            </w:r>
            <w:r w:rsidR="006F3AE7" w:rsidRPr="00CC6489">
              <w:rPr>
                <w:b/>
                <w:sz w:val="20"/>
                <w:szCs w:val="22"/>
              </w:rPr>
              <w:t>ate:</w:t>
            </w:r>
            <w:r w:rsidR="006F3AE7" w:rsidRPr="00CC6489">
              <w:rPr>
                <w:sz w:val="20"/>
              </w:rPr>
              <w:t xml:space="preserve"> </w:t>
            </w:r>
            <w:r w:rsidR="000B2B57">
              <w:rPr>
                <w:sz w:val="20"/>
              </w:rPr>
              <w:t>December 2019</w:t>
            </w:r>
          </w:p>
        </w:tc>
        <w:tc>
          <w:tcPr>
            <w:tcW w:w="2642" w:type="dxa"/>
            <w:tcBorders>
              <w:top w:val="dotted" w:sz="2" w:space="0" w:color="000000" w:themeColor="text1"/>
              <w:left w:val="dotted" w:sz="2" w:space="0" w:color="000000" w:themeColor="text1"/>
              <w:bottom w:val="single" w:sz="4" w:space="0" w:color="auto"/>
              <w:right w:val="single" w:sz="4" w:space="0" w:color="auto"/>
            </w:tcBorders>
            <w:hideMark/>
          </w:tcPr>
          <w:p w14:paraId="2EEAABCE" w14:textId="38745304" w:rsidR="006F3AE7" w:rsidRPr="00CC6489" w:rsidRDefault="002816BC" w:rsidP="00FD6297">
            <w:pPr>
              <w:rPr>
                <w:b/>
                <w:sz w:val="20"/>
                <w:szCs w:val="22"/>
              </w:rPr>
            </w:pPr>
            <w:r>
              <w:rPr>
                <w:b/>
                <w:sz w:val="20"/>
                <w:szCs w:val="22"/>
              </w:rPr>
              <w:t>AMP end d</w:t>
            </w:r>
            <w:r w:rsidR="006F3AE7" w:rsidRPr="00CC6489">
              <w:rPr>
                <w:b/>
                <w:sz w:val="20"/>
                <w:szCs w:val="22"/>
              </w:rPr>
              <w:t>ate:</w:t>
            </w:r>
            <w:r w:rsidR="006F3AE7" w:rsidRPr="00CC6489">
              <w:rPr>
                <w:sz w:val="20"/>
              </w:rPr>
              <w:t xml:space="preserve"> </w:t>
            </w:r>
            <w:r w:rsidR="003079A0">
              <w:rPr>
                <w:sz w:val="20"/>
              </w:rPr>
              <w:t>2033</w:t>
            </w:r>
          </w:p>
        </w:tc>
      </w:tr>
    </w:tbl>
    <w:p w14:paraId="1F73C094" w14:textId="77777777" w:rsidR="006F3AE7" w:rsidRPr="00F70DBE" w:rsidRDefault="006F3AE7" w:rsidP="006F3AE7">
      <w:pPr>
        <w:rPr>
          <w:b/>
          <w:sz w:val="22"/>
          <w:szCs w:val="22"/>
        </w:rPr>
      </w:pPr>
    </w:p>
    <w:p w14:paraId="36AFB1BA" w14:textId="77777777" w:rsidR="006F3AE7" w:rsidRPr="00CC6489" w:rsidRDefault="006F3AE7" w:rsidP="006F3AE7">
      <w:pPr>
        <w:rPr>
          <w:b/>
          <w:sz w:val="22"/>
          <w:szCs w:val="22"/>
        </w:rPr>
      </w:pPr>
      <w:r w:rsidRPr="00CC6489">
        <w:rPr>
          <w:b/>
          <w:sz w:val="22"/>
          <w:szCs w:val="22"/>
        </w:rPr>
        <w:t xml:space="preserve">Summary of Programme Performance </w:t>
      </w:r>
    </w:p>
    <w:tbl>
      <w:tblPr>
        <w:tblStyle w:val="TableGrid"/>
        <w:tblW w:w="0" w:type="auto"/>
        <w:tblLook w:val="04A0" w:firstRow="1" w:lastRow="0" w:firstColumn="1" w:lastColumn="0" w:noHBand="0" w:noVBand="1"/>
      </w:tblPr>
      <w:tblGrid>
        <w:gridCol w:w="2203"/>
        <w:gridCol w:w="1106"/>
        <w:gridCol w:w="1106"/>
        <w:gridCol w:w="767"/>
        <w:gridCol w:w="767"/>
        <w:gridCol w:w="766"/>
        <w:gridCol w:w="767"/>
        <w:gridCol w:w="767"/>
        <w:gridCol w:w="767"/>
      </w:tblGrid>
      <w:tr w:rsidR="006F3AE7" w:rsidRPr="00CC6489" w14:paraId="3FAAC49F" w14:textId="77777777" w:rsidTr="00CC6489">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41FCBF" w14:textId="77777777" w:rsidR="006F3AE7" w:rsidRPr="00CC6489" w:rsidRDefault="006F3AE7" w:rsidP="00FD6297">
            <w:pPr>
              <w:rPr>
                <w:sz w:val="20"/>
                <w:szCs w:val="22"/>
              </w:rPr>
            </w:pPr>
            <w:r w:rsidRPr="00CC6489">
              <w:rPr>
                <w:sz w:val="20"/>
                <w:szCs w:val="22"/>
              </w:rPr>
              <w:t>Year</w:t>
            </w:r>
          </w:p>
        </w:tc>
        <w:tc>
          <w:tcPr>
            <w:tcW w:w="677" w:type="dxa"/>
            <w:tcBorders>
              <w:top w:val="single" w:sz="4" w:space="0" w:color="auto"/>
              <w:left w:val="single" w:sz="4" w:space="0" w:color="auto"/>
              <w:bottom w:val="single" w:sz="4" w:space="0" w:color="auto"/>
              <w:right w:val="single" w:sz="4" w:space="0" w:color="auto"/>
            </w:tcBorders>
          </w:tcPr>
          <w:p w14:paraId="3789EC80" w14:textId="753D789C" w:rsidR="006F3AE7" w:rsidRPr="00CC6489" w:rsidRDefault="000B2B57" w:rsidP="00FD6297">
            <w:pPr>
              <w:rPr>
                <w:b/>
                <w:sz w:val="20"/>
                <w:szCs w:val="22"/>
              </w:rPr>
            </w:pPr>
            <w:r>
              <w:rPr>
                <w:b/>
                <w:sz w:val="20"/>
                <w:szCs w:val="22"/>
              </w:rPr>
              <w:t>2020</w:t>
            </w:r>
          </w:p>
        </w:tc>
        <w:tc>
          <w:tcPr>
            <w:tcW w:w="847" w:type="dxa"/>
            <w:tcBorders>
              <w:top w:val="single" w:sz="4" w:space="0" w:color="auto"/>
              <w:left w:val="single" w:sz="4" w:space="0" w:color="auto"/>
              <w:bottom w:val="single" w:sz="4" w:space="0" w:color="auto"/>
              <w:right w:val="single" w:sz="4" w:space="0" w:color="auto"/>
            </w:tcBorders>
          </w:tcPr>
          <w:p w14:paraId="4142BE6C" w14:textId="43687FAD" w:rsidR="006F3AE7" w:rsidRPr="00CC6489" w:rsidRDefault="009C7060" w:rsidP="00FD6297">
            <w:pPr>
              <w:rPr>
                <w:b/>
                <w:sz w:val="20"/>
                <w:szCs w:val="22"/>
              </w:rPr>
            </w:pPr>
            <w:r>
              <w:rPr>
                <w:b/>
                <w:sz w:val="20"/>
                <w:szCs w:val="22"/>
              </w:rPr>
              <w:t>2021</w:t>
            </w:r>
          </w:p>
        </w:tc>
        <w:tc>
          <w:tcPr>
            <w:tcW w:w="848" w:type="dxa"/>
            <w:tcBorders>
              <w:top w:val="single" w:sz="4" w:space="0" w:color="auto"/>
              <w:left w:val="single" w:sz="4" w:space="0" w:color="auto"/>
              <w:bottom w:val="single" w:sz="4" w:space="0" w:color="auto"/>
              <w:right w:val="single" w:sz="4" w:space="0" w:color="auto"/>
            </w:tcBorders>
          </w:tcPr>
          <w:p w14:paraId="388FF97F"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066342D3" w14:textId="77777777" w:rsidR="006F3AE7" w:rsidRPr="00CC6489" w:rsidRDefault="006F3AE7" w:rsidP="00FD6297">
            <w:pPr>
              <w:rPr>
                <w:b/>
                <w:sz w:val="20"/>
                <w:szCs w:val="22"/>
              </w:rPr>
            </w:pPr>
          </w:p>
        </w:tc>
        <w:tc>
          <w:tcPr>
            <w:tcW w:w="847" w:type="dxa"/>
            <w:tcBorders>
              <w:top w:val="single" w:sz="4" w:space="0" w:color="auto"/>
              <w:left w:val="single" w:sz="4" w:space="0" w:color="auto"/>
              <w:bottom w:val="single" w:sz="4" w:space="0" w:color="auto"/>
              <w:right w:val="single" w:sz="4" w:space="0" w:color="auto"/>
            </w:tcBorders>
          </w:tcPr>
          <w:p w14:paraId="29074948"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17932494"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02EEF7F1"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24AA988B" w14:textId="77777777" w:rsidR="006F3AE7" w:rsidRPr="00CC6489" w:rsidRDefault="006F3AE7" w:rsidP="00FD6297">
            <w:pPr>
              <w:rPr>
                <w:b/>
                <w:sz w:val="20"/>
                <w:szCs w:val="22"/>
              </w:rPr>
            </w:pPr>
          </w:p>
        </w:tc>
      </w:tr>
      <w:tr w:rsidR="006F3AE7" w:rsidRPr="00CC6489" w14:paraId="07C3274D" w14:textId="77777777" w:rsidTr="00CC6489">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545D41E" w14:textId="2FC46EB2" w:rsidR="006F3AE7" w:rsidRPr="00CC6489" w:rsidRDefault="006F3AE7" w:rsidP="00FD6297">
            <w:pPr>
              <w:rPr>
                <w:sz w:val="20"/>
                <w:szCs w:val="22"/>
              </w:rPr>
            </w:pPr>
            <w:r w:rsidRPr="00CC6489">
              <w:rPr>
                <w:sz w:val="20"/>
                <w:szCs w:val="22"/>
              </w:rPr>
              <w:t>Overall Output Score</w:t>
            </w:r>
          </w:p>
        </w:tc>
        <w:tc>
          <w:tcPr>
            <w:tcW w:w="677" w:type="dxa"/>
            <w:tcBorders>
              <w:top w:val="single" w:sz="4" w:space="0" w:color="auto"/>
              <w:left w:val="single" w:sz="4" w:space="0" w:color="auto"/>
              <w:bottom w:val="single" w:sz="4" w:space="0" w:color="auto"/>
              <w:right w:val="single" w:sz="4" w:space="0" w:color="auto"/>
            </w:tcBorders>
          </w:tcPr>
          <w:p w14:paraId="32E739E6" w14:textId="03EF3088" w:rsidR="006F3AE7" w:rsidRPr="00CC6489" w:rsidRDefault="004E6EAF" w:rsidP="00FD6297">
            <w:pPr>
              <w:rPr>
                <w:b/>
                <w:sz w:val="20"/>
                <w:szCs w:val="22"/>
              </w:rPr>
            </w:pPr>
            <w:r>
              <w:rPr>
                <w:b/>
                <w:sz w:val="20"/>
                <w:szCs w:val="22"/>
              </w:rPr>
              <w:t>A</w:t>
            </w:r>
          </w:p>
        </w:tc>
        <w:tc>
          <w:tcPr>
            <w:tcW w:w="847" w:type="dxa"/>
            <w:tcBorders>
              <w:top w:val="single" w:sz="4" w:space="0" w:color="auto"/>
              <w:left w:val="single" w:sz="4" w:space="0" w:color="auto"/>
              <w:bottom w:val="single" w:sz="4" w:space="0" w:color="auto"/>
              <w:right w:val="single" w:sz="4" w:space="0" w:color="auto"/>
            </w:tcBorders>
          </w:tcPr>
          <w:p w14:paraId="6BA4EC77" w14:textId="453C11D5" w:rsidR="006F3AE7" w:rsidRPr="00CC6489" w:rsidRDefault="002C2611" w:rsidP="00FD6297">
            <w:pPr>
              <w:rPr>
                <w:b/>
                <w:sz w:val="20"/>
                <w:szCs w:val="22"/>
              </w:rPr>
            </w:pPr>
            <w:r>
              <w:rPr>
                <w:b/>
                <w:sz w:val="20"/>
                <w:szCs w:val="22"/>
              </w:rPr>
              <w:t>A</w:t>
            </w:r>
          </w:p>
        </w:tc>
        <w:tc>
          <w:tcPr>
            <w:tcW w:w="848" w:type="dxa"/>
            <w:tcBorders>
              <w:top w:val="single" w:sz="4" w:space="0" w:color="auto"/>
              <w:left w:val="single" w:sz="4" w:space="0" w:color="auto"/>
              <w:bottom w:val="single" w:sz="4" w:space="0" w:color="auto"/>
              <w:right w:val="single" w:sz="4" w:space="0" w:color="auto"/>
            </w:tcBorders>
          </w:tcPr>
          <w:p w14:paraId="31108F1C"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634F0501" w14:textId="77777777" w:rsidR="006F3AE7" w:rsidRPr="00CC6489" w:rsidRDefault="006F3AE7" w:rsidP="00FD6297">
            <w:pPr>
              <w:rPr>
                <w:b/>
                <w:sz w:val="20"/>
                <w:szCs w:val="22"/>
              </w:rPr>
            </w:pPr>
          </w:p>
        </w:tc>
        <w:tc>
          <w:tcPr>
            <w:tcW w:w="847" w:type="dxa"/>
            <w:tcBorders>
              <w:top w:val="single" w:sz="4" w:space="0" w:color="auto"/>
              <w:left w:val="single" w:sz="4" w:space="0" w:color="auto"/>
              <w:bottom w:val="single" w:sz="4" w:space="0" w:color="auto"/>
              <w:right w:val="single" w:sz="4" w:space="0" w:color="auto"/>
            </w:tcBorders>
          </w:tcPr>
          <w:p w14:paraId="697FDD6A"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695E147B"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59449EE1"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389002AB" w14:textId="77777777" w:rsidR="006F3AE7" w:rsidRPr="00CC6489" w:rsidRDefault="006F3AE7" w:rsidP="00FD6297">
            <w:pPr>
              <w:rPr>
                <w:b/>
                <w:sz w:val="20"/>
                <w:szCs w:val="22"/>
              </w:rPr>
            </w:pPr>
          </w:p>
        </w:tc>
      </w:tr>
      <w:tr w:rsidR="006F3AE7" w:rsidRPr="00CC6489" w14:paraId="29305AB3" w14:textId="77777777" w:rsidTr="00CC6489">
        <w:trPr>
          <w:trHeight w:val="309"/>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4C76BE5" w14:textId="77777777" w:rsidR="006F3AE7" w:rsidRPr="00CC6489" w:rsidRDefault="006F3AE7" w:rsidP="00FD6297">
            <w:pPr>
              <w:rPr>
                <w:sz w:val="20"/>
                <w:szCs w:val="22"/>
              </w:rPr>
            </w:pPr>
            <w:r w:rsidRPr="00CC6489">
              <w:rPr>
                <w:sz w:val="20"/>
                <w:szCs w:val="22"/>
              </w:rPr>
              <w:t>Risk Rating</w:t>
            </w:r>
            <w:r w:rsidRPr="00CC6489">
              <w:rPr>
                <w:sz w:val="22"/>
              </w:rPr>
              <w:t xml:space="preserve"> </w:t>
            </w:r>
          </w:p>
        </w:tc>
        <w:tc>
          <w:tcPr>
            <w:tcW w:w="677" w:type="dxa"/>
            <w:tcBorders>
              <w:top w:val="single" w:sz="4" w:space="0" w:color="auto"/>
              <w:left w:val="single" w:sz="4" w:space="0" w:color="auto"/>
              <w:bottom w:val="single" w:sz="4" w:space="0" w:color="auto"/>
              <w:right w:val="single" w:sz="4" w:space="0" w:color="auto"/>
            </w:tcBorders>
          </w:tcPr>
          <w:p w14:paraId="51830F80" w14:textId="5FBC8953" w:rsidR="006F3AE7" w:rsidRPr="00CC6489" w:rsidRDefault="004E6EAF" w:rsidP="00FD6297">
            <w:pPr>
              <w:rPr>
                <w:b/>
                <w:sz w:val="20"/>
                <w:szCs w:val="22"/>
              </w:rPr>
            </w:pPr>
            <w:r>
              <w:rPr>
                <w:b/>
                <w:sz w:val="20"/>
                <w:szCs w:val="22"/>
              </w:rPr>
              <w:t>Moderate</w:t>
            </w:r>
          </w:p>
        </w:tc>
        <w:tc>
          <w:tcPr>
            <w:tcW w:w="847" w:type="dxa"/>
            <w:tcBorders>
              <w:top w:val="single" w:sz="4" w:space="0" w:color="auto"/>
              <w:left w:val="single" w:sz="4" w:space="0" w:color="auto"/>
              <w:bottom w:val="single" w:sz="4" w:space="0" w:color="auto"/>
              <w:right w:val="single" w:sz="4" w:space="0" w:color="auto"/>
            </w:tcBorders>
          </w:tcPr>
          <w:p w14:paraId="2BF67D24" w14:textId="502D07AA" w:rsidR="006F3AE7" w:rsidRPr="00CC6489" w:rsidRDefault="009C7060" w:rsidP="00FD6297">
            <w:pPr>
              <w:rPr>
                <w:b/>
                <w:sz w:val="20"/>
                <w:szCs w:val="22"/>
              </w:rPr>
            </w:pPr>
            <w:r>
              <w:rPr>
                <w:b/>
                <w:sz w:val="20"/>
                <w:szCs w:val="22"/>
              </w:rPr>
              <w:t>Moderate</w:t>
            </w:r>
          </w:p>
        </w:tc>
        <w:tc>
          <w:tcPr>
            <w:tcW w:w="848" w:type="dxa"/>
            <w:tcBorders>
              <w:top w:val="single" w:sz="4" w:space="0" w:color="auto"/>
              <w:left w:val="single" w:sz="4" w:space="0" w:color="auto"/>
              <w:bottom w:val="single" w:sz="4" w:space="0" w:color="auto"/>
              <w:right w:val="single" w:sz="4" w:space="0" w:color="auto"/>
            </w:tcBorders>
          </w:tcPr>
          <w:p w14:paraId="2A2B872D"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62ED8C8E" w14:textId="77777777" w:rsidR="006F3AE7" w:rsidRPr="00CC6489" w:rsidRDefault="006F3AE7" w:rsidP="00FD6297">
            <w:pPr>
              <w:rPr>
                <w:b/>
                <w:sz w:val="20"/>
                <w:szCs w:val="22"/>
              </w:rPr>
            </w:pPr>
          </w:p>
        </w:tc>
        <w:tc>
          <w:tcPr>
            <w:tcW w:w="847" w:type="dxa"/>
            <w:tcBorders>
              <w:top w:val="single" w:sz="4" w:space="0" w:color="auto"/>
              <w:left w:val="single" w:sz="4" w:space="0" w:color="auto"/>
              <w:bottom w:val="single" w:sz="4" w:space="0" w:color="auto"/>
              <w:right w:val="single" w:sz="4" w:space="0" w:color="auto"/>
            </w:tcBorders>
          </w:tcPr>
          <w:p w14:paraId="4E36212A"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0DA33296"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48D84E4D"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2D40C773" w14:textId="77777777" w:rsidR="006F3AE7" w:rsidRPr="00CC6489" w:rsidRDefault="006F3AE7" w:rsidP="00FD6297">
            <w:pPr>
              <w:rPr>
                <w:b/>
                <w:sz w:val="20"/>
                <w:szCs w:val="22"/>
              </w:rPr>
            </w:pPr>
          </w:p>
        </w:tc>
      </w:tr>
    </w:tbl>
    <w:p w14:paraId="3F14494A" w14:textId="77777777" w:rsidR="006F3AE7" w:rsidRDefault="006F3AE7" w:rsidP="006F3AE7">
      <w:pPr>
        <w:rPr>
          <w:b/>
          <w:sz w:val="22"/>
          <w:szCs w:val="22"/>
        </w:rPr>
      </w:pPr>
    </w:p>
    <w:tbl>
      <w:tblPr>
        <w:tblStyle w:val="TableGrid"/>
        <w:tblW w:w="0" w:type="auto"/>
        <w:tblInd w:w="-5" w:type="dxa"/>
        <w:tblLook w:val="04A0" w:firstRow="1" w:lastRow="0" w:firstColumn="1" w:lastColumn="0" w:noHBand="0" w:noVBand="1"/>
      </w:tblPr>
      <w:tblGrid>
        <w:gridCol w:w="3969"/>
        <w:gridCol w:w="5052"/>
      </w:tblGrid>
      <w:tr w:rsidR="006F3AE7" w:rsidRPr="00F70DBE" w14:paraId="5ED04B8A" w14:textId="77777777" w:rsidTr="3ADCBDF1">
        <w:trPr>
          <w:trHeight w:val="355"/>
        </w:trPr>
        <w:tc>
          <w:tcPr>
            <w:tcW w:w="3969" w:type="dxa"/>
            <w:shd w:val="clear" w:color="auto" w:fill="B4C6E7" w:themeFill="accent1" w:themeFillTint="66"/>
            <w:hideMark/>
          </w:tcPr>
          <w:p w14:paraId="084C6192" w14:textId="77777777" w:rsidR="006F3AE7" w:rsidRPr="00F70DBE" w:rsidRDefault="006F3AE7" w:rsidP="00CC6489">
            <w:pPr>
              <w:rPr>
                <w:rFonts w:cs="Arial"/>
                <w:sz w:val="20"/>
                <w:szCs w:val="20"/>
              </w:rPr>
            </w:pPr>
            <w:proofErr w:type="spellStart"/>
            <w:r w:rsidRPr="00F70DBE">
              <w:rPr>
                <w:rFonts w:cs="Arial"/>
                <w:bCs/>
                <w:sz w:val="20"/>
                <w:szCs w:val="20"/>
              </w:rPr>
              <w:t>DevTracker</w:t>
            </w:r>
            <w:proofErr w:type="spellEnd"/>
            <w:r w:rsidRPr="00F70DBE">
              <w:rPr>
                <w:rFonts w:cs="Arial"/>
                <w:bCs/>
                <w:sz w:val="20"/>
                <w:szCs w:val="20"/>
              </w:rPr>
              <w:t xml:space="preserve"> Link to Business Case: </w:t>
            </w:r>
          </w:p>
        </w:tc>
        <w:tc>
          <w:tcPr>
            <w:tcW w:w="5052" w:type="dxa"/>
          </w:tcPr>
          <w:p w14:paraId="7547CEAA" w14:textId="77777777" w:rsidR="006F3AE7" w:rsidRPr="00F70DBE" w:rsidRDefault="006F3AE7" w:rsidP="00FD6297">
            <w:pPr>
              <w:rPr>
                <w:rFonts w:cs="Arial"/>
                <w:b/>
                <w:sz w:val="22"/>
                <w:szCs w:val="22"/>
              </w:rPr>
            </w:pPr>
          </w:p>
        </w:tc>
      </w:tr>
      <w:tr w:rsidR="006F3AE7" w:rsidRPr="00F70DBE" w14:paraId="1BE27F98" w14:textId="77777777" w:rsidTr="3ADCBDF1">
        <w:trPr>
          <w:trHeight w:val="403"/>
        </w:trPr>
        <w:tc>
          <w:tcPr>
            <w:tcW w:w="3969" w:type="dxa"/>
            <w:shd w:val="clear" w:color="auto" w:fill="B4C6E7" w:themeFill="accent1" w:themeFillTint="66"/>
            <w:hideMark/>
          </w:tcPr>
          <w:p w14:paraId="77EEC9AB" w14:textId="21B976EE" w:rsidR="006F3AE7" w:rsidRPr="00F70DBE" w:rsidRDefault="006F3AE7" w:rsidP="00CC6489">
            <w:pPr>
              <w:rPr>
                <w:rFonts w:cs="Arial"/>
                <w:bCs/>
                <w:i/>
                <w:sz w:val="20"/>
                <w:szCs w:val="20"/>
              </w:rPr>
            </w:pPr>
            <w:proofErr w:type="spellStart"/>
            <w:r w:rsidRPr="00F70DBE">
              <w:rPr>
                <w:rFonts w:cs="Arial"/>
                <w:bCs/>
                <w:sz w:val="20"/>
                <w:szCs w:val="20"/>
              </w:rPr>
              <w:t>DevTracker</w:t>
            </w:r>
            <w:proofErr w:type="spellEnd"/>
            <w:r w:rsidRPr="00F70DBE">
              <w:rPr>
                <w:rFonts w:cs="Arial"/>
                <w:bCs/>
                <w:sz w:val="20"/>
                <w:szCs w:val="20"/>
              </w:rPr>
              <w:t xml:space="preserve"> Link to </w:t>
            </w:r>
            <w:r>
              <w:rPr>
                <w:rFonts w:cs="Arial"/>
                <w:bCs/>
                <w:sz w:val="20"/>
                <w:szCs w:val="20"/>
              </w:rPr>
              <w:t>results framework</w:t>
            </w:r>
            <w:r w:rsidRPr="00F70DBE">
              <w:rPr>
                <w:rFonts w:cs="Arial"/>
                <w:bCs/>
                <w:sz w:val="20"/>
                <w:szCs w:val="20"/>
              </w:rPr>
              <w:t xml:space="preserve">: </w:t>
            </w:r>
          </w:p>
        </w:tc>
        <w:tc>
          <w:tcPr>
            <w:tcW w:w="5052" w:type="dxa"/>
          </w:tcPr>
          <w:p w14:paraId="1EBB8B7A" w14:textId="77777777" w:rsidR="006F3AE7" w:rsidRPr="00F70DBE" w:rsidRDefault="006F3AE7" w:rsidP="00FD6297">
            <w:pPr>
              <w:rPr>
                <w:rFonts w:cs="Arial"/>
                <w:b/>
                <w:sz w:val="22"/>
                <w:szCs w:val="22"/>
              </w:rPr>
            </w:pPr>
          </w:p>
        </w:tc>
      </w:tr>
    </w:tbl>
    <w:p w14:paraId="57506ECC" w14:textId="49B3460A" w:rsidR="003507A1" w:rsidRDefault="003507A1" w:rsidP="006F3AE7">
      <w:pPr>
        <w:rPr>
          <w:sz w:val="20"/>
          <w:szCs w:val="22"/>
        </w:rPr>
      </w:pPr>
    </w:p>
    <w:p w14:paraId="22403C63" w14:textId="77777777" w:rsidR="003507A1" w:rsidRDefault="003507A1" w:rsidP="003507A1">
      <w:pPr>
        <w:rPr>
          <w:sz w:val="20"/>
          <w:szCs w:val="22"/>
        </w:rPr>
      </w:pPr>
    </w:p>
    <w:p w14:paraId="2FEBAAA9" w14:textId="6DEE9116" w:rsidR="006F3AE7" w:rsidRPr="00CE0979" w:rsidRDefault="006F3AE7" w:rsidP="006F3AE7">
      <w:pPr>
        <w:pBdr>
          <w:top w:val="single" w:sz="4" w:space="1" w:color="auto"/>
          <w:left w:val="single" w:sz="4" w:space="4" w:color="auto"/>
          <w:bottom w:val="single" w:sz="4" w:space="1" w:color="auto"/>
          <w:right w:val="single" w:sz="4" w:space="4" w:color="auto"/>
        </w:pBdr>
        <w:shd w:val="clear" w:color="auto" w:fill="D9E2F3" w:themeFill="accent1" w:themeFillTint="33"/>
      </w:pPr>
      <w:r w:rsidRPr="00F70DBE">
        <w:rPr>
          <w:b/>
          <w:sz w:val="28"/>
        </w:rPr>
        <w:t xml:space="preserve">A. </w:t>
      </w:r>
      <w:r>
        <w:rPr>
          <w:b/>
          <w:sz w:val="28"/>
        </w:rPr>
        <w:t>SUMMARY AND OVERVIEW</w:t>
      </w:r>
    </w:p>
    <w:p w14:paraId="7EFEDAB3" w14:textId="77777777" w:rsidR="006F3AE7" w:rsidRDefault="006F3AE7" w:rsidP="006F3AE7">
      <w:pPr>
        <w:rPr>
          <w:b/>
          <w:sz w:val="22"/>
          <w:szCs w:val="22"/>
        </w:rPr>
      </w:pPr>
    </w:p>
    <w:p w14:paraId="121905E8" w14:textId="1DD5D5BC" w:rsidR="006F3AE7" w:rsidRPr="00AD3E2A" w:rsidRDefault="006F3AE7" w:rsidP="006F3AE7">
      <w:pPr>
        <w:rPr>
          <w:rFonts w:cs="Arial"/>
          <w:sz w:val="22"/>
          <w:szCs w:val="22"/>
        </w:rPr>
      </w:pPr>
      <w:r w:rsidRPr="00AD3E2A">
        <w:rPr>
          <w:rFonts w:cs="Arial"/>
          <w:b/>
          <w:sz w:val="22"/>
          <w:szCs w:val="22"/>
        </w:rPr>
        <w:t>Description of programme</w:t>
      </w:r>
    </w:p>
    <w:p w14:paraId="650458F1" w14:textId="77777777" w:rsidR="006F3AE7" w:rsidRPr="00AD3E2A" w:rsidRDefault="006F3AE7" w:rsidP="006F3AE7">
      <w:pPr>
        <w:rPr>
          <w:rFonts w:cs="Arial"/>
          <w:b/>
          <w:sz w:val="22"/>
          <w:szCs w:val="22"/>
        </w:rPr>
      </w:pPr>
    </w:p>
    <w:p w14:paraId="72D4F036" w14:textId="6C452BDB" w:rsidR="006F3AE7" w:rsidRPr="00AD3E2A" w:rsidRDefault="000B2B57" w:rsidP="006F3AE7">
      <w:pPr>
        <w:rPr>
          <w:rFonts w:cs="Arial"/>
          <w:sz w:val="22"/>
          <w:szCs w:val="22"/>
        </w:rPr>
      </w:pPr>
      <w:r w:rsidRPr="00AD3E2A">
        <w:rPr>
          <w:rFonts w:cs="Arial"/>
          <w:sz w:val="22"/>
          <w:szCs w:val="22"/>
        </w:rPr>
        <w:t>The Land Degradation Neutrality (LDN) Fund seeks to be a source of transformative capital, bringing together public and private investors to fund triple bottom line projects that contribute to land degradation neutrality, a major global challenge that was officially set as part of the United Nations Sustainable Development Goals</w:t>
      </w:r>
      <w:r w:rsidR="0088387E" w:rsidRPr="00AD3E2A">
        <w:rPr>
          <w:rFonts w:cs="Arial"/>
          <w:sz w:val="22"/>
          <w:szCs w:val="22"/>
        </w:rPr>
        <w:t xml:space="preserve"> (SDGs)</w:t>
      </w:r>
      <w:r w:rsidRPr="00AD3E2A">
        <w:rPr>
          <w:rFonts w:cs="Arial"/>
          <w:sz w:val="22"/>
          <w:szCs w:val="22"/>
        </w:rPr>
        <w:t xml:space="preserve"> in September 2015.</w:t>
      </w:r>
      <w:r w:rsidR="002C5785" w:rsidRPr="00AD3E2A">
        <w:rPr>
          <w:rFonts w:cs="Arial"/>
          <w:sz w:val="22"/>
          <w:szCs w:val="22"/>
        </w:rPr>
        <w:t xml:space="preserve"> The LDN </w:t>
      </w:r>
      <w:r w:rsidR="00A46F2D" w:rsidRPr="00AD3E2A">
        <w:rPr>
          <w:rFonts w:cs="Arial"/>
          <w:sz w:val="22"/>
          <w:szCs w:val="22"/>
        </w:rPr>
        <w:t>F</w:t>
      </w:r>
      <w:r w:rsidR="002C5785" w:rsidRPr="00AD3E2A">
        <w:rPr>
          <w:rFonts w:cs="Arial"/>
          <w:sz w:val="22"/>
          <w:szCs w:val="22"/>
        </w:rPr>
        <w:t>und was initiated at UNCCD COP 13 in China in 2017 for a limited period of 15 years.</w:t>
      </w:r>
    </w:p>
    <w:p w14:paraId="702F5368" w14:textId="77777777" w:rsidR="002C5785" w:rsidRPr="00AD3E2A" w:rsidRDefault="002C5785" w:rsidP="006F3AE7">
      <w:pPr>
        <w:rPr>
          <w:rFonts w:cs="Arial"/>
          <w:sz w:val="22"/>
          <w:szCs w:val="22"/>
        </w:rPr>
      </w:pPr>
    </w:p>
    <w:p w14:paraId="6E103F93" w14:textId="73A3E85E" w:rsidR="006F3AE7" w:rsidRPr="00AD3E2A" w:rsidRDefault="002C5785" w:rsidP="04883426">
      <w:pPr>
        <w:rPr>
          <w:rFonts w:cs="Arial"/>
          <w:sz w:val="22"/>
          <w:szCs w:val="22"/>
        </w:rPr>
      </w:pPr>
      <w:r w:rsidRPr="00AD3E2A">
        <w:rPr>
          <w:rFonts w:cs="Arial"/>
          <w:sz w:val="22"/>
          <w:szCs w:val="22"/>
        </w:rPr>
        <w:t>The Fund focuse</w:t>
      </w:r>
      <w:r w:rsidR="00216699" w:rsidRPr="00AD3E2A">
        <w:rPr>
          <w:rFonts w:cs="Arial"/>
          <w:sz w:val="22"/>
          <w:szCs w:val="22"/>
        </w:rPr>
        <w:t>s</w:t>
      </w:r>
      <w:r w:rsidRPr="00AD3E2A">
        <w:rPr>
          <w:rFonts w:cs="Arial"/>
          <w:sz w:val="22"/>
          <w:szCs w:val="22"/>
        </w:rPr>
        <w:t xml:space="preserve"> on supporting land </w:t>
      </w:r>
      <w:r w:rsidR="0077675E">
        <w:rPr>
          <w:rFonts w:cs="Arial"/>
          <w:sz w:val="22"/>
          <w:szCs w:val="22"/>
        </w:rPr>
        <w:t>restoration</w:t>
      </w:r>
      <w:r w:rsidRPr="00AD3E2A">
        <w:rPr>
          <w:rFonts w:cs="Arial"/>
          <w:sz w:val="22"/>
          <w:szCs w:val="22"/>
        </w:rPr>
        <w:t xml:space="preserve"> and sustainable land use projects worldwide by providing financing opportunities that comply with high environmental and social standards, demonstrate additionality, and promise sustainable financial returns. The Fund does this through mobilising investment into large scale profit generating sustainable land management projects or via niche investment funds in developing countries.</w:t>
      </w:r>
    </w:p>
    <w:p w14:paraId="37D56357" w14:textId="487A175A" w:rsidR="04883426" w:rsidRPr="00AD3E2A" w:rsidRDefault="04883426" w:rsidP="60E67443">
      <w:pPr>
        <w:rPr>
          <w:rFonts w:cs="Arial"/>
          <w:sz w:val="22"/>
          <w:szCs w:val="22"/>
        </w:rPr>
      </w:pPr>
    </w:p>
    <w:p w14:paraId="17A9A246" w14:textId="01C19B88" w:rsidR="630B2619" w:rsidRPr="00AD3E2A" w:rsidRDefault="43204D90" w:rsidP="60E67443">
      <w:pPr>
        <w:jc w:val="both"/>
        <w:rPr>
          <w:rFonts w:cs="Arial"/>
          <w:sz w:val="22"/>
          <w:szCs w:val="22"/>
        </w:rPr>
      </w:pPr>
      <w:r w:rsidRPr="0759556C">
        <w:rPr>
          <w:rFonts w:cs="Arial"/>
          <w:sz w:val="22"/>
          <w:szCs w:val="22"/>
        </w:rPr>
        <w:t xml:space="preserve">After three years of preparatory work, the LDN Fund became fully operational in December 2018. </w:t>
      </w:r>
      <w:r w:rsidR="799165F8" w:rsidRPr="0759556C">
        <w:rPr>
          <w:rFonts w:cs="Arial"/>
          <w:sz w:val="22"/>
          <w:szCs w:val="22"/>
        </w:rPr>
        <w:t>As of end-year 202</w:t>
      </w:r>
      <w:r w:rsidR="653EE6F3" w:rsidRPr="0759556C">
        <w:rPr>
          <w:rFonts w:cs="Arial"/>
          <w:sz w:val="22"/>
          <w:szCs w:val="22"/>
        </w:rPr>
        <w:t>1</w:t>
      </w:r>
      <w:r w:rsidR="799165F8" w:rsidRPr="0759556C">
        <w:rPr>
          <w:rFonts w:cs="Arial"/>
          <w:sz w:val="22"/>
          <w:szCs w:val="22"/>
        </w:rPr>
        <w:t xml:space="preserve"> the key partners </w:t>
      </w:r>
      <w:r w:rsidR="008F0A0C">
        <w:rPr>
          <w:rFonts w:cs="Arial"/>
          <w:sz w:val="22"/>
          <w:szCs w:val="22"/>
        </w:rPr>
        <w:t>included</w:t>
      </w:r>
      <w:r w:rsidR="799165F8" w:rsidRPr="0759556C">
        <w:rPr>
          <w:rFonts w:cs="Arial"/>
          <w:sz w:val="22"/>
          <w:szCs w:val="22"/>
        </w:rPr>
        <w:t>:</w:t>
      </w:r>
    </w:p>
    <w:p w14:paraId="6E2CEE3E" w14:textId="30AAB295" w:rsidR="04883426" w:rsidRPr="00AD3E2A" w:rsidRDefault="04883426" w:rsidP="04883426">
      <w:pPr>
        <w:jc w:val="both"/>
        <w:rPr>
          <w:rFonts w:cs="Arial"/>
          <w:b/>
          <w:bCs/>
          <w:color w:val="FF0000"/>
          <w:sz w:val="22"/>
          <w:szCs w:val="22"/>
        </w:rPr>
      </w:pPr>
    </w:p>
    <w:tbl>
      <w:tblPr>
        <w:tblStyle w:val="TableGrid"/>
        <w:tblW w:w="0" w:type="auto"/>
        <w:tblLook w:val="04A0" w:firstRow="1" w:lastRow="0" w:firstColumn="1" w:lastColumn="0" w:noHBand="0" w:noVBand="1"/>
      </w:tblPr>
      <w:tblGrid>
        <w:gridCol w:w="2980"/>
        <w:gridCol w:w="2980"/>
        <w:gridCol w:w="2980"/>
      </w:tblGrid>
      <w:tr w:rsidR="008168EA" w:rsidRPr="00AD3E2A" w14:paraId="4E31EF9E" w14:textId="77777777" w:rsidTr="0096723E">
        <w:trPr>
          <w:trHeight w:val="192"/>
        </w:trPr>
        <w:tc>
          <w:tcPr>
            <w:tcW w:w="2980" w:type="dxa"/>
          </w:tcPr>
          <w:p w14:paraId="05841A67" w14:textId="77777777" w:rsidR="008168EA" w:rsidRPr="00AD3E2A" w:rsidRDefault="008168EA" w:rsidP="0096723E">
            <w:pPr>
              <w:jc w:val="both"/>
              <w:rPr>
                <w:rFonts w:cs="Arial"/>
                <w:b/>
                <w:bCs/>
                <w:sz w:val="22"/>
                <w:szCs w:val="22"/>
              </w:rPr>
            </w:pPr>
            <w:r w:rsidRPr="00AD3E2A">
              <w:rPr>
                <w:rFonts w:cs="Arial"/>
                <w:b/>
                <w:bCs/>
                <w:sz w:val="22"/>
                <w:szCs w:val="22"/>
              </w:rPr>
              <w:t>Public investors</w:t>
            </w:r>
          </w:p>
        </w:tc>
        <w:tc>
          <w:tcPr>
            <w:tcW w:w="2980" w:type="dxa"/>
          </w:tcPr>
          <w:p w14:paraId="37F5847C" w14:textId="77777777" w:rsidR="008168EA" w:rsidRPr="00AD3E2A" w:rsidRDefault="008168EA" w:rsidP="0096723E">
            <w:pPr>
              <w:jc w:val="both"/>
              <w:rPr>
                <w:rFonts w:cs="Arial"/>
                <w:b/>
                <w:bCs/>
                <w:sz w:val="22"/>
                <w:szCs w:val="22"/>
              </w:rPr>
            </w:pPr>
            <w:r w:rsidRPr="00AD3E2A">
              <w:rPr>
                <w:rFonts w:cs="Arial"/>
                <w:b/>
                <w:bCs/>
                <w:sz w:val="22"/>
                <w:szCs w:val="22"/>
              </w:rPr>
              <w:t>Private investors</w:t>
            </w:r>
          </w:p>
        </w:tc>
        <w:tc>
          <w:tcPr>
            <w:tcW w:w="2980" w:type="dxa"/>
          </w:tcPr>
          <w:p w14:paraId="60E8632F" w14:textId="77777777" w:rsidR="008168EA" w:rsidRPr="00AD3E2A" w:rsidRDefault="008168EA" w:rsidP="0096723E">
            <w:pPr>
              <w:jc w:val="both"/>
              <w:rPr>
                <w:rFonts w:cs="Arial"/>
                <w:b/>
                <w:bCs/>
                <w:sz w:val="22"/>
                <w:szCs w:val="22"/>
              </w:rPr>
            </w:pPr>
            <w:r w:rsidRPr="00AD3E2A">
              <w:rPr>
                <w:rFonts w:cs="Arial"/>
                <w:b/>
                <w:bCs/>
                <w:sz w:val="22"/>
                <w:szCs w:val="22"/>
              </w:rPr>
              <w:t>Other contributors</w:t>
            </w:r>
          </w:p>
        </w:tc>
      </w:tr>
      <w:tr w:rsidR="008168EA" w:rsidRPr="00AD3E2A" w14:paraId="5C671278" w14:textId="77777777" w:rsidTr="0096723E">
        <w:trPr>
          <w:trHeight w:val="2826"/>
        </w:trPr>
        <w:tc>
          <w:tcPr>
            <w:tcW w:w="2980" w:type="dxa"/>
          </w:tcPr>
          <w:p w14:paraId="6CC26FAA" w14:textId="77777777" w:rsidR="008168EA" w:rsidRPr="00AD3E2A" w:rsidRDefault="008168EA" w:rsidP="008168EA">
            <w:pPr>
              <w:pStyle w:val="ListParagraph"/>
              <w:numPr>
                <w:ilvl w:val="0"/>
                <w:numId w:val="12"/>
              </w:numPr>
              <w:ind w:left="170" w:hanging="170"/>
              <w:rPr>
                <w:rFonts w:eastAsiaTheme="minorEastAsia" w:cs="Arial"/>
                <w:sz w:val="22"/>
                <w:szCs w:val="22"/>
              </w:rPr>
            </w:pPr>
            <w:r w:rsidRPr="00AD3E2A">
              <w:rPr>
                <w:rFonts w:cs="Arial"/>
                <w:sz w:val="22"/>
                <w:szCs w:val="22"/>
              </w:rPr>
              <w:t>UK Government – Defra</w:t>
            </w:r>
          </w:p>
          <w:p w14:paraId="7A42C2D7" w14:textId="77777777" w:rsidR="008168EA" w:rsidRPr="00AD3E2A" w:rsidRDefault="008168EA" w:rsidP="008168EA">
            <w:pPr>
              <w:pStyle w:val="ListParagraph"/>
              <w:numPr>
                <w:ilvl w:val="0"/>
                <w:numId w:val="12"/>
              </w:numPr>
              <w:ind w:left="170" w:hanging="170"/>
              <w:rPr>
                <w:rFonts w:cs="Arial"/>
                <w:sz w:val="22"/>
                <w:szCs w:val="22"/>
              </w:rPr>
            </w:pPr>
            <w:r w:rsidRPr="00AD3E2A">
              <w:rPr>
                <w:rFonts w:cs="Arial"/>
                <w:sz w:val="22"/>
                <w:szCs w:val="22"/>
              </w:rPr>
              <w:t>Canadian Government</w:t>
            </w:r>
          </w:p>
          <w:p w14:paraId="6E39BC7F" w14:textId="77777777" w:rsidR="008168EA" w:rsidRPr="00AD3E2A" w:rsidRDefault="008168EA" w:rsidP="008168EA">
            <w:pPr>
              <w:pStyle w:val="ListParagraph"/>
              <w:numPr>
                <w:ilvl w:val="0"/>
                <w:numId w:val="12"/>
              </w:numPr>
              <w:ind w:left="170" w:hanging="170"/>
              <w:rPr>
                <w:rFonts w:cs="Arial"/>
                <w:sz w:val="22"/>
                <w:szCs w:val="22"/>
              </w:rPr>
            </w:pPr>
            <w:r w:rsidRPr="00AD3E2A">
              <w:rPr>
                <w:rFonts w:cs="Arial"/>
                <w:sz w:val="22"/>
                <w:szCs w:val="22"/>
              </w:rPr>
              <w:t>Government of Luxembourg</w:t>
            </w:r>
          </w:p>
          <w:p w14:paraId="380140DC" w14:textId="77777777" w:rsidR="008168EA" w:rsidRPr="00AD3E2A" w:rsidRDefault="008168EA" w:rsidP="008168EA">
            <w:pPr>
              <w:pStyle w:val="ListParagraph"/>
              <w:numPr>
                <w:ilvl w:val="0"/>
                <w:numId w:val="12"/>
              </w:numPr>
              <w:ind w:left="170" w:hanging="170"/>
              <w:rPr>
                <w:rFonts w:eastAsiaTheme="minorEastAsia" w:cs="Arial"/>
                <w:sz w:val="22"/>
                <w:szCs w:val="22"/>
              </w:rPr>
            </w:pPr>
            <w:r w:rsidRPr="00AD3E2A">
              <w:rPr>
                <w:rFonts w:cs="Arial"/>
                <w:sz w:val="22"/>
                <w:szCs w:val="22"/>
              </w:rPr>
              <w:t>The French Development Agency</w:t>
            </w:r>
          </w:p>
          <w:p w14:paraId="232200FB" w14:textId="77777777" w:rsidR="008168EA" w:rsidRPr="00AD3E2A" w:rsidRDefault="008168EA" w:rsidP="008168EA">
            <w:pPr>
              <w:pStyle w:val="ListParagraph"/>
              <w:numPr>
                <w:ilvl w:val="0"/>
                <w:numId w:val="12"/>
              </w:numPr>
              <w:ind w:left="170" w:hanging="170"/>
              <w:rPr>
                <w:rFonts w:cs="Arial"/>
                <w:sz w:val="22"/>
                <w:szCs w:val="22"/>
              </w:rPr>
            </w:pPr>
            <w:r w:rsidRPr="00AD3E2A">
              <w:rPr>
                <w:rFonts w:cs="Arial"/>
                <w:sz w:val="22"/>
                <w:szCs w:val="22"/>
              </w:rPr>
              <w:t>The European Investment Bank</w:t>
            </w:r>
          </w:p>
          <w:p w14:paraId="6A8C547A" w14:textId="77777777" w:rsidR="008168EA" w:rsidRPr="00AD3E2A" w:rsidRDefault="008168EA" w:rsidP="008168EA">
            <w:pPr>
              <w:pStyle w:val="ListParagraph"/>
              <w:numPr>
                <w:ilvl w:val="0"/>
                <w:numId w:val="12"/>
              </w:numPr>
              <w:ind w:left="170" w:hanging="170"/>
              <w:rPr>
                <w:rFonts w:cs="Arial"/>
                <w:sz w:val="22"/>
                <w:szCs w:val="22"/>
              </w:rPr>
            </w:pPr>
            <w:r w:rsidRPr="00AD3E2A">
              <w:rPr>
                <w:rFonts w:cs="Arial"/>
                <w:sz w:val="22"/>
                <w:szCs w:val="22"/>
              </w:rPr>
              <w:t>The Global Environment Fund</w:t>
            </w:r>
          </w:p>
        </w:tc>
        <w:tc>
          <w:tcPr>
            <w:tcW w:w="2980" w:type="dxa"/>
          </w:tcPr>
          <w:p w14:paraId="43538677" w14:textId="11418450" w:rsidR="008168EA" w:rsidRPr="00AD3E2A" w:rsidRDefault="0056714C" w:rsidP="008168EA">
            <w:pPr>
              <w:pStyle w:val="ListParagraph"/>
              <w:numPr>
                <w:ilvl w:val="0"/>
                <w:numId w:val="11"/>
              </w:numPr>
              <w:ind w:left="170" w:hanging="170"/>
              <w:rPr>
                <w:rFonts w:cs="Arial"/>
                <w:sz w:val="22"/>
                <w:szCs w:val="22"/>
              </w:rPr>
            </w:pPr>
            <w:r w:rsidRPr="007A6B89">
              <w:rPr>
                <w:rStyle w:val="cf01"/>
                <w:rFonts w:ascii="Arial" w:hAnsi="Arial" w:cs="Arial"/>
                <w:sz w:val="22"/>
                <w:szCs w:val="22"/>
              </w:rPr>
              <w:t>Various institutional investors, such as insurance companies and pension funds.</w:t>
            </w:r>
          </w:p>
        </w:tc>
        <w:tc>
          <w:tcPr>
            <w:tcW w:w="2980" w:type="dxa"/>
          </w:tcPr>
          <w:p w14:paraId="765A69F4" w14:textId="77777777" w:rsidR="008168EA" w:rsidRPr="00AD3E2A" w:rsidRDefault="008168EA" w:rsidP="0096723E">
            <w:pPr>
              <w:rPr>
                <w:rFonts w:cs="Arial"/>
                <w:b/>
                <w:bCs/>
                <w:sz w:val="22"/>
                <w:szCs w:val="22"/>
              </w:rPr>
            </w:pPr>
            <w:r w:rsidRPr="00AD3E2A">
              <w:rPr>
                <w:rFonts w:cs="Arial"/>
                <w:b/>
                <w:bCs/>
                <w:sz w:val="22"/>
                <w:szCs w:val="22"/>
              </w:rPr>
              <w:t xml:space="preserve">Co-promotors: </w:t>
            </w:r>
          </w:p>
          <w:p w14:paraId="059FB6F9" w14:textId="77777777" w:rsidR="008168EA" w:rsidRPr="00AD3E2A" w:rsidRDefault="008168EA" w:rsidP="008168EA">
            <w:pPr>
              <w:pStyle w:val="ListParagraph"/>
              <w:numPr>
                <w:ilvl w:val="0"/>
                <w:numId w:val="13"/>
              </w:numPr>
              <w:ind w:left="170" w:hanging="170"/>
              <w:rPr>
                <w:rFonts w:eastAsiaTheme="minorEastAsia" w:cs="Arial"/>
                <w:sz w:val="22"/>
                <w:szCs w:val="22"/>
              </w:rPr>
            </w:pPr>
            <w:r w:rsidRPr="00AD3E2A">
              <w:rPr>
                <w:rFonts w:cs="Arial"/>
                <w:sz w:val="22"/>
                <w:szCs w:val="22"/>
              </w:rPr>
              <w:t>The United Nations Convention to Combat Desertification (UNCCD)</w:t>
            </w:r>
          </w:p>
          <w:p w14:paraId="5B3B0F59" w14:textId="77777777" w:rsidR="008168EA" w:rsidRPr="00AD3E2A" w:rsidRDefault="008168EA" w:rsidP="008168EA">
            <w:pPr>
              <w:pStyle w:val="ListParagraph"/>
              <w:numPr>
                <w:ilvl w:val="0"/>
                <w:numId w:val="13"/>
              </w:numPr>
              <w:ind w:left="170" w:hanging="170"/>
              <w:rPr>
                <w:rFonts w:cs="Arial"/>
                <w:sz w:val="22"/>
                <w:szCs w:val="22"/>
              </w:rPr>
            </w:pPr>
            <w:proofErr w:type="spellStart"/>
            <w:r w:rsidRPr="00AD3E2A">
              <w:rPr>
                <w:rFonts w:cs="Arial"/>
                <w:sz w:val="22"/>
                <w:szCs w:val="22"/>
              </w:rPr>
              <w:t>Mirova</w:t>
            </w:r>
            <w:proofErr w:type="spellEnd"/>
          </w:p>
          <w:p w14:paraId="03C8BF93" w14:textId="77777777" w:rsidR="008168EA" w:rsidRPr="00AD3E2A" w:rsidRDefault="008168EA" w:rsidP="0096723E">
            <w:pPr>
              <w:rPr>
                <w:rFonts w:cs="Arial"/>
                <w:b/>
                <w:bCs/>
                <w:sz w:val="22"/>
                <w:szCs w:val="22"/>
              </w:rPr>
            </w:pPr>
            <w:r w:rsidRPr="00AD3E2A">
              <w:rPr>
                <w:rFonts w:cs="Arial"/>
                <w:b/>
                <w:bCs/>
                <w:sz w:val="22"/>
                <w:szCs w:val="22"/>
              </w:rPr>
              <w:t>Sourcing and Impact</w:t>
            </w:r>
          </w:p>
          <w:p w14:paraId="476A0FA4" w14:textId="77777777" w:rsidR="008168EA" w:rsidRPr="00AD3E2A" w:rsidRDefault="008168EA" w:rsidP="008168EA">
            <w:pPr>
              <w:pStyle w:val="ListParagraph"/>
              <w:numPr>
                <w:ilvl w:val="0"/>
                <w:numId w:val="35"/>
              </w:numPr>
              <w:ind w:left="170" w:hanging="170"/>
              <w:rPr>
                <w:rFonts w:cs="Arial"/>
                <w:b/>
                <w:bCs/>
                <w:sz w:val="22"/>
                <w:szCs w:val="22"/>
              </w:rPr>
            </w:pPr>
            <w:r w:rsidRPr="00AD3E2A">
              <w:rPr>
                <w:rFonts w:cs="Arial"/>
                <w:sz w:val="22"/>
                <w:szCs w:val="22"/>
              </w:rPr>
              <w:t>WWF</w:t>
            </w:r>
          </w:p>
          <w:p w14:paraId="4AE6EAFB" w14:textId="77777777" w:rsidR="008168EA" w:rsidRPr="00AD3E2A" w:rsidRDefault="008168EA" w:rsidP="0096723E">
            <w:pPr>
              <w:rPr>
                <w:rFonts w:cs="Arial"/>
                <w:b/>
                <w:bCs/>
                <w:sz w:val="22"/>
                <w:szCs w:val="22"/>
              </w:rPr>
            </w:pPr>
            <w:r w:rsidRPr="00AD3E2A">
              <w:rPr>
                <w:rFonts w:cs="Arial"/>
                <w:b/>
                <w:bCs/>
                <w:sz w:val="22"/>
                <w:szCs w:val="22"/>
              </w:rPr>
              <w:t>Technical Assistance</w:t>
            </w:r>
          </w:p>
          <w:p w14:paraId="17D18850" w14:textId="77777777" w:rsidR="008168EA" w:rsidRPr="00AD3E2A" w:rsidRDefault="008168EA" w:rsidP="008168EA">
            <w:pPr>
              <w:pStyle w:val="ListParagraph"/>
              <w:numPr>
                <w:ilvl w:val="0"/>
                <w:numId w:val="43"/>
              </w:numPr>
              <w:spacing w:after="0"/>
              <w:ind w:left="170" w:hanging="170"/>
              <w:rPr>
                <w:rFonts w:cs="Arial"/>
                <w:sz w:val="22"/>
                <w:szCs w:val="22"/>
              </w:rPr>
            </w:pPr>
            <w:r w:rsidRPr="00AD3E2A">
              <w:rPr>
                <w:rFonts w:cs="Arial"/>
                <w:sz w:val="22"/>
                <w:szCs w:val="22"/>
              </w:rPr>
              <w:t>IDH – The Sustainable Trade Initiative</w:t>
            </w:r>
          </w:p>
        </w:tc>
      </w:tr>
    </w:tbl>
    <w:p w14:paraId="39E54464" w14:textId="46FC10D3" w:rsidR="008168EA" w:rsidRPr="00AD3E2A" w:rsidRDefault="008168EA" w:rsidP="60E67443">
      <w:pPr>
        <w:rPr>
          <w:rFonts w:cs="Arial"/>
          <w:sz w:val="22"/>
          <w:szCs w:val="22"/>
          <w:lang w:eastAsia="en-GB"/>
        </w:rPr>
      </w:pPr>
    </w:p>
    <w:p w14:paraId="6BE4C56D" w14:textId="77777777" w:rsidR="00801FE2" w:rsidRPr="00AD3E2A" w:rsidRDefault="00801FE2" w:rsidP="00801FE2">
      <w:pPr>
        <w:rPr>
          <w:rFonts w:cs="Arial"/>
          <w:sz w:val="22"/>
          <w:szCs w:val="22"/>
        </w:rPr>
      </w:pPr>
      <w:r w:rsidRPr="00AD3E2A">
        <w:rPr>
          <w:rFonts w:cs="Arial"/>
          <w:sz w:val="22"/>
          <w:szCs w:val="22"/>
        </w:rPr>
        <w:t>As of end-year 2021, LDN had invested in the following projects:</w:t>
      </w:r>
    </w:p>
    <w:p w14:paraId="4276E3CE" w14:textId="77777777" w:rsidR="00801FE2" w:rsidRPr="00AD3E2A" w:rsidRDefault="00801FE2" w:rsidP="00801FE2">
      <w:pPr>
        <w:rPr>
          <w:rFonts w:cs="Arial"/>
          <w:sz w:val="22"/>
          <w:szCs w:val="22"/>
        </w:rPr>
      </w:pPr>
    </w:p>
    <w:p w14:paraId="660E1D64" w14:textId="58CE1BAF" w:rsidR="00801FE2" w:rsidRPr="00AD3E2A" w:rsidRDefault="00801FE2" w:rsidP="00AD3E2A">
      <w:pPr>
        <w:pStyle w:val="ListParagraph"/>
        <w:numPr>
          <w:ilvl w:val="0"/>
          <w:numId w:val="35"/>
        </w:numPr>
        <w:rPr>
          <w:rFonts w:cs="Arial"/>
          <w:sz w:val="22"/>
          <w:szCs w:val="22"/>
        </w:rPr>
      </w:pPr>
      <w:r w:rsidRPr="00AD3E2A">
        <w:rPr>
          <w:rFonts w:cs="Arial"/>
          <w:sz w:val="22"/>
          <w:szCs w:val="22"/>
        </w:rPr>
        <w:t xml:space="preserve">Mountain hazelnuts (Bhutan; </w:t>
      </w:r>
      <w:r w:rsidR="008F0A0C">
        <w:rPr>
          <w:rFonts w:cs="Arial"/>
          <w:sz w:val="22"/>
          <w:szCs w:val="22"/>
        </w:rPr>
        <w:t xml:space="preserve">main product: </w:t>
      </w:r>
      <w:r w:rsidRPr="00AD3E2A">
        <w:rPr>
          <w:rFonts w:cs="Arial"/>
          <w:sz w:val="22"/>
          <w:szCs w:val="22"/>
        </w:rPr>
        <w:t>hazelnuts)</w:t>
      </w:r>
    </w:p>
    <w:p w14:paraId="468A7113" w14:textId="26E02387" w:rsidR="00801FE2" w:rsidRPr="00AD3E2A" w:rsidRDefault="00801FE2" w:rsidP="00AD3E2A">
      <w:pPr>
        <w:pStyle w:val="ListParagraph"/>
        <w:numPr>
          <w:ilvl w:val="0"/>
          <w:numId w:val="35"/>
        </w:numPr>
        <w:rPr>
          <w:rFonts w:cs="Arial"/>
          <w:sz w:val="22"/>
          <w:szCs w:val="22"/>
        </w:rPr>
      </w:pPr>
      <w:proofErr w:type="spellStart"/>
      <w:r w:rsidRPr="00AD3E2A">
        <w:rPr>
          <w:rFonts w:cs="Arial"/>
          <w:sz w:val="22"/>
          <w:szCs w:val="22"/>
        </w:rPr>
        <w:t>Urapi</w:t>
      </w:r>
      <w:proofErr w:type="spellEnd"/>
      <w:r w:rsidRPr="00AD3E2A">
        <w:rPr>
          <w:rFonts w:cs="Arial"/>
          <w:sz w:val="22"/>
          <w:szCs w:val="22"/>
        </w:rPr>
        <w:t xml:space="preserve"> Sustainable Land Use (Peru and Colombia; </w:t>
      </w:r>
      <w:r w:rsidR="008F0A0C">
        <w:rPr>
          <w:rFonts w:cs="Arial"/>
          <w:sz w:val="22"/>
          <w:szCs w:val="22"/>
        </w:rPr>
        <w:t xml:space="preserve">main product: </w:t>
      </w:r>
      <w:r w:rsidRPr="00AD3E2A">
        <w:rPr>
          <w:rFonts w:cs="Arial"/>
          <w:sz w:val="22"/>
          <w:szCs w:val="22"/>
        </w:rPr>
        <w:t>coffee, cocoa, nuts)</w:t>
      </w:r>
    </w:p>
    <w:p w14:paraId="4820C762" w14:textId="27C3D7B7" w:rsidR="00801FE2" w:rsidRPr="00AD3E2A" w:rsidRDefault="00801FE2" w:rsidP="00AD3E2A">
      <w:pPr>
        <w:pStyle w:val="ListParagraph"/>
        <w:numPr>
          <w:ilvl w:val="0"/>
          <w:numId w:val="35"/>
        </w:numPr>
        <w:rPr>
          <w:rFonts w:cs="Arial"/>
          <w:sz w:val="22"/>
          <w:szCs w:val="22"/>
        </w:rPr>
      </w:pPr>
      <w:r w:rsidRPr="00AD3E2A">
        <w:rPr>
          <w:rFonts w:cs="Arial"/>
          <w:sz w:val="22"/>
          <w:szCs w:val="22"/>
        </w:rPr>
        <w:lastRenderedPageBreak/>
        <w:t>Miro Forestry (Ghana and Sierra Leone;</w:t>
      </w:r>
      <w:r w:rsidR="008F0A0C" w:rsidRPr="008F0A0C">
        <w:rPr>
          <w:rFonts w:cs="Arial"/>
          <w:sz w:val="22"/>
          <w:szCs w:val="22"/>
        </w:rPr>
        <w:t xml:space="preserve"> </w:t>
      </w:r>
      <w:r w:rsidR="008F0A0C">
        <w:rPr>
          <w:rFonts w:cs="Arial"/>
          <w:sz w:val="22"/>
          <w:szCs w:val="22"/>
        </w:rPr>
        <w:t>main product:</w:t>
      </w:r>
      <w:r w:rsidRPr="00AD3E2A">
        <w:rPr>
          <w:rFonts w:cs="Arial"/>
          <w:sz w:val="22"/>
          <w:szCs w:val="22"/>
        </w:rPr>
        <w:t xml:space="preserve"> timber)</w:t>
      </w:r>
    </w:p>
    <w:p w14:paraId="2C8DE081" w14:textId="48BA9AD8" w:rsidR="00801FE2" w:rsidRPr="00AD3E2A" w:rsidRDefault="00801FE2" w:rsidP="00AD3E2A">
      <w:pPr>
        <w:pStyle w:val="ListParagraph"/>
        <w:numPr>
          <w:ilvl w:val="0"/>
          <w:numId w:val="35"/>
        </w:numPr>
        <w:rPr>
          <w:rFonts w:cs="Arial"/>
          <w:sz w:val="22"/>
          <w:szCs w:val="22"/>
        </w:rPr>
      </w:pPr>
      <w:proofErr w:type="spellStart"/>
      <w:r w:rsidRPr="00AD3E2A">
        <w:rPr>
          <w:rFonts w:cs="Arial"/>
          <w:sz w:val="22"/>
          <w:szCs w:val="22"/>
        </w:rPr>
        <w:t>Komaza</w:t>
      </w:r>
      <w:proofErr w:type="spellEnd"/>
      <w:r w:rsidRPr="00AD3E2A">
        <w:rPr>
          <w:rFonts w:cs="Arial"/>
          <w:sz w:val="22"/>
          <w:szCs w:val="22"/>
        </w:rPr>
        <w:t xml:space="preserve"> (Kenya;</w:t>
      </w:r>
      <w:r w:rsidR="008F0A0C" w:rsidRPr="008F0A0C">
        <w:rPr>
          <w:rFonts w:cs="Arial"/>
          <w:sz w:val="22"/>
          <w:szCs w:val="22"/>
        </w:rPr>
        <w:t xml:space="preserve"> </w:t>
      </w:r>
      <w:r w:rsidR="008F0A0C">
        <w:rPr>
          <w:rFonts w:cs="Arial"/>
          <w:sz w:val="22"/>
          <w:szCs w:val="22"/>
        </w:rPr>
        <w:t>main product:</w:t>
      </w:r>
      <w:r w:rsidRPr="00AD3E2A">
        <w:rPr>
          <w:rFonts w:cs="Arial"/>
          <w:sz w:val="22"/>
          <w:szCs w:val="22"/>
        </w:rPr>
        <w:t xml:space="preserve"> timber)</w:t>
      </w:r>
    </w:p>
    <w:p w14:paraId="59EA8FE6" w14:textId="19B241D6" w:rsidR="00801FE2" w:rsidRPr="00AD3E2A" w:rsidRDefault="00801FE2" w:rsidP="00AD3E2A">
      <w:pPr>
        <w:pStyle w:val="ListParagraph"/>
        <w:numPr>
          <w:ilvl w:val="0"/>
          <w:numId w:val="35"/>
        </w:numPr>
        <w:rPr>
          <w:rFonts w:cs="Arial"/>
          <w:sz w:val="22"/>
          <w:szCs w:val="22"/>
        </w:rPr>
      </w:pPr>
      <w:r w:rsidRPr="00AD3E2A">
        <w:rPr>
          <w:rFonts w:cs="Arial"/>
          <w:sz w:val="22"/>
          <w:szCs w:val="22"/>
        </w:rPr>
        <w:t xml:space="preserve">Cacao Oro (Nicaragua; </w:t>
      </w:r>
      <w:r w:rsidR="008F0A0C">
        <w:rPr>
          <w:rFonts w:cs="Arial"/>
          <w:sz w:val="22"/>
          <w:szCs w:val="22"/>
        </w:rPr>
        <w:t>main product:</w:t>
      </w:r>
      <w:r w:rsidR="008F0A0C">
        <w:rPr>
          <w:rFonts w:cs="Arial"/>
          <w:sz w:val="22"/>
          <w:szCs w:val="22"/>
        </w:rPr>
        <w:t xml:space="preserve"> </w:t>
      </w:r>
      <w:r w:rsidRPr="00AD3E2A">
        <w:rPr>
          <w:rFonts w:cs="Arial"/>
          <w:sz w:val="22"/>
          <w:szCs w:val="22"/>
        </w:rPr>
        <w:t>cocoa)</w:t>
      </w:r>
    </w:p>
    <w:p w14:paraId="7B0C1A73" w14:textId="5661B160" w:rsidR="00801FE2" w:rsidRPr="00AC4F89" w:rsidRDefault="00801FE2" w:rsidP="00801FE2">
      <w:pPr>
        <w:pStyle w:val="ListParagraph"/>
        <w:numPr>
          <w:ilvl w:val="0"/>
          <w:numId w:val="35"/>
        </w:numPr>
        <w:rPr>
          <w:rFonts w:cs="Arial"/>
          <w:sz w:val="22"/>
          <w:szCs w:val="22"/>
        </w:rPr>
      </w:pPr>
      <w:proofErr w:type="spellStart"/>
      <w:r w:rsidRPr="00AD3E2A">
        <w:rPr>
          <w:rFonts w:cs="Arial"/>
          <w:sz w:val="22"/>
          <w:szCs w:val="22"/>
        </w:rPr>
        <w:t>Burapha</w:t>
      </w:r>
      <w:proofErr w:type="spellEnd"/>
      <w:r w:rsidRPr="00AD3E2A">
        <w:rPr>
          <w:rFonts w:cs="Arial"/>
          <w:sz w:val="22"/>
          <w:szCs w:val="22"/>
        </w:rPr>
        <w:t xml:space="preserve"> (Laos;</w:t>
      </w:r>
      <w:r w:rsidR="008F0A0C" w:rsidRPr="008F0A0C">
        <w:rPr>
          <w:rFonts w:cs="Arial"/>
          <w:sz w:val="22"/>
          <w:szCs w:val="22"/>
        </w:rPr>
        <w:t xml:space="preserve"> </w:t>
      </w:r>
      <w:r w:rsidR="008F0A0C">
        <w:rPr>
          <w:rFonts w:cs="Arial"/>
          <w:sz w:val="22"/>
          <w:szCs w:val="22"/>
        </w:rPr>
        <w:t>main product:</w:t>
      </w:r>
      <w:r w:rsidRPr="00AD3E2A">
        <w:rPr>
          <w:rFonts w:cs="Arial"/>
          <w:sz w:val="22"/>
          <w:szCs w:val="22"/>
        </w:rPr>
        <w:t xml:space="preserve"> timber)</w:t>
      </w:r>
    </w:p>
    <w:p w14:paraId="1A5FA85D" w14:textId="77777777" w:rsidR="00801FE2" w:rsidRPr="00AD3E2A" w:rsidRDefault="00801FE2" w:rsidP="00801FE2">
      <w:pPr>
        <w:rPr>
          <w:rFonts w:cs="Arial"/>
          <w:sz w:val="22"/>
          <w:szCs w:val="22"/>
        </w:rPr>
      </w:pPr>
      <w:r w:rsidRPr="00AD3E2A">
        <w:rPr>
          <w:rFonts w:cs="Arial"/>
          <w:sz w:val="22"/>
          <w:szCs w:val="22"/>
        </w:rPr>
        <w:t xml:space="preserve">With investments agreed but not yet disbursed for: </w:t>
      </w:r>
    </w:p>
    <w:p w14:paraId="62CAB18E" w14:textId="77777777" w:rsidR="00801FE2" w:rsidRPr="00AD3E2A" w:rsidRDefault="00801FE2" w:rsidP="00801FE2">
      <w:pPr>
        <w:rPr>
          <w:rFonts w:cs="Arial"/>
          <w:sz w:val="22"/>
          <w:szCs w:val="22"/>
        </w:rPr>
      </w:pPr>
    </w:p>
    <w:p w14:paraId="150A7027" w14:textId="30285146" w:rsidR="00801FE2" w:rsidRPr="00AD3E2A" w:rsidRDefault="00801FE2" w:rsidP="00AD3E2A">
      <w:pPr>
        <w:pStyle w:val="ListParagraph"/>
        <w:numPr>
          <w:ilvl w:val="0"/>
          <w:numId w:val="44"/>
        </w:numPr>
        <w:rPr>
          <w:rFonts w:cs="Arial"/>
          <w:sz w:val="22"/>
          <w:szCs w:val="22"/>
        </w:rPr>
      </w:pPr>
      <w:r w:rsidRPr="00AD3E2A">
        <w:rPr>
          <w:rFonts w:cs="Arial"/>
          <w:sz w:val="22"/>
          <w:szCs w:val="22"/>
        </w:rPr>
        <w:t>Atlas Fruits (Morocco,</w:t>
      </w:r>
      <w:r w:rsidR="0056714C">
        <w:rPr>
          <w:rFonts w:cs="Arial"/>
          <w:sz w:val="22"/>
          <w:szCs w:val="22"/>
        </w:rPr>
        <w:t xml:space="preserve"> main product:</w:t>
      </w:r>
      <w:r w:rsidRPr="00AD3E2A">
        <w:rPr>
          <w:rFonts w:cs="Arial"/>
          <w:sz w:val="22"/>
          <w:szCs w:val="22"/>
        </w:rPr>
        <w:t xml:space="preserve"> citrus)</w:t>
      </w:r>
    </w:p>
    <w:p w14:paraId="7B323CF0" w14:textId="54B155BC" w:rsidR="00801FE2" w:rsidRPr="00AC4F89" w:rsidRDefault="00801FE2" w:rsidP="00801FE2">
      <w:pPr>
        <w:pStyle w:val="ListParagraph"/>
        <w:numPr>
          <w:ilvl w:val="0"/>
          <w:numId w:val="44"/>
        </w:numPr>
        <w:rPr>
          <w:rFonts w:cs="Arial"/>
          <w:sz w:val="22"/>
          <w:szCs w:val="22"/>
        </w:rPr>
      </w:pPr>
      <w:r w:rsidRPr="00AD3E2A">
        <w:rPr>
          <w:rFonts w:cs="Arial"/>
          <w:sz w:val="22"/>
          <w:szCs w:val="22"/>
        </w:rPr>
        <w:t xml:space="preserve">Aloe </w:t>
      </w:r>
      <w:proofErr w:type="spellStart"/>
      <w:r w:rsidRPr="00AD3E2A">
        <w:rPr>
          <w:rFonts w:cs="Arial"/>
          <w:sz w:val="22"/>
          <w:szCs w:val="22"/>
        </w:rPr>
        <w:t>Agroforestal</w:t>
      </w:r>
      <w:proofErr w:type="spellEnd"/>
      <w:r w:rsidRPr="00AD3E2A">
        <w:rPr>
          <w:rFonts w:cs="Arial"/>
          <w:sz w:val="22"/>
          <w:szCs w:val="22"/>
        </w:rPr>
        <w:t xml:space="preserve"> (Brazil, </w:t>
      </w:r>
      <w:r w:rsidR="0056714C">
        <w:rPr>
          <w:rFonts w:cs="Arial"/>
          <w:sz w:val="22"/>
          <w:szCs w:val="22"/>
        </w:rPr>
        <w:t xml:space="preserve">main product: </w:t>
      </w:r>
      <w:r w:rsidRPr="00AD3E2A">
        <w:rPr>
          <w:rFonts w:cs="Arial"/>
          <w:sz w:val="22"/>
          <w:szCs w:val="22"/>
        </w:rPr>
        <w:t>timber)</w:t>
      </w:r>
    </w:p>
    <w:p w14:paraId="5158C064" w14:textId="77777777" w:rsidR="00801FE2" w:rsidRPr="00AD3E2A" w:rsidRDefault="00801FE2" w:rsidP="00801FE2">
      <w:pPr>
        <w:rPr>
          <w:rFonts w:cs="Arial"/>
          <w:sz w:val="22"/>
          <w:szCs w:val="22"/>
        </w:rPr>
      </w:pPr>
      <w:r w:rsidRPr="00AD3E2A">
        <w:rPr>
          <w:rFonts w:cs="Arial"/>
          <w:sz w:val="22"/>
          <w:szCs w:val="22"/>
        </w:rPr>
        <w:t>And two further potential investments passing Investment Committee One (due to IC2 Q1 2022):</w:t>
      </w:r>
    </w:p>
    <w:p w14:paraId="54D9AA3F" w14:textId="77777777" w:rsidR="00801FE2" w:rsidRPr="00AD3E2A" w:rsidRDefault="00801FE2" w:rsidP="00801FE2">
      <w:pPr>
        <w:rPr>
          <w:rFonts w:cs="Arial"/>
          <w:sz w:val="22"/>
          <w:szCs w:val="22"/>
        </w:rPr>
      </w:pPr>
    </w:p>
    <w:p w14:paraId="3D651EA2" w14:textId="77777777" w:rsidR="00801FE2" w:rsidRPr="00AD3E2A" w:rsidRDefault="00801FE2" w:rsidP="00AD3E2A">
      <w:pPr>
        <w:pStyle w:val="ListParagraph"/>
        <w:numPr>
          <w:ilvl w:val="0"/>
          <w:numId w:val="45"/>
        </w:numPr>
        <w:rPr>
          <w:rFonts w:cs="Arial"/>
          <w:sz w:val="22"/>
          <w:szCs w:val="22"/>
        </w:rPr>
      </w:pPr>
      <w:r w:rsidRPr="00AD3E2A">
        <w:rPr>
          <w:rFonts w:cs="Arial"/>
          <w:sz w:val="22"/>
          <w:szCs w:val="22"/>
        </w:rPr>
        <w:t>Sustainable cocoa and bananas (Philippines)</w:t>
      </w:r>
    </w:p>
    <w:p w14:paraId="45A99EB7" w14:textId="34C74947" w:rsidR="0077675E" w:rsidRPr="0077675E" w:rsidRDefault="00801FE2" w:rsidP="0077675E">
      <w:pPr>
        <w:pStyle w:val="ListParagraph"/>
        <w:numPr>
          <w:ilvl w:val="0"/>
          <w:numId w:val="45"/>
        </w:numPr>
        <w:rPr>
          <w:rFonts w:cs="Arial"/>
          <w:sz w:val="22"/>
          <w:szCs w:val="22"/>
        </w:rPr>
      </w:pPr>
      <w:r w:rsidRPr="00AD3E2A">
        <w:rPr>
          <w:rFonts w:cs="Arial"/>
          <w:sz w:val="22"/>
          <w:szCs w:val="22"/>
        </w:rPr>
        <w:t>Natural ingredients for Quinine and Artemisinin (Madagascar)</w:t>
      </w:r>
    </w:p>
    <w:p w14:paraId="69294281" w14:textId="45932AFF" w:rsidR="006F3AE7" w:rsidRPr="00AD3E2A" w:rsidRDefault="25B96BF8" w:rsidP="60E67443">
      <w:pPr>
        <w:rPr>
          <w:rFonts w:cs="Arial"/>
          <w:sz w:val="22"/>
          <w:szCs w:val="22"/>
        </w:rPr>
      </w:pPr>
      <w:r w:rsidRPr="00AD3E2A">
        <w:rPr>
          <w:rFonts w:cs="Arial"/>
          <w:b/>
          <w:bCs/>
          <w:sz w:val="22"/>
          <w:szCs w:val="22"/>
        </w:rPr>
        <w:t>Summary supporting narrative for the overall score in this review</w:t>
      </w:r>
    </w:p>
    <w:p w14:paraId="0F22678A" w14:textId="59A97289" w:rsidR="006553B5" w:rsidRPr="00AD3E2A" w:rsidRDefault="006553B5" w:rsidP="60E67443">
      <w:pPr>
        <w:rPr>
          <w:rFonts w:cs="Arial"/>
          <w:sz w:val="22"/>
          <w:szCs w:val="22"/>
        </w:rPr>
      </w:pPr>
    </w:p>
    <w:p w14:paraId="2FB73A46" w14:textId="2365E21F" w:rsidR="006553B5" w:rsidRPr="00AD3E2A" w:rsidRDefault="67540273" w:rsidP="006F3AE7">
      <w:pPr>
        <w:rPr>
          <w:rFonts w:cs="Arial"/>
          <w:color w:val="FF0000"/>
          <w:sz w:val="22"/>
          <w:szCs w:val="22"/>
        </w:rPr>
      </w:pPr>
      <w:r w:rsidRPr="00AD3E2A">
        <w:rPr>
          <w:rFonts w:cs="Arial"/>
          <w:sz w:val="22"/>
          <w:szCs w:val="22"/>
        </w:rPr>
        <w:t xml:space="preserve">This is the </w:t>
      </w:r>
      <w:r w:rsidR="709B2DCB" w:rsidRPr="00AD3E2A">
        <w:rPr>
          <w:rFonts w:cs="Arial"/>
          <w:sz w:val="22"/>
          <w:szCs w:val="22"/>
        </w:rPr>
        <w:t xml:space="preserve">second </w:t>
      </w:r>
      <w:r w:rsidRPr="00AD3E2A">
        <w:rPr>
          <w:rFonts w:cs="Arial"/>
          <w:sz w:val="22"/>
          <w:szCs w:val="22"/>
        </w:rPr>
        <w:t xml:space="preserve">annual review of the fund and therefore the </w:t>
      </w:r>
      <w:r w:rsidR="6F401120" w:rsidRPr="00AD3E2A">
        <w:rPr>
          <w:rFonts w:cs="Arial"/>
          <w:sz w:val="22"/>
          <w:szCs w:val="22"/>
        </w:rPr>
        <w:t xml:space="preserve">second </w:t>
      </w:r>
      <w:r w:rsidRPr="00AD3E2A">
        <w:rPr>
          <w:rFonts w:cs="Arial"/>
          <w:sz w:val="22"/>
          <w:szCs w:val="22"/>
        </w:rPr>
        <w:t>year where logframe results are reported</w:t>
      </w:r>
      <w:r w:rsidRPr="00AD3E2A">
        <w:rPr>
          <w:rFonts w:cs="Arial"/>
          <w:color w:val="FF0000"/>
          <w:sz w:val="22"/>
          <w:szCs w:val="22"/>
        </w:rPr>
        <w:t xml:space="preserve">. </w:t>
      </w:r>
      <w:r w:rsidRPr="00AD3E2A">
        <w:rPr>
          <w:rFonts w:cs="Arial"/>
          <w:sz w:val="22"/>
          <w:szCs w:val="22"/>
        </w:rPr>
        <w:t>Understandably results for some of the outputs and outcomes are not yet available so a light touch narrative report of progress has been made where no quantifiable results are available.</w:t>
      </w:r>
      <w:r w:rsidR="00B73A62" w:rsidRPr="00AD3E2A">
        <w:rPr>
          <w:rFonts w:cs="Arial"/>
          <w:sz w:val="22"/>
          <w:szCs w:val="22"/>
        </w:rPr>
        <w:t xml:space="preserve"> From 2022 milestones will be set for most outcomes and outputs as detailed below, but in this </w:t>
      </w:r>
      <w:r w:rsidR="00F607F8" w:rsidRPr="00AD3E2A">
        <w:rPr>
          <w:rFonts w:cs="Arial"/>
          <w:sz w:val="22"/>
          <w:szCs w:val="22"/>
        </w:rPr>
        <w:t>report,</w:t>
      </w:r>
      <w:r w:rsidR="00B73A62" w:rsidRPr="00AD3E2A">
        <w:rPr>
          <w:rFonts w:cs="Arial"/>
          <w:sz w:val="22"/>
          <w:szCs w:val="22"/>
        </w:rPr>
        <w:t xml:space="preserve"> results are simply compared with </w:t>
      </w:r>
      <w:r w:rsidR="00007E8C" w:rsidRPr="00AD3E2A">
        <w:rPr>
          <w:rFonts w:cs="Arial"/>
          <w:sz w:val="22"/>
          <w:szCs w:val="22"/>
        </w:rPr>
        <w:t>2019 (the first year of investment) and 2020 figures to show progress</w:t>
      </w:r>
      <w:r w:rsidR="00B73A62" w:rsidRPr="00AD3E2A">
        <w:rPr>
          <w:rFonts w:cs="Arial"/>
          <w:sz w:val="22"/>
          <w:szCs w:val="22"/>
        </w:rPr>
        <w:t>.</w:t>
      </w:r>
    </w:p>
    <w:p w14:paraId="09434F65" w14:textId="77777777" w:rsidR="00264D9C" w:rsidRPr="00AD3E2A" w:rsidRDefault="00264D9C" w:rsidP="006F3AE7">
      <w:pPr>
        <w:spacing w:before="40" w:after="40"/>
        <w:rPr>
          <w:rFonts w:cs="Arial"/>
          <w:color w:val="FF0000"/>
          <w:sz w:val="22"/>
          <w:szCs w:val="22"/>
        </w:rPr>
      </w:pPr>
    </w:p>
    <w:p w14:paraId="2BC56662" w14:textId="6DFA5052" w:rsidR="006553B5" w:rsidRPr="00AD3E2A" w:rsidRDefault="5F834810" w:rsidP="60E67443">
      <w:pPr>
        <w:tabs>
          <w:tab w:val="left" w:pos="6915"/>
          <w:tab w:val="left" w:pos="9495"/>
        </w:tabs>
        <w:rPr>
          <w:rFonts w:cs="Arial"/>
          <w:b/>
          <w:bCs/>
          <w:color w:val="000000" w:themeColor="text1"/>
          <w:sz w:val="22"/>
          <w:szCs w:val="22"/>
        </w:rPr>
      </w:pPr>
      <w:r w:rsidRPr="00AD3E2A">
        <w:rPr>
          <w:rFonts w:cs="Arial"/>
          <w:b/>
          <w:bCs/>
          <w:color w:val="000000" w:themeColor="text1"/>
          <w:sz w:val="22"/>
          <w:szCs w:val="22"/>
        </w:rPr>
        <w:t xml:space="preserve">Progress on recommendations from previous AR: </w:t>
      </w:r>
    </w:p>
    <w:p w14:paraId="2C549B99" w14:textId="77777777" w:rsidR="00B73A62" w:rsidRPr="00AD3E2A" w:rsidRDefault="00B73A62" w:rsidP="00B73A62">
      <w:pPr>
        <w:tabs>
          <w:tab w:val="left" w:pos="6915"/>
          <w:tab w:val="left" w:pos="9495"/>
        </w:tabs>
        <w:rPr>
          <w:rFonts w:cs="Arial"/>
          <w:color w:val="000000" w:themeColor="text1"/>
          <w:sz w:val="22"/>
          <w:szCs w:val="22"/>
        </w:rPr>
      </w:pPr>
    </w:p>
    <w:p w14:paraId="3F12F7F9" w14:textId="3B599695" w:rsidR="006553B5" w:rsidRPr="00AD3E2A" w:rsidRDefault="67540273" w:rsidP="60E67443">
      <w:pPr>
        <w:pStyle w:val="ListParagraph"/>
        <w:numPr>
          <w:ilvl w:val="0"/>
          <w:numId w:val="34"/>
        </w:numPr>
        <w:tabs>
          <w:tab w:val="left" w:pos="6915"/>
          <w:tab w:val="left" w:pos="9495"/>
        </w:tabs>
        <w:rPr>
          <w:rFonts w:cs="Arial"/>
          <w:color w:val="000000" w:themeColor="text1"/>
          <w:sz w:val="22"/>
          <w:szCs w:val="22"/>
        </w:rPr>
      </w:pPr>
      <w:r w:rsidRPr="00AD3E2A">
        <w:rPr>
          <w:rFonts w:cs="Arial"/>
          <w:color w:val="000000" w:themeColor="text1"/>
          <w:sz w:val="22"/>
          <w:szCs w:val="22"/>
        </w:rPr>
        <w:t>The</w:t>
      </w:r>
      <w:r w:rsidR="4D5461C3" w:rsidRPr="00AD3E2A">
        <w:rPr>
          <w:rFonts w:cs="Arial"/>
          <w:color w:val="000000" w:themeColor="text1"/>
          <w:sz w:val="22"/>
          <w:szCs w:val="22"/>
        </w:rPr>
        <w:t xml:space="preserve"> </w:t>
      </w:r>
      <w:r w:rsidR="4FDAFD69" w:rsidRPr="00AD3E2A">
        <w:rPr>
          <w:rFonts w:cs="Arial"/>
          <w:color w:val="000000" w:themeColor="text1"/>
          <w:sz w:val="22"/>
          <w:szCs w:val="22"/>
        </w:rPr>
        <w:t>F</w:t>
      </w:r>
      <w:r w:rsidR="4D5461C3" w:rsidRPr="00AD3E2A">
        <w:rPr>
          <w:rFonts w:cs="Arial"/>
          <w:color w:val="000000" w:themeColor="text1"/>
          <w:sz w:val="22"/>
          <w:szCs w:val="22"/>
        </w:rPr>
        <w:t xml:space="preserve">und </w:t>
      </w:r>
      <w:r w:rsidR="53C03438" w:rsidRPr="00AD3E2A">
        <w:rPr>
          <w:rFonts w:cs="Arial"/>
          <w:color w:val="000000" w:themeColor="text1"/>
          <w:sz w:val="22"/>
          <w:szCs w:val="22"/>
        </w:rPr>
        <w:t xml:space="preserve">is </w:t>
      </w:r>
      <w:r w:rsidR="4D5461C3" w:rsidRPr="00AD3E2A">
        <w:rPr>
          <w:rFonts w:cs="Arial"/>
          <w:color w:val="000000" w:themeColor="text1"/>
          <w:sz w:val="22"/>
          <w:szCs w:val="22"/>
        </w:rPr>
        <w:t xml:space="preserve">in the process of developing baselines for the indicators in the Defra logframe working with IDH, who </w:t>
      </w:r>
      <w:r w:rsidR="7322493E" w:rsidRPr="00AD3E2A">
        <w:rPr>
          <w:rFonts w:cs="Arial"/>
          <w:color w:val="000000" w:themeColor="text1"/>
          <w:sz w:val="22"/>
          <w:szCs w:val="22"/>
        </w:rPr>
        <w:t>manage</w:t>
      </w:r>
      <w:r w:rsidR="4D5461C3" w:rsidRPr="00AD3E2A">
        <w:rPr>
          <w:rFonts w:cs="Arial"/>
          <w:color w:val="000000" w:themeColor="text1"/>
          <w:sz w:val="22"/>
          <w:szCs w:val="22"/>
        </w:rPr>
        <w:t xml:space="preserve"> the technical assistance</w:t>
      </w:r>
      <w:r w:rsidR="7322493E" w:rsidRPr="00AD3E2A">
        <w:rPr>
          <w:rFonts w:cs="Arial"/>
          <w:color w:val="000000" w:themeColor="text1"/>
          <w:sz w:val="22"/>
          <w:szCs w:val="22"/>
        </w:rPr>
        <w:t xml:space="preserve"> </w:t>
      </w:r>
      <w:r w:rsidR="00812115" w:rsidRPr="00AD3E2A">
        <w:rPr>
          <w:rFonts w:cs="Arial"/>
          <w:color w:val="000000" w:themeColor="text1"/>
          <w:sz w:val="22"/>
          <w:szCs w:val="22"/>
        </w:rPr>
        <w:t>facility</w:t>
      </w:r>
      <w:r w:rsidR="4D5461C3" w:rsidRPr="00AD3E2A">
        <w:rPr>
          <w:rFonts w:cs="Arial"/>
          <w:color w:val="000000" w:themeColor="text1"/>
          <w:sz w:val="22"/>
          <w:szCs w:val="22"/>
        </w:rPr>
        <w:t xml:space="preserve"> </w:t>
      </w:r>
      <w:r w:rsidR="7322493E" w:rsidRPr="00AD3E2A">
        <w:rPr>
          <w:rFonts w:cs="Arial"/>
          <w:color w:val="000000" w:themeColor="text1"/>
          <w:sz w:val="22"/>
          <w:szCs w:val="22"/>
        </w:rPr>
        <w:t>for</w:t>
      </w:r>
      <w:r w:rsidR="4D5461C3" w:rsidRPr="00AD3E2A">
        <w:rPr>
          <w:rFonts w:cs="Arial"/>
          <w:color w:val="000000" w:themeColor="text1"/>
          <w:sz w:val="22"/>
          <w:szCs w:val="22"/>
        </w:rPr>
        <w:t xml:space="preserve"> the fund. It is</w:t>
      </w:r>
      <w:r w:rsidR="5FB14ED1" w:rsidRPr="00AD3E2A">
        <w:rPr>
          <w:rFonts w:cs="Arial"/>
          <w:color w:val="000000" w:themeColor="text1"/>
          <w:sz w:val="22"/>
          <w:szCs w:val="22"/>
        </w:rPr>
        <w:t xml:space="preserve"> </w:t>
      </w:r>
      <w:r w:rsidR="4D5461C3" w:rsidRPr="00AD3E2A">
        <w:rPr>
          <w:rFonts w:cs="Arial"/>
          <w:color w:val="000000" w:themeColor="text1"/>
          <w:sz w:val="22"/>
          <w:szCs w:val="22"/>
        </w:rPr>
        <w:t>recommended that these be shared with Defra for review</w:t>
      </w:r>
      <w:r w:rsidR="3FE2D56A" w:rsidRPr="00AD3E2A">
        <w:rPr>
          <w:rFonts w:cs="Arial"/>
          <w:color w:val="000000" w:themeColor="text1"/>
          <w:sz w:val="22"/>
          <w:szCs w:val="22"/>
        </w:rPr>
        <w:t xml:space="preserve"> as soon as they are developed.</w:t>
      </w:r>
      <w:r w:rsidR="4D5461C3" w:rsidRPr="00AD3E2A">
        <w:rPr>
          <w:rFonts w:cs="Arial"/>
          <w:color w:val="000000" w:themeColor="text1"/>
          <w:sz w:val="22"/>
          <w:szCs w:val="22"/>
        </w:rPr>
        <w:t xml:space="preserve"> </w:t>
      </w:r>
    </w:p>
    <w:p w14:paraId="33A33ECE" w14:textId="5A6256D5" w:rsidR="15F8F7AF" w:rsidRPr="00AD3E2A" w:rsidRDefault="15F8F7AF" w:rsidP="60E67443">
      <w:pPr>
        <w:tabs>
          <w:tab w:val="left" w:pos="6915"/>
          <w:tab w:val="left" w:pos="9495"/>
        </w:tabs>
        <w:ind w:left="720"/>
        <w:rPr>
          <w:rFonts w:cs="Arial"/>
          <w:i/>
          <w:iCs/>
          <w:color w:val="000000" w:themeColor="text1"/>
          <w:sz w:val="22"/>
          <w:szCs w:val="22"/>
        </w:rPr>
      </w:pPr>
      <w:r w:rsidRPr="00AD3E2A">
        <w:rPr>
          <w:rFonts w:cs="Arial"/>
          <w:i/>
          <w:iCs/>
          <w:color w:val="000000" w:themeColor="text1"/>
          <w:sz w:val="22"/>
          <w:szCs w:val="22"/>
        </w:rPr>
        <w:t>The Fund now has baselines for most indicators in the Logframe and these have been shared with Defra. It should be noted that due to the fact the Fund has not fully disbursed finances to all projects (</w:t>
      </w:r>
      <w:r w:rsidR="52C6C1BE" w:rsidRPr="00AD3E2A">
        <w:rPr>
          <w:rFonts w:cs="Arial"/>
          <w:i/>
          <w:iCs/>
          <w:color w:val="000000" w:themeColor="text1"/>
          <w:sz w:val="22"/>
          <w:szCs w:val="22"/>
        </w:rPr>
        <w:t xml:space="preserve">full disbursement </w:t>
      </w:r>
      <w:r w:rsidRPr="00AD3E2A">
        <w:rPr>
          <w:rFonts w:cs="Arial"/>
          <w:i/>
          <w:iCs/>
          <w:color w:val="000000" w:themeColor="text1"/>
          <w:sz w:val="22"/>
          <w:szCs w:val="22"/>
        </w:rPr>
        <w:t>expec</w:t>
      </w:r>
      <w:r w:rsidR="1F78BA2E" w:rsidRPr="00AD3E2A">
        <w:rPr>
          <w:rFonts w:cs="Arial"/>
          <w:i/>
          <w:iCs/>
          <w:color w:val="000000" w:themeColor="text1"/>
          <w:sz w:val="22"/>
          <w:szCs w:val="22"/>
        </w:rPr>
        <w:t xml:space="preserve">ted </w:t>
      </w:r>
      <w:r w:rsidR="0EB76427" w:rsidRPr="00AD3E2A">
        <w:rPr>
          <w:rFonts w:cs="Arial"/>
          <w:i/>
          <w:iCs/>
          <w:color w:val="000000" w:themeColor="text1"/>
          <w:sz w:val="22"/>
          <w:szCs w:val="22"/>
        </w:rPr>
        <w:t>January</w:t>
      </w:r>
      <w:r w:rsidR="1F78BA2E" w:rsidRPr="00AD3E2A">
        <w:rPr>
          <w:rFonts w:cs="Arial"/>
          <w:i/>
          <w:iCs/>
          <w:color w:val="000000" w:themeColor="text1"/>
          <w:sz w:val="22"/>
          <w:szCs w:val="22"/>
        </w:rPr>
        <w:t xml:space="preserve"> 2023)</w:t>
      </w:r>
      <w:r w:rsidR="6584D015" w:rsidRPr="00AD3E2A">
        <w:rPr>
          <w:rFonts w:cs="Arial"/>
          <w:i/>
          <w:iCs/>
          <w:color w:val="000000" w:themeColor="text1"/>
          <w:sz w:val="22"/>
          <w:szCs w:val="22"/>
        </w:rPr>
        <w:t xml:space="preserve"> the baselines will need to be recalculated for the 2022 and 2023 ARs.</w:t>
      </w:r>
    </w:p>
    <w:p w14:paraId="5ACFE802" w14:textId="43F293EF" w:rsidR="60E67443" w:rsidRPr="00AD3E2A" w:rsidRDefault="60E67443" w:rsidP="60E67443">
      <w:pPr>
        <w:tabs>
          <w:tab w:val="left" w:pos="6915"/>
          <w:tab w:val="left" w:pos="9495"/>
        </w:tabs>
        <w:ind w:left="720"/>
        <w:rPr>
          <w:rFonts w:cs="Arial"/>
          <w:i/>
          <w:iCs/>
          <w:color w:val="000000" w:themeColor="text1"/>
          <w:sz w:val="22"/>
          <w:szCs w:val="22"/>
        </w:rPr>
      </w:pPr>
    </w:p>
    <w:p w14:paraId="55CC4AD9" w14:textId="54F8C9F1" w:rsidR="00E56450" w:rsidRPr="00AD3E2A" w:rsidRDefault="693B6545" w:rsidP="60E67443">
      <w:pPr>
        <w:pStyle w:val="ListParagraph"/>
        <w:numPr>
          <w:ilvl w:val="0"/>
          <w:numId w:val="34"/>
        </w:numPr>
        <w:tabs>
          <w:tab w:val="left" w:pos="6915"/>
          <w:tab w:val="left" w:pos="9495"/>
        </w:tabs>
        <w:rPr>
          <w:rFonts w:cs="Arial"/>
          <w:color w:val="000000" w:themeColor="text1"/>
          <w:sz w:val="22"/>
          <w:szCs w:val="22"/>
        </w:rPr>
      </w:pPr>
      <w:r w:rsidRPr="00AD3E2A">
        <w:rPr>
          <w:rFonts w:cs="Arial"/>
          <w:color w:val="000000" w:themeColor="text1"/>
          <w:sz w:val="22"/>
          <w:szCs w:val="22"/>
        </w:rPr>
        <w:t>There are currently no targets set for outcome, output or impact indicators</w:t>
      </w:r>
      <w:r w:rsidR="7322493E" w:rsidRPr="00AD3E2A">
        <w:rPr>
          <w:rFonts w:cs="Arial"/>
          <w:color w:val="000000" w:themeColor="text1"/>
          <w:sz w:val="22"/>
          <w:szCs w:val="22"/>
        </w:rPr>
        <w:t xml:space="preserve"> </w:t>
      </w:r>
      <w:proofErr w:type="gramStart"/>
      <w:r w:rsidR="7322493E" w:rsidRPr="00AD3E2A">
        <w:rPr>
          <w:rFonts w:cs="Arial"/>
          <w:color w:val="000000" w:themeColor="text1"/>
          <w:sz w:val="22"/>
          <w:szCs w:val="22"/>
        </w:rPr>
        <w:t>due to the fact that</w:t>
      </w:r>
      <w:proofErr w:type="gramEnd"/>
      <w:r w:rsidR="7322493E" w:rsidRPr="00AD3E2A">
        <w:rPr>
          <w:rFonts w:cs="Arial"/>
          <w:color w:val="000000" w:themeColor="text1"/>
          <w:sz w:val="22"/>
          <w:szCs w:val="22"/>
        </w:rPr>
        <w:t xml:space="preserve"> there are </w:t>
      </w:r>
      <w:r w:rsidR="49204953" w:rsidRPr="00AD3E2A">
        <w:rPr>
          <w:rFonts w:cs="Arial"/>
          <w:color w:val="000000" w:themeColor="text1"/>
          <w:sz w:val="22"/>
          <w:szCs w:val="22"/>
        </w:rPr>
        <w:t>very few</w:t>
      </w:r>
      <w:r w:rsidR="7322493E" w:rsidRPr="00AD3E2A">
        <w:rPr>
          <w:rFonts w:cs="Arial"/>
          <w:color w:val="000000" w:themeColor="text1"/>
          <w:sz w:val="22"/>
          <w:szCs w:val="22"/>
        </w:rPr>
        <w:t xml:space="preserve"> indicator baselines (recommendation 1).</w:t>
      </w:r>
      <w:r w:rsidRPr="00AD3E2A">
        <w:rPr>
          <w:rFonts w:cs="Arial"/>
          <w:color w:val="000000" w:themeColor="text1"/>
          <w:sz w:val="22"/>
          <w:szCs w:val="22"/>
        </w:rPr>
        <w:t xml:space="preserve"> It is recommended that LDN work with Defra to agree an approach to setting annual targets for the Defra logframe in 2021, ready for when more baseline data is available in 2022.</w:t>
      </w:r>
      <w:r w:rsidR="7322493E" w:rsidRPr="00AD3E2A">
        <w:rPr>
          <w:rFonts w:cs="Arial"/>
          <w:color w:val="000000" w:themeColor="text1"/>
          <w:sz w:val="22"/>
          <w:szCs w:val="22"/>
        </w:rPr>
        <w:t xml:space="preserve"> </w:t>
      </w:r>
      <w:r w:rsidR="3FE2D56A" w:rsidRPr="00AD3E2A">
        <w:rPr>
          <w:rFonts w:cs="Arial"/>
          <w:color w:val="000000" w:themeColor="text1"/>
          <w:sz w:val="22"/>
          <w:szCs w:val="22"/>
        </w:rPr>
        <w:t>Under the FCDO Smart Rules for programme delivery all ICF programmes must be reviewed annually. This means Defra are required to develop and record progress against milestones each year for monitoring and transparency reasons. To ensure the milestones are proportionate and effective, it is recommended that Defra work with the fund to set milestones that are indicative of predicted outcomes for each year.</w:t>
      </w:r>
    </w:p>
    <w:p w14:paraId="2E0E18B7" w14:textId="386F4EAA" w:rsidR="59574380" w:rsidRPr="00AD3E2A" w:rsidRDefault="59574380" w:rsidP="60E67443">
      <w:pPr>
        <w:tabs>
          <w:tab w:val="left" w:pos="6915"/>
          <w:tab w:val="left" w:pos="9495"/>
        </w:tabs>
        <w:ind w:left="720"/>
        <w:rPr>
          <w:rFonts w:cs="Arial"/>
          <w:i/>
          <w:iCs/>
          <w:color w:val="000000" w:themeColor="text1"/>
          <w:sz w:val="22"/>
          <w:szCs w:val="22"/>
        </w:rPr>
      </w:pPr>
      <w:r w:rsidRPr="00AD3E2A">
        <w:rPr>
          <w:rFonts w:cs="Arial"/>
          <w:i/>
          <w:iCs/>
          <w:color w:val="000000" w:themeColor="text1"/>
          <w:sz w:val="22"/>
          <w:szCs w:val="22"/>
        </w:rPr>
        <w:t>Defra and the Fund have worked together to develop annual milestones to the end of the life of the Fund, using the recently calculated baseline data. As with the baseline data, some milestones will need to be recalculated upon full funding dis</w:t>
      </w:r>
      <w:r w:rsidR="42390759" w:rsidRPr="00AD3E2A">
        <w:rPr>
          <w:rFonts w:cs="Arial"/>
          <w:i/>
          <w:iCs/>
          <w:color w:val="000000" w:themeColor="text1"/>
          <w:sz w:val="22"/>
          <w:szCs w:val="22"/>
        </w:rPr>
        <w:t>bursement.</w:t>
      </w:r>
      <w:r w:rsidR="00B81AA8">
        <w:rPr>
          <w:rFonts w:cs="Arial"/>
          <w:i/>
          <w:iCs/>
          <w:color w:val="000000" w:themeColor="text1"/>
          <w:sz w:val="22"/>
          <w:szCs w:val="22"/>
        </w:rPr>
        <w:t xml:space="preserve"> These will come into effect after this Annual Review </w:t>
      </w:r>
      <w:proofErr w:type="gramStart"/>
      <w:r w:rsidR="00B81AA8">
        <w:rPr>
          <w:rFonts w:cs="Arial"/>
          <w:i/>
          <w:iCs/>
          <w:color w:val="000000" w:themeColor="text1"/>
          <w:sz w:val="22"/>
          <w:szCs w:val="22"/>
        </w:rPr>
        <w:t>closes, and</w:t>
      </w:r>
      <w:proofErr w:type="gramEnd"/>
      <w:r w:rsidR="00B81AA8">
        <w:rPr>
          <w:rFonts w:cs="Arial"/>
          <w:i/>
          <w:iCs/>
          <w:color w:val="000000" w:themeColor="text1"/>
          <w:sz w:val="22"/>
          <w:szCs w:val="22"/>
        </w:rPr>
        <w:t xml:space="preserve"> will be included in future Reviews.</w:t>
      </w:r>
    </w:p>
    <w:p w14:paraId="6B87F761" w14:textId="77777777" w:rsidR="00B73A62" w:rsidRPr="00AD3E2A" w:rsidRDefault="00B73A62" w:rsidP="00B73A62">
      <w:pPr>
        <w:tabs>
          <w:tab w:val="left" w:pos="6915"/>
          <w:tab w:val="left" w:pos="9495"/>
        </w:tabs>
        <w:rPr>
          <w:rFonts w:cs="Arial"/>
          <w:i/>
          <w:iCs/>
          <w:color w:val="000000" w:themeColor="text1"/>
          <w:sz w:val="22"/>
          <w:szCs w:val="22"/>
        </w:rPr>
      </w:pPr>
    </w:p>
    <w:p w14:paraId="6767FCB0" w14:textId="25A67CBC" w:rsidR="000C6663" w:rsidRPr="00AD3E2A" w:rsidRDefault="5FB14ED1" w:rsidP="60E67443">
      <w:pPr>
        <w:pStyle w:val="ListParagraph"/>
        <w:numPr>
          <w:ilvl w:val="0"/>
          <w:numId w:val="34"/>
        </w:numPr>
        <w:tabs>
          <w:tab w:val="left" w:pos="6915"/>
          <w:tab w:val="left" w:pos="9495"/>
        </w:tabs>
        <w:rPr>
          <w:rFonts w:cs="Arial"/>
          <w:color w:val="000000" w:themeColor="text1"/>
          <w:sz w:val="22"/>
          <w:szCs w:val="22"/>
        </w:rPr>
      </w:pPr>
      <w:r w:rsidRPr="00AD3E2A">
        <w:rPr>
          <w:rFonts w:cs="Arial"/>
          <w:color w:val="000000" w:themeColor="text1"/>
          <w:sz w:val="22"/>
          <w:szCs w:val="22"/>
        </w:rPr>
        <w:t>The output scores have not yet been given weightings – it is recommended that Defra develop weightings for the</w:t>
      </w:r>
      <w:r w:rsidR="192E1C8D" w:rsidRPr="00AD3E2A">
        <w:rPr>
          <w:rFonts w:cs="Arial"/>
          <w:color w:val="000000" w:themeColor="text1"/>
          <w:sz w:val="22"/>
          <w:szCs w:val="22"/>
        </w:rPr>
        <w:t>se in consultation with the Fund.</w:t>
      </w:r>
    </w:p>
    <w:p w14:paraId="7094C4BA" w14:textId="120D495E" w:rsidR="42BE48A4" w:rsidRPr="00AD3E2A" w:rsidRDefault="42BE48A4" w:rsidP="60E67443">
      <w:pPr>
        <w:tabs>
          <w:tab w:val="left" w:pos="6915"/>
          <w:tab w:val="left" w:pos="9495"/>
        </w:tabs>
        <w:ind w:left="720"/>
        <w:rPr>
          <w:rFonts w:cs="Arial"/>
          <w:i/>
          <w:iCs/>
          <w:color w:val="000000" w:themeColor="text1"/>
          <w:sz w:val="22"/>
          <w:szCs w:val="22"/>
        </w:rPr>
      </w:pPr>
      <w:r w:rsidRPr="00AD3E2A">
        <w:rPr>
          <w:rFonts w:cs="Arial"/>
          <w:i/>
          <w:iCs/>
          <w:color w:val="000000" w:themeColor="text1"/>
          <w:sz w:val="22"/>
          <w:szCs w:val="22"/>
        </w:rPr>
        <w:t>This recommendation was not completed in 2021 as this will need to be decided in collaboration with the Defra Overseas Development Assistance Hub. It is recommended this is done in 2022.</w:t>
      </w:r>
    </w:p>
    <w:p w14:paraId="603FEED9" w14:textId="6B56BBC4" w:rsidR="60E67443" w:rsidRPr="00AD3E2A" w:rsidRDefault="60E67443" w:rsidP="60E67443">
      <w:pPr>
        <w:tabs>
          <w:tab w:val="left" w:pos="6915"/>
          <w:tab w:val="left" w:pos="9495"/>
        </w:tabs>
        <w:ind w:left="720"/>
        <w:rPr>
          <w:rFonts w:cs="Arial"/>
          <w:i/>
          <w:iCs/>
          <w:color w:val="000000" w:themeColor="text1"/>
          <w:sz w:val="22"/>
          <w:szCs w:val="22"/>
        </w:rPr>
      </w:pPr>
    </w:p>
    <w:p w14:paraId="0FDBB45F" w14:textId="5D2DD561" w:rsidR="283533BE" w:rsidRPr="00AD3E2A" w:rsidRDefault="7322493E" w:rsidP="60E67443">
      <w:pPr>
        <w:pStyle w:val="ListParagraph"/>
        <w:numPr>
          <w:ilvl w:val="0"/>
          <w:numId w:val="34"/>
        </w:numPr>
        <w:tabs>
          <w:tab w:val="left" w:pos="6915"/>
          <w:tab w:val="left" w:pos="9495"/>
        </w:tabs>
        <w:rPr>
          <w:rFonts w:cs="Arial"/>
          <w:color w:val="000000" w:themeColor="text1"/>
          <w:sz w:val="22"/>
          <w:szCs w:val="22"/>
        </w:rPr>
      </w:pPr>
      <w:r w:rsidRPr="00AD3E2A">
        <w:rPr>
          <w:rFonts w:cs="Arial"/>
          <w:color w:val="000000" w:themeColor="text1"/>
          <w:sz w:val="22"/>
          <w:szCs w:val="22"/>
        </w:rPr>
        <w:t>Defra should w</w:t>
      </w:r>
      <w:r w:rsidR="44B1835A" w:rsidRPr="00AD3E2A">
        <w:rPr>
          <w:rFonts w:cs="Arial"/>
          <w:color w:val="000000" w:themeColor="text1"/>
          <w:sz w:val="22"/>
          <w:szCs w:val="22"/>
        </w:rPr>
        <w:t>ork with the Fund to encourage development of a Fund Level Theory of Change. Some work was done previously to develop a Theory of Change for Defra’s investment in the Fund, but it is a requirement of the UK Annual Review Process that each Programme has i</w:t>
      </w:r>
      <w:r w:rsidR="6A834995" w:rsidRPr="00AD3E2A">
        <w:rPr>
          <w:rFonts w:cs="Arial"/>
          <w:color w:val="000000" w:themeColor="text1"/>
          <w:sz w:val="22"/>
          <w:szCs w:val="22"/>
        </w:rPr>
        <w:t>ts own Theory of Change.</w:t>
      </w:r>
    </w:p>
    <w:p w14:paraId="0741FAFD" w14:textId="67ED8A96" w:rsidR="7CF46037" w:rsidRPr="00AD3E2A" w:rsidRDefault="7CF46037" w:rsidP="60E67443">
      <w:pPr>
        <w:tabs>
          <w:tab w:val="left" w:pos="6915"/>
          <w:tab w:val="left" w:pos="9495"/>
        </w:tabs>
        <w:ind w:left="720"/>
        <w:rPr>
          <w:rFonts w:cs="Arial"/>
          <w:i/>
          <w:iCs/>
          <w:color w:val="000000" w:themeColor="text1"/>
          <w:sz w:val="22"/>
          <w:szCs w:val="22"/>
        </w:rPr>
      </w:pPr>
      <w:r w:rsidRPr="00AD3E2A">
        <w:rPr>
          <w:rFonts w:cs="Arial"/>
          <w:i/>
          <w:iCs/>
          <w:color w:val="000000" w:themeColor="text1"/>
          <w:sz w:val="22"/>
          <w:szCs w:val="22"/>
        </w:rPr>
        <w:t xml:space="preserve">The Fund has now developed a Theory of Change on Defra’s request, which they aim to publish. The Theory of Change is described further in </w:t>
      </w:r>
      <w:r w:rsidR="6E7088EA" w:rsidRPr="00AD3E2A">
        <w:rPr>
          <w:rFonts w:cs="Arial"/>
          <w:i/>
          <w:iCs/>
          <w:color w:val="000000" w:themeColor="text1"/>
          <w:sz w:val="22"/>
          <w:szCs w:val="22"/>
        </w:rPr>
        <w:t>Section B of this AR.</w:t>
      </w:r>
    </w:p>
    <w:p w14:paraId="4A95F8D0" w14:textId="451F3051" w:rsidR="60E67443" w:rsidRPr="00AD3E2A" w:rsidRDefault="60E67443" w:rsidP="60E67443">
      <w:pPr>
        <w:tabs>
          <w:tab w:val="left" w:pos="6915"/>
          <w:tab w:val="left" w:pos="9495"/>
        </w:tabs>
        <w:ind w:left="720"/>
        <w:rPr>
          <w:rFonts w:cs="Arial"/>
          <w:i/>
          <w:iCs/>
          <w:color w:val="000000" w:themeColor="text1"/>
          <w:sz w:val="22"/>
          <w:szCs w:val="22"/>
        </w:rPr>
      </w:pPr>
    </w:p>
    <w:p w14:paraId="1314CBBA" w14:textId="534DBFA2" w:rsidR="71374A6B" w:rsidRPr="00AD3E2A" w:rsidRDefault="665F4097" w:rsidP="60E67443">
      <w:pPr>
        <w:pStyle w:val="ListParagraph"/>
        <w:numPr>
          <w:ilvl w:val="0"/>
          <w:numId w:val="34"/>
        </w:numPr>
        <w:tabs>
          <w:tab w:val="left" w:pos="6915"/>
          <w:tab w:val="left" w:pos="9495"/>
        </w:tabs>
        <w:rPr>
          <w:rFonts w:eastAsia="Arial" w:cs="Arial"/>
          <w:color w:val="000000" w:themeColor="text1"/>
          <w:sz w:val="22"/>
          <w:szCs w:val="22"/>
        </w:rPr>
      </w:pPr>
      <w:r w:rsidRPr="00AD3E2A">
        <w:rPr>
          <w:rFonts w:eastAsia="Arial" w:cs="Arial"/>
          <w:color w:val="000000" w:themeColor="text1"/>
          <w:sz w:val="22"/>
          <w:szCs w:val="22"/>
        </w:rPr>
        <w:t xml:space="preserve">Defra should undertake further work to consider best practice for impact investment funds in measuring biodiversity impacts, working with the fund managers and other industry practitioners.  </w:t>
      </w:r>
    </w:p>
    <w:p w14:paraId="182442A3" w14:textId="77864557" w:rsidR="3AFAB525" w:rsidRPr="00AD3E2A" w:rsidRDefault="3AFAB525" w:rsidP="60E67443">
      <w:pPr>
        <w:tabs>
          <w:tab w:val="left" w:pos="6915"/>
          <w:tab w:val="left" w:pos="9495"/>
        </w:tabs>
        <w:ind w:left="720"/>
        <w:rPr>
          <w:rFonts w:eastAsia="Arial" w:cs="Arial"/>
          <w:i/>
          <w:iCs/>
          <w:color w:val="000000" w:themeColor="text1"/>
          <w:sz w:val="22"/>
          <w:szCs w:val="22"/>
        </w:rPr>
      </w:pPr>
      <w:r w:rsidRPr="00AD3E2A">
        <w:rPr>
          <w:rFonts w:eastAsia="Arial" w:cs="Arial"/>
          <w:i/>
          <w:iCs/>
          <w:color w:val="000000" w:themeColor="text1"/>
          <w:sz w:val="22"/>
          <w:szCs w:val="22"/>
        </w:rPr>
        <w:t>To better quantify the impact of Defra’s investments in sustainable agriculture, and support the need for a scaling up of both public and private investment in nature Defra is planning to carry out a study with external consultants to:</w:t>
      </w:r>
    </w:p>
    <w:p w14:paraId="7AC5AEE8" w14:textId="67F1FE01" w:rsidR="3AFAB525" w:rsidRPr="00AD3E2A" w:rsidRDefault="3AFAB525" w:rsidP="60E67443">
      <w:pPr>
        <w:tabs>
          <w:tab w:val="left" w:pos="6915"/>
          <w:tab w:val="left" w:pos="9495"/>
        </w:tabs>
        <w:rPr>
          <w:rFonts w:eastAsia="Arial" w:cs="Arial"/>
          <w:i/>
          <w:iCs/>
          <w:color w:val="000000" w:themeColor="text1"/>
          <w:sz w:val="22"/>
          <w:szCs w:val="22"/>
        </w:rPr>
      </w:pPr>
      <w:r w:rsidRPr="00AD3E2A">
        <w:rPr>
          <w:rFonts w:eastAsia="Arial" w:cs="Arial"/>
          <w:i/>
          <w:iCs/>
          <w:color w:val="000000" w:themeColor="text1"/>
          <w:sz w:val="22"/>
          <w:szCs w:val="22"/>
        </w:rPr>
        <w:t xml:space="preserve">  </w:t>
      </w:r>
    </w:p>
    <w:p w14:paraId="01E53F9B" w14:textId="73C85C1D" w:rsidR="3AFAB525" w:rsidRPr="00AD3E2A" w:rsidRDefault="0052349E" w:rsidP="60E67443">
      <w:pPr>
        <w:pStyle w:val="ListParagraph"/>
        <w:numPr>
          <w:ilvl w:val="0"/>
          <w:numId w:val="1"/>
        </w:numPr>
        <w:tabs>
          <w:tab w:val="left" w:pos="6915"/>
          <w:tab w:val="left" w:pos="9495"/>
        </w:tabs>
        <w:rPr>
          <w:rFonts w:eastAsia="Arial" w:cs="Arial"/>
          <w:i/>
          <w:iCs/>
          <w:color w:val="000000" w:themeColor="text1"/>
          <w:sz w:val="22"/>
          <w:szCs w:val="22"/>
        </w:rPr>
      </w:pPr>
      <w:r w:rsidRPr="00AD3E2A">
        <w:rPr>
          <w:rFonts w:eastAsia="Arial" w:cs="Arial"/>
          <w:i/>
          <w:iCs/>
          <w:color w:val="000000" w:themeColor="text1"/>
          <w:sz w:val="22"/>
          <w:szCs w:val="22"/>
        </w:rPr>
        <w:t>Identif</w:t>
      </w:r>
      <w:r>
        <w:rPr>
          <w:rFonts w:eastAsia="Arial" w:cs="Arial"/>
          <w:i/>
          <w:iCs/>
          <w:color w:val="000000" w:themeColor="text1"/>
          <w:sz w:val="22"/>
          <w:szCs w:val="22"/>
        </w:rPr>
        <w:t>y</w:t>
      </w:r>
      <w:r w:rsidRPr="00AD3E2A">
        <w:rPr>
          <w:rFonts w:eastAsia="Arial" w:cs="Arial"/>
          <w:i/>
          <w:iCs/>
          <w:color w:val="000000" w:themeColor="text1"/>
          <w:sz w:val="22"/>
          <w:szCs w:val="22"/>
        </w:rPr>
        <w:t xml:space="preserve"> </w:t>
      </w:r>
      <w:r w:rsidR="3AFAB525" w:rsidRPr="00AD3E2A">
        <w:rPr>
          <w:rFonts w:eastAsia="Arial" w:cs="Arial"/>
          <w:i/>
          <w:iCs/>
          <w:color w:val="000000" w:themeColor="text1"/>
          <w:sz w:val="22"/>
          <w:szCs w:val="22"/>
        </w:rPr>
        <w:t xml:space="preserve">an appropriate set of metrics/indicators that could be utilised by impact investment funds to measure the impact of their investments in the agriculture sector on biodiversity   </w:t>
      </w:r>
    </w:p>
    <w:p w14:paraId="52DD57A5" w14:textId="47BEB883" w:rsidR="3AFAB525" w:rsidRPr="00AD3E2A" w:rsidRDefault="3AFAB525" w:rsidP="60E67443">
      <w:pPr>
        <w:pStyle w:val="ListParagraph"/>
        <w:numPr>
          <w:ilvl w:val="0"/>
          <w:numId w:val="1"/>
        </w:numPr>
        <w:tabs>
          <w:tab w:val="left" w:pos="6915"/>
          <w:tab w:val="left" w:pos="9495"/>
        </w:tabs>
        <w:rPr>
          <w:rFonts w:eastAsia="Arial" w:cs="Arial"/>
          <w:i/>
          <w:iCs/>
          <w:color w:val="000000" w:themeColor="text1"/>
          <w:sz w:val="22"/>
          <w:szCs w:val="22"/>
        </w:rPr>
      </w:pPr>
      <w:r w:rsidRPr="00AD3E2A">
        <w:rPr>
          <w:rFonts w:eastAsia="Arial" w:cs="Arial"/>
          <w:i/>
          <w:iCs/>
          <w:color w:val="000000" w:themeColor="text1"/>
          <w:sz w:val="22"/>
          <w:szCs w:val="22"/>
        </w:rPr>
        <w:t xml:space="preserve">Explore the practical implications of implementing these at a fund level – including aspects linked to additionality and leakage offsite  </w:t>
      </w:r>
    </w:p>
    <w:p w14:paraId="71F3403A" w14:textId="6B7E1A1D" w:rsidR="60E67443" w:rsidRDefault="3AFAB525" w:rsidP="0077675E">
      <w:pPr>
        <w:pStyle w:val="ListParagraph"/>
        <w:numPr>
          <w:ilvl w:val="0"/>
          <w:numId w:val="1"/>
        </w:numPr>
        <w:tabs>
          <w:tab w:val="left" w:pos="6915"/>
          <w:tab w:val="left" w:pos="9495"/>
        </w:tabs>
        <w:rPr>
          <w:rFonts w:eastAsia="Arial" w:cs="Arial"/>
          <w:i/>
          <w:iCs/>
          <w:color w:val="000000" w:themeColor="text1"/>
          <w:sz w:val="22"/>
          <w:szCs w:val="22"/>
        </w:rPr>
      </w:pPr>
      <w:r w:rsidRPr="00AD3E2A">
        <w:rPr>
          <w:rFonts w:eastAsia="Arial" w:cs="Arial"/>
          <w:i/>
          <w:iCs/>
          <w:color w:val="000000" w:themeColor="text1"/>
          <w:sz w:val="22"/>
          <w:szCs w:val="22"/>
        </w:rPr>
        <w:t>Develop the work towards a consistent approach to monitoring and measuring biodiversity and ensuring high standards of impact investment delivery</w:t>
      </w:r>
    </w:p>
    <w:p w14:paraId="5FBCB070" w14:textId="77777777" w:rsidR="0077675E" w:rsidRPr="0077675E" w:rsidRDefault="0077675E" w:rsidP="0077675E">
      <w:pPr>
        <w:pStyle w:val="ListParagraph"/>
        <w:tabs>
          <w:tab w:val="left" w:pos="6915"/>
          <w:tab w:val="left" w:pos="9495"/>
        </w:tabs>
        <w:ind w:left="1080"/>
        <w:rPr>
          <w:rFonts w:eastAsia="Arial" w:cs="Arial"/>
          <w:i/>
          <w:iCs/>
          <w:color w:val="000000" w:themeColor="text1"/>
          <w:sz w:val="22"/>
          <w:szCs w:val="22"/>
        </w:rPr>
      </w:pPr>
    </w:p>
    <w:p w14:paraId="0B15540D" w14:textId="5139A734" w:rsidR="71374A6B" w:rsidRPr="00AD3E2A" w:rsidRDefault="665F4097" w:rsidP="60E67443">
      <w:pPr>
        <w:pStyle w:val="ListParagraph"/>
        <w:numPr>
          <w:ilvl w:val="0"/>
          <w:numId w:val="34"/>
        </w:numPr>
        <w:rPr>
          <w:rFonts w:eastAsia="Arial" w:cs="Arial"/>
          <w:color w:val="000000" w:themeColor="text1"/>
          <w:sz w:val="22"/>
          <w:szCs w:val="22"/>
        </w:rPr>
      </w:pPr>
      <w:r w:rsidRPr="00AD3E2A">
        <w:rPr>
          <w:rFonts w:eastAsia="Arial" w:cs="Arial"/>
          <w:color w:val="000000" w:themeColor="text1"/>
          <w:sz w:val="22"/>
          <w:szCs w:val="22"/>
        </w:rPr>
        <w:t xml:space="preserve">Defra should investigate undertaking an external evaluation of the programme’s performance since initial investment, as referenced in the Subscription Agreement. The external evaluation should consider how the fund is </w:t>
      </w:r>
      <w:proofErr w:type="gramStart"/>
      <w:r w:rsidRPr="00AD3E2A">
        <w:rPr>
          <w:rFonts w:eastAsia="Arial" w:cs="Arial"/>
          <w:color w:val="000000" w:themeColor="text1"/>
          <w:sz w:val="22"/>
          <w:szCs w:val="22"/>
        </w:rPr>
        <w:t>currently, and</w:t>
      </w:r>
      <w:proofErr w:type="gramEnd"/>
      <w:r w:rsidRPr="00AD3E2A">
        <w:rPr>
          <w:rFonts w:eastAsia="Arial" w:cs="Arial"/>
          <w:color w:val="000000" w:themeColor="text1"/>
          <w:sz w:val="22"/>
          <w:szCs w:val="22"/>
        </w:rPr>
        <w:t xml:space="preserve"> is likely to progress towards its outcomes and final impact through its activities and outputs.</w:t>
      </w:r>
    </w:p>
    <w:p w14:paraId="65181DF7" w14:textId="289FDFBF" w:rsidR="71374A6B" w:rsidRPr="00AD3E2A" w:rsidRDefault="78EEFEAD" w:rsidP="60E67443">
      <w:pPr>
        <w:ind w:left="720"/>
        <w:rPr>
          <w:rFonts w:eastAsia="Arial" w:cs="Arial"/>
          <w:i/>
          <w:iCs/>
          <w:color w:val="000000" w:themeColor="text1"/>
          <w:sz w:val="22"/>
          <w:szCs w:val="22"/>
        </w:rPr>
      </w:pPr>
      <w:r w:rsidRPr="00AD3E2A">
        <w:rPr>
          <w:rFonts w:eastAsia="Arial" w:cs="Arial"/>
          <w:i/>
          <w:iCs/>
          <w:color w:val="000000" w:themeColor="text1"/>
          <w:sz w:val="22"/>
          <w:szCs w:val="22"/>
        </w:rPr>
        <w:t>This work was paused internally during 2021</w:t>
      </w:r>
      <w:r w:rsidR="0052349E">
        <w:rPr>
          <w:rFonts w:eastAsia="Arial" w:cs="Arial"/>
          <w:i/>
          <w:iCs/>
          <w:color w:val="000000" w:themeColor="text1"/>
          <w:sz w:val="22"/>
          <w:szCs w:val="22"/>
        </w:rPr>
        <w:t xml:space="preserve"> as it is considered too early in the programme for an external review</w:t>
      </w:r>
      <w:r w:rsidRPr="00AD3E2A">
        <w:rPr>
          <w:rFonts w:eastAsia="Arial" w:cs="Arial"/>
          <w:i/>
          <w:iCs/>
          <w:color w:val="000000" w:themeColor="text1"/>
          <w:sz w:val="22"/>
          <w:szCs w:val="22"/>
        </w:rPr>
        <w:t>. It is recommended that it be picked up in future financial years.</w:t>
      </w:r>
    </w:p>
    <w:p w14:paraId="19C4D682" w14:textId="565047D7" w:rsidR="71374A6B" w:rsidRPr="002055D4" w:rsidRDefault="71374A6B" w:rsidP="60E67443">
      <w:pPr>
        <w:tabs>
          <w:tab w:val="left" w:pos="6915"/>
          <w:tab w:val="left" w:pos="9495"/>
        </w:tabs>
        <w:rPr>
          <w:color w:val="FF0000"/>
        </w:rPr>
      </w:pPr>
    </w:p>
    <w:p w14:paraId="5B0C6A76" w14:textId="165A7854" w:rsidR="006F3AE7" w:rsidRPr="002055D4" w:rsidRDefault="4478F21F" w:rsidP="60E67443">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rPr>
          <w:b w:val="0"/>
          <w:i w:val="0"/>
          <w:sz w:val="20"/>
          <w:szCs w:val="20"/>
        </w:rPr>
      </w:pPr>
      <w:r w:rsidRPr="60E67443">
        <w:rPr>
          <w:i w:val="0"/>
        </w:rPr>
        <w:t xml:space="preserve">B: THEORY OF CHANGE AND PROGRESS TOWARDS OUTCOMES </w:t>
      </w:r>
    </w:p>
    <w:p w14:paraId="065D0850" w14:textId="77777777" w:rsidR="006F3AE7" w:rsidRPr="002055D4" w:rsidRDefault="006F3AE7" w:rsidP="006F3AE7">
      <w:pPr>
        <w:rPr>
          <w:rFonts w:cs="Arial"/>
          <w:b/>
          <w:color w:val="FF0000"/>
          <w:sz w:val="22"/>
          <w:szCs w:val="22"/>
        </w:rPr>
      </w:pPr>
    </w:p>
    <w:p w14:paraId="76F1E5EA" w14:textId="569429DD" w:rsidR="283533BE" w:rsidRPr="002055D4" w:rsidRDefault="1DE0DA97" w:rsidP="60E67443">
      <w:r>
        <w:rPr>
          <w:noProof/>
        </w:rPr>
        <w:drawing>
          <wp:inline distT="0" distB="0" distL="0" distR="0" wp14:anchorId="3EC312A8" wp14:editId="6963A05C">
            <wp:extent cx="6383215" cy="3457575"/>
            <wp:effectExtent l="0" t="0" r="0" b="0"/>
            <wp:docPr id="1150592312" name="Picture 115059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384979" cy="3458531"/>
                    </a:xfrm>
                    <a:prstGeom prst="rect">
                      <a:avLst/>
                    </a:prstGeom>
                  </pic:spPr>
                </pic:pic>
              </a:graphicData>
            </a:graphic>
          </wp:inline>
        </w:drawing>
      </w:r>
    </w:p>
    <w:p w14:paraId="7F1F9FAC" w14:textId="77777777" w:rsidR="00AC4F89" w:rsidRDefault="00AC4F89" w:rsidP="60E67443">
      <w:pPr>
        <w:rPr>
          <w:rFonts w:eastAsia="Arial" w:cs="Arial"/>
          <w:sz w:val="22"/>
          <w:szCs w:val="22"/>
        </w:rPr>
      </w:pPr>
    </w:p>
    <w:p w14:paraId="2BD1DC7B" w14:textId="3B211496" w:rsidR="7DCACB5B" w:rsidRPr="00AD3E2A" w:rsidRDefault="7DCACB5B" w:rsidP="60E67443">
      <w:pPr>
        <w:rPr>
          <w:rFonts w:eastAsia="Arial" w:cs="Arial"/>
          <w:sz w:val="22"/>
          <w:szCs w:val="22"/>
        </w:rPr>
      </w:pPr>
      <w:r w:rsidRPr="00AD3E2A">
        <w:rPr>
          <w:rFonts w:eastAsia="Arial" w:cs="Arial"/>
          <w:sz w:val="22"/>
          <w:szCs w:val="22"/>
        </w:rPr>
        <w:t xml:space="preserve">The Theory of Change demonstrates how the fund’s activities are expected to lead to the above described, intended impact. Its focus is on the “in-between”, the mapping of processes that are expected to be triggered by the activities and how these would ultimately lead to the ﬁnal environmental and socio-economic impacts. </w:t>
      </w:r>
    </w:p>
    <w:p w14:paraId="429A0DB9" w14:textId="5F68EBB6" w:rsidR="60E67443" w:rsidRPr="00AD3E2A" w:rsidRDefault="60E67443" w:rsidP="60E67443">
      <w:pPr>
        <w:rPr>
          <w:rFonts w:eastAsia="Arial" w:cs="Arial"/>
          <w:sz w:val="22"/>
          <w:szCs w:val="22"/>
        </w:rPr>
      </w:pPr>
    </w:p>
    <w:p w14:paraId="491D0620" w14:textId="187FD86E" w:rsidR="7DCACB5B" w:rsidRPr="00AD3E2A" w:rsidRDefault="7DCACB5B" w:rsidP="60E67443">
      <w:pPr>
        <w:rPr>
          <w:rFonts w:eastAsia="Arial" w:cs="Arial"/>
          <w:sz w:val="22"/>
          <w:szCs w:val="22"/>
        </w:rPr>
      </w:pPr>
      <w:r w:rsidRPr="00AD3E2A">
        <w:rPr>
          <w:rFonts w:eastAsia="Arial" w:cs="Arial"/>
          <w:sz w:val="22"/>
          <w:szCs w:val="22"/>
        </w:rPr>
        <w:t>It was constructed based on a causal analysis, drawing on available evidence and is used to frame the fund’s impact measurement and management eﬀorts.</w:t>
      </w:r>
    </w:p>
    <w:p w14:paraId="36274715" w14:textId="55A32004" w:rsidR="60E67443" w:rsidRPr="00AD3E2A" w:rsidRDefault="60E67443" w:rsidP="60E67443">
      <w:pPr>
        <w:rPr>
          <w:rFonts w:eastAsia="Arial" w:cs="Arial"/>
          <w:sz w:val="22"/>
          <w:szCs w:val="22"/>
        </w:rPr>
      </w:pPr>
    </w:p>
    <w:p w14:paraId="70335814" w14:textId="7E4B6399" w:rsidR="7DCACB5B" w:rsidRPr="00AD3E2A" w:rsidRDefault="7DCACB5B" w:rsidP="60E67443">
      <w:pPr>
        <w:rPr>
          <w:rFonts w:eastAsia="Arial" w:cs="Arial"/>
          <w:sz w:val="22"/>
          <w:szCs w:val="22"/>
        </w:rPr>
      </w:pPr>
      <w:r w:rsidRPr="00AD3E2A">
        <w:rPr>
          <w:rFonts w:eastAsia="Arial" w:cs="Arial"/>
          <w:sz w:val="22"/>
          <w:szCs w:val="22"/>
        </w:rPr>
        <w:t>The fund’s Theory of Change considers the following levels:</w:t>
      </w:r>
    </w:p>
    <w:p w14:paraId="6AD42E08" w14:textId="57E02BAD" w:rsidR="60E67443" w:rsidRPr="00AD3E2A" w:rsidRDefault="60E67443" w:rsidP="60E67443">
      <w:pPr>
        <w:rPr>
          <w:rFonts w:eastAsia="Arial" w:cs="Arial"/>
          <w:sz w:val="22"/>
          <w:szCs w:val="22"/>
        </w:rPr>
      </w:pPr>
    </w:p>
    <w:p w14:paraId="1ECA1119" w14:textId="2FE7DB6A" w:rsidR="7DCACB5B" w:rsidRPr="00AD3E2A" w:rsidRDefault="7DCACB5B" w:rsidP="60E67443">
      <w:pPr>
        <w:rPr>
          <w:rFonts w:eastAsia="Arial" w:cs="Arial"/>
          <w:b/>
          <w:bCs/>
          <w:sz w:val="22"/>
          <w:szCs w:val="22"/>
        </w:rPr>
      </w:pPr>
      <w:r w:rsidRPr="00AD3E2A">
        <w:rPr>
          <w:rFonts w:eastAsia="Arial" w:cs="Arial"/>
          <w:b/>
          <w:bCs/>
          <w:sz w:val="22"/>
          <w:szCs w:val="22"/>
        </w:rPr>
        <w:t>Final impact</w:t>
      </w:r>
    </w:p>
    <w:p w14:paraId="056C3A98" w14:textId="2ECD04CA" w:rsidR="60E67443" w:rsidRPr="00AD3E2A" w:rsidRDefault="60E67443" w:rsidP="60E67443">
      <w:pPr>
        <w:rPr>
          <w:rFonts w:eastAsia="Arial" w:cs="Arial"/>
          <w:sz w:val="22"/>
          <w:szCs w:val="22"/>
        </w:rPr>
      </w:pPr>
    </w:p>
    <w:p w14:paraId="33FF4D5E" w14:textId="44AFEE70" w:rsidR="7DCACB5B" w:rsidRPr="00AD3E2A" w:rsidRDefault="7DCACB5B" w:rsidP="60E67443">
      <w:pPr>
        <w:rPr>
          <w:rFonts w:eastAsia="Arial" w:cs="Arial"/>
          <w:sz w:val="22"/>
          <w:szCs w:val="22"/>
        </w:rPr>
      </w:pPr>
      <w:r w:rsidRPr="00AD3E2A">
        <w:rPr>
          <w:rFonts w:eastAsia="Arial" w:cs="Arial"/>
          <w:sz w:val="22"/>
          <w:szCs w:val="22"/>
        </w:rPr>
        <w:t>This level contains the ﬁnal impacts at environmental and socio-economic level that the fund aims to contribute to.</w:t>
      </w:r>
    </w:p>
    <w:p w14:paraId="608150B4" w14:textId="0825913D" w:rsidR="60E67443" w:rsidRPr="00AD3E2A" w:rsidRDefault="60E67443" w:rsidP="60E67443">
      <w:pPr>
        <w:rPr>
          <w:rFonts w:eastAsia="Arial" w:cs="Arial"/>
          <w:b/>
          <w:bCs/>
          <w:sz w:val="22"/>
          <w:szCs w:val="22"/>
        </w:rPr>
      </w:pPr>
    </w:p>
    <w:p w14:paraId="1A03605E" w14:textId="73815DCE" w:rsidR="7DCACB5B" w:rsidRPr="00AD3E2A" w:rsidRDefault="7DCACB5B" w:rsidP="60E67443">
      <w:pPr>
        <w:rPr>
          <w:rFonts w:eastAsia="Arial" w:cs="Arial"/>
          <w:b/>
          <w:bCs/>
          <w:sz w:val="22"/>
          <w:szCs w:val="22"/>
        </w:rPr>
      </w:pPr>
      <w:r w:rsidRPr="00AD3E2A">
        <w:rPr>
          <w:rFonts w:eastAsia="Arial" w:cs="Arial"/>
          <w:b/>
          <w:bCs/>
          <w:sz w:val="22"/>
          <w:szCs w:val="22"/>
        </w:rPr>
        <w:t>Outcomes</w:t>
      </w:r>
    </w:p>
    <w:p w14:paraId="3108D86A" w14:textId="615C656D" w:rsidR="7DCACB5B" w:rsidRPr="00AD3E2A" w:rsidRDefault="7DCACB5B" w:rsidP="60E67443">
      <w:pPr>
        <w:rPr>
          <w:rFonts w:eastAsia="Arial" w:cs="Arial"/>
          <w:sz w:val="22"/>
          <w:szCs w:val="22"/>
        </w:rPr>
      </w:pPr>
      <w:r w:rsidRPr="00AD3E2A">
        <w:rPr>
          <w:rFonts w:eastAsia="Arial" w:cs="Arial"/>
          <w:sz w:val="22"/>
          <w:szCs w:val="22"/>
        </w:rPr>
        <w:t>This level includes changes that are expected to occur in the short and long-term based on the activity-induced outputs. In the short-term, the LDN fund expects: (</w:t>
      </w:r>
      <w:proofErr w:type="spellStart"/>
      <w:r w:rsidRPr="00AD3E2A">
        <w:rPr>
          <w:rFonts w:eastAsia="Arial" w:cs="Arial"/>
          <w:sz w:val="22"/>
          <w:szCs w:val="22"/>
        </w:rPr>
        <w:t>i</w:t>
      </w:r>
      <w:proofErr w:type="spellEnd"/>
      <w:r w:rsidRPr="00AD3E2A">
        <w:rPr>
          <w:rFonts w:eastAsia="Arial" w:cs="Arial"/>
          <w:sz w:val="22"/>
          <w:szCs w:val="22"/>
        </w:rPr>
        <w:t>) increased investment in and mainstreaming of Sustainable Land Management (SLM) and sustainable supply chains; and (ii) local communities benefit from SLM in form of decent jobs and improved livelihoods (iii) Net reduction in GHG emissions; and (ii) biodiversity and environmental conditions improved in mosaic land use.</w:t>
      </w:r>
    </w:p>
    <w:p w14:paraId="5C5D2524" w14:textId="7EF2B13D" w:rsidR="60E67443" w:rsidRPr="00AD3E2A" w:rsidRDefault="60E67443" w:rsidP="60E67443">
      <w:pPr>
        <w:rPr>
          <w:rFonts w:eastAsia="Arial" w:cs="Arial"/>
          <w:b/>
          <w:bCs/>
          <w:sz w:val="22"/>
          <w:szCs w:val="22"/>
        </w:rPr>
      </w:pPr>
    </w:p>
    <w:p w14:paraId="476D6BF4" w14:textId="59078AFA" w:rsidR="7DCACB5B" w:rsidRPr="00AD3E2A" w:rsidRDefault="7DCACB5B" w:rsidP="60E67443">
      <w:pPr>
        <w:rPr>
          <w:rFonts w:eastAsia="Arial" w:cs="Arial"/>
          <w:b/>
          <w:bCs/>
          <w:sz w:val="22"/>
          <w:szCs w:val="22"/>
        </w:rPr>
      </w:pPr>
      <w:r w:rsidRPr="00AD3E2A">
        <w:rPr>
          <w:rFonts w:eastAsia="Arial" w:cs="Arial"/>
          <w:b/>
          <w:bCs/>
          <w:sz w:val="22"/>
          <w:szCs w:val="22"/>
        </w:rPr>
        <w:t>Outputs</w:t>
      </w:r>
    </w:p>
    <w:p w14:paraId="5182A9DF" w14:textId="6DEFE062" w:rsidR="7DCACB5B" w:rsidRPr="00AD3E2A" w:rsidRDefault="7DCACB5B" w:rsidP="60E67443">
      <w:pPr>
        <w:rPr>
          <w:rFonts w:eastAsia="Arial" w:cs="Arial"/>
          <w:sz w:val="22"/>
          <w:szCs w:val="22"/>
        </w:rPr>
      </w:pPr>
      <w:r w:rsidRPr="00AD3E2A">
        <w:rPr>
          <w:rFonts w:eastAsia="Arial" w:cs="Arial"/>
          <w:sz w:val="22"/>
          <w:szCs w:val="22"/>
        </w:rPr>
        <w:t>This level summarizes the tangible results that the fund’s activities produce: (</w:t>
      </w:r>
      <w:proofErr w:type="spellStart"/>
      <w:r w:rsidRPr="00AD3E2A">
        <w:rPr>
          <w:rFonts w:eastAsia="Arial" w:cs="Arial"/>
          <w:sz w:val="22"/>
          <w:szCs w:val="22"/>
        </w:rPr>
        <w:t>i</w:t>
      </w:r>
      <w:proofErr w:type="spellEnd"/>
      <w:r w:rsidRPr="00AD3E2A">
        <w:rPr>
          <w:rFonts w:eastAsia="Arial" w:cs="Arial"/>
          <w:sz w:val="22"/>
          <w:szCs w:val="22"/>
        </w:rPr>
        <w:t>) more finance is leveraged, particularly private finance; (ii) SLM projects demonstrate economic viability and/or lower risk of SLM investments and business models; (iii) reduction in market barriers for SLM investment; and (iv) increased area of protected natural ecosystems, reduced deforestation, reforestation.</w:t>
      </w:r>
    </w:p>
    <w:p w14:paraId="3CD8D3D6" w14:textId="581BC23D" w:rsidR="60E67443" w:rsidRPr="00AD3E2A" w:rsidRDefault="60E67443" w:rsidP="60E67443">
      <w:pPr>
        <w:rPr>
          <w:rFonts w:eastAsia="Arial" w:cs="Arial"/>
          <w:b/>
          <w:bCs/>
          <w:sz w:val="22"/>
          <w:szCs w:val="22"/>
        </w:rPr>
      </w:pPr>
    </w:p>
    <w:p w14:paraId="3E26E60A" w14:textId="5DFEF281" w:rsidR="7DCACB5B" w:rsidRPr="00AD3E2A" w:rsidRDefault="7DCACB5B" w:rsidP="60E67443">
      <w:pPr>
        <w:rPr>
          <w:rFonts w:eastAsia="Arial" w:cs="Arial"/>
          <w:b/>
          <w:bCs/>
          <w:sz w:val="22"/>
          <w:szCs w:val="22"/>
        </w:rPr>
      </w:pPr>
      <w:r w:rsidRPr="00AD3E2A">
        <w:rPr>
          <w:rFonts w:eastAsia="Arial" w:cs="Arial"/>
          <w:b/>
          <w:bCs/>
          <w:sz w:val="22"/>
          <w:szCs w:val="22"/>
        </w:rPr>
        <w:t>Activities</w:t>
      </w:r>
    </w:p>
    <w:p w14:paraId="77190D61" w14:textId="314B3226" w:rsidR="7DCACB5B" w:rsidRPr="00AD3E2A" w:rsidRDefault="7DCACB5B" w:rsidP="60E67443">
      <w:pPr>
        <w:rPr>
          <w:rFonts w:eastAsia="Arial" w:cs="Arial"/>
          <w:sz w:val="22"/>
          <w:szCs w:val="22"/>
        </w:rPr>
      </w:pPr>
      <w:r w:rsidRPr="00AD3E2A">
        <w:rPr>
          <w:rFonts w:eastAsia="Arial" w:cs="Arial"/>
          <w:sz w:val="22"/>
          <w:szCs w:val="22"/>
        </w:rPr>
        <w:t>This level contains the fund’s diﬀerent activities: (</w:t>
      </w:r>
      <w:proofErr w:type="spellStart"/>
      <w:r w:rsidRPr="00AD3E2A">
        <w:rPr>
          <w:rFonts w:eastAsia="Arial" w:cs="Arial"/>
          <w:sz w:val="22"/>
          <w:szCs w:val="22"/>
        </w:rPr>
        <w:t>i</w:t>
      </w:r>
      <w:proofErr w:type="spellEnd"/>
      <w:r w:rsidRPr="00AD3E2A">
        <w:rPr>
          <w:rFonts w:eastAsia="Arial" w:cs="Arial"/>
          <w:sz w:val="22"/>
          <w:szCs w:val="22"/>
        </w:rPr>
        <w:t xml:space="preserve">) viable Sustainable Land Management (SLM) projects are identified; (ii) LDN Fund provides appropriate finance for SLM; (iii) TA increases commercial and ESG capacity of </w:t>
      </w:r>
      <w:r w:rsidR="0056714C" w:rsidRPr="00AD3E2A">
        <w:rPr>
          <w:rFonts w:eastAsia="Arial" w:cs="Arial"/>
          <w:sz w:val="22"/>
          <w:szCs w:val="22"/>
        </w:rPr>
        <w:t>projects; and</w:t>
      </w:r>
      <w:r w:rsidRPr="00AD3E2A">
        <w:rPr>
          <w:rFonts w:eastAsia="Arial" w:cs="Arial"/>
          <w:sz w:val="22"/>
          <w:szCs w:val="22"/>
        </w:rPr>
        <w:t xml:space="preserve"> (iv) reports, workshops, and sharable investment models and best practices. These processes are interlinked and reinforce each other to drive transformation and systemic change in the market.</w:t>
      </w:r>
    </w:p>
    <w:p w14:paraId="2CC58A95" w14:textId="2622D616" w:rsidR="7DCACB5B" w:rsidRPr="00AD3E2A" w:rsidRDefault="7DCACB5B" w:rsidP="60E67443">
      <w:pPr>
        <w:rPr>
          <w:rFonts w:eastAsia="Arial" w:cs="Arial"/>
          <w:sz w:val="22"/>
          <w:szCs w:val="22"/>
        </w:rPr>
      </w:pPr>
      <w:r w:rsidRPr="00AD3E2A">
        <w:rPr>
          <w:rFonts w:eastAsia="Arial" w:cs="Arial"/>
          <w:sz w:val="22"/>
          <w:szCs w:val="22"/>
        </w:rPr>
        <w:t xml:space="preserve"> </w:t>
      </w:r>
    </w:p>
    <w:p w14:paraId="70A258BD" w14:textId="16244759" w:rsidR="7DCACB5B" w:rsidRPr="00AD3E2A" w:rsidRDefault="7DCACB5B" w:rsidP="60E67443">
      <w:pPr>
        <w:rPr>
          <w:rFonts w:eastAsia="Arial" w:cs="Arial"/>
          <w:sz w:val="22"/>
          <w:szCs w:val="22"/>
        </w:rPr>
      </w:pPr>
      <w:r w:rsidRPr="00AD3E2A">
        <w:rPr>
          <w:rFonts w:eastAsia="Arial" w:cs="Arial"/>
          <w:sz w:val="22"/>
          <w:szCs w:val="22"/>
        </w:rPr>
        <w:t>Elements outlined in the Theory of Change can be largely directly under the control of the fund (such as activities and outputs) or inﬂuenced by both the fund and external factors (such as outcomes, ﬁnal impacts). Given the nature of the fund’s work, the fund does not attribute the absolute change happening at outcome and ﬁnal impact level solely to its contributions. Considering also the complex environments in which the fund’s investees and stakeholders operate in, it may be possible to measure whether an intended outcome occurred, but it would be diﬃcult or inaccurate to attribute the change solely to the LDN Fund’s work. The Theory of Change, therefore, deﬁnes how the fund contributes to causing the observed outcomes and ﬁnal impacts.</w:t>
      </w:r>
    </w:p>
    <w:p w14:paraId="1C2A0169" w14:textId="2CC863E1" w:rsidR="7DCACB5B" w:rsidRPr="00AD3E2A" w:rsidRDefault="7DCACB5B" w:rsidP="60E67443">
      <w:pPr>
        <w:rPr>
          <w:rFonts w:eastAsia="Arial" w:cs="Arial"/>
          <w:color w:val="FF0000"/>
          <w:sz w:val="22"/>
          <w:szCs w:val="22"/>
        </w:rPr>
      </w:pPr>
    </w:p>
    <w:p w14:paraId="1B5E46F1" w14:textId="178CB3C6" w:rsidR="20953E43" w:rsidRPr="00AD3E2A" w:rsidRDefault="20953E43" w:rsidP="60E67443">
      <w:pPr>
        <w:rPr>
          <w:rFonts w:eastAsia="Arial" w:cs="Arial"/>
          <w:color w:val="FF0000"/>
          <w:sz w:val="22"/>
          <w:szCs w:val="22"/>
        </w:rPr>
      </w:pPr>
      <w:r w:rsidRPr="00AD3E2A">
        <w:rPr>
          <w:rFonts w:eastAsia="Arial" w:cs="Arial"/>
          <w:sz w:val="22"/>
          <w:szCs w:val="22"/>
        </w:rPr>
        <w:t>As the Fund is still in its early stages</w:t>
      </w:r>
      <w:r w:rsidR="0056714C">
        <w:rPr>
          <w:rFonts w:eastAsia="Arial" w:cs="Arial"/>
          <w:sz w:val="22"/>
          <w:szCs w:val="22"/>
        </w:rPr>
        <w:t xml:space="preserve"> (2021 is year 3 of a 15-year programme)</w:t>
      </w:r>
      <w:r w:rsidRPr="00AD3E2A">
        <w:rPr>
          <w:rFonts w:eastAsia="Arial" w:cs="Arial"/>
          <w:sz w:val="22"/>
          <w:szCs w:val="22"/>
        </w:rPr>
        <w:t xml:space="preserve">, it is currently operating within the outputs and short-term outcomes of the </w:t>
      </w:r>
      <w:proofErr w:type="spellStart"/>
      <w:r w:rsidRPr="00AD3E2A">
        <w:rPr>
          <w:rFonts w:eastAsia="Arial" w:cs="Arial"/>
          <w:sz w:val="22"/>
          <w:szCs w:val="22"/>
        </w:rPr>
        <w:t>ToC</w:t>
      </w:r>
      <w:proofErr w:type="spellEnd"/>
      <w:r w:rsidRPr="00AD3E2A">
        <w:rPr>
          <w:rFonts w:eastAsia="Arial" w:cs="Arial"/>
          <w:sz w:val="22"/>
          <w:szCs w:val="22"/>
        </w:rPr>
        <w:t>. Over the 202</w:t>
      </w:r>
      <w:r w:rsidR="4D986475" w:rsidRPr="00AD3E2A">
        <w:rPr>
          <w:rFonts w:eastAsia="Arial" w:cs="Arial"/>
          <w:sz w:val="22"/>
          <w:szCs w:val="22"/>
        </w:rPr>
        <w:t>1</w:t>
      </w:r>
      <w:r w:rsidRPr="00AD3E2A">
        <w:rPr>
          <w:rFonts w:eastAsia="Arial" w:cs="Arial"/>
          <w:sz w:val="22"/>
          <w:szCs w:val="22"/>
        </w:rPr>
        <w:t xml:space="preserve"> FY it has achieved, to varying </w:t>
      </w:r>
      <w:r w:rsidR="511D9B23" w:rsidRPr="00AD3E2A">
        <w:rPr>
          <w:rFonts w:eastAsia="Arial" w:cs="Arial"/>
          <w:sz w:val="22"/>
          <w:szCs w:val="22"/>
        </w:rPr>
        <w:t xml:space="preserve">degrees all listed outputs, and </w:t>
      </w:r>
      <w:r w:rsidR="7F492181" w:rsidRPr="00AD3E2A">
        <w:rPr>
          <w:rFonts w:eastAsia="Arial" w:cs="Arial"/>
          <w:sz w:val="22"/>
          <w:szCs w:val="22"/>
        </w:rPr>
        <w:t xml:space="preserve">throughout FY22 the Fund will </w:t>
      </w:r>
      <w:r w:rsidR="511D9B23" w:rsidRPr="00AD3E2A">
        <w:rPr>
          <w:rFonts w:eastAsia="Arial" w:cs="Arial"/>
          <w:sz w:val="22"/>
          <w:szCs w:val="22"/>
        </w:rPr>
        <w:t xml:space="preserve">continue to identify and provide finance </w:t>
      </w:r>
      <w:r w:rsidR="681CB725" w:rsidRPr="00AD3E2A">
        <w:rPr>
          <w:rFonts w:eastAsia="Arial" w:cs="Arial"/>
          <w:sz w:val="22"/>
          <w:szCs w:val="22"/>
        </w:rPr>
        <w:t xml:space="preserve">to </w:t>
      </w:r>
      <w:r w:rsidR="511D9B23" w:rsidRPr="00AD3E2A">
        <w:rPr>
          <w:rFonts w:eastAsia="Arial" w:cs="Arial"/>
          <w:sz w:val="22"/>
          <w:szCs w:val="22"/>
        </w:rPr>
        <w:t xml:space="preserve">sustainable land management projects. In terms of short-term outcomes, more private finance has been leveraged, in part due to Defra’s investment. </w:t>
      </w:r>
      <w:r w:rsidR="5BDCAE03" w:rsidRPr="00AD3E2A">
        <w:rPr>
          <w:rFonts w:eastAsia="Arial" w:cs="Arial"/>
          <w:sz w:val="22"/>
          <w:szCs w:val="22"/>
        </w:rPr>
        <w:t xml:space="preserve">Following the last extension of the subscription period, the LDN Fund reached final closing in March 2021 with additional subscriptions: $42M committed by the Canadian Government, announced by Prime Minister Justin Trudeau on January 11th during One Planet Summit; $26M in top-up investments from existing investors and new subscriptions from Dutch family </w:t>
      </w:r>
      <w:r w:rsidR="5BDCAE03" w:rsidRPr="00AD3E2A">
        <w:rPr>
          <w:rFonts w:eastAsia="Arial" w:cs="Arial"/>
          <w:sz w:val="22"/>
          <w:szCs w:val="22"/>
        </w:rPr>
        <w:lastRenderedPageBreak/>
        <w:t>offices.</w:t>
      </w:r>
      <w:r w:rsidR="000B0FAA" w:rsidRPr="00AD3E2A">
        <w:rPr>
          <w:rFonts w:eastAsia="Arial" w:cs="Arial"/>
          <w:sz w:val="22"/>
          <w:szCs w:val="22"/>
        </w:rPr>
        <w:t xml:space="preserve"> </w:t>
      </w:r>
      <w:r w:rsidR="5BDCAE03" w:rsidRPr="00AD3E2A">
        <w:rPr>
          <w:rFonts w:eastAsia="Arial" w:cs="Arial"/>
          <w:sz w:val="22"/>
          <w:szCs w:val="22"/>
        </w:rPr>
        <w:t xml:space="preserve">The final size of the fund is $208.4M, split between $43.6M in commitments from Junior LPs (21%) and $164.8M in commitments from Senior LPs (79%). </w:t>
      </w:r>
    </w:p>
    <w:p w14:paraId="28AC629F" w14:textId="40ABEB4F" w:rsidR="60E67443" w:rsidRPr="00AD3E2A" w:rsidRDefault="60E67443" w:rsidP="60E67443">
      <w:pPr>
        <w:rPr>
          <w:rFonts w:eastAsia="Arial" w:cs="Arial"/>
          <w:color w:val="FF0000"/>
          <w:sz w:val="22"/>
          <w:szCs w:val="22"/>
        </w:rPr>
      </w:pPr>
    </w:p>
    <w:p w14:paraId="30BA9514" w14:textId="61D83942" w:rsidR="006F3AE7" w:rsidRPr="00AD3E2A" w:rsidRDefault="56B3E3B7" w:rsidP="60E67443">
      <w:pPr>
        <w:rPr>
          <w:rFonts w:eastAsia="Arial" w:cs="Arial"/>
          <w:sz w:val="22"/>
          <w:szCs w:val="22"/>
        </w:rPr>
      </w:pPr>
      <w:r w:rsidRPr="00AD3E2A">
        <w:rPr>
          <w:rFonts w:eastAsia="Arial" w:cs="Arial"/>
          <w:sz w:val="22"/>
          <w:szCs w:val="22"/>
        </w:rPr>
        <w:t xml:space="preserve">At the Fund Level, the LDN Fund aims to measure each project’s contribution to Land Degradation Neutrality, in line with the </w:t>
      </w:r>
      <w:hyperlink r:id="rId13">
        <w:r w:rsidRPr="00AD3E2A">
          <w:rPr>
            <w:rStyle w:val="Hyperlink"/>
            <w:rFonts w:eastAsia="Arial" w:cs="Arial"/>
            <w:color w:val="auto"/>
            <w:sz w:val="22"/>
            <w:szCs w:val="22"/>
          </w:rPr>
          <w:t>UNCCD LDN Scientific Conceptual Framework</w:t>
        </w:r>
      </w:hyperlink>
      <w:r w:rsidRPr="00AD3E2A">
        <w:rPr>
          <w:rFonts w:eastAsia="Arial" w:cs="Arial"/>
          <w:sz w:val="22"/>
          <w:szCs w:val="22"/>
        </w:rPr>
        <w:t xml:space="preserve">. According to this framework, progress towards Land Degradation Neutrality is measured using three indicators: </w:t>
      </w:r>
    </w:p>
    <w:p w14:paraId="32E02BF7" w14:textId="2F922140" w:rsidR="006F3AE7" w:rsidRPr="00AD3E2A" w:rsidRDefault="693B6545" w:rsidP="60E67443">
      <w:pPr>
        <w:pStyle w:val="ListParagraph"/>
        <w:numPr>
          <w:ilvl w:val="0"/>
          <w:numId w:val="8"/>
        </w:numPr>
        <w:rPr>
          <w:rFonts w:asciiTheme="minorHAnsi" w:eastAsiaTheme="minorEastAsia" w:hAnsiTheme="minorHAnsi" w:cstheme="minorBidi"/>
          <w:sz w:val="22"/>
          <w:szCs w:val="22"/>
        </w:rPr>
      </w:pPr>
      <w:r w:rsidRPr="00AD3E2A">
        <w:rPr>
          <w:rFonts w:eastAsia="Arial" w:cs="Arial"/>
          <w:sz w:val="22"/>
          <w:szCs w:val="22"/>
        </w:rPr>
        <w:t>Land cover (assessed as land cover change)</w:t>
      </w:r>
    </w:p>
    <w:p w14:paraId="5B4E1615" w14:textId="7455930C" w:rsidR="006F3AE7" w:rsidRPr="00AD3E2A" w:rsidRDefault="693B6545" w:rsidP="60E67443">
      <w:pPr>
        <w:pStyle w:val="ListParagraph"/>
        <w:numPr>
          <w:ilvl w:val="0"/>
          <w:numId w:val="8"/>
        </w:numPr>
        <w:rPr>
          <w:sz w:val="22"/>
          <w:szCs w:val="22"/>
        </w:rPr>
      </w:pPr>
      <w:r w:rsidRPr="00AD3E2A">
        <w:rPr>
          <w:rFonts w:eastAsia="Arial" w:cs="Arial"/>
          <w:sz w:val="22"/>
          <w:szCs w:val="22"/>
        </w:rPr>
        <w:t>Land productivity (assessed as net primary productivity)</w:t>
      </w:r>
    </w:p>
    <w:p w14:paraId="305A9815" w14:textId="677967D1" w:rsidR="006F3AE7" w:rsidRPr="00AD3E2A" w:rsidRDefault="5A5B9707" w:rsidP="60E67443">
      <w:pPr>
        <w:pStyle w:val="ListParagraph"/>
        <w:numPr>
          <w:ilvl w:val="0"/>
          <w:numId w:val="8"/>
        </w:numPr>
        <w:rPr>
          <w:sz w:val="22"/>
          <w:szCs w:val="22"/>
        </w:rPr>
      </w:pPr>
      <w:r w:rsidRPr="00AD3E2A">
        <w:rPr>
          <w:rFonts w:eastAsia="Arial" w:cs="Arial"/>
          <w:sz w:val="22"/>
          <w:szCs w:val="22"/>
        </w:rPr>
        <w:t xml:space="preserve">Carbon stocks (assessed as soil organic carbon) </w:t>
      </w:r>
    </w:p>
    <w:p w14:paraId="412F9A3A" w14:textId="69476A31" w:rsidR="006F3AE7" w:rsidRPr="00AD3E2A" w:rsidRDefault="693B6545" w:rsidP="60E67443">
      <w:pPr>
        <w:rPr>
          <w:rFonts w:eastAsia="Arial" w:cs="Arial"/>
          <w:sz w:val="22"/>
          <w:szCs w:val="22"/>
        </w:rPr>
      </w:pPr>
      <w:r w:rsidRPr="00AD3E2A">
        <w:rPr>
          <w:rFonts w:eastAsia="Arial" w:cs="Arial"/>
          <w:sz w:val="22"/>
          <w:szCs w:val="22"/>
        </w:rPr>
        <w:t xml:space="preserve">The Technical Assistance Facility, managed by IDH – the Sustainable Trade Initiative - is supporting the </w:t>
      </w:r>
      <w:r w:rsidR="02246921" w:rsidRPr="00AD3E2A">
        <w:rPr>
          <w:rFonts w:eastAsia="Arial" w:cs="Arial"/>
          <w:sz w:val="22"/>
          <w:szCs w:val="22"/>
        </w:rPr>
        <w:t>Fund</w:t>
      </w:r>
      <w:r w:rsidRPr="00AD3E2A">
        <w:rPr>
          <w:rFonts w:eastAsia="Arial" w:cs="Arial"/>
          <w:sz w:val="22"/>
          <w:szCs w:val="22"/>
        </w:rPr>
        <w:t xml:space="preserve"> </w:t>
      </w:r>
      <w:r w:rsidR="02246921" w:rsidRPr="00AD3E2A">
        <w:rPr>
          <w:rFonts w:eastAsia="Arial" w:cs="Arial"/>
          <w:sz w:val="22"/>
          <w:szCs w:val="22"/>
        </w:rPr>
        <w:t>w</w:t>
      </w:r>
      <w:r w:rsidRPr="00AD3E2A">
        <w:rPr>
          <w:rFonts w:eastAsia="Arial" w:cs="Arial"/>
          <w:sz w:val="22"/>
          <w:szCs w:val="22"/>
        </w:rPr>
        <w:t>i</w:t>
      </w:r>
      <w:r w:rsidR="02246921" w:rsidRPr="00AD3E2A">
        <w:rPr>
          <w:rFonts w:eastAsia="Arial" w:cs="Arial"/>
          <w:sz w:val="22"/>
          <w:szCs w:val="22"/>
        </w:rPr>
        <w:t>th</w:t>
      </w:r>
      <w:r w:rsidRPr="00AD3E2A">
        <w:rPr>
          <w:rFonts w:eastAsia="Arial" w:cs="Arial"/>
          <w:sz w:val="22"/>
          <w:szCs w:val="22"/>
        </w:rPr>
        <w:t xml:space="preserve"> the development of a harmonised approach towards monitoring, based on a methodological framework, in partnership with Conservation International and their </w:t>
      </w:r>
      <w:proofErr w:type="spellStart"/>
      <w:r w:rsidRPr="00AD3E2A">
        <w:rPr>
          <w:rFonts w:eastAsia="Arial" w:cs="Arial"/>
          <w:sz w:val="22"/>
          <w:szCs w:val="22"/>
        </w:rPr>
        <w:t>Trends.Earth</w:t>
      </w:r>
      <w:proofErr w:type="spellEnd"/>
      <w:r w:rsidRPr="00AD3E2A">
        <w:rPr>
          <w:rFonts w:eastAsia="Arial" w:cs="Arial"/>
          <w:sz w:val="22"/>
          <w:szCs w:val="22"/>
        </w:rPr>
        <w:t xml:space="preserve"> platform, and </w:t>
      </w:r>
      <w:proofErr w:type="spellStart"/>
      <w:r w:rsidRPr="00AD3E2A">
        <w:rPr>
          <w:rFonts w:eastAsia="Arial" w:cs="Arial"/>
          <w:sz w:val="22"/>
          <w:szCs w:val="22"/>
        </w:rPr>
        <w:t>GlobalGeoHub</w:t>
      </w:r>
      <w:proofErr w:type="spellEnd"/>
      <w:r w:rsidRPr="00AD3E2A">
        <w:rPr>
          <w:rFonts w:eastAsia="Arial" w:cs="Arial"/>
          <w:sz w:val="22"/>
          <w:szCs w:val="22"/>
        </w:rPr>
        <w:t>. The work has been undertaken in close consultation with the UNCCD scientific community. Based on a ‘one-out all-out' principle, a positive overall change indicates land increasing in productivity and health, and therefore land degradation being reversed. In terms of monitoring, most indicators are measured using remote sensing (satellite imagery), and in some cases complemented by field-level soil sampling. Alongside this, the TA Facility supports recipients of the LDN Fund in setting a baseline using the above methodology, while building capacity with project developers to integrate continuous monitoring of LDN into their operations, and (where relevant) aligning with national government target-setting units. This enables companies to report on progress and comply with environmental and social action plans, practice adaptive management, and, where possible, optimise positive environmental, social and financial returns resulting from restoring land.</w:t>
      </w:r>
    </w:p>
    <w:p w14:paraId="68AB277B" w14:textId="17119A41" w:rsidR="215E1B44" w:rsidRPr="00AD3E2A" w:rsidRDefault="215E1B44" w:rsidP="215E1B44">
      <w:pPr>
        <w:rPr>
          <w:color w:val="FF0000"/>
          <w:sz w:val="22"/>
          <w:szCs w:val="22"/>
        </w:rPr>
      </w:pPr>
    </w:p>
    <w:p w14:paraId="0E006C59" w14:textId="0C79EAF8" w:rsidR="007E297E" w:rsidRPr="00AD3E2A" w:rsidRDefault="315B05AC" w:rsidP="60E67443">
      <w:pPr>
        <w:rPr>
          <w:rFonts w:cs="Arial"/>
          <w:sz w:val="22"/>
          <w:szCs w:val="22"/>
        </w:rPr>
      </w:pPr>
      <w:r w:rsidRPr="00AD3E2A">
        <w:rPr>
          <w:rFonts w:cs="Arial"/>
          <w:sz w:val="22"/>
          <w:szCs w:val="22"/>
        </w:rPr>
        <w:t>The below four impact indicators have been selected for this programme.</w:t>
      </w:r>
      <w:r w:rsidRPr="00AD3E2A">
        <w:rPr>
          <w:sz w:val="22"/>
          <w:szCs w:val="22"/>
        </w:rPr>
        <w:t xml:space="preserve"> </w:t>
      </w:r>
      <w:r w:rsidRPr="00AD3E2A">
        <w:rPr>
          <w:rFonts w:cs="Arial"/>
          <w:sz w:val="22"/>
          <w:szCs w:val="22"/>
        </w:rPr>
        <w:t xml:space="preserve">Due to their longer-term </w:t>
      </w:r>
      <w:proofErr w:type="gramStart"/>
      <w:r w:rsidRPr="00AD3E2A">
        <w:rPr>
          <w:rFonts w:cs="Arial"/>
          <w:sz w:val="22"/>
          <w:szCs w:val="22"/>
        </w:rPr>
        <w:t>nature</w:t>
      </w:r>
      <w:proofErr w:type="gramEnd"/>
      <w:r w:rsidRPr="00AD3E2A">
        <w:rPr>
          <w:rFonts w:cs="Arial"/>
          <w:sz w:val="22"/>
          <w:szCs w:val="22"/>
        </w:rPr>
        <w:t xml:space="preserve"> there are no results yet, but these will start to become available as the fund develops year on year</w:t>
      </w:r>
      <w:r w:rsidR="00A46C9F" w:rsidRPr="00AD3E2A">
        <w:rPr>
          <w:rFonts w:cs="Arial"/>
          <w:sz w:val="22"/>
          <w:szCs w:val="22"/>
        </w:rPr>
        <w:t>:</w:t>
      </w:r>
    </w:p>
    <w:p w14:paraId="32333171" w14:textId="3BC76AEA" w:rsidR="007E297E" w:rsidRPr="001D1D39" w:rsidRDefault="315B05AC" w:rsidP="60E67443">
      <w:pPr>
        <w:pStyle w:val="ListParagraph"/>
        <w:numPr>
          <w:ilvl w:val="0"/>
          <w:numId w:val="28"/>
        </w:numPr>
        <w:rPr>
          <w:rFonts w:cs="Arial"/>
          <w:b/>
          <w:bCs/>
          <w:sz w:val="22"/>
          <w:szCs w:val="22"/>
        </w:rPr>
      </w:pPr>
      <w:r w:rsidRPr="00AD3E2A">
        <w:rPr>
          <w:rFonts w:cs="Arial"/>
          <w:sz w:val="22"/>
          <w:szCs w:val="22"/>
          <w:shd w:val="clear" w:color="auto" w:fill="FFFFFF"/>
        </w:rPr>
        <w:t xml:space="preserve">ICF KPI 15: transformational change </w:t>
      </w:r>
      <w:r w:rsidR="00CB5FB4" w:rsidRPr="00AD3E2A">
        <w:rPr>
          <w:rFonts w:cs="Arial"/>
          <w:sz w:val="22"/>
          <w:szCs w:val="22"/>
          <w:shd w:val="clear" w:color="auto" w:fill="FFFFFF"/>
        </w:rPr>
        <w:t xml:space="preserve">– </w:t>
      </w:r>
      <w:r w:rsidR="4FF1DFB7" w:rsidRPr="00AD3E2A">
        <w:rPr>
          <w:rFonts w:cs="Arial"/>
          <w:sz w:val="22"/>
          <w:szCs w:val="22"/>
          <w:shd w:val="clear" w:color="auto" w:fill="FFFFFF"/>
        </w:rPr>
        <w:t>results will be made up of sub-indicators within the Logical Framework</w:t>
      </w:r>
      <w:r w:rsidR="001D1D39">
        <w:rPr>
          <w:rFonts w:cs="Arial"/>
          <w:sz w:val="22"/>
          <w:szCs w:val="22"/>
          <w:shd w:val="clear" w:color="auto" w:fill="FFFFFF"/>
        </w:rPr>
        <w:t xml:space="preserve">. </w:t>
      </w:r>
      <w:r w:rsidR="001D1D39" w:rsidRPr="001D1D39">
        <w:rPr>
          <w:rFonts w:cs="Arial"/>
          <w:sz w:val="22"/>
          <w:szCs w:val="22"/>
          <w:shd w:val="clear" w:color="auto" w:fill="FFFFFF"/>
        </w:rPr>
        <w:t xml:space="preserve">The results of KPI 15 are for internal use by Defra and </w:t>
      </w:r>
      <w:proofErr w:type="spellStart"/>
      <w:r w:rsidR="001D1D39" w:rsidRPr="001D1D39">
        <w:rPr>
          <w:rFonts w:cs="Arial"/>
          <w:sz w:val="22"/>
          <w:szCs w:val="22"/>
          <w:shd w:val="clear" w:color="auto" w:fill="FFFFFF"/>
        </w:rPr>
        <w:t>Mirova</w:t>
      </w:r>
      <w:proofErr w:type="spellEnd"/>
      <w:r w:rsidR="001D1D39" w:rsidRPr="001D1D39">
        <w:rPr>
          <w:rFonts w:cs="Arial"/>
          <w:sz w:val="22"/>
          <w:szCs w:val="22"/>
          <w:shd w:val="clear" w:color="auto" w:fill="FFFFFF"/>
        </w:rPr>
        <w:t xml:space="preserve"> and will not be published.</w:t>
      </w:r>
    </w:p>
    <w:p w14:paraId="628C1FE5" w14:textId="6428B7E4" w:rsidR="007E297E" w:rsidRPr="00AD3E2A" w:rsidRDefault="315B05AC" w:rsidP="60E67443">
      <w:pPr>
        <w:pStyle w:val="ListParagraph"/>
        <w:numPr>
          <w:ilvl w:val="0"/>
          <w:numId w:val="28"/>
        </w:numPr>
        <w:rPr>
          <w:rFonts w:cs="Arial"/>
          <w:b/>
          <w:bCs/>
          <w:sz w:val="22"/>
          <w:szCs w:val="22"/>
        </w:rPr>
      </w:pPr>
      <w:r w:rsidRPr="001D1D39">
        <w:rPr>
          <w:rFonts w:cs="Arial"/>
          <w:sz w:val="22"/>
          <w:szCs w:val="22"/>
          <w:shd w:val="clear" w:color="auto" w:fill="FFFFFF"/>
        </w:rPr>
        <w:t>Contribution to climate change</w:t>
      </w:r>
      <w:r w:rsidRPr="00AD3E2A">
        <w:rPr>
          <w:rFonts w:cs="Arial"/>
          <w:sz w:val="22"/>
          <w:szCs w:val="22"/>
          <w:shd w:val="clear" w:color="auto" w:fill="FFFFFF"/>
        </w:rPr>
        <w:t>, adaptation and relevant SDGs</w:t>
      </w:r>
      <w:r w:rsidR="4FF1DFB7" w:rsidRPr="00AD3E2A">
        <w:rPr>
          <w:rFonts w:cs="Arial"/>
          <w:sz w:val="22"/>
          <w:szCs w:val="22"/>
          <w:shd w:val="clear" w:color="auto" w:fill="FFFFFF"/>
        </w:rPr>
        <w:t xml:space="preserve"> – this will be a predominantly qualitative and narrative indicator which evaluates the progress of the fund towards </w:t>
      </w:r>
      <w:r w:rsidR="00CB5FB4" w:rsidRPr="00AD3E2A">
        <w:rPr>
          <w:rFonts w:cs="Arial"/>
          <w:sz w:val="22"/>
          <w:szCs w:val="22"/>
          <w:shd w:val="clear" w:color="auto" w:fill="FFFFFF"/>
        </w:rPr>
        <w:t>these</w:t>
      </w:r>
      <w:r w:rsidR="4FF1DFB7" w:rsidRPr="00AD3E2A">
        <w:rPr>
          <w:rFonts w:cs="Arial"/>
          <w:sz w:val="22"/>
          <w:szCs w:val="22"/>
          <w:shd w:val="clear" w:color="auto" w:fill="FFFFFF"/>
        </w:rPr>
        <w:t xml:space="preserve"> objectives.</w:t>
      </w:r>
    </w:p>
    <w:p w14:paraId="052832F6" w14:textId="675177DF" w:rsidR="007E297E" w:rsidRPr="00AD3E2A" w:rsidRDefault="315B05AC" w:rsidP="60E67443">
      <w:pPr>
        <w:pStyle w:val="ListParagraph"/>
        <w:numPr>
          <w:ilvl w:val="0"/>
          <w:numId w:val="28"/>
        </w:numPr>
        <w:rPr>
          <w:rFonts w:cs="Arial"/>
          <w:b/>
          <w:bCs/>
          <w:sz w:val="22"/>
          <w:szCs w:val="22"/>
        </w:rPr>
      </w:pPr>
      <w:r w:rsidRPr="00AD3E2A">
        <w:rPr>
          <w:rFonts w:cs="Arial"/>
          <w:sz w:val="22"/>
          <w:szCs w:val="22"/>
          <w:shd w:val="clear" w:color="auto" w:fill="FFFFFF"/>
        </w:rPr>
        <w:t>Wider progress towards Land Degradation Neutrality</w:t>
      </w:r>
      <w:r w:rsidR="4FF1DFB7" w:rsidRPr="00AD3E2A">
        <w:rPr>
          <w:rFonts w:cs="Arial"/>
          <w:sz w:val="22"/>
          <w:szCs w:val="22"/>
          <w:shd w:val="clear" w:color="auto" w:fill="FFFFFF"/>
        </w:rPr>
        <w:t xml:space="preserve"> – this will be difference between land degradation levels from Year 0 of project, measured in hectares.</w:t>
      </w:r>
    </w:p>
    <w:p w14:paraId="0F403FF9" w14:textId="57CB2C93" w:rsidR="007E297E" w:rsidRPr="00AD3E2A" w:rsidRDefault="315B05AC" w:rsidP="60E67443">
      <w:pPr>
        <w:pStyle w:val="ListParagraph"/>
        <w:numPr>
          <w:ilvl w:val="0"/>
          <w:numId w:val="28"/>
        </w:numPr>
        <w:rPr>
          <w:rFonts w:cs="Arial"/>
          <w:b/>
          <w:bCs/>
          <w:sz w:val="22"/>
          <w:szCs w:val="22"/>
        </w:rPr>
      </w:pPr>
      <w:r w:rsidRPr="00AD3E2A">
        <w:rPr>
          <w:rFonts w:cs="Arial"/>
          <w:sz w:val="22"/>
          <w:szCs w:val="22"/>
          <w:shd w:val="clear" w:color="auto" w:fill="FFFFFF"/>
        </w:rPr>
        <w:t>Level of market-level private investment in Sustainable Land Management</w:t>
      </w:r>
      <w:r w:rsidR="4FF1DFB7" w:rsidRPr="00AD3E2A">
        <w:rPr>
          <w:rFonts w:cs="Arial"/>
          <w:sz w:val="22"/>
          <w:szCs w:val="22"/>
          <w:shd w:val="clear" w:color="auto" w:fill="FFFFFF"/>
        </w:rPr>
        <w:t xml:space="preserve"> – this will be a cumulative result, measured in pounds sterling.</w:t>
      </w:r>
      <w:r w:rsidR="00CB5FB4" w:rsidRPr="00AD3E2A">
        <w:rPr>
          <w:rFonts w:cs="Arial"/>
          <w:b/>
          <w:bCs/>
          <w:sz w:val="22"/>
          <w:szCs w:val="22"/>
        </w:rPr>
        <w:t xml:space="preserve"> </w:t>
      </w:r>
    </w:p>
    <w:p w14:paraId="33F7DAD4" w14:textId="68DB7721" w:rsidR="283533BE" w:rsidRPr="00AD3E2A" w:rsidRDefault="3E003516" w:rsidP="60E67443">
      <w:pPr>
        <w:spacing w:after="120"/>
        <w:rPr>
          <w:rFonts w:eastAsia="Calibri"/>
          <w:color w:val="FF0000"/>
          <w:sz w:val="22"/>
          <w:szCs w:val="22"/>
        </w:rPr>
      </w:pPr>
      <w:r w:rsidRPr="00AD3E2A">
        <w:rPr>
          <w:rFonts w:cs="Arial"/>
          <w:sz w:val="22"/>
          <w:szCs w:val="22"/>
        </w:rPr>
        <w:t xml:space="preserve">Usually, indicators are assessed via their progress towards annual milestones (targets), which are agreed between Defra and the Fund using baseline data and projected impacts. Baseline data is available for some of the indicators, but not all. </w:t>
      </w:r>
      <w:r w:rsidR="4EB67B29" w:rsidRPr="00AD3E2A">
        <w:rPr>
          <w:rFonts w:cs="Arial"/>
          <w:sz w:val="22"/>
          <w:szCs w:val="22"/>
        </w:rPr>
        <w:t>Where baseline data is available milestones (targets) have been set for each year until the end of the Fund. Due to the nature of the Fund, by end of year 2021 not all projects had been identified or disbursed.</w:t>
      </w:r>
      <w:r w:rsidR="0875BAA7" w:rsidRPr="00AD3E2A">
        <w:rPr>
          <w:rFonts w:cs="Arial"/>
          <w:sz w:val="22"/>
          <w:szCs w:val="22"/>
        </w:rPr>
        <w:t xml:space="preserve"> This means that as more projects are onboarded the baseline data, and therefore milestones will be adjusted accordingly.</w:t>
      </w:r>
      <w:r w:rsidR="0875BAA7" w:rsidRPr="00AD3E2A">
        <w:rPr>
          <w:rFonts w:cs="Arial"/>
          <w:color w:val="FF0000"/>
          <w:sz w:val="22"/>
          <w:szCs w:val="22"/>
        </w:rPr>
        <w:t xml:space="preserve"> </w:t>
      </w:r>
    </w:p>
    <w:p w14:paraId="3330B149" w14:textId="4A7489C0" w:rsidR="283533BE" w:rsidRPr="002055D4" w:rsidRDefault="283533BE" w:rsidP="60E67443">
      <w:pPr>
        <w:spacing w:after="120"/>
        <w:rPr>
          <w:rFonts w:eastAsia="Calibri"/>
          <w:b/>
          <w:bCs/>
          <w:color w:val="FF0000"/>
          <w:sz w:val="22"/>
          <w:szCs w:val="22"/>
        </w:rPr>
      </w:pPr>
    </w:p>
    <w:p w14:paraId="3E8BFF19" w14:textId="4B596A05" w:rsidR="283533BE" w:rsidRPr="002055D4" w:rsidRDefault="33BABD86" w:rsidP="60E67443">
      <w:pPr>
        <w:spacing w:after="120"/>
        <w:rPr>
          <w:rFonts w:eastAsia="Calibri"/>
          <w:sz w:val="22"/>
          <w:szCs w:val="22"/>
        </w:rPr>
      </w:pPr>
      <w:r w:rsidRPr="60E67443">
        <w:rPr>
          <w:rFonts w:eastAsia="Calibri"/>
          <w:b/>
          <w:bCs/>
          <w:sz w:val="22"/>
          <w:szCs w:val="22"/>
        </w:rPr>
        <w:t>Annual outcome assessment</w:t>
      </w:r>
    </w:p>
    <w:p w14:paraId="21EEECE3" w14:textId="6B9B3DFA" w:rsidR="1D070327" w:rsidRPr="00AD3E2A" w:rsidRDefault="1D070327" w:rsidP="60E67443">
      <w:pPr>
        <w:pStyle w:val="Normal1"/>
        <w:spacing w:after="120"/>
        <w:jc w:val="both"/>
        <w:rPr>
          <w:color w:val="auto"/>
          <w:sz w:val="22"/>
          <w:szCs w:val="22"/>
        </w:rPr>
      </w:pPr>
      <w:r w:rsidRPr="00AD3E2A">
        <w:rPr>
          <w:color w:val="auto"/>
          <w:sz w:val="22"/>
          <w:szCs w:val="22"/>
        </w:rPr>
        <w:t xml:space="preserve">The overall outcome indicator is defined as: The LDN Fund contributes to achieving Land Degradation Neutrality by increasing private investment in sustainable land management, proving the concept of positive financial returns from sustainability projects, mainstreaming SLM practices in </w:t>
      </w:r>
      <w:proofErr w:type="gramStart"/>
      <w:r w:rsidRPr="00AD3E2A">
        <w:rPr>
          <w:color w:val="auto"/>
          <w:sz w:val="22"/>
          <w:szCs w:val="22"/>
        </w:rPr>
        <w:t>a number of</w:t>
      </w:r>
      <w:proofErr w:type="gramEnd"/>
      <w:r w:rsidRPr="00AD3E2A">
        <w:rPr>
          <w:color w:val="auto"/>
          <w:sz w:val="22"/>
          <w:szCs w:val="22"/>
        </w:rPr>
        <w:t xml:space="preserve"> industries and geographies, and sharing best practice with public and private partners across the developing world.</w:t>
      </w:r>
    </w:p>
    <w:p w14:paraId="057382F0" w14:textId="2380ABE3" w:rsidR="514244E1" w:rsidRPr="00AD3E2A" w:rsidRDefault="514244E1" w:rsidP="60E67443">
      <w:pPr>
        <w:rPr>
          <w:sz w:val="22"/>
          <w:szCs w:val="22"/>
        </w:rPr>
      </w:pPr>
      <w:r w:rsidRPr="00AD3E2A">
        <w:rPr>
          <w:sz w:val="22"/>
          <w:szCs w:val="22"/>
        </w:rPr>
        <w:lastRenderedPageBreak/>
        <w:t>Initial results for all five</w:t>
      </w:r>
      <w:r w:rsidR="17C62AF0" w:rsidRPr="00AD3E2A">
        <w:rPr>
          <w:sz w:val="22"/>
          <w:szCs w:val="22"/>
        </w:rPr>
        <w:t xml:space="preserve"> outcome level</w:t>
      </w:r>
      <w:r w:rsidRPr="00AD3E2A">
        <w:rPr>
          <w:sz w:val="22"/>
          <w:szCs w:val="22"/>
        </w:rPr>
        <w:t xml:space="preserve"> indicators are now available and m</w:t>
      </w:r>
      <w:r w:rsidR="69C90A0F" w:rsidRPr="00AD3E2A">
        <w:rPr>
          <w:sz w:val="22"/>
          <w:szCs w:val="22"/>
        </w:rPr>
        <w:t>i</w:t>
      </w:r>
      <w:r w:rsidRPr="00AD3E2A">
        <w:rPr>
          <w:sz w:val="22"/>
          <w:szCs w:val="22"/>
        </w:rPr>
        <w:t>lestones have been set</w:t>
      </w:r>
      <w:r w:rsidR="37585E9F" w:rsidRPr="00AD3E2A">
        <w:rPr>
          <w:sz w:val="22"/>
          <w:szCs w:val="22"/>
        </w:rPr>
        <w:t xml:space="preserve"> from 2022</w:t>
      </w:r>
      <w:r w:rsidRPr="00AD3E2A">
        <w:rPr>
          <w:sz w:val="22"/>
          <w:szCs w:val="22"/>
        </w:rPr>
        <w:t xml:space="preserve"> to the end of the Fund.</w:t>
      </w:r>
    </w:p>
    <w:p w14:paraId="033BD59A" w14:textId="7BD592AA" w:rsidR="60E67443" w:rsidRPr="00AD3E2A" w:rsidRDefault="60E67443" w:rsidP="60E67443">
      <w:pPr>
        <w:rPr>
          <w:color w:val="FF0000"/>
          <w:sz w:val="22"/>
          <w:szCs w:val="22"/>
        </w:rPr>
      </w:pPr>
    </w:p>
    <w:p w14:paraId="226F7797" w14:textId="3CA28DDC" w:rsidR="0088387E" w:rsidRPr="00AD3E2A" w:rsidRDefault="0088387E" w:rsidP="215E1B44">
      <w:pPr>
        <w:rPr>
          <w:sz w:val="22"/>
          <w:szCs w:val="22"/>
        </w:rPr>
      </w:pPr>
      <w:r w:rsidRPr="00AD3E2A">
        <w:rPr>
          <w:b/>
          <w:bCs/>
          <w:sz w:val="22"/>
          <w:szCs w:val="22"/>
        </w:rPr>
        <w:t>Recommendation</w:t>
      </w:r>
      <w:r w:rsidRPr="00AD3E2A">
        <w:rPr>
          <w:sz w:val="22"/>
          <w:szCs w:val="22"/>
        </w:rPr>
        <w:t xml:space="preserve">: </w:t>
      </w:r>
      <w:r w:rsidR="004279BF" w:rsidRPr="00AD3E2A">
        <w:rPr>
          <w:sz w:val="22"/>
          <w:szCs w:val="22"/>
        </w:rPr>
        <w:t>Defra should from 2022 onwards</w:t>
      </w:r>
      <w:r w:rsidRPr="00AD3E2A">
        <w:rPr>
          <w:sz w:val="22"/>
          <w:szCs w:val="22"/>
        </w:rPr>
        <w:t xml:space="preserve"> record progress against milestones each year for monitoring and transparency </w:t>
      </w:r>
      <w:proofErr w:type="gramStart"/>
      <w:r w:rsidRPr="00AD3E2A">
        <w:rPr>
          <w:sz w:val="22"/>
          <w:szCs w:val="22"/>
        </w:rPr>
        <w:t>reasons</w:t>
      </w:r>
      <w:r w:rsidR="004279BF" w:rsidRPr="00AD3E2A">
        <w:rPr>
          <w:sz w:val="22"/>
          <w:szCs w:val="22"/>
        </w:rPr>
        <w:t>, and</w:t>
      </w:r>
      <w:proofErr w:type="gramEnd"/>
      <w:r w:rsidR="004279BF" w:rsidRPr="00AD3E2A">
        <w:rPr>
          <w:sz w:val="22"/>
          <w:szCs w:val="22"/>
        </w:rPr>
        <w:t xml:space="preserve"> keep those milestones under review to ensure they continue to be proportionate and effective.</w:t>
      </w:r>
    </w:p>
    <w:p w14:paraId="74FDE72A" w14:textId="77777777" w:rsidR="0088387E" w:rsidRPr="002055D4" w:rsidRDefault="0088387E" w:rsidP="215E1B44">
      <w:pPr>
        <w:rPr>
          <w:color w:val="FF0000"/>
          <w:sz w:val="22"/>
          <w:szCs w:val="22"/>
        </w:rPr>
      </w:pPr>
    </w:p>
    <w:tbl>
      <w:tblPr>
        <w:tblStyle w:val="TableGrid"/>
        <w:tblW w:w="9707" w:type="dxa"/>
        <w:tblInd w:w="-5" w:type="dxa"/>
        <w:tblLayout w:type="fixed"/>
        <w:tblLook w:val="06A0" w:firstRow="1" w:lastRow="0" w:firstColumn="1" w:lastColumn="0" w:noHBand="1" w:noVBand="1"/>
      </w:tblPr>
      <w:tblGrid>
        <w:gridCol w:w="2934"/>
        <w:gridCol w:w="1657"/>
        <w:gridCol w:w="1786"/>
        <w:gridCol w:w="1665"/>
        <w:gridCol w:w="1665"/>
      </w:tblGrid>
      <w:tr w:rsidR="00815DAE" w:rsidRPr="002055D4" w14:paraId="6B32CFB4" w14:textId="15966EC4" w:rsidTr="00815DAE">
        <w:trPr>
          <w:trHeight w:val="123"/>
        </w:trPr>
        <w:tc>
          <w:tcPr>
            <w:tcW w:w="2934" w:type="dxa"/>
          </w:tcPr>
          <w:p w14:paraId="04BE45DD" w14:textId="1038112C" w:rsidR="00815DAE" w:rsidRPr="002055D4" w:rsidRDefault="00815DAE" w:rsidP="60E67443">
            <w:pPr>
              <w:rPr>
                <w:b/>
                <w:bCs/>
                <w:sz w:val="20"/>
                <w:szCs w:val="20"/>
              </w:rPr>
            </w:pPr>
            <w:r w:rsidRPr="60E67443">
              <w:rPr>
                <w:b/>
                <w:bCs/>
                <w:sz w:val="20"/>
                <w:szCs w:val="20"/>
              </w:rPr>
              <w:t>Indicator</w:t>
            </w:r>
          </w:p>
        </w:tc>
        <w:tc>
          <w:tcPr>
            <w:tcW w:w="1657" w:type="dxa"/>
          </w:tcPr>
          <w:p w14:paraId="3449270A" w14:textId="3092B724" w:rsidR="00815DAE" w:rsidRPr="002055D4" w:rsidRDefault="00815DAE" w:rsidP="60E67443">
            <w:pPr>
              <w:rPr>
                <w:b/>
                <w:bCs/>
                <w:sz w:val="20"/>
                <w:szCs w:val="20"/>
              </w:rPr>
            </w:pPr>
            <w:r w:rsidRPr="60E67443">
              <w:rPr>
                <w:b/>
                <w:bCs/>
                <w:sz w:val="20"/>
                <w:szCs w:val="20"/>
              </w:rPr>
              <w:t>Baseline (2019)</w:t>
            </w:r>
          </w:p>
        </w:tc>
        <w:tc>
          <w:tcPr>
            <w:tcW w:w="1786" w:type="dxa"/>
          </w:tcPr>
          <w:p w14:paraId="7921513F" w14:textId="7EBEE03D" w:rsidR="00815DAE" w:rsidRPr="60E67443" w:rsidRDefault="00815DAE" w:rsidP="60E67443">
            <w:pPr>
              <w:rPr>
                <w:b/>
                <w:bCs/>
                <w:sz w:val="20"/>
                <w:szCs w:val="20"/>
              </w:rPr>
            </w:pPr>
            <w:r>
              <w:rPr>
                <w:b/>
                <w:bCs/>
                <w:sz w:val="20"/>
                <w:szCs w:val="20"/>
              </w:rPr>
              <w:t>2020</w:t>
            </w:r>
          </w:p>
        </w:tc>
        <w:tc>
          <w:tcPr>
            <w:tcW w:w="1665" w:type="dxa"/>
          </w:tcPr>
          <w:p w14:paraId="67C64328" w14:textId="7BAD7B11" w:rsidR="00815DAE" w:rsidRPr="002055D4" w:rsidRDefault="00815DAE" w:rsidP="60E67443">
            <w:pPr>
              <w:rPr>
                <w:b/>
                <w:bCs/>
                <w:sz w:val="20"/>
                <w:szCs w:val="20"/>
              </w:rPr>
            </w:pPr>
            <w:r w:rsidRPr="60E67443">
              <w:rPr>
                <w:b/>
                <w:bCs/>
                <w:sz w:val="20"/>
                <w:szCs w:val="20"/>
              </w:rPr>
              <w:t>2021 (Fund level)</w:t>
            </w:r>
          </w:p>
        </w:tc>
        <w:tc>
          <w:tcPr>
            <w:tcW w:w="1665" w:type="dxa"/>
          </w:tcPr>
          <w:p w14:paraId="47242228" w14:textId="2E535727" w:rsidR="00815DAE" w:rsidRPr="60E67443" w:rsidRDefault="00815DAE" w:rsidP="60E67443">
            <w:pPr>
              <w:rPr>
                <w:b/>
                <w:bCs/>
                <w:sz w:val="20"/>
                <w:szCs w:val="20"/>
              </w:rPr>
            </w:pPr>
            <w:r>
              <w:rPr>
                <w:b/>
                <w:bCs/>
                <w:sz w:val="20"/>
                <w:szCs w:val="20"/>
              </w:rPr>
              <w:t>Defra attribution</w:t>
            </w:r>
            <w:r w:rsidR="004F464F">
              <w:rPr>
                <w:b/>
                <w:bCs/>
                <w:sz w:val="20"/>
                <w:szCs w:val="20"/>
              </w:rPr>
              <w:t>*</w:t>
            </w:r>
          </w:p>
        </w:tc>
      </w:tr>
      <w:tr w:rsidR="00815DAE" w:rsidRPr="002055D4" w14:paraId="443D4B5C" w14:textId="503F20E9" w:rsidTr="00815DAE">
        <w:trPr>
          <w:trHeight w:val="123"/>
        </w:trPr>
        <w:tc>
          <w:tcPr>
            <w:tcW w:w="2934" w:type="dxa"/>
          </w:tcPr>
          <w:p w14:paraId="0330EC8C" w14:textId="16FFCED5" w:rsidR="00815DAE" w:rsidRPr="002055D4" w:rsidRDefault="00815DAE" w:rsidP="60E67443">
            <w:pPr>
              <w:pStyle w:val="ListParagraph"/>
              <w:numPr>
                <w:ilvl w:val="0"/>
                <w:numId w:val="9"/>
              </w:numPr>
              <w:rPr>
                <w:rFonts w:asciiTheme="minorHAnsi" w:eastAsiaTheme="minorEastAsia" w:hAnsiTheme="minorHAnsi" w:cstheme="minorBidi"/>
                <w:sz w:val="20"/>
              </w:rPr>
            </w:pPr>
            <w:r w:rsidRPr="60E67443">
              <w:rPr>
                <w:rFonts w:cs="Arial"/>
                <w:sz w:val="20"/>
              </w:rPr>
              <w:t>Area of reforestation (cumulative hectares)</w:t>
            </w:r>
          </w:p>
        </w:tc>
        <w:tc>
          <w:tcPr>
            <w:tcW w:w="1657" w:type="dxa"/>
          </w:tcPr>
          <w:p w14:paraId="5AE7DFE6" w14:textId="4AC112F8" w:rsidR="00815DAE" w:rsidRPr="002055D4" w:rsidRDefault="00815DAE" w:rsidP="60E67443">
            <w:pPr>
              <w:rPr>
                <w:sz w:val="20"/>
                <w:szCs w:val="20"/>
              </w:rPr>
            </w:pPr>
            <w:r w:rsidRPr="60E67443">
              <w:rPr>
                <w:rFonts w:cs="Arial"/>
                <w:sz w:val="20"/>
                <w:szCs w:val="20"/>
                <w:shd w:val="clear" w:color="auto" w:fill="FFFFFF"/>
              </w:rPr>
              <w:t>28,795</w:t>
            </w:r>
          </w:p>
        </w:tc>
        <w:tc>
          <w:tcPr>
            <w:tcW w:w="1786" w:type="dxa"/>
          </w:tcPr>
          <w:p w14:paraId="4C4E140B" w14:textId="65E5789E" w:rsidR="00815DAE" w:rsidRPr="60E67443" w:rsidRDefault="00815DAE" w:rsidP="60E67443">
            <w:pPr>
              <w:rPr>
                <w:sz w:val="20"/>
                <w:szCs w:val="20"/>
              </w:rPr>
            </w:pPr>
            <w:r>
              <w:rPr>
                <w:sz w:val="20"/>
                <w:szCs w:val="20"/>
              </w:rPr>
              <w:t>32,507</w:t>
            </w:r>
          </w:p>
        </w:tc>
        <w:tc>
          <w:tcPr>
            <w:tcW w:w="1665" w:type="dxa"/>
          </w:tcPr>
          <w:p w14:paraId="541EEDEC" w14:textId="62AAC4D5" w:rsidR="00815DAE" w:rsidRPr="002055D4" w:rsidRDefault="00815DAE" w:rsidP="60E67443">
            <w:pPr>
              <w:rPr>
                <w:sz w:val="20"/>
                <w:szCs w:val="20"/>
              </w:rPr>
            </w:pPr>
            <w:r w:rsidRPr="60E67443">
              <w:rPr>
                <w:sz w:val="20"/>
                <w:szCs w:val="20"/>
              </w:rPr>
              <w:t>45,509</w:t>
            </w:r>
          </w:p>
        </w:tc>
        <w:tc>
          <w:tcPr>
            <w:tcW w:w="1665" w:type="dxa"/>
          </w:tcPr>
          <w:p w14:paraId="20DE7652" w14:textId="0EF861BB" w:rsidR="00815DAE" w:rsidRPr="60E67443" w:rsidRDefault="00B81AA8" w:rsidP="60E67443">
            <w:pPr>
              <w:rPr>
                <w:sz w:val="20"/>
                <w:szCs w:val="20"/>
              </w:rPr>
            </w:pPr>
            <w:r>
              <w:rPr>
                <w:sz w:val="20"/>
                <w:szCs w:val="20"/>
              </w:rPr>
              <w:t>1,</w:t>
            </w:r>
            <w:r w:rsidR="00D851EA">
              <w:rPr>
                <w:sz w:val="20"/>
                <w:szCs w:val="20"/>
              </w:rPr>
              <w:t>870</w:t>
            </w:r>
          </w:p>
        </w:tc>
      </w:tr>
      <w:tr w:rsidR="00815DAE" w:rsidRPr="002055D4" w14:paraId="49CB05CD" w14:textId="116DDBF1" w:rsidTr="00815DAE">
        <w:trPr>
          <w:trHeight w:val="123"/>
        </w:trPr>
        <w:tc>
          <w:tcPr>
            <w:tcW w:w="2934" w:type="dxa"/>
          </w:tcPr>
          <w:p w14:paraId="7C867ED7" w14:textId="02418CC4" w:rsidR="00815DAE" w:rsidRPr="002055D4" w:rsidRDefault="00815DAE" w:rsidP="60E67443">
            <w:pPr>
              <w:pStyle w:val="ListParagraph"/>
              <w:numPr>
                <w:ilvl w:val="0"/>
                <w:numId w:val="9"/>
              </w:numPr>
              <w:rPr>
                <w:sz w:val="20"/>
              </w:rPr>
            </w:pPr>
            <w:r w:rsidRPr="60E67443">
              <w:rPr>
                <w:rFonts w:cs="Arial"/>
                <w:sz w:val="20"/>
              </w:rPr>
              <w:t>Tonnes of CO2 emissions avoided (cumulative tonnes) – KPI 6</w:t>
            </w:r>
          </w:p>
        </w:tc>
        <w:tc>
          <w:tcPr>
            <w:tcW w:w="1657" w:type="dxa"/>
          </w:tcPr>
          <w:p w14:paraId="31898C15" w14:textId="69C9FA87" w:rsidR="00815DAE" w:rsidRPr="002055D4" w:rsidRDefault="009766AE" w:rsidP="60E67443">
            <w:pPr>
              <w:rPr>
                <w:sz w:val="20"/>
                <w:szCs w:val="20"/>
              </w:rPr>
            </w:pPr>
            <w:r>
              <w:rPr>
                <w:sz w:val="20"/>
                <w:szCs w:val="20"/>
              </w:rPr>
              <w:t>0</w:t>
            </w:r>
          </w:p>
        </w:tc>
        <w:tc>
          <w:tcPr>
            <w:tcW w:w="1786" w:type="dxa"/>
          </w:tcPr>
          <w:p w14:paraId="132F7B85" w14:textId="049D04B5" w:rsidR="00815DAE" w:rsidRDefault="009766AE" w:rsidP="215E1B44">
            <w:pPr>
              <w:rPr>
                <w:sz w:val="20"/>
                <w:szCs w:val="20"/>
              </w:rPr>
            </w:pPr>
            <w:r>
              <w:rPr>
                <w:sz w:val="20"/>
                <w:szCs w:val="20"/>
              </w:rPr>
              <w:t>144,000</w:t>
            </w:r>
          </w:p>
        </w:tc>
        <w:tc>
          <w:tcPr>
            <w:tcW w:w="1665" w:type="dxa"/>
          </w:tcPr>
          <w:p w14:paraId="4BDDA9A0" w14:textId="16CA4A4E" w:rsidR="00815DAE" w:rsidRPr="002055D4" w:rsidRDefault="009766AE" w:rsidP="215E1B44">
            <w:pPr>
              <w:rPr>
                <w:color w:val="FF0000"/>
                <w:sz w:val="20"/>
                <w:szCs w:val="20"/>
              </w:rPr>
            </w:pPr>
            <w:r>
              <w:rPr>
                <w:sz w:val="20"/>
                <w:szCs w:val="20"/>
              </w:rPr>
              <w:t>514,000</w:t>
            </w:r>
          </w:p>
        </w:tc>
        <w:tc>
          <w:tcPr>
            <w:tcW w:w="1665" w:type="dxa"/>
          </w:tcPr>
          <w:p w14:paraId="3E9B7036" w14:textId="69914ECD" w:rsidR="00815DAE" w:rsidRDefault="00D851EA" w:rsidP="215E1B44">
            <w:pPr>
              <w:rPr>
                <w:sz w:val="20"/>
                <w:szCs w:val="20"/>
              </w:rPr>
            </w:pPr>
            <w:r>
              <w:rPr>
                <w:sz w:val="20"/>
                <w:szCs w:val="20"/>
              </w:rPr>
              <w:t>18,031</w:t>
            </w:r>
          </w:p>
        </w:tc>
      </w:tr>
      <w:tr w:rsidR="00815DAE" w:rsidRPr="002055D4" w14:paraId="6432F2D3" w14:textId="6C2CA247" w:rsidTr="00815DAE">
        <w:trPr>
          <w:trHeight w:val="123"/>
        </w:trPr>
        <w:tc>
          <w:tcPr>
            <w:tcW w:w="2934" w:type="dxa"/>
          </w:tcPr>
          <w:p w14:paraId="67DF9094" w14:textId="00CBD3A5" w:rsidR="00815DAE" w:rsidRPr="002055D4" w:rsidRDefault="00815DAE" w:rsidP="60E67443">
            <w:pPr>
              <w:pStyle w:val="ListParagraph"/>
              <w:numPr>
                <w:ilvl w:val="0"/>
                <w:numId w:val="9"/>
              </w:numPr>
              <w:rPr>
                <w:sz w:val="20"/>
              </w:rPr>
            </w:pPr>
            <w:r w:rsidRPr="60E67443">
              <w:rPr>
                <w:rFonts w:cs="Arial"/>
                <w:sz w:val="20"/>
              </w:rPr>
              <w:t>Private finance leveraged by the LDN Fund (cumulative £) – KPI 11</w:t>
            </w:r>
          </w:p>
        </w:tc>
        <w:tc>
          <w:tcPr>
            <w:tcW w:w="1657" w:type="dxa"/>
          </w:tcPr>
          <w:p w14:paraId="530CA20C" w14:textId="0688FEB8" w:rsidR="00815DAE" w:rsidRPr="002055D4" w:rsidRDefault="00815DAE" w:rsidP="60E67443">
            <w:pPr>
              <w:rPr>
                <w:rFonts w:cs="Arial"/>
                <w:sz w:val="20"/>
                <w:szCs w:val="20"/>
                <w:shd w:val="clear" w:color="auto" w:fill="FFFFFF"/>
              </w:rPr>
            </w:pPr>
            <w:r w:rsidRPr="60E67443">
              <w:rPr>
                <w:sz w:val="20"/>
                <w:szCs w:val="20"/>
              </w:rPr>
              <w:t xml:space="preserve">Fund level – </w:t>
            </w:r>
            <w:r w:rsidR="00C021B9" w:rsidRPr="00C021B9">
              <w:rPr>
                <w:rFonts w:cs="Arial"/>
                <w:sz w:val="20"/>
                <w:szCs w:val="20"/>
                <w:shd w:val="clear" w:color="auto" w:fill="FFFFFF"/>
              </w:rPr>
              <w:t>48</w:t>
            </w:r>
            <w:r w:rsidR="00C021B9">
              <w:rPr>
                <w:rFonts w:cs="Arial"/>
                <w:sz w:val="20"/>
                <w:szCs w:val="20"/>
                <w:shd w:val="clear" w:color="auto" w:fill="FFFFFF"/>
              </w:rPr>
              <w:t>,</w:t>
            </w:r>
            <w:r w:rsidR="00C021B9" w:rsidRPr="00C021B9">
              <w:rPr>
                <w:rFonts w:cs="Arial"/>
                <w:sz w:val="20"/>
                <w:szCs w:val="20"/>
                <w:shd w:val="clear" w:color="auto" w:fill="FFFFFF"/>
              </w:rPr>
              <w:t>277</w:t>
            </w:r>
            <w:r w:rsidR="00C021B9">
              <w:rPr>
                <w:rFonts w:cs="Arial"/>
                <w:sz w:val="20"/>
                <w:szCs w:val="20"/>
                <w:shd w:val="clear" w:color="auto" w:fill="FFFFFF"/>
              </w:rPr>
              <w:t>,</w:t>
            </w:r>
            <w:r w:rsidR="00C021B9" w:rsidRPr="00C021B9">
              <w:rPr>
                <w:rFonts w:cs="Arial"/>
                <w:sz w:val="20"/>
                <w:szCs w:val="20"/>
                <w:shd w:val="clear" w:color="auto" w:fill="FFFFFF"/>
              </w:rPr>
              <w:t>434</w:t>
            </w:r>
          </w:p>
          <w:p w14:paraId="70C83722" w14:textId="50A09011" w:rsidR="00815DAE" w:rsidRPr="002055D4" w:rsidRDefault="00815DAE" w:rsidP="60E67443">
            <w:pPr>
              <w:rPr>
                <w:sz w:val="20"/>
                <w:szCs w:val="20"/>
              </w:rPr>
            </w:pPr>
            <w:r w:rsidRPr="60E67443">
              <w:rPr>
                <w:sz w:val="20"/>
                <w:szCs w:val="20"/>
              </w:rPr>
              <w:t xml:space="preserve">Co-investment level – </w:t>
            </w:r>
            <w:r w:rsidR="00C021B9">
              <w:rPr>
                <w:rFonts w:cs="Arial"/>
                <w:sz w:val="20"/>
                <w:szCs w:val="20"/>
                <w:shd w:val="clear" w:color="auto" w:fill="FFFFFF"/>
              </w:rPr>
              <w:t>5,000</w:t>
            </w:r>
            <w:r w:rsidRPr="60E67443">
              <w:rPr>
                <w:rFonts w:cs="Arial"/>
                <w:sz w:val="20"/>
                <w:szCs w:val="20"/>
                <w:shd w:val="clear" w:color="auto" w:fill="FFFFFF"/>
              </w:rPr>
              <w:t>,000</w:t>
            </w:r>
          </w:p>
        </w:tc>
        <w:tc>
          <w:tcPr>
            <w:tcW w:w="1786" w:type="dxa"/>
          </w:tcPr>
          <w:p w14:paraId="2B72A2B2" w14:textId="3EBF34B4" w:rsidR="00815DAE" w:rsidRPr="002055D4" w:rsidRDefault="00815DAE" w:rsidP="00007E8C">
            <w:pPr>
              <w:rPr>
                <w:rFonts w:cs="Arial"/>
                <w:sz w:val="20"/>
                <w:szCs w:val="20"/>
                <w:shd w:val="clear" w:color="auto" w:fill="FFFFFF"/>
              </w:rPr>
            </w:pPr>
            <w:r w:rsidRPr="60E67443">
              <w:rPr>
                <w:sz w:val="20"/>
                <w:szCs w:val="20"/>
              </w:rPr>
              <w:t xml:space="preserve">Fund level – </w:t>
            </w:r>
            <w:r w:rsidR="00314464">
              <w:rPr>
                <w:rFonts w:cs="Arial"/>
                <w:sz w:val="20"/>
                <w:szCs w:val="20"/>
                <w:shd w:val="clear" w:color="auto" w:fill="FFFFFF"/>
              </w:rPr>
              <w:t>102,087,434</w:t>
            </w:r>
          </w:p>
          <w:p w14:paraId="33BD1C44" w14:textId="4855AB04" w:rsidR="00815DAE" w:rsidRPr="60E67443" w:rsidRDefault="00815DAE" w:rsidP="00007E8C">
            <w:pPr>
              <w:rPr>
                <w:sz w:val="20"/>
                <w:szCs w:val="20"/>
              </w:rPr>
            </w:pPr>
            <w:r w:rsidRPr="60E67443">
              <w:rPr>
                <w:sz w:val="20"/>
                <w:szCs w:val="20"/>
              </w:rPr>
              <w:t xml:space="preserve">Co-investment level – </w:t>
            </w:r>
            <w:r w:rsidR="00314464">
              <w:rPr>
                <w:rFonts w:cs="Arial"/>
                <w:sz w:val="20"/>
                <w:szCs w:val="20"/>
                <w:shd w:val="clear" w:color="auto" w:fill="FFFFFF"/>
              </w:rPr>
              <w:t>67,500</w:t>
            </w:r>
            <w:r w:rsidRPr="60E67443">
              <w:rPr>
                <w:rFonts w:cs="Arial"/>
                <w:sz w:val="20"/>
                <w:szCs w:val="20"/>
                <w:shd w:val="clear" w:color="auto" w:fill="FFFFFF"/>
              </w:rPr>
              <w:t>,000</w:t>
            </w:r>
          </w:p>
        </w:tc>
        <w:tc>
          <w:tcPr>
            <w:tcW w:w="1665" w:type="dxa"/>
          </w:tcPr>
          <w:p w14:paraId="24262574" w14:textId="198E9930" w:rsidR="00815DAE" w:rsidRPr="002055D4" w:rsidRDefault="001A6035" w:rsidP="60E67443">
            <w:pPr>
              <w:rPr>
                <w:sz w:val="20"/>
                <w:szCs w:val="20"/>
              </w:rPr>
            </w:pPr>
            <w:r>
              <w:rPr>
                <w:sz w:val="20"/>
                <w:szCs w:val="20"/>
              </w:rPr>
              <w:t>128,</w:t>
            </w:r>
            <w:r w:rsidR="00BC3956">
              <w:rPr>
                <w:sz w:val="20"/>
                <w:szCs w:val="20"/>
              </w:rPr>
              <w:t>079,834</w:t>
            </w:r>
            <w:r w:rsidR="00815DAE" w:rsidRPr="60E67443">
              <w:rPr>
                <w:sz w:val="20"/>
                <w:szCs w:val="20"/>
              </w:rPr>
              <w:t xml:space="preserve"> (fund level)</w:t>
            </w:r>
          </w:p>
          <w:p w14:paraId="16B6A0FC" w14:textId="0E978D06" w:rsidR="00815DAE" w:rsidRPr="002055D4" w:rsidRDefault="00BC3956" w:rsidP="60E67443">
            <w:pPr>
              <w:rPr>
                <w:sz w:val="20"/>
                <w:szCs w:val="20"/>
              </w:rPr>
            </w:pPr>
            <w:r>
              <w:rPr>
                <w:sz w:val="20"/>
                <w:szCs w:val="20"/>
              </w:rPr>
              <w:t>87,828,283</w:t>
            </w:r>
            <w:r w:rsidR="00815DAE" w:rsidRPr="60E67443">
              <w:rPr>
                <w:sz w:val="20"/>
                <w:szCs w:val="20"/>
              </w:rPr>
              <w:t xml:space="preserve"> (co-investment level)</w:t>
            </w:r>
          </w:p>
        </w:tc>
        <w:tc>
          <w:tcPr>
            <w:tcW w:w="1665" w:type="dxa"/>
          </w:tcPr>
          <w:p w14:paraId="3BED4E5A" w14:textId="334350E1" w:rsidR="00815DAE" w:rsidRDefault="000E7DDE" w:rsidP="60E67443">
            <w:pPr>
              <w:rPr>
                <w:sz w:val="20"/>
                <w:szCs w:val="20"/>
              </w:rPr>
            </w:pPr>
            <w:r>
              <w:rPr>
                <w:sz w:val="20"/>
                <w:szCs w:val="20"/>
              </w:rPr>
              <w:t>3,235,103</w:t>
            </w:r>
          </w:p>
          <w:p w14:paraId="42881380" w14:textId="77777777" w:rsidR="000E7DDE" w:rsidRDefault="000E7DDE" w:rsidP="60E67443">
            <w:pPr>
              <w:rPr>
                <w:sz w:val="20"/>
                <w:szCs w:val="20"/>
              </w:rPr>
            </w:pPr>
          </w:p>
          <w:p w14:paraId="075A75C2" w14:textId="5FD7ABB2" w:rsidR="000E7DDE" w:rsidRPr="60E67443" w:rsidRDefault="000052EF" w:rsidP="60E67443">
            <w:pPr>
              <w:rPr>
                <w:sz w:val="20"/>
                <w:szCs w:val="20"/>
              </w:rPr>
            </w:pPr>
            <w:r>
              <w:rPr>
                <w:sz w:val="20"/>
                <w:szCs w:val="20"/>
              </w:rPr>
              <w:t>Co-investment attribution</w:t>
            </w:r>
            <w:r w:rsidR="00A257AE">
              <w:rPr>
                <w:sz w:val="20"/>
                <w:szCs w:val="20"/>
              </w:rPr>
              <w:t xml:space="preserve"> – 3,449,867</w:t>
            </w:r>
          </w:p>
        </w:tc>
      </w:tr>
      <w:tr w:rsidR="00815DAE" w:rsidRPr="002055D4" w14:paraId="0EF42D46" w14:textId="34643F9C" w:rsidTr="00F65318">
        <w:trPr>
          <w:trHeight w:val="123"/>
        </w:trPr>
        <w:tc>
          <w:tcPr>
            <w:tcW w:w="2934" w:type="dxa"/>
          </w:tcPr>
          <w:p w14:paraId="6E534A47" w14:textId="0924A380" w:rsidR="00815DAE" w:rsidRPr="002055D4" w:rsidRDefault="00815DAE" w:rsidP="60E67443">
            <w:pPr>
              <w:pStyle w:val="ListParagraph"/>
              <w:numPr>
                <w:ilvl w:val="0"/>
                <w:numId w:val="9"/>
              </w:numPr>
              <w:rPr>
                <w:sz w:val="20"/>
              </w:rPr>
            </w:pPr>
            <w:r w:rsidRPr="60E67443">
              <w:rPr>
                <w:rFonts w:cs="Arial"/>
                <w:sz w:val="20"/>
              </w:rPr>
              <w:t>Public finance leveraged by the LDN Fund (cumulative £) – KPI 12</w:t>
            </w:r>
          </w:p>
        </w:tc>
        <w:tc>
          <w:tcPr>
            <w:tcW w:w="1657" w:type="dxa"/>
            <w:shd w:val="clear" w:color="auto" w:fill="auto"/>
          </w:tcPr>
          <w:p w14:paraId="3DB6EA8E" w14:textId="5358232D" w:rsidR="00815DAE" w:rsidRPr="00F25A55" w:rsidRDefault="00F25A55" w:rsidP="60E67443">
            <w:pPr>
              <w:rPr>
                <w:rFonts w:cs="Arial"/>
                <w:sz w:val="20"/>
                <w:szCs w:val="20"/>
              </w:rPr>
            </w:pPr>
            <w:r>
              <w:rPr>
                <w:rFonts w:cs="Arial"/>
                <w:sz w:val="20"/>
                <w:szCs w:val="20"/>
              </w:rPr>
              <w:t>28,580,328</w:t>
            </w:r>
          </w:p>
        </w:tc>
        <w:tc>
          <w:tcPr>
            <w:tcW w:w="1786" w:type="dxa"/>
            <w:shd w:val="clear" w:color="auto" w:fill="auto"/>
          </w:tcPr>
          <w:p w14:paraId="03C79617" w14:textId="7A252D2C" w:rsidR="00815DAE" w:rsidRPr="60E67443" w:rsidRDefault="009E4AD1" w:rsidP="60E67443">
            <w:pPr>
              <w:rPr>
                <w:rFonts w:cs="Arial"/>
                <w:sz w:val="20"/>
                <w:szCs w:val="20"/>
                <w:lang w:val="en-US"/>
              </w:rPr>
            </w:pPr>
            <w:r w:rsidRPr="009E4AD1">
              <w:rPr>
                <w:rFonts w:cs="Arial"/>
                <w:sz w:val="20"/>
                <w:szCs w:val="20"/>
                <w:lang w:val="en-US"/>
              </w:rPr>
              <w:t>40,866,562</w:t>
            </w:r>
          </w:p>
        </w:tc>
        <w:tc>
          <w:tcPr>
            <w:tcW w:w="1665" w:type="dxa"/>
            <w:shd w:val="clear" w:color="auto" w:fill="auto"/>
          </w:tcPr>
          <w:p w14:paraId="4AA913BC" w14:textId="600ACB46" w:rsidR="00815DAE" w:rsidRPr="002055D4" w:rsidRDefault="009E4AD1" w:rsidP="60E67443">
            <w:pPr>
              <w:rPr>
                <w:sz w:val="20"/>
                <w:szCs w:val="20"/>
              </w:rPr>
            </w:pPr>
            <w:r w:rsidRPr="009E4AD1">
              <w:rPr>
                <w:rFonts w:cs="Arial"/>
                <w:sz w:val="20"/>
                <w:szCs w:val="20"/>
                <w:lang w:val="en-US"/>
              </w:rPr>
              <w:t>85,572,988</w:t>
            </w:r>
          </w:p>
        </w:tc>
        <w:tc>
          <w:tcPr>
            <w:tcW w:w="1665" w:type="dxa"/>
            <w:shd w:val="clear" w:color="auto" w:fill="auto"/>
          </w:tcPr>
          <w:p w14:paraId="262BA2D7" w14:textId="77777777" w:rsidR="009E4AD1" w:rsidRDefault="009E4AD1" w:rsidP="009E4AD1">
            <w:pPr>
              <w:rPr>
                <w:rFonts w:cs="Arial"/>
                <w:color w:val="000000"/>
                <w:sz w:val="20"/>
                <w:szCs w:val="20"/>
              </w:rPr>
            </w:pPr>
            <w:r>
              <w:rPr>
                <w:rFonts w:cs="Arial"/>
                <w:color w:val="000000"/>
                <w:sz w:val="20"/>
                <w:szCs w:val="20"/>
              </w:rPr>
              <w:t>1,394,840</w:t>
            </w:r>
          </w:p>
          <w:p w14:paraId="04E91CFE" w14:textId="50A9A6C6" w:rsidR="00815DAE" w:rsidRPr="60E67443" w:rsidRDefault="00815DAE" w:rsidP="60E67443">
            <w:pPr>
              <w:rPr>
                <w:rFonts w:cs="Arial"/>
                <w:sz w:val="20"/>
                <w:szCs w:val="20"/>
                <w:lang w:val="en-US"/>
              </w:rPr>
            </w:pPr>
          </w:p>
        </w:tc>
      </w:tr>
      <w:tr w:rsidR="00815DAE" w:rsidRPr="002055D4" w14:paraId="6408A41D" w14:textId="7E09DD2A" w:rsidTr="00815DAE">
        <w:trPr>
          <w:trHeight w:val="123"/>
        </w:trPr>
        <w:tc>
          <w:tcPr>
            <w:tcW w:w="2934" w:type="dxa"/>
          </w:tcPr>
          <w:p w14:paraId="1FEF74C0" w14:textId="388283E8" w:rsidR="00815DAE" w:rsidRPr="002055D4" w:rsidRDefault="00694A43" w:rsidP="60E67443">
            <w:pPr>
              <w:pStyle w:val="ListParagraph"/>
              <w:numPr>
                <w:ilvl w:val="0"/>
                <w:numId w:val="9"/>
              </w:numPr>
              <w:rPr>
                <w:rFonts w:asciiTheme="minorHAnsi" w:eastAsiaTheme="minorEastAsia" w:hAnsiTheme="minorHAnsi" w:cstheme="minorBidi"/>
                <w:sz w:val="20"/>
              </w:rPr>
            </w:pPr>
            <w:r>
              <w:rPr>
                <w:rFonts w:cs="Arial"/>
                <w:sz w:val="20"/>
              </w:rPr>
              <w:t>L</w:t>
            </w:r>
            <w:r w:rsidR="00815DAE" w:rsidRPr="60E67443">
              <w:rPr>
                <w:rFonts w:cs="Arial"/>
                <w:sz w:val="20"/>
              </w:rPr>
              <w:t>and contributing towards Land Degradation Neutrality</w:t>
            </w:r>
            <w:r>
              <w:rPr>
                <w:rFonts w:cs="Arial"/>
                <w:sz w:val="20"/>
              </w:rPr>
              <w:t xml:space="preserve"> (cumulative ha)</w:t>
            </w:r>
          </w:p>
        </w:tc>
        <w:tc>
          <w:tcPr>
            <w:tcW w:w="1657" w:type="dxa"/>
          </w:tcPr>
          <w:p w14:paraId="3A99D242" w14:textId="29708918" w:rsidR="00815DAE" w:rsidRPr="002055D4" w:rsidRDefault="00815DAE" w:rsidP="60E67443">
            <w:pPr>
              <w:rPr>
                <w:sz w:val="20"/>
                <w:szCs w:val="20"/>
              </w:rPr>
            </w:pPr>
            <w:r w:rsidRPr="60E67443">
              <w:rPr>
                <w:sz w:val="20"/>
                <w:szCs w:val="20"/>
              </w:rPr>
              <w:t>37,406</w:t>
            </w:r>
          </w:p>
        </w:tc>
        <w:tc>
          <w:tcPr>
            <w:tcW w:w="1786" w:type="dxa"/>
          </w:tcPr>
          <w:p w14:paraId="7FB7BA63" w14:textId="73F8D056" w:rsidR="00815DAE" w:rsidRPr="60E67443" w:rsidRDefault="00815DAE" w:rsidP="60E67443">
            <w:pPr>
              <w:rPr>
                <w:sz w:val="20"/>
                <w:szCs w:val="20"/>
              </w:rPr>
            </w:pPr>
            <w:r>
              <w:rPr>
                <w:sz w:val="20"/>
                <w:szCs w:val="20"/>
              </w:rPr>
              <w:t>40,753</w:t>
            </w:r>
          </w:p>
        </w:tc>
        <w:tc>
          <w:tcPr>
            <w:tcW w:w="1665" w:type="dxa"/>
          </w:tcPr>
          <w:p w14:paraId="2CB27CBD" w14:textId="3FAA34C8" w:rsidR="00815DAE" w:rsidRPr="002055D4" w:rsidRDefault="00815DAE" w:rsidP="60E67443">
            <w:pPr>
              <w:rPr>
                <w:sz w:val="20"/>
                <w:szCs w:val="20"/>
              </w:rPr>
            </w:pPr>
            <w:r w:rsidRPr="60E67443">
              <w:rPr>
                <w:sz w:val="20"/>
                <w:szCs w:val="20"/>
              </w:rPr>
              <w:t>98,155</w:t>
            </w:r>
          </w:p>
        </w:tc>
        <w:tc>
          <w:tcPr>
            <w:tcW w:w="1665" w:type="dxa"/>
          </w:tcPr>
          <w:p w14:paraId="5B768A7E" w14:textId="020B2FA8" w:rsidR="00815DAE" w:rsidRPr="60E67443" w:rsidRDefault="0027373E" w:rsidP="60E67443">
            <w:pPr>
              <w:rPr>
                <w:sz w:val="20"/>
                <w:szCs w:val="20"/>
              </w:rPr>
            </w:pPr>
            <w:r>
              <w:rPr>
                <w:sz w:val="20"/>
                <w:szCs w:val="20"/>
              </w:rPr>
              <w:t>3,</w:t>
            </w:r>
            <w:r w:rsidR="00593C08">
              <w:rPr>
                <w:sz w:val="20"/>
                <w:szCs w:val="20"/>
              </w:rPr>
              <w:t>627</w:t>
            </w:r>
          </w:p>
        </w:tc>
      </w:tr>
    </w:tbl>
    <w:p w14:paraId="3CB32687" w14:textId="483D68CB" w:rsidR="004F464F" w:rsidRDefault="004F464F" w:rsidP="004F464F">
      <w:pPr>
        <w:rPr>
          <w:sz w:val="18"/>
          <w:szCs w:val="18"/>
        </w:rPr>
      </w:pPr>
      <w:r w:rsidRPr="00196262">
        <w:t>*</w:t>
      </w:r>
      <w:r>
        <w:rPr>
          <w:color w:val="FF0000"/>
        </w:rPr>
        <w:t xml:space="preserve"> </w:t>
      </w:r>
      <w:r w:rsidRPr="00534F70">
        <w:rPr>
          <w:sz w:val="20"/>
          <w:szCs w:val="20"/>
        </w:rPr>
        <w:t xml:space="preserve">Attribution is calculated </w:t>
      </w:r>
      <w:r w:rsidR="00B561AE">
        <w:rPr>
          <w:sz w:val="20"/>
          <w:szCs w:val="20"/>
        </w:rPr>
        <w:t>using</w:t>
      </w:r>
      <w:r w:rsidR="00B561AE" w:rsidRPr="00534F70">
        <w:rPr>
          <w:sz w:val="20"/>
          <w:szCs w:val="20"/>
        </w:rPr>
        <w:t xml:space="preserve"> </w:t>
      </w:r>
      <w:r w:rsidRPr="00534F70">
        <w:rPr>
          <w:sz w:val="20"/>
          <w:szCs w:val="20"/>
        </w:rPr>
        <w:t>the percentage of Defra’s share in the Fund each year (in 202</w:t>
      </w:r>
      <w:r>
        <w:rPr>
          <w:sz w:val="20"/>
          <w:szCs w:val="20"/>
        </w:rPr>
        <w:t>1</w:t>
      </w:r>
      <w:r w:rsidRPr="00534F70">
        <w:rPr>
          <w:sz w:val="20"/>
          <w:szCs w:val="20"/>
        </w:rPr>
        <w:t xml:space="preserve"> this was </w:t>
      </w:r>
      <w:r>
        <w:rPr>
          <w:sz w:val="20"/>
          <w:szCs w:val="20"/>
        </w:rPr>
        <w:t>6.</w:t>
      </w:r>
      <w:r w:rsidR="00D80F13">
        <w:rPr>
          <w:sz w:val="20"/>
          <w:szCs w:val="20"/>
        </w:rPr>
        <w:t>24</w:t>
      </w:r>
      <w:r w:rsidRPr="00534F70">
        <w:rPr>
          <w:sz w:val="20"/>
          <w:szCs w:val="20"/>
        </w:rPr>
        <w:t xml:space="preserve">%), </w:t>
      </w:r>
      <w:r w:rsidR="007372E6">
        <w:rPr>
          <w:sz w:val="20"/>
          <w:szCs w:val="20"/>
        </w:rPr>
        <w:t xml:space="preserve">multiplied by </w:t>
      </w:r>
      <w:r w:rsidR="00F712E2">
        <w:rPr>
          <w:sz w:val="20"/>
          <w:szCs w:val="20"/>
        </w:rPr>
        <w:t xml:space="preserve">the annual increase and </w:t>
      </w:r>
      <w:r w:rsidRPr="00534F70">
        <w:rPr>
          <w:sz w:val="20"/>
          <w:szCs w:val="20"/>
        </w:rPr>
        <w:t xml:space="preserve">minus 50% additionality. Additionality is </w:t>
      </w:r>
      <w:proofErr w:type="gramStart"/>
      <w:r w:rsidRPr="00534F70">
        <w:rPr>
          <w:sz w:val="20"/>
          <w:szCs w:val="20"/>
        </w:rPr>
        <w:t>taken into account</w:t>
      </w:r>
      <w:proofErr w:type="gramEnd"/>
      <w:r w:rsidRPr="00534F70">
        <w:rPr>
          <w:sz w:val="20"/>
          <w:szCs w:val="20"/>
        </w:rPr>
        <w:t xml:space="preserve"> for all interventions funded through ICF. This is to ensure there is a net change in impacts resulting from UK funding, other than the </w:t>
      </w:r>
      <w:proofErr w:type="gramStart"/>
      <w:r w:rsidRPr="00534F70">
        <w:rPr>
          <w:sz w:val="20"/>
          <w:szCs w:val="20"/>
        </w:rPr>
        <w:t>business as usual</w:t>
      </w:r>
      <w:proofErr w:type="gramEnd"/>
      <w:r w:rsidRPr="00534F70">
        <w:rPr>
          <w:sz w:val="20"/>
          <w:szCs w:val="20"/>
        </w:rPr>
        <w:t xml:space="preserve"> changes that would occur without UK funding. Ideally for most scenarios, the outputs would be compared to a suitable baseline or counterfactual scenario, </w:t>
      </w:r>
      <w:proofErr w:type="gramStart"/>
      <w:r w:rsidRPr="00534F70">
        <w:rPr>
          <w:sz w:val="20"/>
          <w:szCs w:val="20"/>
        </w:rPr>
        <w:t>so as to</w:t>
      </w:r>
      <w:proofErr w:type="gramEnd"/>
      <w:r w:rsidRPr="00534F70">
        <w:rPr>
          <w:sz w:val="20"/>
          <w:szCs w:val="20"/>
        </w:rPr>
        <w:t xml:space="preserve"> isolate the impact/additionality of a programme.</w:t>
      </w:r>
    </w:p>
    <w:p w14:paraId="48857327" w14:textId="3FD9DCE3" w:rsidR="52CC0104" w:rsidRPr="004F464F" w:rsidRDefault="52CC0104" w:rsidP="004F464F">
      <w:pPr>
        <w:rPr>
          <w:color w:val="FF0000"/>
        </w:rPr>
      </w:pPr>
    </w:p>
    <w:p w14:paraId="2DFE331D" w14:textId="77777777" w:rsidR="004F464F" w:rsidRPr="002055D4" w:rsidRDefault="004F464F" w:rsidP="52CC0104">
      <w:pPr>
        <w:rPr>
          <w:color w:val="FF0000"/>
        </w:rPr>
      </w:pPr>
    </w:p>
    <w:p w14:paraId="742185F8" w14:textId="122AF59F" w:rsidR="02101FF3" w:rsidRPr="00AD3E2A" w:rsidRDefault="66F5212B" w:rsidP="60E67443">
      <w:pPr>
        <w:pStyle w:val="ListParagraph"/>
        <w:numPr>
          <w:ilvl w:val="0"/>
          <w:numId w:val="6"/>
        </w:numPr>
        <w:rPr>
          <w:sz w:val="22"/>
          <w:szCs w:val="22"/>
          <w:lang w:val="en-US"/>
        </w:rPr>
      </w:pPr>
      <w:r w:rsidRPr="00AD3E2A">
        <w:rPr>
          <w:sz w:val="22"/>
          <w:szCs w:val="22"/>
          <w:lang w:val="en-US"/>
        </w:rPr>
        <w:t xml:space="preserve">Indicator 1 works on the assumption that a) deforestation and forest degradation prevented by the project is not fully displaced into nearby areas; and b) LDN-funded projects successfully prevent deforestation through SLM. </w:t>
      </w:r>
      <w:r w:rsidR="14E04844" w:rsidRPr="00AD3E2A">
        <w:rPr>
          <w:sz w:val="22"/>
          <w:szCs w:val="22"/>
          <w:lang w:val="en-US"/>
        </w:rPr>
        <w:t>The area of reforestation across all projects for 202</w:t>
      </w:r>
      <w:r w:rsidR="5AD1358A" w:rsidRPr="00AD3E2A">
        <w:rPr>
          <w:sz w:val="22"/>
          <w:szCs w:val="22"/>
          <w:lang w:val="en-US"/>
        </w:rPr>
        <w:t>1</w:t>
      </w:r>
      <w:r w:rsidR="14E04844" w:rsidRPr="00AD3E2A">
        <w:rPr>
          <w:sz w:val="22"/>
          <w:szCs w:val="22"/>
          <w:lang w:val="en-US"/>
        </w:rPr>
        <w:t xml:space="preserve"> was </w:t>
      </w:r>
      <w:r w:rsidR="2E29BDB9" w:rsidRPr="00AD3E2A">
        <w:rPr>
          <w:sz w:val="22"/>
          <w:szCs w:val="22"/>
          <w:lang w:val="en-US"/>
        </w:rPr>
        <w:t>45,509</w:t>
      </w:r>
      <w:r w:rsidR="14E04844" w:rsidRPr="00AD3E2A">
        <w:rPr>
          <w:sz w:val="22"/>
          <w:szCs w:val="22"/>
          <w:lang w:val="en-US"/>
        </w:rPr>
        <w:t>ha, against a 20</w:t>
      </w:r>
      <w:r w:rsidR="1B385CB2" w:rsidRPr="00AD3E2A">
        <w:rPr>
          <w:sz w:val="22"/>
          <w:szCs w:val="22"/>
          <w:lang w:val="en-US"/>
        </w:rPr>
        <w:t>20</w:t>
      </w:r>
      <w:r w:rsidR="14E04844" w:rsidRPr="00AD3E2A">
        <w:rPr>
          <w:sz w:val="22"/>
          <w:szCs w:val="22"/>
          <w:lang w:val="en-US"/>
        </w:rPr>
        <w:t xml:space="preserve"> </w:t>
      </w:r>
      <w:r w:rsidR="2201FAD3" w:rsidRPr="00AD3E2A">
        <w:rPr>
          <w:sz w:val="22"/>
          <w:szCs w:val="22"/>
          <w:lang w:val="en-US"/>
        </w:rPr>
        <w:t>total of 32,507</w:t>
      </w:r>
      <w:r w:rsidR="14E04844" w:rsidRPr="00AD3E2A">
        <w:rPr>
          <w:sz w:val="22"/>
          <w:szCs w:val="22"/>
          <w:lang w:val="en-US"/>
        </w:rPr>
        <w:t xml:space="preserve"> – an increase of </w:t>
      </w:r>
      <w:r w:rsidR="182E2C53" w:rsidRPr="00AD3E2A">
        <w:rPr>
          <w:sz w:val="22"/>
          <w:szCs w:val="22"/>
          <w:lang w:val="en-US"/>
        </w:rPr>
        <w:t>1</w:t>
      </w:r>
      <w:r w:rsidR="14E04844" w:rsidRPr="00AD3E2A">
        <w:rPr>
          <w:sz w:val="22"/>
          <w:szCs w:val="22"/>
          <w:lang w:val="en-US"/>
        </w:rPr>
        <w:t>3,</w:t>
      </w:r>
      <w:r w:rsidR="3231837B" w:rsidRPr="00AD3E2A">
        <w:rPr>
          <w:sz w:val="22"/>
          <w:szCs w:val="22"/>
          <w:lang w:val="en-US"/>
        </w:rPr>
        <w:t>00</w:t>
      </w:r>
      <w:r w:rsidR="14E04844" w:rsidRPr="00AD3E2A">
        <w:rPr>
          <w:sz w:val="22"/>
          <w:szCs w:val="22"/>
          <w:lang w:val="en-US"/>
        </w:rPr>
        <w:t>2ha in one year.</w:t>
      </w:r>
      <w:r w:rsidR="51E055B8" w:rsidRPr="00AD3E2A">
        <w:rPr>
          <w:sz w:val="22"/>
          <w:szCs w:val="22"/>
          <w:lang w:val="en-US"/>
        </w:rPr>
        <w:t xml:space="preserve"> This demonstrates substantial positive progress across the year</w:t>
      </w:r>
      <w:r w:rsidR="3D99C903" w:rsidRPr="00AD3E2A">
        <w:rPr>
          <w:sz w:val="22"/>
          <w:szCs w:val="22"/>
          <w:lang w:val="en-US"/>
        </w:rPr>
        <w:t xml:space="preserve"> and a strong trajectory for future reforestation, with a target for 2022 of 62,500ha.</w:t>
      </w:r>
    </w:p>
    <w:p w14:paraId="6122C720" w14:textId="65EC8FCC" w:rsidR="663BAE93" w:rsidRPr="00AD3E2A" w:rsidRDefault="663BAE93" w:rsidP="60E67443">
      <w:pPr>
        <w:pStyle w:val="ListParagraph"/>
        <w:numPr>
          <w:ilvl w:val="0"/>
          <w:numId w:val="6"/>
        </w:numPr>
        <w:rPr>
          <w:sz w:val="22"/>
          <w:szCs w:val="22"/>
          <w:lang w:val="en-US"/>
        </w:rPr>
      </w:pPr>
      <w:r w:rsidRPr="00AD3E2A">
        <w:rPr>
          <w:sz w:val="22"/>
          <w:szCs w:val="22"/>
          <w:lang w:val="en-US"/>
        </w:rPr>
        <w:t xml:space="preserve">The </w:t>
      </w:r>
      <w:proofErr w:type="spellStart"/>
      <w:r w:rsidRPr="00AD3E2A">
        <w:rPr>
          <w:sz w:val="22"/>
          <w:szCs w:val="22"/>
          <w:lang w:val="en-US"/>
        </w:rPr>
        <w:t>mobilisation</w:t>
      </w:r>
      <w:proofErr w:type="spellEnd"/>
      <w:r w:rsidRPr="00AD3E2A">
        <w:rPr>
          <w:sz w:val="22"/>
          <w:szCs w:val="22"/>
          <w:lang w:val="en-US"/>
        </w:rPr>
        <w:t xml:space="preserve"> of both public and private investors was made possible by the creation of a blended finance structure that aggregates commitments from Junior LPs and Senior LPs. </w:t>
      </w:r>
      <w:r w:rsidR="011EAE20" w:rsidRPr="00AD3E2A">
        <w:rPr>
          <w:sz w:val="22"/>
          <w:szCs w:val="22"/>
          <w:lang w:val="en-US"/>
        </w:rPr>
        <w:t>The final size of the fund is $208.4M, split between $43.6M in commitments from Junior LPs (21%) and $164.8M in commitments from Senior LPs (79%).</w:t>
      </w:r>
    </w:p>
    <w:p w14:paraId="3E16AEDC" w14:textId="4A4B3B6E" w:rsidR="00A16335" w:rsidRPr="00AD3E2A" w:rsidRDefault="6D439B4F" w:rsidP="60E67443">
      <w:pPr>
        <w:pStyle w:val="ListParagraph"/>
        <w:numPr>
          <w:ilvl w:val="0"/>
          <w:numId w:val="6"/>
        </w:numPr>
        <w:rPr>
          <w:color w:val="FF0000"/>
          <w:sz w:val="22"/>
          <w:szCs w:val="22"/>
          <w:lang w:val="en-US"/>
        </w:rPr>
      </w:pPr>
      <w:r w:rsidRPr="00AD3E2A">
        <w:rPr>
          <w:sz w:val="22"/>
          <w:szCs w:val="22"/>
          <w:lang w:val="en-US"/>
        </w:rPr>
        <w:t xml:space="preserve">For private finance leveraged at Fund </w:t>
      </w:r>
      <w:r w:rsidR="66F5212B" w:rsidRPr="00AD3E2A">
        <w:rPr>
          <w:sz w:val="22"/>
          <w:szCs w:val="22"/>
          <w:lang w:val="en-US"/>
        </w:rPr>
        <w:t>l</w:t>
      </w:r>
      <w:r w:rsidRPr="00AD3E2A">
        <w:rPr>
          <w:sz w:val="22"/>
          <w:szCs w:val="22"/>
          <w:lang w:val="en-US"/>
        </w:rPr>
        <w:t xml:space="preserve">evel an increase of </w:t>
      </w:r>
      <w:r w:rsidR="00010E29">
        <w:rPr>
          <w:sz w:val="22"/>
          <w:szCs w:val="22"/>
          <w:lang w:val="en-US"/>
        </w:rPr>
        <w:t>$26m</w:t>
      </w:r>
      <w:r w:rsidRPr="00AD3E2A">
        <w:rPr>
          <w:sz w:val="22"/>
          <w:szCs w:val="22"/>
          <w:lang w:val="en-US"/>
        </w:rPr>
        <w:t xml:space="preserve"> from the 20</w:t>
      </w:r>
      <w:r w:rsidR="116342F8" w:rsidRPr="00AD3E2A">
        <w:rPr>
          <w:sz w:val="22"/>
          <w:szCs w:val="22"/>
          <w:lang w:val="en-US"/>
        </w:rPr>
        <w:t>20</w:t>
      </w:r>
      <w:r w:rsidRPr="00AD3E2A">
        <w:rPr>
          <w:sz w:val="22"/>
          <w:szCs w:val="22"/>
          <w:lang w:val="en-US"/>
        </w:rPr>
        <w:t xml:space="preserve"> </w:t>
      </w:r>
      <w:r w:rsidR="74BFA3A2" w:rsidRPr="00AD3E2A">
        <w:rPr>
          <w:sz w:val="22"/>
          <w:szCs w:val="22"/>
          <w:lang w:val="en-US"/>
        </w:rPr>
        <w:t xml:space="preserve">total </w:t>
      </w:r>
      <w:r w:rsidRPr="00AD3E2A">
        <w:rPr>
          <w:sz w:val="22"/>
          <w:szCs w:val="22"/>
          <w:lang w:val="en-US"/>
        </w:rPr>
        <w:t>was achieved for 202</w:t>
      </w:r>
      <w:r w:rsidR="7E885DF3" w:rsidRPr="00AD3E2A">
        <w:rPr>
          <w:sz w:val="22"/>
          <w:szCs w:val="22"/>
          <w:lang w:val="en-US"/>
        </w:rPr>
        <w:t>1</w:t>
      </w:r>
      <w:r w:rsidR="3EF42B21" w:rsidRPr="00AD3E2A">
        <w:rPr>
          <w:sz w:val="22"/>
          <w:szCs w:val="22"/>
          <w:lang w:val="en-US"/>
        </w:rPr>
        <w:t>.</w:t>
      </w:r>
      <w:r w:rsidRPr="00AD3E2A">
        <w:rPr>
          <w:sz w:val="22"/>
          <w:szCs w:val="22"/>
          <w:lang w:val="en-US"/>
        </w:rPr>
        <w:t xml:space="preserve"> At </w:t>
      </w:r>
      <w:r w:rsidR="002A1E97">
        <w:rPr>
          <w:sz w:val="22"/>
          <w:szCs w:val="22"/>
          <w:lang w:val="en-US"/>
        </w:rPr>
        <w:t>c</w:t>
      </w:r>
      <w:r w:rsidR="002A1E97" w:rsidRPr="00AD3E2A">
        <w:rPr>
          <w:sz w:val="22"/>
          <w:szCs w:val="22"/>
          <w:lang w:val="en-US"/>
        </w:rPr>
        <w:t>o</w:t>
      </w:r>
      <w:r w:rsidRPr="00AD3E2A">
        <w:rPr>
          <w:sz w:val="22"/>
          <w:szCs w:val="22"/>
          <w:lang w:val="en-US"/>
        </w:rPr>
        <w:t xml:space="preserve">-investment level (working with other funders on the same project) an increase of </w:t>
      </w:r>
      <w:r w:rsidR="00777511">
        <w:rPr>
          <w:sz w:val="22"/>
          <w:szCs w:val="22"/>
          <w:lang w:val="en-US"/>
        </w:rPr>
        <w:t>$20.3m</w:t>
      </w:r>
      <w:r w:rsidRPr="00AD3E2A">
        <w:rPr>
          <w:sz w:val="22"/>
          <w:szCs w:val="22"/>
          <w:lang w:val="en-US"/>
        </w:rPr>
        <w:t xml:space="preserve"> was ach</w:t>
      </w:r>
      <w:r w:rsidR="5BE7FB86" w:rsidRPr="00AD3E2A">
        <w:rPr>
          <w:sz w:val="22"/>
          <w:szCs w:val="22"/>
          <w:lang w:val="en-US"/>
        </w:rPr>
        <w:t>ieved. Some co-investors were public development banks, but because it is return-seeking finance for private sector activities this has been counted as private finance.</w:t>
      </w:r>
      <w:r w:rsidR="51E055B8" w:rsidRPr="00AD3E2A">
        <w:rPr>
          <w:sz w:val="22"/>
          <w:szCs w:val="22"/>
          <w:lang w:val="en-US"/>
        </w:rPr>
        <w:t xml:space="preserve"> This target has been exceeded substantially and demonstrates rapid and strong growth of the Fund</w:t>
      </w:r>
      <w:r w:rsidR="73B646A3" w:rsidRPr="00AD3E2A">
        <w:rPr>
          <w:sz w:val="22"/>
          <w:szCs w:val="22"/>
          <w:lang w:val="en-US"/>
        </w:rPr>
        <w:t xml:space="preserve"> in its final fundraising year.</w:t>
      </w:r>
    </w:p>
    <w:p w14:paraId="57BC652F" w14:textId="3D7C3670" w:rsidR="24D421D2" w:rsidRPr="00AD3E2A" w:rsidRDefault="5BE7FB86" w:rsidP="60E67443">
      <w:pPr>
        <w:pStyle w:val="ListParagraph"/>
        <w:numPr>
          <w:ilvl w:val="0"/>
          <w:numId w:val="6"/>
        </w:numPr>
        <w:rPr>
          <w:rFonts w:asciiTheme="minorHAnsi" w:eastAsiaTheme="minorEastAsia" w:hAnsiTheme="minorHAnsi" w:cstheme="minorBidi"/>
          <w:b/>
          <w:bCs/>
          <w:sz w:val="22"/>
          <w:szCs w:val="22"/>
          <w:lang w:val="en-US"/>
        </w:rPr>
      </w:pPr>
      <w:r w:rsidRPr="003429A6">
        <w:rPr>
          <w:sz w:val="22"/>
          <w:szCs w:val="22"/>
          <w:highlight w:val="lightGray"/>
          <w:lang w:val="en-US"/>
        </w:rPr>
        <w:t>For public finance leverage an increase of £</w:t>
      </w:r>
      <w:r w:rsidR="2CB2C72F" w:rsidRPr="003429A6">
        <w:rPr>
          <w:sz w:val="22"/>
          <w:szCs w:val="22"/>
          <w:highlight w:val="lightGray"/>
          <w:lang w:val="en-US"/>
        </w:rPr>
        <w:t>38,457,700</w:t>
      </w:r>
      <w:r w:rsidRPr="003429A6">
        <w:rPr>
          <w:sz w:val="22"/>
          <w:szCs w:val="22"/>
          <w:highlight w:val="lightGray"/>
          <w:lang w:val="en-US"/>
        </w:rPr>
        <w:t xml:space="preserve"> was achieved for 202</w:t>
      </w:r>
      <w:r w:rsidR="3417D087" w:rsidRPr="003429A6">
        <w:rPr>
          <w:sz w:val="22"/>
          <w:szCs w:val="22"/>
          <w:highlight w:val="lightGray"/>
          <w:lang w:val="en-US"/>
        </w:rPr>
        <w:t>1</w:t>
      </w:r>
      <w:r w:rsidR="51E055B8" w:rsidRPr="00AD3E2A">
        <w:rPr>
          <w:sz w:val="22"/>
          <w:szCs w:val="22"/>
          <w:lang w:val="en-US"/>
        </w:rPr>
        <w:t xml:space="preserve">, </w:t>
      </w:r>
      <w:r w:rsidR="46726CBC" w:rsidRPr="00AD3E2A">
        <w:rPr>
          <w:sz w:val="22"/>
          <w:szCs w:val="22"/>
          <w:lang w:val="en-US"/>
        </w:rPr>
        <w:t>mostly from the Canadian government’s invest</w:t>
      </w:r>
      <w:r w:rsidR="51E055B8" w:rsidRPr="00AD3E2A">
        <w:rPr>
          <w:sz w:val="22"/>
          <w:szCs w:val="22"/>
          <w:lang w:val="en-US"/>
        </w:rPr>
        <w:t>ment</w:t>
      </w:r>
      <w:r w:rsidRPr="00AD3E2A">
        <w:rPr>
          <w:sz w:val="22"/>
          <w:szCs w:val="22"/>
          <w:lang w:val="en-US"/>
        </w:rPr>
        <w:t>. Th</w:t>
      </w:r>
      <w:r w:rsidR="51E055B8" w:rsidRPr="00AD3E2A">
        <w:rPr>
          <w:sz w:val="22"/>
          <w:szCs w:val="22"/>
          <w:lang w:val="en-US"/>
        </w:rPr>
        <w:t>e results en</w:t>
      </w:r>
      <w:r w:rsidR="00007E8C" w:rsidRPr="00AD3E2A">
        <w:rPr>
          <w:sz w:val="22"/>
          <w:szCs w:val="22"/>
          <w:lang w:val="en-US"/>
        </w:rPr>
        <w:t>c</w:t>
      </w:r>
      <w:r w:rsidRPr="00AD3E2A">
        <w:rPr>
          <w:sz w:val="22"/>
          <w:szCs w:val="22"/>
          <w:lang w:val="en-US"/>
        </w:rPr>
        <w:t xml:space="preserve">apsulate all public sector </w:t>
      </w:r>
      <w:proofErr w:type="gramStart"/>
      <w:r w:rsidRPr="00AD3E2A">
        <w:rPr>
          <w:sz w:val="22"/>
          <w:szCs w:val="22"/>
          <w:lang w:val="en-US"/>
        </w:rPr>
        <w:t>capital  in</w:t>
      </w:r>
      <w:proofErr w:type="gramEnd"/>
      <w:r w:rsidRPr="00AD3E2A">
        <w:rPr>
          <w:sz w:val="22"/>
          <w:szCs w:val="22"/>
          <w:lang w:val="en-US"/>
        </w:rPr>
        <w:t xml:space="preserve"> the Fund and the TA Facility at end 202</w:t>
      </w:r>
      <w:r w:rsidR="548473DC" w:rsidRPr="00AD3E2A">
        <w:rPr>
          <w:sz w:val="22"/>
          <w:szCs w:val="22"/>
          <w:lang w:val="en-US"/>
        </w:rPr>
        <w:t>1</w:t>
      </w:r>
      <w:r w:rsidR="51E055B8" w:rsidRPr="00AD3E2A">
        <w:rPr>
          <w:sz w:val="22"/>
          <w:szCs w:val="22"/>
          <w:lang w:val="en-US"/>
        </w:rPr>
        <w:t>.</w:t>
      </w:r>
    </w:p>
    <w:p w14:paraId="61413FDA" w14:textId="4333D01E" w:rsidR="00815DAE" w:rsidRPr="00AD3E2A" w:rsidRDefault="00815DAE" w:rsidP="00815DAE">
      <w:pPr>
        <w:pStyle w:val="ListParagraph"/>
        <w:numPr>
          <w:ilvl w:val="0"/>
          <w:numId w:val="6"/>
        </w:numPr>
        <w:rPr>
          <w:rFonts w:asciiTheme="minorHAnsi" w:eastAsiaTheme="minorEastAsia" w:hAnsiTheme="minorHAnsi" w:cstheme="minorBidi"/>
          <w:b/>
          <w:bCs/>
          <w:sz w:val="22"/>
          <w:szCs w:val="22"/>
          <w:lang w:val="en-US"/>
        </w:rPr>
      </w:pPr>
      <w:r w:rsidRPr="00AD3E2A">
        <w:rPr>
          <w:sz w:val="22"/>
          <w:szCs w:val="22"/>
          <w:lang w:val="en-US"/>
        </w:rPr>
        <w:lastRenderedPageBreak/>
        <w:t xml:space="preserve">Defra’s attribution is based on the </w:t>
      </w:r>
      <w:r w:rsidR="0027373E">
        <w:rPr>
          <w:sz w:val="22"/>
          <w:szCs w:val="22"/>
          <w:lang w:val="en-US"/>
        </w:rPr>
        <w:t>6.</w:t>
      </w:r>
      <w:r w:rsidR="00895202">
        <w:rPr>
          <w:sz w:val="22"/>
          <w:szCs w:val="22"/>
          <w:lang w:val="en-US"/>
        </w:rPr>
        <w:t>24</w:t>
      </w:r>
      <w:r w:rsidRPr="00AD3E2A">
        <w:rPr>
          <w:sz w:val="22"/>
          <w:szCs w:val="22"/>
          <w:lang w:val="en-US"/>
        </w:rPr>
        <w:t xml:space="preserve">% of the Fund which Defra represented in 2021. Leverage of private finance is calculated from 2020 onwards, as this is when Defra’s investment will have started having an impact on other investors. </w:t>
      </w:r>
      <w:r w:rsidR="009B3346">
        <w:rPr>
          <w:sz w:val="22"/>
          <w:szCs w:val="22"/>
          <w:lang w:val="en-US"/>
        </w:rPr>
        <w:t xml:space="preserve">Leverage of public finance is calculated from 2021 onwards, as Defra’s investment was the only public investment between December 2019 and the end of 2020. </w:t>
      </w:r>
      <w:r w:rsidRPr="00AD3E2A">
        <w:rPr>
          <w:sz w:val="22"/>
          <w:szCs w:val="22"/>
          <w:lang w:val="en-US"/>
        </w:rPr>
        <w:t xml:space="preserve">Attribution of other impacts is calculated </w:t>
      </w:r>
      <w:r w:rsidR="00E13925">
        <w:rPr>
          <w:sz w:val="22"/>
          <w:szCs w:val="22"/>
          <w:lang w:val="en-US"/>
        </w:rPr>
        <w:t>cumulatively from Fund establishment</w:t>
      </w:r>
      <w:r w:rsidRPr="00AD3E2A">
        <w:rPr>
          <w:sz w:val="22"/>
          <w:szCs w:val="22"/>
          <w:lang w:val="en-US"/>
        </w:rPr>
        <w:t xml:space="preserve">, as Defra’s initial payment represented a </w:t>
      </w:r>
      <w:r w:rsidR="00E13925">
        <w:rPr>
          <w:sz w:val="22"/>
          <w:szCs w:val="22"/>
          <w:lang w:val="en-US"/>
        </w:rPr>
        <w:t xml:space="preserve">proportional </w:t>
      </w:r>
      <w:r w:rsidRPr="00AD3E2A">
        <w:rPr>
          <w:sz w:val="22"/>
          <w:szCs w:val="22"/>
          <w:lang w:val="en-US"/>
        </w:rPr>
        <w:t xml:space="preserve">catch-up to cover investments in pre-existing projects. A 50% </w:t>
      </w:r>
      <w:proofErr w:type="gramStart"/>
      <w:r w:rsidRPr="00AD3E2A">
        <w:rPr>
          <w:sz w:val="22"/>
          <w:szCs w:val="22"/>
          <w:lang w:val="en-US"/>
        </w:rPr>
        <w:t>additionality</w:t>
      </w:r>
      <w:proofErr w:type="gramEnd"/>
      <w:r w:rsidRPr="00AD3E2A">
        <w:rPr>
          <w:sz w:val="22"/>
          <w:szCs w:val="22"/>
          <w:lang w:val="en-US"/>
        </w:rPr>
        <w:t xml:space="preserve"> adjustment is applied to all attribution results.</w:t>
      </w:r>
    </w:p>
    <w:p w14:paraId="2716176E" w14:textId="77777777" w:rsidR="006F3AE7" w:rsidRPr="002055D4" w:rsidRDefault="006F3AE7" w:rsidP="60E67443">
      <w:pPr>
        <w:rPr>
          <w:rFonts w:cs="Arial"/>
          <w:b/>
          <w:bCs/>
        </w:rPr>
      </w:pPr>
    </w:p>
    <w:p w14:paraId="2071A61A" w14:textId="34E123B0" w:rsidR="006F3AE7" w:rsidRPr="002055D4" w:rsidRDefault="25B96BF8" w:rsidP="60E67443">
      <w:pPr>
        <w:pStyle w:val="Heading2"/>
        <w:pBdr>
          <w:top w:val="single" w:sz="4" w:space="1" w:color="auto"/>
          <w:left w:val="single" w:sz="4" w:space="6" w:color="auto"/>
          <w:bottom w:val="single" w:sz="4" w:space="1" w:color="auto"/>
          <w:right w:val="single" w:sz="4" w:space="4" w:color="auto"/>
        </w:pBdr>
        <w:shd w:val="clear" w:color="auto" w:fill="D9E2F3" w:themeFill="accent1" w:themeFillTint="33"/>
        <w:spacing w:before="0"/>
        <w:rPr>
          <w:b w:val="0"/>
          <w:i w:val="0"/>
          <w:sz w:val="20"/>
          <w:szCs w:val="20"/>
        </w:rPr>
      </w:pPr>
      <w:r w:rsidRPr="60E67443">
        <w:rPr>
          <w:i w:val="0"/>
        </w:rPr>
        <w:t>C. DETAILED OUTPUT SCORING</w:t>
      </w:r>
    </w:p>
    <w:p w14:paraId="42FDE965" w14:textId="77777777" w:rsidR="006F3AE7" w:rsidRPr="002055D4" w:rsidRDefault="006F3AE7" w:rsidP="006F3AE7">
      <w:pPr>
        <w:rPr>
          <w:color w:val="FF0000"/>
          <w:sz w:val="22"/>
          <w:szCs w:val="22"/>
        </w:rPr>
      </w:pPr>
    </w:p>
    <w:p w14:paraId="223B8315" w14:textId="77777777" w:rsidR="007B139E" w:rsidRPr="002055D4" w:rsidRDefault="007B139E" w:rsidP="006F3AE7">
      <w:pPr>
        <w:rPr>
          <w:color w:val="FF0000"/>
          <w:sz w:val="22"/>
          <w:szCs w:val="22"/>
        </w:rPr>
      </w:pPr>
    </w:p>
    <w:tbl>
      <w:tblPr>
        <w:tblStyle w:val="TableGrid"/>
        <w:tblW w:w="9356" w:type="dxa"/>
        <w:tblInd w:w="-147" w:type="dxa"/>
        <w:tblLook w:val="04A0" w:firstRow="1" w:lastRow="0" w:firstColumn="1" w:lastColumn="0" w:noHBand="0" w:noVBand="1"/>
      </w:tblPr>
      <w:tblGrid>
        <w:gridCol w:w="1708"/>
        <w:gridCol w:w="616"/>
        <w:gridCol w:w="937"/>
        <w:gridCol w:w="3283"/>
        <w:gridCol w:w="2812"/>
      </w:tblGrid>
      <w:tr w:rsidR="002055D4" w:rsidRPr="002055D4" w14:paraId="52E574E6" w14:textId="77777777" w:rsidTr="60E67443">
        <w:trPr>
          <w:trHeight w:val="489"/>
        </w:trPr>
        <w:tc>
          <w:tcPr>
            <w:tcW w:w="1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EF9924" w14:textId="77777777" w:rsidR="006F3AE7" w:rsidRPr="002055D4" w:rsidRDefault="25B96BF8" w:rsidP="60E67443">
            <w:pPr>
              <w:rPr>
                <w:b/>
                <w:bCs/>
                <w:sz w:val="20"/>
                <w:szCs w:val="20"/>
              </w:rPr>
            </w:pPr>
            <w:r w:rsidRPr="60E67443">
              <w:rPr>
                <w:b/>
                <w:bCs/>
                <w:sz w:val="20"/>
                <w:szCs w:val="20"/>
              </w:rPr>
              <w:t xml:space="preserve">Output Title </w:t>
            </w:r>
          </w:p>
        </w:tc>
        <w:tc>
          <w:tcPr>
            <w:tcW w:w="76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FD2BE8F" w14:textId="37B5492B" w:rsidR="006F3AE7" w:rsidRPr="002055D4" w:rsidRDefault="6A9D4121" w:rsidP="60E67443">
            <w:pPr>
              <w:rPr>
                <w:rFonts w:cs="Arial"/>
                <w:i/>
                <w:iCs/>
                <w:sz w:val="20"/>
                <w:szCs w:val="20"/>
              </w:rPr>
            </w:pPr>
            <w:r w:rsidRPr="60E67443">
              <w:rPr>
                <w:rFonts w:cs="Arial"/>
                <w:sz w:val="20"/>
                <w:szCs w:val="20"/>
                <w:shd w:val="clear" w:color="auto" w:fill="FFFFFF"/>
              </w:rPr>
              <w:t>The LDN Fund provides finance and technical assistance to support successful SLM projects which provide financial returns for investors, sustained benefits for local communities and non-financial benefits on a local, national and global scale.</w:t>
            </w:r>
          </w:p>
        </w:tc>
      </w:tr>
      <w:tr w:rsidR="002055D4" w:rsidRPr="002055D4" w14:paraId="5136958B" w14:textId="77777777" w:rsidTr="60E67443">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C28C9F" w14:textId="77777777" w:rsidR="006F3AE7" w:rsidRPr="002055D4" w:rsidRDefault="25B96BF8" w:rsidP="60E67443">
            <w:pPr>
              <w:rPr>
                <w:sz w:val="20"/>
                <w:szCs w:val="20"/>
              </w:rPr>
            </w:pPr>
            <w:r w:rsidRPr="60E67443">
              <w:rPr>
                <w:sz w:val="20"/>
                <w:szCs w:val="20"/>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0D998D47" w14:textId="6E7C49A2" w:rsidR="006F3AE7" w:rsidRPr="002055D4" w:rsidRDefault="6A9D4121" w:rsidP="60E67443">
            <w:pPr>
              <w:rPr>
                <w:sz w:val="20"/>
                <w:szCs w:val="20"/>
              </w:rPr>
            </w:pPr>
            <w:r w:rsidRPr="60E67443">
              <w:rPr>
                <w:sz w:val="20"/>
                <w:szCs w:val="20"/>
              </w:rPr>
              <w:t>1</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CD8447" w14:textId="77777777" w:rsidR="006F3AE7" w:rsidRPr="002055D4" w:rsidRDefault="25B96BF8" w:rsidP="60E67443">
            <w:pPr>
              <w:rPr>
                <w:sz w:val="20"/>
                <w:szCs w:val="20"/>
              </w:rPr>
            </w:pPr>
            <w:r w:rsidRPr="60E67443">
              <w:rPr>
                <w:sz w:val="20"/>
                <w:szCs w:val="20"/>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25588D6F" w14:textId="1FFAC412" w:rsidR="006F3AE7" w:rsidRPr="002055D4" w:rsidRDefault="00FD141A" w:rsidP="60E67443">
            <w:pPr>
              <w:rPr>
                <w:sz w:val="20"/>
                <w:szCs w:val="20"/>
              </w:rPr>
            </w:pPr>
            <w:commentRangeStart w:id="0"/>
            <w:r>
              <w:rPr>
                <w:sz w:val="20"/>
                <w:szCs w:val="20"/>
              </w:rPr>
              <w:t>A</w:t>
            </w:r>
            <w:commentRangeEnd w:id="0"/>
            <w:r>
              <w:rPr>
                <w:rStyle w:val="CommentReference"/>
                <w:lang w:eastAsia="en-US"/>
              </w:rPr>
              <w:commentReference w:id="0"/>
            </w:r>
          </w:p>
        </w:tc>
      </w:tr>
      <w:tr w:rsidR="002055D4" w:rsidRPr="002055D4" w14:paraId="2E063A5F" w14:textId="77777777" w:rsidTr="60E67443">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13D482" w14:textId="77777777" w:rsidR="006F3AE7" w:rsidRPr="002055D4" w:rsidRDefault="25B96BF8" w:rsidP="60E67443">
            <w:pPr>
              <w:rPr>
                <w:sz w:val="20"/>
                <w:szCs w:val="20"/>
              </w:rPr>
            </w:pPr>
            <w:r w:rsidRPr="60E67443">
              <w:rPr>
                <w:sz w:val="20"/>
                <w:szCs w:val="20"/>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31CC3EFE" w14:textId="6BB9AF5C" w:rsidR="006F3AE7" w:rsidRPr="002055D4" w:rsidRDefault="2E7B1C0A" w:rsidP="60E67443">
            <w:pPr>
              <w:rPr>
                <w:sz w:val="20"/>
                <w:szCs w:val="20"/>
              </w:rPr>
            </w:pPr>
            <w:r w:rsidRPr="60E67443">
              <w:rPr>
                <w:sz w:val="20"/>
                <w:szCs w:val="20"/>
              </w:rPr>
              <w:t>Not yet set</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995FDB" w14:textId="2FF2D427" w:rsidR="006F3AE7" w:rsidRPr="002055D4" w:rsidRDefault="25B96BF8" w:rsidP="60E67443">
            <w:pPr>
              <w:rPr>
                <w:sz w:val="20"/>
                <w:szCs w:val="20"/>
              </w:rPr>
            </w:pPr>
            <w:r w:rsidRPr="60E67443">
              <w:rPr>
                <w:sz w:val="20"/>
                <w:szCs w:val="20"/>
              </w:rPr>
              <w:t xml:space="preserve">Weighting revised since last </w:t>
            </w:r>
            <w:proofErr w:type="gramStart"/>
            <w:r w:rsidRPr="60E67443">
              <w:rPr>
                <w:sz w:val="20"/>
                <w:szCs w:val="20"/>
              </w:rPr>
              <w:t>AR?</w:t>
            </w:r>
            <w:proofErr w:type="gramEnd"/>
            <w:r w:rsidRPr="60E67443">
              <w:rPr>
                <w:sz w:val="20"/>
                <w:szCs w:val="20"/>
              </w:rPr>
              <w:t xml:space="preserve"> </w:t>
            </w:r>
          </w:p>
        </w:tc>
        <w:tc>
          <w:tcPr>
            <w:tcW w:w="2812" w:type="dxa"/>
            <w:tcBorders>
              <w:top w:val="single" w:sz="4" w:space="0" w:color="auto"/>
              <w:left w:val="single" w:sz="4" w:space="0" w:color="auto"/>
              <w:bottom w:val="single" w:sz="4" w:space="0" w:color="auto"/>
              <w:right w:val="single" w:sz="4" w:space="0" w:color="auto"/>
            </w:tcBorders>
          </w:tcPr>
          <w:p w14:paraId="2DFF1646" w14:textId="4F52CA82" w:rsidR="006F3AE7" w:rsidRPr="002055D4" w:rsidRDefault="00007E8C" w:rsidP="60E67443">
            <w:pPr>
              <w:rPr>
                <w:sz w:val="20"/>
                <w:szCs w:val="20"/>
              </w:rPr>
            </w:pPr>
            <w:r>
              <w:rPr>
                <w:sz w:val="20"/>
                <w:szCs w:val="20"/>
              </w:rPr>
              <w:t>N/A</w:t>
            </w:r>
          </w:p>
        </w:tc>
      </w:tr>
    </w:tbl>
    <w:p w14:paraId="3FFA182B" w14:textId="77777777" w:rsidR="006F3AE7" w:rsidRPr="002055D4" w:rsidRDefault="006F3AE7" w:rsidP="006F3AE7">
      <w:pPr>
        <w:rPr>
          <w:b/>
          <w:color w:val="FF0000"/>
        </w:rPr>
      </w:pPr>
    </w:p>
    <w:tbl>
      <w:tblPr>
        <w:tblStyle w:val="TableGrid"/>
        <w:tblpPr w:leftFromText="180" w:rightFromText="180" w:vertAnchor="text" w:horzAnchor="page" w:tblpX="1325" w:tblpY="-10"/>
        <w:tblOverlap w:val="never"/>
        <w:tblW w:w="9351" w:type="dxa"/>
        <w:tblLook w:val="04A0" w:firstRow="1" w:lastRow="0" w:firstColumn="1" w:lastColumn="0" w:noHBand="0" w:noVBand="1"/>
      </w:tblPr>
      <w:tblGrid>
        <w:gridCol w:w="4248"/>
        <w:gridCol w:w="2268"/>
        <w:gridCol w:w="2835"/>
      </w:tblGrid>
      <w:tr w:rsidR="002055D4" w:rsidRPr="002055D4" w14:paraId="12589E58" w14:textId="77777777" w:rsidTr="00725D35">
        <w:trPr>
          <w:trHeight w:val="273"/>
        </w:trPr>
        <w:tc>
          <w:tcPr>
            <w:tcW w:w="424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7DF24C" w14:textId="77777777" w:rsidR="006F3AE7" w:rsidRPr="002055D4" w:rsidRDefault="25B96BF8" w:rsidP="60E67443">
            <w:pPr>
              <w:rPr>
                <w:b/>
                <w:bCs/>
                <w:sz w:val="20"/>
                <w:szCs w:val="20"/>
              </w:rPr>
            </w:pPr>
            <w:r w:rsidRPr="60E67443">
              <w:rPr>
                <w:b/>
                <w:bCs/>
                <w:sz w:val="20"/>
                <w:szCs w:val="20"/>
              </w:rPr>
              <w:t>Indicator(s)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C55528" w14:textId="53C4A3EB" w:rsidR="006F3AE7" w:rsidRPr="002055D4" w:rsidRDefault="00007E8C" w:rsidP="60E67443">
            <w:pPr>
              <w:rPr>
                <w:b/>
                <w:bCs/>
                <w:sz w:val="20"/>
                <w:szCs w:val="20"/>
              </w:rPr>
            </w:pPr>
            <w:r>
              <w:rPr>
                <w:b/>
                <w:bCs/>
                <w:sz w:val="20"/>
                <w:szCs w:val="20"/>
              </w:rPr>
              <w:t>2020</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60A9A3" w14:textId="38A44433" w:rsidR="006F3AE7" w:rsidRPr="002055D4" w:rsidRDefault="00725D35" w:rsidP="60E67443">
            <w:pPr>
              <w:rPr>
                <w:b/>
                <w:bCs/>
                <w:sz w:val="20"/>
                <w:szCs w:val="20"/>
              </w:rPr>
            </w:pPr>
            <w:r>
              <w:rPr>
                <w:b/>
                <w:bCs/>
                <w:sz w:val="20"/>
                <w:szCs w:val="20"/>
              </w:rPr>
              <w:t>2021</w:t>
            </w:r>
            <w:r w:rsidR="25B96BF8" w:rsidRPr="60E67443">
              <w:rPr>
                <w:b/>
                <w:bCs/>
                <w:sz w:val="20"/>
                <w:szCs w:val="20"/>
              </w:rPr>
              <w:t xml:space="preserve"> </w:t>
            </w:r>
            <w:r w:rsidR="00B068C6">
              <w:rPr>
                <w:b/>
                <w:bCs/>
                <w:sz w:val="20"/>
                <w:szCs w:val="20"/>
              </w:rPr>
              <w:t>(cumulative)</w:t>
            </w:r>
          </w:p>
        </w:tc>
      </w:tr>
      <w:tr w:rsidR="002055D4" w:rsidRPr="002055D4" w14:paraId="63BE3357" w14:textId="77777777" w:rsidTr="00725D35">
        <w:tc>
          <w:tcPr>
            <w:tcW w:w="4248" w:type="dxa"/>
            <w:tcBorders>
              <w:top w:val="single" w:sz="4" w:space="0" w:color="auto"/>
              <w:left w:val="single" w:sz="4" w:space="0" w:color="auto"/>
              <w:bottom w:val="single" w:sz="4" w:space="0" w:color="auto"/>
              <w:right w:val="single" w:sz="4" w:space="0" w:color="auto"/>
            </w:tcBorders>
          </w:tcPr>
          <w:p w14:paraId="6CBF5E6C" w14:textId="6C567908" w:rsidR="006F3AE7" w:rsidRPr="002055D4" w:rsidRDefault="6A9D4121" w:rsidP="60E67443">
            <w:pPr>
              <w:rPr>
                <w:rFonts w:eastAsia="Arial" w:cs="Arial"/>
                <w:sz w:val="20"/>
                <w:szCs w:val="20"/>
              </w:rPr>
            </w:pPr>
            <w:r w:rsidRPr="60E67443">
              <w:rPr>
                <w:rFonts w:eastAsia="Arial" w:cs="Arial"/>
                <w:sz w:val="20"/>
                <w:szCs w:val="20"/>
              </w:rPr>
              <w:t>1.1 Level of TA funding provided</w:t>
            </w:r>
            <w:r w:rsidR="009F1A97">
              <w:rPr>
                <w:rFonts w:eastAsia="Arial"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49647E1" w14:textId="429C4DC2" w:rsidR="006F3AE7" w:rsidRPr="002055D4" w:rsidRDefault="003E7439" w:rsidP="60E67443">
            <w:pPr>
              <w:rPr>
                <w:rFonts w:eastAsia="Arial" w:cs="Arial"/>
                <w:sz w:val="20"/>
                <w:szCs w:val="20"/>
              </w:rPr>
            </w:pPr>
            <w:r>
              <w:rPr>
                <w:rFonts w:eastAsia="Arial" w:cs="Arial"/>
                <w:sz w:val="20"/>
                <w:szCs w:val="20"/>
              </w:rPr>
              <w:t>996,313</w:t>
            </w:r>
          </w:p>
        </w:tc>
        <w:tc>
          <w:tcPr>
            <w:tcW w:w="2835" w:type="dxa"/>
            <w:tcBorders>
              <w:top w:val="single" w:sz="4" w:space="0" w:color="auto"/>
              <w:left w:val="single" w:sz="4" w:space="0" w:color="auto"/>
              <w:bottom w:val="single" w:sz="4" w:space="0" w:color="auto"/>
              <w:right w:val="single" w:sz="4" w:space="0" w:color="auto"/>
            </w:tcBorders>
          </w:tcPr>
          <w:p w14:paraId="145032EC" w14:textId="17394FAC" w:rsidR="006F3AE7" w:rsidRPr="002055D4" w:rsidRDefault="00D149A4" w:rsidP="60E67443">
            <w:pPr>
              <w:rPr>
                <w:rFonts w:eastAsia="Arial" w:cs="Arial"/>
                <w:sz w:val="20"/>
                <w:szCs w:val="20"/>
              </w:rPr>
            </w:pPr>
            <w:r w:rsidRPr="00D149A4">
              <w:rPr>
                <w:rFonts w:eastAsia="Arial" w:cs="Arial"/>
                <w:sz w:val="20"/>
                <w:szCs w:val="20"/>
              </w:rPr>
              <w:t>1,</w:t>
            </w:r>
            <w:r w:rsidR="003E7439">
              <w:rPr>
                <w:rFonts w:eastAsia="Arial" w:cs="Arial"/>
                <w:sz w:val="20"/>
                <w:szCs w:val="20"/>
              </w:rPr>
              <w:t>384</w:t>
            </w:r>
            <w:r w:rsidR="00C05395">
              <w:rPr>
                <w:rFonts w:eastAsia="Arial" w:cs="Arial"/>
                <w:sz w:val="20"/>
                <w:szCs w:val="20"/>
              </w:rPr>
              <w:t>,435</w:t>
            </w:r>
          </w:p>
        </w:tc>
      </w:tr>
      <w:tr w:rsidR="002055D4" w:rsidRPr="002055D4" w14:paraId="723D0A09" w14:textId="77777777" w:rsidTr="00725D35">
        <w:tc>
          <w:tcPr>
            <w:tcW w:w="4248" w:type="dxa"/>
            <w:tcBorders>
              <w:top w:val="single" w:sz="4" w:space="0" w:color="auto"/>
              <w:left w:val="single" w:sz="4" w:space="0" w:color="auto"/>
              <w:bottom w:val="single" w:sz="4" w:space="0" w:color="auto"/>
              <w:right w:val="single" w:sz="4" w:space="0" w:color="auto"/>
            </w:tcBorders>
          </w:tcPr>
          <w:p w14:paraId="12C485DF" w14:textId="744A2B27" w:rsidR="006F3AE7" w:rsidRPr="002055D4" w:rsidRDefault="6A9D4121" w:rsidP="60E67443">
            <w:pPr>
              <w:rPr>
                <w:rFonts w:eastAsia="Arial" w:cs="Arial"/>
                <w:sz w:val="20"/>
                <w:szCs w:val="20"/>
              </w:rPr>
            </w:pPr>
            <w:r w:rsidRPr="60E67443">
              <w:rPr>
                <w:rFonts w:eastAsia="Arial" w:cs="Arial"/>
                <w:sz w:val="20"/>
                <w:szCs w:val="20"/>
              </w:rPr>
              <w:t>1.2 Level of project investment provided</w:t>
            </w:r>
            <w:r w:rsidR="009F1A97">
              <w:rPr>
                <w:rFonts w:eastAsia="Arial"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75A9307E" w14:textId="77777777" w:rsidR="00D149A4" w:rsidRPr="00D149A4" w:rsidRDefault="00D149A4" w:rsidP="00D149A4">
            <w:pPr>
              <w:rPr>
                <w:rFonts w:eastAsia="Arial" w:cs="Arial"/>
                <w:color w:val="000000" w:themeColor="text1"/>
                <w:sz w:val="20"/>
                <w:szCs w:val="20"/>
              </w:rPr>
            </w:pPr>
            <w:r w:rsidRPr="00D149A4">
              <w:rPr>
                <w:rFonts w:eastAsia="Arial" w:cs="Arial"/>
                <w:color w:val="000000" w:themeColor="text1"/>
                <w:sz w:val="20"/>
                <w:szCs w:val="20"/>
              </w:rPr>
              <w:t>60,616,025</w:t>
            </w:r>
          </w:p>
          <w:p w14:paraId="185079C1" w14:textId="2CC85262" w:rsidR="006F3AE7" w:rsidRPr="002055D4" w:rsidRDefault="006F3AE7" w:rsidP="60E67443">
            <w:pPr>
              <w:rPr>
                <w:rFonts w:eastAsia="Arial" w:cs="Arial"/>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25BAE5D" w14:textId="1FF0437E" w:rsidR="006F3AE7" w:rsidRPr="002055D4" w:rsidRDefault="00D149A4" w:rsidP="60E67443">
            <w:pPr>
              <w:rPr>
                <w:rFonts w:eastAsia="Arial" w:cs="Arial"/>
                <w:color w:val="000000" w:themeColor="text1"/>
                <w:sz w:val="20"/>
                <w:szCs w:val="20"/>
              </w:rPr>
            </w:pPr>
            <w:r w:rsidRPr="60E67443">
              <w:rPr>
                <w:rFonts w:eastAsia="Arial" w:cs="Arial"/>
                <w:color w:val="000000" w:themeColor="text1"/>
                <w:sz w:val="20"/>
                <w:szCs w:val="20"/>
              </w:rPr>
              <w:t>7</w:t>
            </w:r>
            <w:r>
              <w:rPr>
                <w:rFonts w:eastAsia="Arial" w:cs="Arial"/>
                <w:color w:val="000000" w:themeColor="text1"/>
                <w:sz w:val="20"/>
                <w:szCs w:val="20"/>
              </w:rPr>
              <w:t>4</w:t>
            </w:r>
            <w:r w:rsidR="75D1063C" w:rsidRPr="60E67443">
              <w:rPr>
                <w:rFonts w:eastAsia="Arial" w:cs="Arial"/>
                <w:color w:val="000000" w:themeColor="text1"/>
                <w:sz w:val="20"/>
                <w:szCs w:val="20"/>
              </w:rPr>
              <w:t>,</w:t>
            </w:r>
            <w:r w:rsidR="34B98305" w:rsidRPr="60E67443">
              <w:rPr>
                <w:rFonts w:eastAsia="Arial" w:cs="Arial"/>
                <w:color w:val="000000" w:themeColor="text1"/>
                <w:sz w:val="20"/>
                <w:szCs w:val="20"/>
              </w:rPr>
              <w:t>500</w:t>
            </w:r>
            <w:r w:rsidR="75D1063C" w:rsidRPr="60E67443">
              <w:rPr>
                <w:rFonts w:eastAsia="Arial" w:cs="Arial"/>
                <w:color w:val="000000" w:themeColor="text1"/>
                <w:sz w:val="20"/>
                <w:szCs w:val="20"/>
              </w:rPr>
              <w:t>,000</w:t>
            </w:r>
          </w:p>
        </w:tc>
      </w:tr>
      <w:tr w:rsidR="002055D4" w:rsidRPr="002055D4" w14:paraId="45AD7D78" w14:textId="77777777" w:rsidTr="00725D35">
        <w:tc>
          <w:tcPr>
            <w:tcW w:w="4248" w:type="dxa"/>
            <w:tcBorders>
              <w:top w:val="single" w:sz="4" w:space="0" w:color="auto"/>
              <w:left w:val="single" w:sz="4" w:space="0" w:color="auto"/>
              <w:bottom w:val="single" w:sz="4" w:space="0" w:color="auto"/>
              <w:right w:val="single" w:sz="4" w:space="0" w:color="auto"/>
            </w:tcBorders>
          </w:tcPr>
          <w:p w14:paraId="07320004" w14:textId="6CAA00A6" w:rsidR="001D0640" w:rsidRPr="002055D4" w:rsidRDefault="6A9D4121" w:rsidP="60E67443">
            <w:pPr>
              <w:rPr>
                <w:rFonts w:eastAsia="Arial" w:cs="Arial"/>
                <w:sz w:val="20"/>
                <w:szCs w:val="20"/>
              </w:rPr>
            </w:pPr>
            <w:r w:rsidRPr="60E67443">
              <w:rPr>
                <w:rFonts w:eastAsia="Arial" w:cs="Arial"/>
                <w:sz w:val="20"/>
                <w:szCs w:val="20"/>
              </w:rPr>
              <w:t>1.3 Number of projects funded</w:t>
            </w:r>
          </w:p>
        </w:tc>
        <w:tc>
          <w:tcPr>
            <w:tcW w:w="2268" w:type="dxa"/>
            <w:tcBorders>
              <w:top w:val="single" w:sz="4" w:space="0" w:color="auto"/>
              <w:left w:val="single" w:sz="4" w:space="0" w:color="auto"/>
              <w:bottom w:val="single" w:sz="4" w:space="0" w:color="auto"/>
              <w:right w:val="single" w:sz="4" w:space="0" w:color="auto"/>
            </w:tcBorders>
          </w:tcPr>
          <w:p w14:paraId="24375D91" w14:textId="0F73A8B6" w:rsidR="001D0640" w:rsidRPr="002055D4" w:rsidRDefault="00725D35" w:rsidP="60E67443">
            <w:pPr>
              <w:rPr>
                <w:rFonts w:eastAsia="Arial" w:cs="Arial"/>
                <w:sz w:val="20"/>
                <w:szCs w:val="20"/>
              </w:rPr>
            </w:pPr>
            <w:r>
              <w:rPr>
                <w:rFonts w:eastAsia="Arial" w:cs="Arial"/>
                <w:sz w:val="20"/>
                <w:szCs w:val="20"/>
              </w:rPr>
              <w:t>13</w:t>
            </w:r>
          </w:p>
        </w:tc>
        <w:tc>
          <w:tcPr>
            <w:tcW w:w="2835" w:type="dxa"/>
            <w:tcBorders>
              <w:top w:val="single" w:sz="4" w:space="0" w:color="auto"/>
              <w:left w:val="single" w:sz="4" w:space="0" w:color="auto"/>
              <w:bottom w:val="single" w:sz="4" w:space="0" w:color="auto"/>
              <w:right w:val="single" w:sz="4" w:space="0" w:color="auto"/>
            </w:tcBorders>
          </w:tcPr>
          <w:p w14:paraId="7B0D3B6B" w14:textId="3F509CC0" w:rsidR="001D0640" w:rsidRPr="002055D4" w:rsidRDefault="75D1063C" w:rsidP="60E67443">
            <w:pPr>
              <w:rPr>
                <w:rFonts w:eastAsia="Arial" w:cs="Arial"/>
                <w:sz w:val="20"/>
                <w:szCs w:val="20"/>
              </w:rPr>
            </w:pPr>
            <w:r w:rsidRPr="60E67443">
              <w:rPr>
                <w:rFonts w:eastAsia="Arial" w:cs="Arial"/>
                <w:sz w:val="20"/>
                <w:szCs w:val="20"/>
              </w:rPr>
              <w:t>1</w:t>
            </w:r>
            <w:r w:rsidR="25D208C3" w:rsidRPr="60E67443">
              <w:rPr>
                <w:rFonts w:eastAsia="Arial" w:cs="Arial"/>
                <w:sz w:val="20"/>
                <w:szCs w:val="20"/>
              </w:rPr>
              <w:t>7</w:t>
            </w:r>
          </w:p>
        </w:tc>
      </w:tr>
      <w:tr w:rsidR="002055D4" w:rsidRPr="002055D4" w14:paraId="11CDA26B" w14:textId="77777777" w:rsidTr="00725D35">
        <w:tc>
          <w:tcPr>
            <w:tcW w:w="4248" w:type="dxa"/>
            <w:tcBorders>
              <w:top w:val="single" w:sz="4" w:space="0" w:color="auto"/>
              <w:left w:val="single" w:sz="4" w:space="0" w:color="auto"/>
              <w:bottom w:val="single" w:sz="4" w:space="0" w:color="auto"/>
              <w:right w:val="single" w:sz="4" w:space="0" w:color="auto"/>
            </w:tcBorders>
          </w:tcPr>
          <w:p w14:paraId="576E8021" w14:textId="34B8DEA7" w:rsidR="001D0640" w:rsidRPr="002055D4" w:rsidRDefault="6A9D4121" w:rsidP="60E67443">
            <w:pPr>
              <w:rPr>
                <w:rFonts w:eastAsia="Arial" w:cs="Arial"/>
                <w:sz w:val="20"/>
                <w:szCs w:val="20"/>
              </w:rPr>
            </w:pPr>
            <w:r w:rsidRPr="60E67443">
              <w:rPr>
                <w:rFonts w:eastAsia="Arial" w:cs="Arial"/>
                <w:sz w:val="20"/>
                <w:szCs w:val="20"/>
              </w:rPr>
              <w:t>1.4 Number of countries TA is provided</w:t>
            </w:r>
          </w:p>
        </w:tc>
        <w:tc>
          <w:tcPr>
            <w:tcW w:w="2268" w:type="dxa"/>
            <w:tcBorders>
              <w:top w:val="single" w:sz="4" w:space="0" w:color="auto"/>
              <w:left w:val="single" w:sz="4" w:space="0" w:color="auto"/>
              <w:bottom w:val="single" w:sz="4" w:space="0" w:color="auto"/>
              <w:right w:val="single" w:sz="4" w:space="0" w:color="auto"/>
            </w:tcBorders>
          </w:tcPr>
          <w:p w14:paraId="45365D96" w14:textId="2DA6E250" w:rsidR="001D0640" w:rsidRPr="002055D4" w:rsidRDefault="00725D35" w:rsidP="60E67443">
            <w:pPr>
              <w:rPr>
                <w:rFonts w:eastAsia="Arial" w:cs="Arial"/>
                <w:sz w:val="20"/>
                <w:szCs w:val="20"/>
              </w:rPr>
            </w:pPr>
            <w:r>
              <w:rPr>
                <w:rFonts w:eastAsia="Arial" w:cs="Arial"/>
                <w:sz w:val="20"/>
                <w:szCs w:val="20"/>
              </w:rPr>
              <w:t>12</w:t>
            </w:r>
          </w:p>
        </w:tc>
        <w:tc>
          <w:tcPr>
            <w:tcW w:w="2835" w:type="dxa"/>
            <w:tcBorders>
              <w:top w:val="single" w:sz="4" w:space="0" w:color="auto"/>
              <w:left w:val="single" w:sz="4" w:space="0" w:color="auto"/>
              <w:bottom w:val="single" w:sz="4" w:space="0" w:color="auto"/>
              <w:right w:val="single" w:sz="4" w:space="0" w:color="auto"/>
            </w:tcBorders>
          </w:tcPr>
          <w:p w14:paraId="51B11709" w14:textId="5F5A05F3" w:rsidR="001D0640" w:rsidRPr="002055D4" w:rsidRDefault="75D1063C" w:rsidP="60E67443">
            <w:pPr>
              <w:rPr>
                <w:rFonts w:eastAsia="Arial" w:cs="Arial"/>
                <w:sz w:val="20"/>
                <w:szCs w:val="20"/>
              </w:rPr>
            </w:pPr>
            <w:r w:rsidRPr="60E67443">
              <w:rPr>
                <w:rFonts w:eastAsia="Arial" w:cs="Arial"/>
                <w:sz w:val="20"/>
                <w:szCs w:val="20"/>
              </w:rPr>
              <w:t>1</w:t>
            </w:r>
            <w:r w:rsidR="369564EE" w:rsidRPr="60E67443">
              <w:rPr>
                <w:rFonts w:eastAsia="Arial" w:cs="Arial"/>
                <w:sz w:val="20"/>
                <w:szCs w:val="20"/>
              </w:rPr>
              <w:t>4</w:t>
            </w:r>
          </w:p>
        </w:tc>
      </w:tr>
      <w:tr w:rsidR="002055D4" w:rsidRPr="002055D4" w14:paraId="5316948E" w14:textId="77777777" w:rsidTr="00725D35">
        <w:tc>
          <w:tcPr>
            <w:tcW w:w="4248" w:type="dxa"/>
            <w:tcBorders>
              <w:top w:val="single" w:sz="4" w:space="0" w:color="auto"/>
              <w:left w:val="single" w:sz="4" w:space="0" w:color="auto"/>
              <w:bottom w:val="single" w:sz="4" w:space="0" w:color="auto"/>
              <w:right w:val="single" w:sz="4" w:space="0" w:color="auto"/>
            </w:tcBorders>
          </w:tcPr>
          <w:p w14:paraId="18DC96CD" w14:textId="531576BE" w:rsidR="001D0640" w:rsidRPr="002055D4" w:rsidRDefault="6A9D4121" w:rsidP="60E67443">
            <w:pPr>
              <w:rPr>
                <w:rFonts w:eastAsia="Arial" w:cs="Arial"/>
                <w:sz w:val="20"/>
                <w:szCs w:val="20"/>
              </w:rPr>
            </w:pPr>
            <w:r w:rsidRPr="60E67443">
              <w:rPr>
                <w:rFonts w:eastAsia="Arial" w:cs="Arial"/>
                <w:sz w:val="20"/>
                <w:szCs w:val="20"/>
              </w:rPr>
              <w:t>1.5 Number of knowledge products</w:t>
            </w:r>
          </w:p>
        </w:tc>
        <w:tc>
          <w:tcPr>
            <w:tcW w:w="2268" w:type="dxa"/>
            <w:tcBorders>
              <w:top w:val="single" w:sz="4" w:space="0" w:color="auto"/>
              <w:left w:val="single" w:sz="4" w:space="0" w:color="auto"/>
              <w:bottom w:val="single" w:sz="4" w:space="0" w:color="auto"/>
              <w:right w:val="single" w:sz="4" w:space="0" w:color="auto"/>
            </w:tcBorders>
          </w:tcPr>
          <w:p w14:paraId="6191E53A" w14:textId="1BA31891" w:rsidR="001D0640" w:rsidRPr="002055D4" w:rsidRDefault="00D40E61" w:rsidP="60E67443">
            <w:pPr>
              <w:rPr>
                <w:rFonts w:eastAsia="Arial" w:cs="Arial"/>
                <w:sz w:val="20"/>
                <w:szCs w:val="20"/>
              </w:rPr>
            </w:pPr>
            <w:r>
              <w:rPr>
                <w:rFonts w:eastAsia="Arial" w:cs="Arial"/>
                <w:sz w:val="20"/>
                <w:szCs w:val="20"/>
              </w:rPr>
              <w:t>7</w:t>
            </w:r>
          </w:p>
        </w:tc>
        <w:tc>
          <w:tcPr>
            <w:tcW w:w="2835" w:type="dxa"/>
            <w:tcBorders>
              <w:top w:val="single" w:sz="4" w:space="0" w:color="auto"/>
              <w:left w:val="single" w:sz="4" w:space="0" w:color="auto"/>
              <w:bottom w:val="single" w:sz="4" w:space="0" w:color="auto"/>
              <w:right w:val="single" w:sz="4" w:space="0" w:color="auto"/>
            </w:tcBorders>
          </w:tcPr>
          <w:p w14:paraId="3513C919" w14:textId="304C7E84" w:rsidR="001D0640" w:rsidRPr="002055D4" w:rsidRDefault="00D40E61" w:rsidP="60E67443">
            <w:pPr>
              <w:rPr>
                <w:rFonts w:eastAsia="Arial" w:cs="Arial"/>
                <w:sz w:val="20"/>
                <w:szCs w:val="20"/>
              </w:rPr>
            </w:pPr>
            <w:r>
              <w:rPr>
                <w:rFonts w:eastAsia="Arial" w:cs="Arial"/>
                <w:sz w:val="20"/>
                <w:szCs w:val="20"/>
              </w:rPr>
              <w:t>10</w:t>
            </w:r>
          </w:p>
        </w:tc>
      </w:tr>
      <w:tr w:rsidR="002055D4" w:rsidRPr="002055D4" w14:paraId="0FBD7029" w14:textId="77777777" w:rsidTr="00725D35">
        <w:tc>
          <w:tcPr>
            <w:tcW w:w="4248" w:type="dxa"/>
            <w:tcBorders>
              <w:top w:val="single" w:sz="4" w:space="0" w:color="auto"/>
              <w:left w:val="single" w:sz="4" w:space="0" w:color="auto"/>
              <w:bottom w:val="single" w:sz="4" w:space="0" w:color="auto"/>
              <w:right w:val="single" w:sz="4" w:space="0" w:color="auto"/>
            </w:tcBorders>
          </w:tcPr>
          <w:p w14:paraId="72886900" w14:textId="0BF631CA" w:rsidR="001D0640" w:rsidRPr="002055D4" w:rsidRDefault="6A9D4121" w:rsidP="60E67443">
            <w:pPr>
              <w:rPr>
                <w:rFonts w:eastAsia="Arial" w:cs="Arial"/>
                <w:sz w:val="20"/>
                <w:szCs w:val="20"/>
              </w:rPr>
            </w:pPr>
            <w:r w:rsidRPr="60E67443">
              <w:rPr>
                <w:rFonts w:eastAsia="Arial" w:cs="Arial"/>
                <w:sz w:val="20"/>
                <w:szCs w:val="20"/>
              </w:rPr>
              <w:t>1.6 Overall return rate on LDN investments</w:t>
            </w:r>
          </w:p>
        </w:tc>
        <w:tc>
          <w:tcPr>
            <w:tcW w:w="2268" w:type="dxa"/>
            <w:tcBorders>
              <w:top w:val="single" w:sz="4" w:space="0" w:color="auto"/>
              <w:left w:val="single" w:sz="4" w:space="0" w:color="auto"/>
              <w:bottom w:val="single" w:sz="4" w:space="0" w:color="auto"/>
              <w:right w:val="single" w:sz="4" w:space="0" w:color="auto"/>
            </w:tcBorders>
          </w:tcPr>
          <w:p w14:paraId="76310FB2" w14:textId="2A5D4162" w:rsidR="001D0640" w:rsidRPr="002055D4" w:rsidRDefault="36CB5493" w:rsidP="60E67443">
            <w:pPr>
              <w:rPr>
                <w:rFonts w:eastAsia="Arial" w:cs="Arial"/>
                <w:sz w:val="20"/>
                <w:szCs w:val="20"/>
              </w:rPr>
            </w:pPr>
            <w:r w:rsidRPr="60E67443">
              <w:rPr>
                <w:rFonts w:eastAsia="Arial" w:cs="Arial"/>
                <w:sz w:val="20"/>
                <w:szCs w:val="20"/>
              </w:rPr>
              <w:t>0</w:t>
            </w:r>
          </w:p>
        </w:tc>
        <w:tc>
          <w:tcPr>
            <w:tcW w:w="2835" w:type="dxa"/>
            <w:tcBorders>
              <w:top w:val="single" w:sz="4" w:space="0" w:color="auto"/>
              <w:left w:val="single" w:sz="4" w:space="0" w:color="auto"/>
              <w:bottom w:val="single" w:sz="4" w:space="0" w:color="auto"/>
              <w:right w:val="single" w:sz="4" w:space="0" w:color="auto"/>
            </w:tcBorders>
          </w:tcPr>
          <w:p w14:paraId="533412AE" w14:textId="7D953291" w:rsidR="001D0640" w:rsidRPr="002055D4" w:rsidRDefault="00725D35" w:rsidP="60E67443">
            <w:pPr>
              <w:rPr>
                <w:rFonts w:eastAsia="Arial" w:cs="Arial"/>
                <w:sz w:val="20"/>
                <w:szCs w:val="20"/>
              </w:rPr>
            </w:pPr>
            <w:r>
              <w:rPr>
                <w:rFonts w:eastAsia="Arial" w:cs="Arial"/>
                <w:sz w:val="20"/>
                <w:szCs w:val="20"/>
              </w:rPr>
              <w:t>R</w:t>
            </w:r>
            <w:r w:rsidR="36CB5493" w:rsidRPr="60E67443">
              <w:rPr>
                <w:rFonts w:eastAsia="Arial" w:cs="Arial"/>
                <w:sz w:val="20"/>
                <w:szCs w:val="20"/>
              </w:rPr>
              <w:t xml:space="preserve">esults expected </w:t>
            </w:r>
            <w:r>
              <w:rPr>
                <w:rFonts w:eastAsia="Arial" w:cs="Arial"/>
                <w:sz w:val="20"/>
                <w:szCs w:val="20"/>
              </w:rPr>
              <w:t xml:space="preserve">from </w:t>
            </w:r>
            <w:r w:rsidR="36CB5493" w:rsidRPr="60E67443">
              <w:rPr>
                <w:rFonts w:eastAsia="Arial" w:cs="Arial"/>
                <w:sz w:val="20"/>
                <w:szCs w:val="20"/>
              </w:rPr>
              <w:t>2028</w:t>
            </w:r>
          </w:p>
        </w:tc>
      </w:tr>
    </w:tbl>
    <w:p w14:paraId="1EC3512B" w14:textId="77777777" w:rsidR="000A247E" w:rsidRPr="002055D4" w:rsidRDefault="000A247E" w:rsidP="04883426">
      <w:pPr>
        <w:jc w:val="both"/>
        <w:rPr>
          <w:color w:val="FF0000"/>
        </w:rPr>
      </w:pPr>
    </w:p>
    <w:p w14:paraId="758000CC" w14:textId="416186EF" w:rsidR="00A16335" w:rsidRPr="0044533D" w:rsidRDefault="502396C1" w:rsidP="60E67443">
      <w:pPr>
        <w:pStyle w:val="ListParagraph"/>
        <w:numPr>
          <w:ilvl w:val="0"/>
          <w:numId w:val="14"/>
        </w:numPr>
        <w:spacing w:line="257" w:lineRule="auto"/>
        <w:jc w:val="both"/>
        <w:rPr>
          <w:rFonts w:asciiTheme="minorHAnsi" w:eastAsiaTheme="minorEastAsia" w:hAnsiTheme="minorHAnsi" w:cstheme="minorBidi"/>
          <w:color w:val="000000" w:themeColor="text1"/>
          <w:sz w:val="22"/>
          <w:szCs w:val="22"/>
          <w:lang w:val="en-US"/>
        </w:rPr>
      </w:pPr>
      <w:r w:rsidRPr="60E67443">
        <w:rPr>
          <w:rFonts w:eastAsia="Arial" w:cs="Arial"/>
          <w:sz w:val="22"/>
          <w:szCs w:val="22"/>
        </w:rPr>
        <w:t xml:space="preserve">In 2021, the LDN Fund formally invested in the below 3 projects (described </w:t>
      </w:r>
      <w:r w:rsidR="0044533D">
        <w:rPr>
          <w:rFonts w:eastAsia="Arial" w:cs="Arial"/>
          <w:sz w:val="22"/>
          <w:szCs w:val="22"/>
        </w:rPr>
        <w:t xml:space="preserve">in more detail </w:t>
      </w:r>
      <w:r w:rsidRPr="60E67443">
        <w:rPr>
          <w:rFonts w:eastAsia="Arial" w:cs="Arial"/>
          <w:sz w:val="22"/>
          <w:szCs w:val="22"/>
        </w:rPr>
        <w:t>in the LDN Fund Impact Report)</w:t>
      </w:r>
      <w:r w:rsidR="0044533D">
        <w:rPr>
          <w:rFonts w:eastAsia="Arial" w:cs="Arial"/>
          <w:sz w:val="22"/>
          <w:szCs w:val="22"/>
        </w:rPr>
        <w:t>:</w:t>
      </w:r>
      <w:hyperlink r:id="rId18" w:anchor="_ftn1">
        <w:r w:rsidRPr="60E67443">
          <w:rPr>
            <w:rStyle w:val="Hyperlink"/>
            <w:rFonts w:eastAsia="Arial" w:cs="Arial"/>
            <w:sz w:val="22"/>
            <w:szCs w:val="22"/>
            <w:vertAlign w:val="superscript"/>
          </w:rPr>
          <w:t>[1]</w:t>
        </w:r>
      </w:hyperlink>
    </w:p>
    <w:p w14:paraId="525F1AE3" w14:textId="77777777" w:rsidR="0044533D" w:rsidRPr="002055D4" w:rsidRDefault="0044533D" w:rsidP="0044533D">
      <w:pPr>
        <w:pStyle w:val="ListParagraph"/>
        <w:spacing w:line="257" w:lineRule="auto"/>
        <w:ind w:left="360"/>
        <w:jc w:val="both"/>
        <w:rPr>
          <w:rFonts w:asciiTheme="minorHAnsi" w:eastAsiaTheme="minorEastAsia" w:hAnsiTheme="minorHAnsi" w:cstheme="minorBidi"/>
          <w:color w:val="000000" w:themeColor="text1"/>
          <w:sz w:val="22"/>
          <w:szCs w:val="22"/>
          <w:lang w:val="en-US"/>
        </w:rPr>
      </w:pPr>
    </w:p>
    <w:p w14:paraId="687CC6EB" w14:textId="17454EC7" w:rsidR="00A16335" w:rsidRDefault="502396C1" w:rsidP="0044533D">
      <w:pPr>
        <w:pStyle w:val="ListParagraph"/>
        <w:numPr>
          <w:ilvl w:val="1"/>
          <w:numId w:val="14"/>
        </w:numPr>
        <w:spacing w:line="257" w:lineRule="auto"/>
        <w:rPr>
          <w:sz w:val="22"/>
          <w:szCs w:val="22"/>
        </w:rPr>
      </w:pPr>
      <w:proofErr w:type="spellStart"/>
      <w:r w:rsidRPr="60E67443">
        <w:rPr>
          <w:sz w:val="22"/>
          <w:szCs w:val="22"/>
        </w:rPr>
        <w:t>Burapha</w:t>
      </w:r>
      <w:proofErr w:type="spellEnd"/>
      <w:r w:rsidRPr="60E67443">
        <w:rPr>
          <w:sz w:val="22"/>
          <w:szCs w:val="22"/>
        </w:rPr>
        <w:t xml:space="preserve"> Agroforestry in Laos;</w:t>
      </w:r>
      <w:r w:rsidR="00CD210F">
        <w:rPr>
          <w:sz w:val="22"/>
          <w:szCs w:val="22"/>
        </w:rPr>
        <w:t xml:space="preserve"> </w:t>
      </w:r>
      <w:r w:rsidR="0044533D">
        <w:rPr>
          <w:sz w:val="22"/>
          <w:szCs w:val="22"/>
        </w:rPr>
        <w:t xml:space="preserve">founded in 1993, </w:t>
      </w:r>
      <w:proofErr w:type="spellStart"/>
      <w:r w:rsidR="00CD210F" w:rsidRPr="00CD210F">
        <w:rPr>
          <w:sz w:val="22"/>
          <w:szCs w:val="22"/>
        </w:rPr>
        <w:t>Burapha</w:t>
      </w:r>
      <w:proofErr w:type="spellEnd"/>
      <w:r w:rsidR="00CD210F" w:rsidRPr="00CD210F">
        <w:rPr>
          <w:sz w:val="22"/>
          <w:szCs w:val="22"/>
        </w:rPr>
        <w:t xml:space="preserve"> </w:t>
      </w:r>
      <w:proofErr w:type="spellStart"/>
      <w:r w:rsidR="00CD210F" w:rsidRPr="00CD210F">
        <w:rPr>
          <w:sz w:val="22"/>
          <w:szCs w:val="22"/>
        </w:rPr>
        <w:t>AgroForestry</w:t>
      </w:r>
      <w:proofErr w:type="spellEnd"/>
      <w:r w:rsidR="00CD210F" w:rsidRPr="00CD210F">
        <w:rPr>
          <w:sz w:val="22"/>
          <w:szCs w:val="22"/>
        </w:rPr>
        <w:t xml:space="preserve"> Co., is a sustainable land management project, operated by a Lao Swedish forestry plantation and wood products manufacturing company.</w:t>
      </w:r>
      <w:r w:rsidR="000A247E">
        <w:rPr>
          <w:sz w:val="22"/>
          <w:szCs w:val="22"/>
        </w:rPr>
        <w:t xml:space="preserve"> </w:t>
      </w:r>
      <w:proofErr w:type="spellStart"/>
      <w:r w:rsidR="00CD210F" w:rsidRPr="00CD210F">
        <w:rPr>
          <w:sz w:val="22"/>
          <w:szCs w:val="22"/>
        </w:rPr>
        <w:t>Burapha</w:t>
      </w:r>
      <w:proofErr w:type="spellEnd"/>
      <w:r w:rsidR="00CD210F" w:rsidRPr="00CD210F">
        <w:rPr>
          <w:sz w:val="22"/>
          <w:szCs w:val="22"/>
        </w:rPr>
        <w:t xml:space="preserve"> has developed a unique concession model with </w:t>
      </w:r>
      <w:proofErr w:type="spellStart"/>
      <w:r w:rsidR="00CD210F" w:rsidRPr="00CD210F">
        <w:rPr>
          <w:sz w:val="22"/>
          <w:szCs w:val="22"/>
        </w:rPr>
        <w:t>agro</w:t>
      </w:r>
      <w:proofErr w:type="spellEnd"/>
      <w:r w:rsidR="00CD210F" w:rsidRPr="00CD210F">
        <w:rPr>
          <w:sz w:val="22"/>
          <w:szCs w:val="22"/>
        </w:rPr>
        <w:t xml:space="preserve">-forestry practices: intercropping and cattle grazing is implemented by farmers during the plantation cycle, improving incomes and social benefits for local communities. </w:t>
      </w:r>
      <w:r w:rsidR="000A247E">
        <w:rPr>
          <w:sz w:val="22"/>
          <w:szCs w:val="22"/>
        </w:rPr>
        <w:t>The</w:t>
      </w:r>
      <w:r w:rsidR="00CD210F" w:rsidRPr="00CD210F">
        <w:rPr>
          <w:sz w:val="22"/>
          <w:szCs w:val="22"/>
        </w:rPr>
        <w:t xml:space="preserve"> LDN Fund supports the scale-up and expansion of </w:t>
      </w:r>
      <w:proofErr w:type="spellStart"/>
      <w:r w:rsidR="00CD210F" w:rsidRPr="00CD210F">
        <w:rPr>
          <w:sz w:val="22"/>
          <w:szCs w:val="22"/>
        </w:rPr>
        <w:t>Burapha</w:t>
      </w:r>
      <w:r w:rsidR="00CD210F" w:rsidRPr="00CD210F">
        <w:rPr>
          <w:rFonts w:hint="eastAsia"/>
          <w:sz w:val="22"/>
          <w:szCs w:val="22"/>
        </w:rPr>
        <w:t>’</w:t>
      </w:r>
      <w:r w:rsidR="00CD210F" w:rsidRPr="00CD210F">
        <w:rPr>
          <w:sz w:val="22"/>
          <w:szCs w:val="22"/>
        </w:rPr>
        <w:t>s</w:t>
      </w:r>
      <w:proofErr w:type="spellEnd"/>
      <w:r w:rsidR="00CD210F" w:rsidRPr="00CD210F">
        <w:rPr>
          <w:sz w:val="22"/>
          <w:szCs w:val="22"/>
        </w:rPr>
        <w:t xml:space="preserve"> activities by</w:t>
      </w:r>
      <w:r w:rsidR="00CD210F">
        <w:rPr>
          <w:sz w:val="22"/>
          <w:szCs w:val="22"/>
        </w:rPr>
        <w:t xml:space="preserve"> </w:t>
      </w:r>
      <w:r w:rsidR="00CD210F" w:rsidRPr="00CD210F">
        <w:rPr>
          <w:sz w:val="22"/>
          <w:szCs w:val="22"/>
        </w:rPr>
        <w:t>20,000 hectares.</w:t>
      </w:r>
    </w:p>
    <w:p w14:paraId="0618CCA5" w14:textId="77777777" w:rsidR="0044533D" w:rsidRPr="0044533D" w:rsidRDefault="0044533D" w:rsidP="0044533D">
      <w:pPr>
        <w:pStyle w:val="ListParagraph"/>
        <w:spacing w:line="257" w:lineRule="auto"/>
        <w:ind w:left="1080"/>
        <w:jc w:val="both"/>
        <w:rPr>
          <w:sz w:val="22"/>
          <w:szCs w:val="22"/>
        </w:rPr>
      </w:pPr>
    </w:p>
    <w:p w14:paraId="4D8A0933" w14:textId="46543974" w:rsidR="0044533D" w:rsidRPr="0044533D" w:rsidRDefault="502396C1" w:rsidP="0044533D">
      <w:pPr>
        <w:pStyle w:val="ListParagraph"/>
        <w:numPr>
          <w:ilvl w:val="1"/>
          <w:numId w:val="14"/>
        </w:numPr>
        <w:rPr>
          <w:sz w:val="22"/>
          <w:szCs w:val="22"/>
        </w:rPr>
      </w:pPr>
      <w:r w:rsidRPr="0044533D">
        <w:rPr>
          <w:sz w:val="22"/>
          <w:szCs w:val="22"/>
        </w:rPr>
        <w:t>Atlas Fruits Company in Morocco;</w:t>
      </w:r>
      <w:r w:rsidR="0044533D" w:rsidRPr="0044533D">
        <w:rPr>
          <w:sz w:val="22"/>
          <w:szCs w:val="22"/>
        </w:rPr>
        <w:t xml:space="preserve"> Atlas Fruits Company Limited has the objective of fostering the adoption of sustainable land management and water efficiency practices in the citrus sector throughout the </w:t>
      </w:r>
      <w:proofErr w:type="gramStart"/>
      <w:r w:rsidR="0044533D" w:rsidRPr="0044533D">
        <w:rPr>
          <w:sz w:val="22"/>
          <w:szCs w:val="22"/>
        </w:rPr>
        <w:t>country, and</w:t>
      </w:r>
      <w:proofErr w:type="gramEnd"/>
      <w:r w:rsidR="0044533D" w:rsidRPr="0044533D">
        <w:rPr>
          <w:sz w:val="22"/>
          <w:szCs w:val="22"/>
        </w:rPr>
        <w:t xml:space="preserve"> ensuring adaptation to climate change. The historical shareholders have been operating citrus orchards in the Marrakech region since 2008, with a strong focus on sustainable agricultural practices. The investment of the LDN Fund will allow Atlas Fruits to expand their best practices to new brownfield citrus orchards, pilot cutting-edge water saving innovations (precision agriculture, agroecological and organic practices, renewable energy production). The management of the company will capitalize on their experience, the farming expertise of INRA Morocco and the LDN Fund</w:t>
      </w:r>
      <w:r w:rsidR="0044533D" w:rsidRPr="0044533D">
        <w:rPr>
          <w:rFonts w:hint="eastAsia"/>
          <w:sz w:val="22"/>
          <w:szCs w:val="22"/>
        </w:rPr>
        <w:t>’</w:t>
      </w:r>
      <w:r w:rsidR="0044533D" w:rsidRPr="0044533D">
        <w:rPr>
          <w:sz w:val="22"/>
          <w:szCs w:val="22"/>
        </w:rPr>
        <w:t>s network to scale-up the successful practices over 1,000 ha in Morocco.</w:t>
      </w:r>
    </w:p>
    <w:p w14:paraId="7EA730B4" w14:textId="77777777" w:rsidR="0044533D" w:rsidRPr="0044533D" w:rsidRDefault="0044533D" w:rsidP="0044533D">
      <w:pPr>
        <w:pStyle w:val="ListParagraph"/>
        <w:ind w:left="1080"/>
        <w:rPr>
          <w:sz w:val="22"/>
          <w:szCs w:val="22"/>
        </w:rPr>
      </w:pPr>
    </w:p>
    <w:p w14:paraId="5716C9DC" w14:textId="6493974A" w:rsidR="0044533D" w:rsidRDefault="502396C1" w:rsidP="0044533D">
      <w:pPr>
        <w:pStyle w:val="ListParagraph"/>
        <w:numPr>
          <w:ilvl w:val="1"/>
          <w:numId w:val="14"/>
        </w:numPr>
        <w:rPr>
          <w:sz w:val="22"/>
          <w:szCs w:val="22"/>
        </w:rPr>
      </w:pPr>
      <w:r w:rsidRPr="60E67443">
        <w:rPr>
          <w:sz w:val="22"/>
          <w:szCs w:val="22"/>
        </w:rPr>
        <w:t xml:space="preserve">Aloe </w:t>
      </w:r>
      <w:proofErr w:type="spellStart"/>
      <w:r w:rsidRPr="60E67443">
        <w:rPr>
          <w:sz w:val="22"/>
          <w:szCs w:val="22"/>
        </w:rPr>
        <w:t>Agroflorestal</w:t>
      </w:r>
      <w:proofErr w:type="spellEnd"/>
      <w:r w:rsidR="2A828FA0" w:rsidRPr="60E67443">
        <w:rPr>
          <w:sz w:val="22"/>
          <w:szCs w:val="22"/>
        </w:rPr>
        <w:t xml:space="preserve"> – SLB group (which owns Aloe </w:t>
      </w:r>
      <w:proofErr w:type="spellStart"/>
      <w:r w:rsidR="2A828FA0" w:rsidRPr="60E67443">
        <w:rPr>
          <w:sz w:val="22"/>
          <w:szCs w:val="22"/>
        </w:rPr>
        <w:t>Agroforestal</w:t>
      </w:r>
      <w:proofErr w:type="spellEnd"/>
      <w:proofErr w:type="gramStart"/>
      <w:r w:rsidR="2A828FA0" w:rsidRPr="60E67443">
        <w:rPr>
          <w:sz w:val="22"/>
          <w:szCs w:val="22"/>
        </w:rPr>
        <w:t>),  founded</w:t>
      </w:r>
      <w:proofErr w:type="gramEnd"/>
      <w:r w:rsidR="2A828FA0" w:rsidRPr="60E67443">
        <w:rPr>
          <w:sz w:val="22"/>
          <w:szCs w:val="22"/>
        </w:rPr>
        <w:t xml:space="preserve">  in  Brazil  in  2008,  is  a  unique  forestry  program  located  in  the  state  of  Parana.  It establishes commercial forestry plantations to restore degraded land </w:t>
      </w:r>
      <w:r w:rsidR="2A828FA0" w:rsidRPr="60E67443">
        <w:rPr>
          <w:sz w:val="22"/>
          <w:szCs w:val="22"/>
        </w:rPr>
        <w:lastRenderedPageBreak/>
        <w:t xml:space="preserve">on relatively small parcels, creating </w:t>
      </w:r>
      <w:proofErr w:type="gramStart"/>
      <w:r w:rsidR="2A828FA0" w:rsidRPr="60E67443">
        <w:rPr>
          <w:sz w:val="22"/>
          <w:szCs w:val="22"/>
        </w:rPr>
        <w:t>a  mosaic</w:t>
      </w:r>
      <w:proofErr w:type="gramEnd"/>
      <w:r w:rsidR="2A828FA0" w:rsidRPr="60E67443">
        <w:rPr>
          <w:sz w:val="22"/>
          <w:szCs w:val="22"/>
        </w:rPr>
        <w:t xml:space="preserve">  of  forestry  and  conservation  areas  while  favouring  organic  inputs  and  ecological  management principles. </w:t>
      </w:r>
      <w:proofErr w:type="gramStart"/>
      <w:r w:rsidR="2A828FA0" w:rsidRPr="60E67443">
        <w:rPr>
          <w:sz w:val="22"/>
          <w:szCs w:val="22"/>
        </w:rPr>
        <w:t>The  project</w:t>
      </w:r>
      <w:proofErr w:type="gramEnd"/>
      <w:r w:rsidR="2A828FA0" w:rsidRPr="60E67443">
        <w:rPr>
          <w:sz w:val="22"/>
          <w:szCs w:val="22"/>
        </w:rPr>
        <w:t xml:space="preserve">  is  being  implemented  by  the  SLB  Group,  a  company  that  has  already  3,800  hectares  of successful FSC certified plantations in Brazil. Their goal is to create thriving plantations that restore soil properties while supplying international markets with high quality, sustainably sourced wood. SLB’s vision is to expand its activities to more degraded areas and increase its environmental and social impacts in the region.</w:t>
      </w:r>
      <w:r w:rsidR="00CD210F">
        <w:rPr>
          <w:sz w:val="22"/>
          <w:szCs w:val="22"/>
        </w:rPr>
        <w:t xml:space="preserve"> </w:t>
      </w:r>
      <w:r w:rsidR="2A828FA0" w:rsidRPr="60E67443">
        <w:rPr>
          <w:sz w:val="22"/>
          <w:szCs w:val="22"/>
        </w:rPr>
        <w:t xml:space="preserve">SLB’s approach has evolved over the years based on the concept of ‘reasonable silviculture’, ensuring that its forestry activities do not harm natural resources while still generating equivalent economic returns. </w:t>
      </w:r>
      <w:proofErr w:type="gramStart"/>
      <w:r w:rsidR="2A828FA0" w:rsidRPr="60E67443">
        <w:rPr>
          <w:sz w:val="22"/>
          <w:szCs w:val="22"/>
        </w:rPr>
        <w:t>This  is</w:t>
      </w:r>
      <w:proofErr w:type="gramEnd"/>
      <w:r w:rsidR="2A828FA0" w:rsidRPr="60E67443">
        <w:rPr>
          <w:sz w:val="22"/>
          <w:szCs w:val="22"/>
        </w:rPr>
        <w:t xml:space="preserve">  achieved  by  securing  higher  yields  of  quality  wood  through  focusing  on  soil  improvement  and regeneration of nature on its plantations.</w:t>
      </w:r>
    </w:p>
    <w:p w14:paraId="0D1FEABF" w14:textId="77777777" w:rsidR="0044533D" w:rsidRPr="0044533D" w:rsidRDefault="0044533D" w:rsidP="0044533D">
      <w:pPr>
        <w:pStyle w:val="ListParagraph"/>
        <w:ind w:left="1080"/>
        <w:rPr>
          <w:sz w:val="22"/>
          <w:szCs w:val="22"/>
        </w:rPr>
      </w:pPr>
    </w:p>
    <w:p w14:paraId="01A0DDE8" w14:textId="4F0EF9ED" w:rsidR="00A16335" w:rsidRPr="002055D4" w:rsidRDefault="6725AA46" w:rsidP="60E67443">
      <w:pPr>
        <w:pStyle w:val="ListParagraph"/>
        <w:numPr>
          <w:ilvl w:val="0"/>
          <w:numId w:val="14"/>
        </w:numPr>
        <w:spacing w:line="257" w:lineRule="auto"/>
        <w:jc w:val="both"/>
        <w:rPr>
          <w:rFonts w:eastAsia="Arial" w:cs="Arial"/>
          <w:sz w:val="22"/>
          <w:szCs w:val="22"/>
        </w:rPr>
      </w:pPr>
      <w:r w:rsidRPr="60E67443">
        <w:rPr>
          <w:rFonts w:eastAsia="Arial" w:cs="Arial"/>
          <w:sz w:val="22"/>
          <w:szCs w:val="22"/>
        </w:rPr>
        <w:t>As of the end of 2021, the LDN Fund had supported 16 different projects for investment preparation through the Technical Assistance Facility managed by IDH The Sustainable Trade Initiative.</w:t>
      </w:r>
    </w:p>
    <w:p w14:paraId="273CE649" w14:textId="4B1E95FA" w:rsidR="00AD3F2C" w:rsidRPr="00AD3F2C" w:rsidRDefault="66F5212B" w:rsidP="00AD3F2C">
      <w:pPr>
        <w:pStyle w:val="ListParagraph"/>
        <w:numPr>
          <w:ilvl w:val="0"/>
          <w:numId w:val="14"/>
        </w:numPr>
        <w:spacing w:line="257" w:lineRule="auto"/>
        <w:jc w:val="both"/>
        <w:rPr>
          <w:color w:val="000000" w:themeColor="text1"/>
          <w:sz w:val="22"/>
          <w:szCs w:val="22"/>
          <w:lang w:val="en-US"/>
        </w:rPr>
      </w:pPr>
      <w:r w:rsidRPr="60E67443">
        <w:rPr>
          <w:sz w:val="22"/>
          <w:szCs w:val="22"/>
        </w:rPr>
        <w:t xml:space="preserve">In relation to output 1.5, in 2021 there were 3 </w:t>
      </w:r>
      <w:r w:rsidR="00AD3F2C">
        <w:rPr>
          <w:sz w:val="22"/>
          <w:szCs w:val="22"/>
        </w:rPr>
        <w:t xml:space="preserve">new </w:t>
      </w:r>
      <w:r w:rsidRPr="60E67443">
        <w:rPr>
          <w:sz w:val="22"/>
          <w:szCs w:val="22"/>
        </w:rPr>
        <w:t>knowledge products</w:t>
      </w:r>
      <w:r w:rsidR="00FD141A">
        <w:rPr>
          <w:sz w:val="22"/>
          <w:szCs w:val="22"/>
        </w:rPr>
        <w:t>:</w:t>
      </w:r>
      <w:r w:rsidRPr="60E67443">
        <w:rPr>
          <w:sz w:val="22"/>
          <w:szCs w:val="22"/>
        </w:rPr>
        <w:t xml:space="preserve"> LDN insights website, LDM TAF and LDN Fund Q&amp;A document, </w:t>
      </w:r>
      <w:r w:rsidR="00FD141A">
        <w:rPr>
          <w:sz w:val="22"/>
          <w:szCs w:val="22"/>
        </w:rPr>
        <w:t>and p</w:t>
      </w:r>
      <w:r w:rsidRPr="60E67443">
        <w:rPr>
          <w:sz w:val="22"/>
          <w:szCs w:val="22"/>
        </w:rPr>
        <w:t xml:space="preserve">anel member at WRI </w:t>
      </w:r>
      <w:proofErr w:type="spellStart"/>
      <w:r w:rsidRPr="60E67443">
        <w:rPr>
          <w:sz w:val="22"/>
          <w:szCs w:val="22"/>
        </w:rPr>
        <w:t>LatAm</w:t>
      </w:r>
      <w:proofErr w:type="spellEnd"/>
      <w:r w:rsidRPr="60E67443">
        <w:rPr>
          <w:sz w:val="22"/>
          <w:szCs w:val="22"/>
        </w:rPr>
        <w:t xml:space="preserve"> demo days</w:t>
      </w:r>
      <w:r w:rsidR="00AD3F2C">
        <w:rPr>
          <w:sz w:val="22"/>
          <w:szCs w:val="22"/>
        </w:rPr>
        <w:t>.</w:t>
      </w:r>
    </w:p>
    <w:p w14:paraId="6CCE5356" w14:textId="77777777" w:rsidR="00AD3F2C" w:rsidRPr="00AD3F2C" w:rsidRDefault="5FB14ED1" w:rsidP="00AD3F2C">
      <w:pPr>
        <w:pStyle w:val="ListParagraph"/>
        <w:numPr>
          <w:ilvl w:val="0"/>
          <w:numId w:val="14"/>
        </w:numPr>
        <w:spacing w:line="257" w:lineRule="auto"/>
        <w:jc w:val="both"/>
        <w:rPr>
          <w:color w:val="000000" w:themeColor="text1"/>
          <w:sz w:val="22"/>
          <w:szCs w:val="22"/>
          <w:lang w:val="en-US"/>
        </w:rPr>
      </w:pPr>
      <w:r w:rsidRPr="00AD3F2C">
        <w:rPr>
          <w:sz w:val="22"/>
          <w:szCs w:val="22"/>
        </w:rPr>
        <w:t>Related to output</w:t>
      </w:r>
      <w:r w:rsidRPr="00AD3F2C">
        <w:rPr>
          <w:rFonts w:eastAsia="Arial" w:cs="Arial"/>
          <w:sz w:val="22"/>
          <w:szCs w:val="22"/>
          <w:lang w:val="en-US"/>
        </w:rPr>
        <w:t xml:space="preserve"> 1.6, the LDN Fund team has developed innovative financing instruments adapted to SLM projects, including profit sharing loans with combine a reasonable interest rate with profit and/or carbon revenue sharing. Such instruments are very appealing to project developers and can provide LDN Fund’s investors with attractive </w:t>
      </w:r>
      <w:proofErr w:type="gramStart"/>
      <w:r w:rsidRPr="00AD3F2C">
        <w:rPr>
          <w:rFonts w:eastAsia="Arial" w:cs="Arial"/>
          <w:sz w:val="22"/>
          <w:szCs w:val="22"/>
          <w:lang w:val="en-US"/>
        </w:rPr>
        <w:t>return</w:t>
      </w:r>
      <w:proofErr w:type="gramEnd"/>
      <w:r w:rsidRPr="00AD3F2C">
        <w:rPr>
          <w:rFonts w:eastAsia="Arial" w:cs="Arial"/>
          <w:sz w:val="22"/>
          <w:szCs w:val="22"/>
          <w:lang w:val="en-US"/>
        </w:rPr>
        <w:t>, should underlying projects perform well.</w:t>
      </w:r>
    </w:p>
    <w:p w14:paraId="05BCACC1" w14:textId="2E00B938" w:rsidR="006F3AE7" w:rsidRPr="00AD3F2C" w:rsidRDefault="4F7AEE4D" w:rsidP="00AD3F2C">
      <w:pPr>
        <w:pStyle w:val="ListParagraph"/>
        <w:numPr>
          <w:ilvl w:val="1"/>
          <w:numId w:val="14"/>
        </w:numPr>
        <w:spacing w:line="257" w:lineRule="auto"/>
        <w:jc w:val="both"/>
        <w:rPr>
          <w:color w:val="000000" w:themeColor="text1"/>
          <w:sz w:val="22"/>
          <w:szCs w:val="22"/>
          <w:lang w:val="en-US"/>
        </w:rPr>
      </w:pPr>
      <w:r w:rsidRPr="00AD3F2C">
        <w:rPr>
          <w:rFonts w:eastAsia="Arial" w:cs="Arial"/>
          <w:sz w:val="22"/>
          <w:szCs w:val="22"/>
          <w:lang w:val="en-US"/>
        </w:rPr>
        <w:t xml:space="preserve">Many of the successful scale-ups of projects supported through </w:t>
      </w:r>
      <w:r w:rsidR="350716FA" w:rsidRPr="00AD3F2C">
        <w:rPr>
          <w:rFonts w:eastAsia="Arial" w:cs="Arial"/>
          <w:sz w:val="22"/>
          <w:szCs w:val="22"/>
          <w:lang w:val="en-US"/>
        </w:rPr>
        <w:t xml:space="preserve">LDN </w:t>
      </w:r>
      <w:r w:rsidRPr="00AD3F2C">
        <w:rPr>
          <w:rFonts w:eastAsia="Arial" w:cs="Arial"/>
          <w:sz w:val="22"/>
          <w:szCs w:val="22"/>
          <w:lang w:val="en-US"/>
        </w:rPr>
        <w:t xml:space="preserve">investments are relatively new </w:t>
      </w:r>
      <w:r w:rsidR="5197E05B" w:rsidRPr="00AD3F2C">
        <w:rPr>
          <w:rFonts w:eastAsia="Arial" w:cs="Arial"/>
          <w:sz w:val="22"/>
          <w:szCs w:val="22"/>
          <w:lang w:val="en-US"/>
        </w:rPr>
        <w:t xml:space="preserve">projects </w:t>
      </w:r>
      <w:r w:rsidRPr="00AD3F2C">
        <w:rPr>
          <w:rFonts w:eastAsia="Arial" w:cs="Arial"/>
          <w:sz w:val="22"/>
          <w:szCs w:val="22"/>
          <w:lang w:val="en-US"/>
        </w:rPr>
        <w:t xml:space="preserve">with innovative and inclusive approaches, </w:t>
      </w:r>
      <w:r w:rsidR="2DE2DB76" w:rsidRPr="00AD3F2C">
        <w:rPr>
          <w:rFonts w:eastAsia="Arial" w:cs="Arial"/>
          <w:sz w:val="22"/>
          <w:szCs w:val="22"/>
          <w:lang w:val="en-US"/>
        </w:rPr>
        <w:t>such as</w:t>
      </w:r>
      <w:r w:rsidRPr="00AD3F2C">
        <w:rPr>
          <w:rFonts w:eastAsia="Arial" w:cs="Arial"/>
          <w:sz w:val="22"/>
          <w:szCs w:val="22"/>
          <w:lang w:val="en-US"/>
        </w:rPr>
        <w:t xml:space="preserve"> engaging with farmers through </w:t>
      </w:r>
      <w:proofErr w:type="spellStart"/>
      <w:r w:rsidRPr="00AD3F2C">
        <w:rPr>
          <w:rFonts w:eastAsia="Arial" w:cs="Arial"/>
          <w:sz w:val="22"/>
          <w:szCs w:val="22"/>
          <w:lang w:val="en-US"/>
        </w:rPr>
        <w:t>outgrower</w:t>
      </w:r>
      <w:proofErr w:type="spellEnd"/>
      <w:r w:rsidRPr="00AD3F2C">
        <w:rPr>
          <w:rFonts w:eastAsia="Arial" w:cs="Arial"/>
          <w:sz w:val="22"/>
          <w:szCs w:val="22"/>
          <w:lang w:val="en-US"/>
        </w:rPr>
        <w:t xml:space="preserve"> schemes, or scaling agroforestry systems. These projects often have not yet reached the point of break-even and therefore require a long-term investor that can afford to wait until they are cash-flow positive.</w:t>
      </w:r>
      <w:r w:rsidR="078F8642" w:rsidRPr="00AD3F2C">
        <w:rPr>
          <w:rFonts w:eastAsia="Arial" w:cs="Arial"/>
          <w:sz w:val="22"/>
          <w:szCs w:val="22"/>
          <w:lang w:val="en-US"/>
        </w:rPr>
        <w:t xml:space="preserve"> In addition to this, d</w:t>
      </w:r>
      <w:proofErr w:type="spellStart"/>
      <w:r w:rsidRPr="00AD3F2C">
        <w:rPr>
          <w:sz w:val="22"/>
          <w:szCs w:val="22"/>
        </w:rPr>
        <w:t>irect</w:t>
      </w:r>
      <w:proofErr w:type="spellEnd"/>
      <w:r w:rsidRPr="00AD3F2C">
        <w:rPr>
          <w:sz w:val="22"/>
          <w:szCs w:val="22"/>
        </w:rPr>
        <w:t xml:space="preserve"> partnerships with smallholder farmers and local communities</w:t>
      </w:r>
      <w:r w:rsidR="335785C7" w:rsidRPr="00AD3F2C">
        <w:rPr>
          <w:sz w:val="22"/>
          <w:szCs w:val="22"/>
        </w:rPr>
        <w:t xml:space="preserve"> </w:t>
      </w:r>
      <w:r w:rsidRPr="00AD3F2C">
        <w:rPr>
          <w:sz w:val="22"/>
          <w:szCs w:val="22"/>
        </w:rPr>
        <w:t>are made through</w:t>
      </w:r>
      <w:r w:rsidR="5158B164" w:rsidRPr="00AD3F2C">
        <w:rPr>
          <w:sz w:val="22"/>
          <w:szCs w:val="22"/>
        </w:rPr>
        <w:t xml:space="preserve"> the</w:t>
      </w:r>
      <w:r w:rsidRPr="00AD3F2C">
        <w:rPr>
          <w:sz w:val="22"/>
          <w:szCs w:val="22"/>
        </w:rPr>
        <w:t xml:space="preserve"> provision of technical, financial and market support to create business propositions that empower them. </w:t>
      </w:r>
    </w:p>
    <w:p w14:paraId="323C0E1A" w14:textId="77777777" w:rsidR="006F3AE7" w:rsidRPr="002055D4" w:rsidRDefault="006F3AE7" w:rsidP="006F3AE7">
      <w:pPr>
        <w:jc w:val="both"/>
        <w:rPr>
          <w:rFonts w:cs="Arial"/>
          <w:bCs/>
          <w:color w:val="FF0000"/>
          <w:sz w:val="22"/>
          <w:szCs w:val="22"/>
        </w:rPr>
      </w:pPr>
    </w:p>
    <w:p w14:paraId="7CCEDE1F" w14:textId="58F7AFD9" w:rsidR="006F3AE7" w:rsidRPr="002055D4" w:rsidRDefault="006F3AE7" w:rsidP="006F3AE7">
      <w:pPr>
        <w:rPr>
          <w:color w:val="FF0000"/>
          <w:sz w:val="20"/>
          <w:szCs w:val="22"/>
        </w:rPr>
      </w:pPr>
    </w:p>
    <w:tbl>
      <w:tblPr>
        <w:tblStyle w:val="TableGrid"/>
        <w:tblW w:w="9356" w:type="dxa"/>
        <w:tblInd w:w="-147" w:type="dxa"/>
        <w:tblLook w:val="04A0" w:firstRow="1" w:lastRow="0" w:firstColumn="1" w:lastColumn="0" w:noHBand="0" w:noVBand="1"/>
      </w:tblPr>
      <w:tblGrid>
        <w:gridCol w:w="1708"/>
        <w:gridCol w:w="616"/>
        <w:gridCol w:w="937"/>
        <w:gridCol w:w="3283"/>
        <w:gridCol w:w="2812"/>
      </w:tblGrid>
      <w:tr w:rsidR="002055D4" w:rsidRPr="002055D4" w14:paraId="570D17D2" w14:textId="77777777" w:rsidTr="60E67443">
        <w:trPr>
          <w:trHeight w:val="489"/>
        </w:trPr>
        <w:tc>
          <w:tcPr>
            <w:tcW w:w="1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5648C9" w14:textId="77777777" w:rsidR="00B22CF7" w:rsidRPr="002055D4" w:rsidRDefault="090B9B3B" w:rsidP="60E67443">
            <w:pPr>
              <w:rPr>
                <w:b/>
                <w:bCs/>
                <w:sz w:val="20"/>
                <w:szCs w:val="20"/>
              </w:rPr>
            </w:pPr>
            <w:r w:rsidRPr="60E67443">
              <w:rPr>
                <w:b/>
                <w:bCs/>
                <w:sz w:val="20"/>
                <w:szCs w:val="20"/>
              </w:rPr>
              <w:t xml:space="preserve">Output Title </w:t>
            </w:r>
          </w:p>
        </w:tc>
        <w:tc>
          <w:tcPr>
            <w:tcW w:w="76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332B33" w14:textId="111E468F" w:rsidR="00B22CF7" w:rsidRPr="002055D4" w:rsidRDefault="0DA050A5" w:rsidP="60E67443">
            <w:pPr>
              <w:rPr>
                <w:rFonts w:cs="Arial"/>
                <w:i/>
                <w:iCs/>
                <w:sz w:val="20"/>
                <w:szCs w:val="20"/>
              </w:rPr>
            </w:pPr>
            <w:r w:rsidRPr="60E67443">
              <w:rPr>
                <w:rFonts w:cs="Arial"/>
                <w:sz w:val="20"/>
                <w:szCs w:val="20"/>
                <w:shd w:val="clear" w:color="auto" w:fill="FFFFFF"/>
              </w:rPr>
              <w:t>Projects supported by the LDN Fund to deliver positive environmental outputs on a local, national and global scale.</w:t>
            </w:r>
          </w:p>
        </w:tc>
      </w:tr>
      <w:tr w:rsidR="002055D4" w:rsidRPr="002055D4" w14:paraId="7C65D606" w14:textId="77777777" w:rsidTr="60E67443">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57BA64" w14:textId="77777777" w:rsidR="00B22CF7" w:rsidRPr="002055D4" w:rsidRDefault="090B9B3B" w:rsidP="60E67443">
            <w:pPr>
              <w:rPr>
                <w:sz w:val="20"/>
                <w:szCs w:val="20"/>
              </w:rPr>
            </w:pPr>
            <w:r w:rsidRPr="60E67443">
              <w:rPr>
                <w:sz w:val="20"/>
                <w:szCs w:val="20"/>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3C9665C5" w14:textId="34D25EA2" w:rsidR="00B22CF7" w:rsidRPr="002055D4" w:rsidRDefault="090B9B3B" w:rsidP="60E67443">
            <w:pPr>
              <w:rPr>
                <w:sz w:val="20"/>
                <w:szCs w:val="20"/>
              </w:rPr>
            </w:pPr>
            <w:r w:rsidRPr="60E67443">
              <w:rPr>
                <w:sz w:val="20"/>
                <w:szCs w:val="20"/>
              </w:rPr>
              <w:t>2</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CB0F6E" w14:textId="77777777" w:rsidR="00B22CF7" w:rsidRPr="002055D4" w:rsidRDefault="090B9B3B" w:rsidP="60E67443">
            <w:pPr>
              <w:rPr>
                <w:sz w:val="20"/>
                <w:szCs w:val="20"/>
              </w:rPr>
            </w:pPr>
            <w:r w:rsidRPr="60E67443">
              <w:rPr>
                <w:sz w:val="20"/>
                <w:szCs w:val="20"/>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391BD923" w14:textId="153A9ADB" w:rsidR="00B22CF7" w:rsidRPr="002055D4" w:rsidRDefault="002C2611" w:rsidP="60E67443">
            <w:pPr>
              <w:rPr>
                <w:sz w:val="20"/>
                <w:szCs w:val="20"/>
              </w:rPr>
            </w:pPr>
            <w:r>
              <w:rPr>
                <w:sz w:val="20"/>
                <w:szCs w:val="20"/>
              </w:rPr>
              <w:t>A</w:t>
            </w:r>
          </w:p>
        </w:tc>
      </w:tr>
      <w:tr w:rsidR="002055D4" w:rsidRPr="002055D4" w14:paraId="19432FD9" w14:textId="77777777" w:rsidTr="60E67443">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D09ADD" w14:textId="77777777" w:rsidR="00B22CF7" w:rsidRPr="002055D4" w:rsidRDefault="090B9B3B" w:rsidP="60E67443">
            <w:pPr>
              <w:rPr>
                <w:sz w:val="20"/>
                <w:szCs w:val="20"/>
              </w:rPr>
            </w:pPr>
            <w:r w:rsidRPr="60E67443">
              <w:rPr>
                <w:sz w:val="20"/>
                <w:szCs w:val="20"/>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02D205B4" w14:textId="31A16129" w:rsidR="00B22CF7" w:rsidRPr="002055D4" w:rsidRDefault="7EE93A03" w:rsidP="60E67443">
            <w:pPr>
              <w:rPr>
                <w:sz w:val="20"/>
                <w:szCs w:val="20"/>
              </w:rPr>
            </w:pPr>
            <w:r w:rsidRPr="60E67443">
              <w:rPr>
                <w:sz w:val="20"/>
                <w:szCs w:val="20"/>
              </w:rPr>
              <w:t>Not yet set</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316FB4" w14:textId="77777777" w:rsidR="00B22CF7" w:rsidRPr="002055D4" w:rsidRDefault="090B9B3B" w:rsidP="60E67443">
            <w:pPr>
              <w:rPr>
                <w:sz w:val="20"/>
                <w:szCs w:val="20"/>
              </w:rPr>
            </w:pPr>
            <w:r w:rsidRPr="60E67443">
              <w:rPr>
                <w:sz w:val="20"/>
                <w:szCs w:val="20"/>
              </w:rPr>
              <w:t xml:space="preserve">Weighting revised since last </w:t>
            </w:r>
            <w:proofErr w:type="gramStart"/>
            <w:r w:rsidRPr="60E67443">
              <w:rPr>
                <w:sz w:val="20"/>
                <w:szCs w:val="20"/>
              </w:rPr>
              <w:t>AR?</w:t>
            </w:r>
            <w:proofErr w:type="gramEnd"/>
            <w:r w:rsidRPr="60E67443">
              <w:rPr>
                <w:sz w:val="20"/>
                <w:szCs w:val="20"/>
              </w:rPr>
              <w:t xml:space="preserve"> </w:t>
            </w:r>
          </w:p>
        </w:tc>
        <w:tc>
          <w:tcPr>
            <w:tcW w:w="2812" w:type="dxa"/>
            <w:tcBorders>
              <w:top w:val="single" w:sz="4" w:space="0" w:color="auto"/>
              <w:left w:val="single" w:sz="4" w:space="0" w:color="auto"/>
              <w:bottom w:val="single" w:sz="4" w:space="0" w:color="auto"/>
              <w:right w:val="single" w:sz="4" w:space="0" w:color="auto"/>
            </w:tcBorders>
          </w:tcPr>
          <w:p w14:paraId="599737C4" w14:textId="297C489F" w:rsidR="00B22CF7" w:rsidRPr="002055D4" w:rsidRDefault="00FD141A" w:rsidP="60E67443">
            <w:pPr>
              <w:rPr>
                <w:sz w:val="20"/>
                <w:szCs w:val="20"/>
              </w:rPr>
            </w:pPr>
            <w:r>
              <w:rPr>
                <w:sz w:val="20"/>
                <w:szCs w:val="20"/>
              </w:rPr>
              <w:t>N/A</w:t>
            </w:r>
          </w:p>
        </w:tc>
      </w:tr>
    </w:tbl>
    <w:p w14:paraId="16378E2E" w14:textId="77777777" w:rsidR="00B22CF7" w:rsidRPr="002055D4" w:rsidRDefault="00B22CF7" w:rsidP="60E67443">
      <w:pPr>
        <w:rPr>
          <w:sz w:val="20"/>
          <w:szCs w:val="20"/>
        </w:rPr>
      </w:pPr>
    </w:p>
    <w:p w14:paraId="63CDB3EC" w14:textId="77777777" w:rsidR="0035380D" w:rsidRPr="002055D4" w:rsidRDefault="0035380D" w:rsidP="60E67443">
      <w:pPr>
        <w:rPr>
          <w:sz w:val="20"/>
          <w:szCs w:val="20"/>
        </w:rPr>
      </w:pPr>
    </w:p>
    <w:p w14:paraId="6E2274E9" w14:textId="77777777" w:rsidR="0035380D" w:rsidRPr="002055D4" w:rsidRDefault="0035380D" w:rsidP="60E67443">
      <w:pPr>
        <w:rPr>
          <w:sz w:val="20"/>
          <w:szCs w:val="20"/>
        </w:rPr>
      </w:pPr>
    </w:p>
    <w:tbl>
      <w:tblPr>
        <w:tblStyle w:val="TableGrid"/>
        <w:tblpPr w:leftFromText="180" w:rightFromText="180" w:vertAnchor="text" w:horzAnchor="margin" w:tblpY="-68"/>
        <w:tblOverlap w:val="never"/>
        <w:tblW w:w="9351" w:type="dxa"/>
        <w:tblLook w:val="04A0" w:firstRow="1" w:lastRow="0" w:firstColumn="1" w:lastColumn="0" w:noHBand="0" w:noVBand="1"/>
      </w:tblPr>
      <w:tblGrid>
        <w:gridCol w:w="4815"/>
        <w:gridCol w:w="2268"/>
        <w:gridCol w:w="2268"/>
      </w:tblGrid>
      <w:tr w:rsidR="002055D4" w:rsidRPr="002055D4" w14:paraId="2444572E" w14:textId="77777777" w:rsidTr="00235096">
        <w:trPr>
          <w:trHeight w:val="273"/>
        </w:trPr>
        <w:tc>
          <w:tcPr>
            <w:tcW w:w="48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F4FF2E" w14:textId="77777777" w:rsidR="0035380D" w:rsidRPr="002055D4" w:rsidRDefault="3A737715" w:rsidP="60E67443">
            <w:pPr>
              <w:rPr>
                <w:b/>
                <w:bCs/>
                <w:sz w:val="20"/>
                <w:szCs w:val="20"/>
              </w:rPr>
            </w:pPr>
            <w:r w:rsidRPr="60E67443">
              <w:rPr>
                <w:b/>
                <w:bCs/>
                <w:sz w:val="20"/>
                <w:szCs w:val="20"/>
              </w:rPr>
              <w:t>Indicator(s)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EE6334" w14:textId="2E08C8BE" w:rsidR="0035380D" w:rsidRPr="002055D4" w:rsidRDefault="00235096" w:rsidP="60E67443">
            <w:pPr>
              <w:rPr>
                <w:b/>
                <w:bCs/>
                <w:sz w:val="20"/>
                <w:szCs w:val="20"/>
              </w:rPr>
            </w:pPr>
            <w:r>
              <w:rPr>
                <w:b/>
                <w:bCs/>
                <w:sz w:val="20"/>
                <w:szCs w:val="20"/>
              </w:rPr>
              <w:t>2020</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606D0D" w14:textId="7ED80EE5" w:rsidR="0035380D" w:rsidRPr="002055D4" w:rsidRDefault="00235096" w:rsidP="60E67443">
            <w:pPr>
              <w:rPr>
                <w:b/>
                <w:bCs/>
                <w:sz w:val="20"/>
                <w:szCs w:val="20"/>
              </w:rPr>
            </w:pPr>
            <w:r>
              <w:rPr>
                <w:b/>
                <w:bCs/>
                <w:sz w:val="20"/>
                <w:szCs w:val="20"/>
              </w:rPr>
              <w:t>2021</w:t>
            </w:r>
            <w:r w:rsidR="3A737715" w:rsidRPr="60E67443">
              <w:rPr>
                <w:b/>
                <w:bCs/>
                <w:sz w:val="20"/>
                <w:szCs w:val="20"/>
              </w:rPr>
              <w:t xml:space="preserve"> </w:t>
            </w:r>
          </w:p>
        </w:tc>
      </w:tr>
      <w:tr w:rsidR="002055D4" w:rsidRPr="002055D4" w14:paraId="36EAD0AA" w14:textId="77777777" w:rsidTr="00235096">
        <w:tc>
          <w:tcPr>
            <w:tcW w:w="4815" w:type="dxa"/>
            <w:tcBorders>
              <w:top w:val="single" w:sz="4" w:space="0" w:color="auto"/>
              <w:left w:val="single" w:sz="4" w:space="0" w:color="auto"/>
              <w:bottom w:val="single" w:sz="4" w:space="0" w:color="auto"/>
              <w:right w:val="single" w:sz="4" w:space="0" w:color="auto"/>
            </w:tcBorders>
          </w:tcPr>
          <w:p w14:paraId="6CD146D1" w14:textId="77777777" w:rsidR="0035380D" w:rsidRPr="002055D4" w:rsidRDefault="3A737715" w:rsidP="60E67443">
            <w:pPr>
              <w:rPr>
                <w:sz w:val="20"/>
                <w:szCs w:val="20"/>
              </w:rPr>
            </w:pPr>
            <w:r w:rsidRPr="60E67443">
              <w:rPr>
                <w:sz w:val="20"/>
                <w:szCs w:val="20"/>
              </w:rPr>
              <w:t>2.1 Number of threatened species (IUCN Red List) in conservation areas</w:t>
            </w:r>
          </w:p>
        </w:tc>
        <w:tc>
          <w:tcPr>
            <w:tcW w:w="2268" w:type="dxa"/>
            <w:tcBorders>
              <w:top w:val="single" w:sz="4" w:space="0" w:color="auto"/>
              <w:left w:val="single" w:sz="4" w:space="0" w:color="auto"/>
              <w:bottom w:val="single" w:sz="4" w:space="0" w:color="auto"/>
              <w:right w:val="single" w:sz="4" w:space="0" w:color="auto"/>
            </w:tcBorders>
          </w:tcPr>
          <w:p w14:paraId="3396A83A" w14:textId="5F37CA1F" w:rsidR="0035380D" w:rsidRPr="002055D4" w:rsidRDefault="00235096" w:rsidP="60E67443">
            <w:r>
              <w:rPr>
                <w:sz w:val="20"/>
                <w:szCs w:val="20"/>
              </w:rPr>
              <w:t>39</w:t>
            </w:r>
            <w:r w:rsidR="3A737715" w:rsidRPr="60E67443">
              <w:t xml:space="preserve"> </w:t>
            </w:r>
          </w:p>
        </w:tc>
        <w:tc>
          <w:tcPr>
            <w:tcW w:w="2268" w:type="dxa"/>
            <w:tcBorders>
              <w:top w:val="single" w:sz="4" w:space="0" w:color="auto"/>
              <w:left w:val="single" w:sz="4" w:space="0" w:color="auto"/>
              <w:bottom w:val="single" w:sz="4" w:space="0" w:color="auto"/>
              <w:right w:val="single" w:sz="4" w:space="0" w:color="auto"/>
            </w:tcBorders>
          </w:tcPr>
          <w:p w14:paraId="35C08CEB" w14:textId="019E512B" w:rsidR="0035380D" w:rsidRPr="002055D4" w:rsidRDefault="00235096" w:rsidP="60E67443">
            <w:pPr>
              <w:rPr>
                <w:sz w:val="20"/>
                <w:szCs w:val="20"/>
              </w:rPr>
            </w:pPr>
            <w:r>
              <w:rPr>
                <w:sz w:val="20"/>
                <w:szCs w:val="20"/>
              </w:rPr>
              <w:t>Data not available</w:t>
            </w:r>
          </w:p>
        </w:tc>
      </w:tr>
      <w:tr w:rsidR="002055D4" w:rsidRPr="002055D4" w14:paraId="6FF02A32" w14:textId="77777777" w:rsidTr="00235096">
        <w:tc>
          <w:tcPr>
            <w:tcW w:w="4815" w:type="dxa"/>
            <w:tcBorders>
              <w:top w:val="single" w:sz="4" w:space="0" w:color="auto"/>
              <w:left w:val="single" w:sz="4" w:space="0" w:color="auto"/>
              <w:bottom w:val="single" w:sz="4" w:space="0" w:color="auto"/>
              <w:right w:val="single" w:sz="4" w:space="0" w:color="auto"/>
            </w:tcBorders>
          </w:tcPr>
          <w:p w14:paraId="6953D38F" w14:textId="77777777" w:rsidR="0035380D" w:rsidRPr="002055D4" w:rsidRDefault="3A737715" w:rsidP="60E67443">
            <w:pPr>
              <w:rPr>
                <w:sz w:val="20"/>
                <w:szCs w:val="20"/>
              </w:rPr>
            </w:pPr>
            <w:r w:rsidRPr="60E67443">
              <w:rPr>
                <w:sz w:val="20"/>
                <w:szCs w:val="20"/>
              </w:rPr>
              <w:t>2.2 Number of sustainable certifications received by LDN-funded projects</w:t>
            </w:r>
          </w:p>
        </w:tc>
        <w:tc>
          <w:tcPr>
            <w:tcW w:w="2268" w:type="dxa"/>
            <w:tcBorders>
              <w:top w:val="single" w:sz="4" w:space="0" w:color="auto"/>
              <w:left w:val="single" w:sz="4" w:space="0" w:color="auto"/>
              <w:bottom w:val="single" w:sz="4" w:space="0" w:color="auto"/>
              <w:right w:val="single" w:sz="4" w:space="0" w:color="auto"/>
            </w:tcBorders>
          </w:tcPr>
          <w:p w14:paraId="4FE811EE" w14:textId="54BBEB58" w:rsidR="0035380D" w:rsidRPr="002055D4" w:rsidRDefault="00235096" w:rsidP="60E67443">
            <w:pPr>
              <w:rPr>
                <w:sz w:val="20"/>
                <w:szCs w:val="20"/>
              </w:rPr>
            </w:pPr>
            <w:r>
              <w:rPr>
                <w:sz w:val="20"/>
                <w:szCs w:val="20"/>
              </w:rPr>
              <w:t>4</w:t>
            </w:r>
          </w:p>
        </w:tc>
        <w:tc>
          <w:tcPr>
            <w:tcW w:w="2268" w:type="dxa"/>
            <w:tcBorders>
              <w:top w:val="single" w:sz="4" w:space="0" w:color="auto"/>
              <w:left w:val="single" w:sz="4" w:space="0" w:color="auto"/>
              <w:bottom w:val="single" w:sz="4" w:space="0" w:color="auto"/>
              <w:right w:val="single" w:sz="4" w:space="0" w:color="auto"/>
            </w:tcBorders>
          </w:tcPr>
          <w:p w14:paraId="1504B067" w14:textId="0A0C9AAC" w:rsidR="0035380D" w:rsidRPr="002055D4" w:rsidRDefault="6DEA2A4B" w:rsidP="60E67443">
            <w:pPr>
              <w:rPr>
                <w:sz w:val="20"/>
                <w:szCs w:val="20"/>
              </w:rPr>
            </w:pPr>
            <w:r w:rsidRPr="60E67443">
              <w:rPr>
                <w:sz w:val="20"/>
                <w:szCs w:val="20"/>
              </w:rPr>
              <w:t>5</w:t>
            </w:r>
          </w:p>
        </w:tc>
      </w:tr>
      <w:tr w:rsidR="002055D4" w:rsidRPr="002055D4" w14:paraId="5DBCCC2C" w14:textId="77777777" w:rsidTr="00235096">
        <w:tc>
          <w:tcPr>
            <w:tcW w:w="4815" w:type="dxa"/>
            <w:tcBorders>
              <w:top w:val="single" w:sz="4" w:space="0" w:color="auto"/>
              <w:left w:val="single" w:sz="4" w:space="0" w:color="auto"/>
              <w:bottom w:val="single" w:sz="4" w:space="0" w:color="auto"/>
              <w:right w:val="single" w:sz="4" w:space="0" w:color="auto"/>
            </w:tcBorders>
          </w:tcPr>
          <w:p w14:paraId="6B8FA4A4" w14:textId="6F50FC46" w:rsidR="0035380D" w:rsidRPr="002055D4" w:rsidRDefault="3A737715" w:rsidP="60E67443">
            <w:pPr>
              <w:rPr>
                <w:sz w:val="20"/>
                <w:szCs w:val="20"/>
              </w:rPr>
            </w:pPr>
            <w:r w:rsidRPr="60E67443">
              <w:rPr>
                <w:sz w:val="20"/>
                <w:szCs w:val="20"/>
              </w:rPr>
              <w:t>2.3 Area of land under sustainable management</w:t>
            </w:r>
            <w:r w:rsidR="00235096">
              <w:rPr>
                <w:sz w:val="20"/>
                <w:szCs w:val="20"/>
              </w:rPr>
              <w:t xml:space="preserve"> (ha)</w:t>
            </w:r>
            <w:r w:rsidRPr="60E67443">
              <w:rPr>
                <w:sz w:val="20"/>
                <w:szCs w:val="20"/>
              </w:rPr>
              <w:t xml:space="preserve"> [KPI 17]</w:t>
            </w:r>
          </w:p>
        </w:tc>
        <w:tc>
          <w:tcPr>
            <w:tcW w:w="2268" w:type="dxa"/>
            <w:tcBorders>
              <w:top w:val="single" w:sz="4" w:space="0" w:color="auto"/>
              <w:left w:val="single" w:sz="4" w:space="0" w:color="auto"/>
              <w:bottom w:val="single" w:sz="4" w:space="0" w:color="auto"/>
              <w:right w:val="single" w:sz="4" w:space="0" w:color="auto"/>
            </w:tcBorders>
          </w:tcPr>
          <w:p w14:paraId="00AC17C0" w14:textId="1897E7E2" w:rsidR="0035380D" w:rsidRPr="002055D4" w:rsidRDefault="00235096" w:rsidP="60E67443">
            <w:pPr>
              <w:rPr>
                <w:sz w:val="20"/>
                <w:szCs w:val="20"/>
              </w:rPr>
            </w:pPr>
            <w:r>
              <w:rPr>
                <w:sz w:val="20"/>
                <w:szCs w:val="20"/>
              </w:rPr>
              <w:t>40,753</w:t>
            </w:r>
          </w:p>
        </w:tc>
        <w:tc>
          <w:tcPr>
            <w:tcW w:w="2268" w:type="dxa"/>
            <w:tcBorders>
              <w:top w:val="single" w:sz="4" w:space="0" w:color="auto"/>
              <w:left w:val="single" w:sz="4" w:space="0" w:color="auto"/>
              <w:bottom w:val="single" w:sz="4" w:space="0" w:color="auto"/>
              <w:right w:val="single" w:sz="4" w:space="0" w:color="auto"/>
            </w:tcBorders>
          </w:tcPr>
          <w:p w14:paraId="6517D114" w14:textId="2070A51F" w:rsidR="0035380D" w:rsidRPr="002055D4" w:rsidRDefault="51BBBF96" w:rsidP="60E67443">
            <w:pPr>
              <w:rPr>
                <w:sz w:val="20"/>
                <w:szCs w:val="20"/>
              </w:rPr>
            </w:pPr>
            <w:r w:rsidRPr="60E67443">
              <w:rPr>
                <w:sz w:val="20"/>
                <w:szCs w:val="20"/>
              </w:rPr>
              <w:t>98,155</w:t>
            </w:r>
          </w:p>
        </w:tc>
      </w:tr>
    </w:tbl>
    <w:p w14:paraId="417241B4" w14:textId="77777777" w:rsidR="00235096" w:rsidRPr="00235096" w:rsidRDefault="00235096" w:rsidP="00235096">
      <w:pPr>
        <w:rPr>
          <w:color w:val="FF0000"/>
          <w:sz w:val="20"/>
        </w:rPr>
      </w:pPr>
    </w:p>
    <w:p w14:paraId="779A5C47" w14:textId="1C7B4E29" w:rsidR="5DAD0F9E" w:rsidRPr="0062367F" w:rsidRDefault="5DAD0F9E" w:rsidP="60E67443">
      <w:pPr>
        <w:pStyle w:val="ListParagraph"/>
        <w:numPr>
          <w:ilvl w:val="0"/>
          <w:numId w:val="31"/>
        </w:numPr>
        <w:rPr>
          <w:color w:val="FF0000"/>
          <w:sz w:val="22"/>
          <w:szCs w:val="22"/>
        </w:rPr>
      </w:pPr>
      <w:r w:rsidRPr="0062367F">
        <w:rPr>
          <w:sz w:val="22"/>
          <w:szCs w:val="22"/>
        </w:rPr>
        <w:t xml:space="preserve">For output 2.1 the results are </w:t>
      </w:r>
      <w:proofErr w:type="gramStart"/>
      <w:r w:rsidRPr="0062367F">
        <w:rPr>
          <w:sz w:val="22"/>
          <w:szCs w:val="22"/>
        </w:rPr>
        <w:t>cumulative</w:t>
      </w:r>
      <w:proofErr w:type="gramEnd"/>
      <w:r w:rsidRPr="0062367F">
        <w:rPr>
          <w:sz w:val="22"/>
          <w:szCs w:val="22"/>
        </w:rPr>
        <w:t xml:space="preserve"> and the assumption is that that LDN project funding and funded projects have a positive impact on the targeted species.</w:t>
      </w:r>
      <w:r w:rsidR="67431496" w:rsidRPr="0062367F">
        <w:rPr>
          <w:sz w:val="22"/>
          <w:szCs w:val="22"/>
        </w:rPr>
        <w:t xml:space="preserve"> In 2020 there were 39 IUCN Red List species in the overall area of the projects funded at that time. In 2021 there is no data as no data was reported by the projects. The approach to biodiversity monitoring is under revision at </w:t>
      </w:r>
      <w:proofErr w:type="spellStart"/>
      <w:r w:rsidR="67431496" w:rsidRPr="0062367F">
        <w:rPr>
          <w:sz w:val="22"/>
          <w:szCs w:val="22"/>
        </w:rPr>
        <w:t>Mirova's</w:t>
      </w:r>
      <w:proofErr w:type="spellEnd"/>
      <w:r w:rsidR="67431496" w:rsidRPr="0062367F">
        <w:rPr>
          <w:sz w:val="22"/>
          <w:szCs w:val="22"/>
        </w:rPr>
        <w:t xml:space="preserve"> level and will be revised in 2023.</w:t>
      </w:r>
    </w:p>
    <w:p w14:paraId="2BBAB5EF" w14:textId="4F4891DA" w:rsidR="5DAD0F9E" w:rsidRPr="0062367F" w:rsidRDefault="5DAD0F9E" w:rsidP="60E67443">
      <w:pPr>
        <w:pStyle w:val="ListParagraph"/>
        <w:numPr>
          <w:ilvl w:val="0"/>
          <w:numId w:val="31"/>
        </w:numPr>
        <w:rPr>
          <w:rFonts w:eastAsia="Arial" w:cs="Arial"/>
          <w:sz w:val="22"/>
          <w:szCs w:val="22"/>
        </w:rPr>
      </w:pPr>
      <w:r w:rsidRPr="0062367F">
        <w:rPr>
          <w:sz w:val="22"/>
          <w:szCs w:val="22"/>
        </w:rPr>
        <w:lastRenderedPageBreak/>
        <w:t xml:space="preserve">For output 2.2 the results are cumulative and the assumption with using this metric is </w:t>
      </w:r>
      <w:proofErr w:type="gramStart"/>
      <w:r w:rsidRPr="0062367F">
        <w:rPr>
          <w:sz w:val="22"/>
          <w:szCs w:val="22"/>
        </w:rPr>
        <w:t>that  sustainable</w:t>
      </w:r>
      <w:proofErr w:type="gramEnd"/>
      <w:r w:rsidRPr="0062367F">
        <w:rPr>
          <w:sz w:val="22"/>
          <w:szCs w:val="22"/>
        </w:rPr>
        <w:t xml:space="preserve"> certifications are a suitable proxy for Sustainable Land Management practices.</w:t>
      </w:r>
      <w:r w:rsidR="0F1EACF9" w:rsidRPr="0062367F">
        <w:rPr>
          <w:sz w:val="22"/>
          <w:szCs w:val="22"/>
        </w:rPr>
        <w:t xml:space="preserve"> The baseline covers the following certifications: </w:t>
      </w:r>
      <w:r w:rsidR="0F1EACF9" w:rsidRPr="0062367F">
        <w:rPr>
          <w:rFonts w:eastAsia="Arial" w:cs="Arial"/>
          <w:sz w:val="22"/>
          <w:szCs w:val="22"/>
        </w:rPr>
        <w:t xml:space="preserve">Miro (FSC), Cacao Oro (UTZ) and </w:t>
      </w:r>
      <w:proofErr w:type="spellStart"/>
      <w:r w:rsidR="0F1EACF9" w:rsidRPr="0062367F">
        <w:rPr>
          <w:rFonts w:eastAsia="Arial" w:cs="Arial"/>
          <w:sz w:val="22"/>
          <w:szCs w:val="22"/>
        </w:rPr>
        <w:t>Burapha</w:t>
      </w:r>
      <w:proofErr w:type="spellEnd"/>
      <w:r w:rsidR="0F1EACF9" w:rsidRPr="0062367F">
        <w:rPr>
          <w:rFonts w:eastAsia="Arial" w:cs="Arial"/>
          <w:sz w:val="22"/>
          <w:szCs w:val="22"/>
        </w:rPr>
        <w:t xml:space="preserve"> (FSC)</w:t>
      </w:r>
    </w:p>
    <w:p w14:paraId="4331693A" w14:textId="62069CDA" w:rsidR="5DAD0F9E" w:rsidRPr="0062367F" w:rsidRDefault="5DAD0F9E" w:rsidP="60E67443">
      <w:pPr>
        <w:pStyle w:val="ListParagraph"/>
        <w:numPr>
          <w:ilvl w:val="0"/>
          <w:numId w:val="31"/>
        </w:numPr>
        <w:rPr>
          <w:rFonts w:eastAsia="Arial" w:cs="Arial"/>
          <w:sz w:val="22"/>
          <w:szCs w:val="22"/>
        </w:rPr>
      </w:pPr>
      <w:r w:rsidRPr="0062367F">
        <w:rPr>
          <w:sz w:val="22"/>
          <w:szCs w:val="22"/>
        </w:rPr>
        <w:t>During 202</w:t>
      </w:r>
      <w:r w:rsidR="6D0A7147" w:rsidRPr="0062367F">
        <w:rPr>
          <w:sz w:val="22"/>
          <w:szCs w:val="22"/>
        </w:rPr>
        <w:t>1</w:t>
      </w:r>
      <w:r w:rsidRPr="0062367F">
        <w:rPr>
          <w:sz w:val="22"/>
          <w:szCs w:val="22"/>
        </w:rPr>
        <w:t xml:space="preserve"> the sustainable certifications gained by LDN funded projects were:</w:t>
      </w:r>
      <w:r w:rsidR="0B4DA7E3" w:rsidRPr="0062367F">
        <w:rPr>
          <w:rFonts w:eastAsia="Arial" w:cs="Arial"/>
          <w:sz w:val="22"/>
          <w:szCs w:val="22"/>
        </w:rPr>
        <w:t xml:space="preserve"> </w:t>
      </w:r>
    </w:p>
    <w:p w14:paraId="436F4CEB" w14:textId="5D83D21D" w:rsidR="0B4DA7E3" w:rsidRPr="0062367F" w:rsidRDefault="0B4DA7E3" w:rsidP="60E67443">
      <w:pPr>
        <w:pStyle w:val="ListParagraph"/>
        <w:numPr>
          <w:ilvl w:val="1"/>
          <w:numId w:val="31"/>
        </w:numPr>
        <w:rPr>
          <w:rFonts w:eastAsia="Arial" w:cs="Arial"/>
          <w:sz w:val="22"/>
          <w:szCs w:val="22"/>
        </w:rPr>
      </w:pPr>
      <w:proofErr w:type="spellStart"/>
      <w:r w:rsidRPr="0062367F">
        <w:rPr>
          <w:rFonts w:eastAsia="Arial" w:cs="Arial"/>
          <w:sz w:val="22"/>
          <w:szCs w:val="22"/>
        </w:rPr>
        <w:t>Urapi</w:t>
      </w:r>
      <w:proofErr w:type="spellEnd"/>
      <w:r w:rsidRPr="0062367F">
        <w:rPr>
          <w:rFonts w:eastAsia="Arial" w:cs="Arial"/>
          <w:sz w:val="22"/>
          <w:szCs w:val="22"/>
        </w:rPr>
        <w:t xml:space="preserve"> (Organic &amp; Fairtrade, </w:t>
      </w:r>
    </w:p>
    <w:p w14:paraId="75E29D6D" w14:textId="7EC49EB4" w:rsidR="0B4DA7E3" w:rsidRPr="0062367F" w:rsidRDefault="0B4DA7E3" w:rsidP="60E67443">
      <w:pPr>
        <w:pStyle w:val="ListParagraph"/>
        <w:numPr>
          <w:ilvl w:val="1"/>
          <w:numId w:val="31"/>
        </w:numPr>
        <w:rPr>
          <w:rFonts w:eastAsia="Arial" w:cs="Arial"/>
          <w:sz w:val="22"/>
          <w:szCs w:val="22"/>
        </w:rPr>
      </w:pPr>
      <w:r w:rsidRPr="0062367F">
        <w:rPr>
          <w:rFonts w:eastAsia="Arial" w:cs="Arial"/>
          <w:sz w:val="22"/>
          <w:szCs w:val="22"/>
        </w:rPr>
        <w:t>Cacao Oro (Rainforest Alliance)</w:t>
      </w:r>
    </w:p>
    <w:p w14:paraId="2B30FE25" w14:textId="4713A5BD" w:rsidR="000E7BD7" w:rsidRPr="0062367F" w:rsidRDefault="5DAD0F9E" w:rsidP="60E67443">
      <w:pPr>
        <w:pStyle w:val="ListParagraph"/>
        <w:numPr>
          <w:ilvl w:val="0"/>
          <w:numId w:val="31"/>
        </w:numPr>
        <w:rPr>
          <w:rFonts w:cs="Arial"/>
          <w:sz w:val="22"/>
          <w:szCs w:val="22"/>
        </w:rPr>
      </w:pPr>
      <w:r w:rsidRPr="0062367F">
        <w:rPr>
          <w:sz w:val="22"/>
          <w:szCs w:val="22"/>
        </w:rPr>
        <w:t xml:space="preserve">For output 2.3 the results are cumulative and refer to the total hectares of land under sustainable management (defined as production or conservation/restoration). The assumption is that </w:t>
      </w:r>
      <w:r w:rsidRPr="0062367F">
        <w:rPr>
          <w:rFonts w:cs="Arial"/>
          <w:sz w:val="22"/>
          <w:szCs w:val="22"/>
          <w:shd w:val="clear" w:color="auto" w:fill="FFFFFF"/>
        </w:rPr>
        <w:t xml:space="preserve">sustainable management of land will deliver positive environmental and non-financial benefits. This KPI is </w:t>
      </w:r>
      <w:r w:rsidR="0062367F">
        <w:rPr>
          <w:rFonts w:cs="Arial"/>
          <w:sz w:val="22"/>
          <w:szCs w:val="22"/>
          <w:shd w:val="clear" w:color="auto" w:fill="FFFFFF"/>
        </w:rPr>
        <w:t>s</w:t>
      </w:r>
      <w:r w:rsidRPr="0062367F">
        <w:rPr>
          <w:rFonts w:cs="Arial"/>
          <w:sz w:val="22"/>
          <w:szCs w:val="22"/>
          <w:shd w:val="clear" w:color="auto" w:fill="FFFFFF"/>
        </w:rPr>
        <w:t>plit into area under SLM (the total project area</w:t>
      </w:r>
      <w:proofErr w:type="gramStart"/>
      <w:r w:rsidRPr="0062367F">
        <w:rPr>
          <w:rFonts w:cs="Arial"/>
          <w:sz w:val="22"/>
          <w:szCs w:val="22"/>
          <w:shd w:val="clear" w:color="auto" w:fill="FFFFFF"/>
        </w:rPr>
        <w:t>);</w:t>
      </w:r>
      <w:proofErr w:type="gramEnd"/>
      <w:r w:rsidRPr="0062367F">
        <w:rPr>
          <w:rFonts w:cs="Arial"/>
          <w:sz w:val="22"/>
          <w:szCs w:val="22"/>
          <w:shd w:val="clear" w:color="auto" w:fill="FFFFFF"/>
        </w:rPr>
        <w:t xml:space="preserve"> area under certification, and area under conservation measures. Defra and </w:t>
      </w:r>
      <w:proofErr w:type="spellStart"/>
      <w:r w:rsidRPr="0062367F">
        <w:rPr>
          <w:rFonts w:cs="Arial"/>
          <w:sz w:val="22"/>
          <w:szCs w:val="22"/>
          <w:shd w:val="clear" w:color="auto" w:fill="FFFFFF"/>
        </w:rPr>
        <w:t>Mirova</w:t>
      </w:r>
      <w:proofErr w:type="spellEnd"/>
      <w:r w:rsidRPr="0062367F">
        <w:rPr>
          <w:rFonts w:cs="Arial"/>
          <w:sz w:val="22"/>
          <w:szCs w:val="22"/>
          <w:shd w:val="clear" w:color="auto" w:fill="FFFFFF"/>
        </w:rPr>
        <w:t xml:space="preserve"> have agreed that this can be disaggregated further into high level Agroforestry/forestry etc categories, and that this indicator will be revisited as the methodology is updated.</w:t>
      </w:r>
      <w:r w:rsidR="7EE93A03" w:rsidRPr="0062367F">
        <w:rPr>
          <w:rFonts w:cs="Arial"/>
          <w:sz w:val="22"/>
          <w:szCs w:val="22"/>
          <w:shd w:val="clear" w:color="auto" w:fill="FFFFFF"/>
        </w:rPr>
        <w:t xml:space="preserve"> </w:t>
      </w:r>
      <w:r w:rsidR="0279AC72" w:rsidRPr="0062367F">
        <w:rPr>
          <w:rFonts w:cs="Arial"/>
          <w:sz w:val="22"/>
          <w:szCs w:val="22"/>
          <w:shd w:val="clear" w:color="auto" w:fill="FFFFFF"/>
        </w:rPr>
        <w:t xml:space="preserve">The </w:t>
      </w:r>
      <w:r w:rsidR="0279AC72" w:rsidRPr="0062367F">
        <w:rPr>
          <w:rFonts w:cs="Arial"/>
          <w:sz w:val="22"/>
          <w:szCs w:val="22"/>
        </w:rPr>
        <w:t xml:space="preserve">current baseline includes data from </w:t>
      </w:r>
      <w:proofErr w:type="spellStart"/>
      <w:r w:rsidR="0279AC72" w:rsidRPr="0062367F">
        <w:rPr>
          <w:rFonts w:cs="Arial"/>
          <w:sz w:val="22"/>
          <w:szCs w:val="22"/>
        </w:rPr>
        <w:t>Urapi</w:t>
      </w:r>
      <w:proofErr w:type="spellEnd"/>
      <w:r w:rsidR="0279AC72" w:rsidRPr="0062367F">
        <w:rPr>
          <w:rFonts w:cs="Arial"/>
          <w:sz w:val="22"/>
          <w:szCs w:val="22"/>
        </w:rPr>
        <w:t xml:space="preserve">, Miro, </w:t>
      </w:r>
      <w:proofErr w:type="spellStart"/>
      <w:r w:rsidR="0279AC72" w:rsidRPr="0062367F">
        <w:rPr>
          <w:rFonts w:cs="Arial"/>
          <w:sz w:val="22"/>
          <w:szCs w:val="22"/>
        </w:rPr>
        <w:t>Komaza</w:t>
      </w:r>
      <w:proofErr w:type="spellEnd"/>
      <w:r w:rsidR="0279AC72" w:rsidRPr="0062367F">
        <w:rPr>
          <w:rFonts w:cs="Arial"/>
          <w:sz w:val="22"/>
          <w:szCs w:val="22"/>
        </w:rPr>
        <w:t xml:space="preserve">, Cacao Oro and </w:t>
      </w:r>
      <w:proofErr w:type="spellStart"/>
      <w:r w:rsidR="0279AC72" w:rsidRPr="0062367F">
        <w:rPr>
          <w:rFonts w:cs="Arial"/>
          <w:sz w:val="22"/>
          <w:szCs w:val="22"/>
        </w:rPr>
        <w:t>Burapha</w:t>
      </w:r>
      <w:proofErr w:type="spellEnd"/>
      <w:r w:rsidR="0279AC72" w:rsidRPr="0062367F">
        <w:rPr>
          <w:rFonts w:cs="Arial"/>
          <w:sz w:val="22"/>
          <w:szCs w:val="22"/>
        </w:rPr>
        <w:t xml:space="preserve"> prior to LDN investment.</w:t>
      </w:r>
    </w:p>
    <w:p w14:paraId="068CC429" w14:textId="4E81B812" w:rsidR="001D0640" w:rsidRPr="002055D4" w:rsidRDefault="001D0640" w:rsidP="006F3AE7">
      <w:pPr>
        <w:rPr>
          <w:color w:val="FF0000"/>
          <w:sz w:val="20"/>
          <w:szCs w:val="22"/>
        </w:rPr>
      </w:pPr>
    </w:p>
    <w:tbl>
      <w:tblPr>
        <w:tblStyle w:val="TableGrid"/>
        <w:tblW w:w="9356" w:type="dxa"/>
        <w:tblInd w:w="-147" w:type="dxa"/>
        <w:tblLook w:val="04A0" w:firstRow="1" w:lastRow="0" w:firstColumn="1" w:lastColumn="0" w:noHBand="0" w:noVBand="1"/>
      </w:tblPr>
      <w:tblGrid>
        <w:gridCol w:w="1708"/>
        <w:gridCol w:w="616"/>
        <w:gridCol w:w="937"/>
        <w:gridCol w:w="3283"/>
        <w:gridCol w:w="2812"/>
      </w:tblGrid>
      <w:tr w:rsidR="002055D4" w:rsidRPr="002055D4" w14:paraId="6976F666" w14:textId="77777777" w:rsidTr="60E67443">
        <w:trPr>
          <w:trHeight w:val="489"/>
        </w:trPr>
        <w:tc>
          <w:tcPr>
            <w:tcW w:w="1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99081C" w14:textId="77777777" w:rsidR="001D0640" w:rsidRPr="002055D4" w:rsidRDefault="6A9D4121" w:rsidP="60E67443">
            <w:pPr>
              <w:rPr>
                <w:b/>
                <w:bCs/>
                <w:sz w:val="20"/>
                <w:szCs w:val="20"/>
              </w:rPr>
            </w:pPr>
            <w:r w:rsidRPr="60E67443">
              <w:rPr>
                <w:b/>
                <w:bCs/>
                <w:sz w:val="20"/>
                <w:szCs w:val="20"/>
              </w:rPr>
              <w:t xml:space="preserve">Output Title </w:t>
            </w:r>
          </w:p>
        </w:tc>
        <w:tc>
          <w:tcPr>
            <w:tcW w:w="76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3D9113B" w14:textId="1C512964" w:rsidR="001D0640" w:rsidRPr="002055D4" w:rsidRDefault="12E49D3D" w:rsidP="60E67443">
            <w:pPr>
              <w:rPr>
                <w:rFonts w:cs="Arial"/>
                <w:i/>
                <w:iCs/>
                <w:sz w:val="20"/>
                <w:szCs w:val="20"/>
              </w:rPr>
            </w:pPr>
            <w:r w:rsidRPr="60E67443">
              <w:rPr>
                <w:rFonts w:cs="Arial"/>
                <w:sz w:val="20"/>
                <w:szCs w:val="20"/>
                <w:shd w:val="clear" w:color="auto" w:fill="FFFFFF"/>
              </w:rPr>
              <w:t>The LDN Fund contributes to positive development outcomes in local communities/poor rural individuals in and around each of the project locations, with clear and sustained community engagement in each of the projects</w:t>
            </w:r>
          </w:p>
        </w:tc>
      </w:tr>
      <w:tr w:rsidR="002055D4" w:rsidRPr="002055D4" w14:paraId="3C78230E" w14:textId="77777777" w:rsidTr="60E67443">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D78B89" w14:textId="77777777" w:rsidR="001D0640" w:rsidRPr="002055D4" w:rsidRDefault="6A9D4121" w:rsidP="60E67443">
            <w:pPr>
              <w:rPr>
                <w:sz w:val="20"/>
                <w:szCs w:val="20"/>
              </w:rPr>
            </w:pPr>
            <w:r w:rsidRPr="60E67443">
              <w:rPr>
                <w:sz w:val="20"/>
                <w:szCs w:val="20"/>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4F10D080" w14:textId="51858948" w:rsidR="001D0640" w:rsidRPr="002055D4" w:rsidRDefault="0DA050A5" w:rsidP="60E67443">
            <w:pPr>
              <w:rPr>
                <w:sz w:val="20"/>
                <w:szCs w:val="20"/>
              </w:rPr>
            </w:pPr>
            <w:r w:rsidRPr="60E67443">
              <w:rPr>
                <w:sz w:val="20"/>
                <w:szCs w:val="20"/>
              </w:rPr>
              <w:t>3</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1B8E26" w14:textId="77777777" w:rsidR="001D0640" w:rsidRPr="002055D4" w:rsidRDefault="6A9D4121" w:rsidP="60E67443">
            <w:pPr>
              <w:rPr>
                <w:sz w:val="20"/>
                <w:szCs w:val="20"/>
              </w:rPr>
            </w:pPr>
            <w:r w:rsidRPr="60E67443">
              <w:rPr>
                <w:sz w:val="20"/>
                <w:szCs w:val="20"/>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632924DD" w14:textId="0453771D" w:rsidR="001D0640" w:rsidRPr="002055D4" w:rsidRDefault="002C2611" w:rsidP="60E67443">
            <w:pPr>
              <w:rPr>
                <w:sz w:val="20"/>
                <w:szCs w:val="20"/>
              </w:rPr>
            </w:pPr>
            <w:r>
              <w:rPr>
                <w:sz w:val="20"/>
                <w:szCs w:val="20"/>
              </w:rPr>
              <w:t>A</w:t>
            </w:r>
          </w:p>
        </w:tc>
      </w:tr>
      <w:tr w:rsidR="002055D4" w:rsidRPr="002055D4" w14:paraId="696867BD" w14:textId="77777777" w:rsidTr="60E67443">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E591B9" w14:textId="77777777" w:rsidR="001D0640" w:rsidRPr="002055D4" w:rsidRDefault="6A9D4121" w:rsidP="60E67443">
            <w:pPr>
              <w:rPr>
                <w:sz w:val="20"/>
                <w:szCs w:val="20"/>
              </w:rPr>
            </w:pPr>
            <w:r w:rsidRPr="60E67443">
              <w:rPr>
                <w:sz w:val="20"/>
                <w:szCs w:val="20"/>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6D14448A" w14:textId="1DB1BC6C" w:rsidR="001D0640" w:rsidRPr="002055D4" w:rsidRDefault="3A737715" w:rsidP="60E67443">
            <w:pPr>
              <w:rPr>
                <w:sz w:val="20"/>
                <w:szCs w:val="20"/>
              </w:rPr>
            </w:pPr>
            <w:r w:rsidRPr="60E67443">
              <w:rPr>
                <w:sz w:val="20"/>
                <w:szCs w:val="20"/>
              </w:rPr>
              <w:t>Not yet set</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965646" w14:textId="77777777" w:rsidR="001D0640" w:rsidRPr="002055D4" w:rsidRDefault="6A9D4121" w:rsidP="60E67443">
            <w:pPr>
              <w:rPr>
                <w:sz w:val="20"/>
                <w:szCs w:val="20"/>
              </w:rPr>
            </w:pPr>
            <w:r w:rsidRPr="60E67443">
              <w:rPr>
                <w:sz w:val="20"/>
                <w:szCs w:val="20"/>
              </w:rPr>
              <w:t xml:space="preserve">Weighting revised since last </w:t>
            </w:r>
            <w:proofErr w:type="gramStart"/>
            <w:r w:rsidRPr="60E67443">
              <w:rPr>
                <w:sz w:val="20"/>
                <w:szCs w:val="20"/>
              </w:rPr>
              <w:t>AR?</w:t>
            </w:r>
            <w:proofErr w:type="gramEnd"/>
            <w:r w:rsidRPr="60E67443">
              <w:rPr>
                <w:sz w:val="20"/>
                <w:szCs w:val="20"/>
              </w:rPr>
              <w:t xml:space="preserve"> </w:t>
            </w:r>
          </w:p>
        </w:tc>
        <w:tc>
          <w:tcPr>
            <w:tcW w:w="2812" w:type="dxa"/>
            <w:tcBorders>
              <w:top w:val="single" w:sz="4" w:space="0" w:color="auto"/>
              <w:left w:val="single" w:sz="4" w:space="0" w:color="auto"/>
              <w:bottom w:val="single" w:sz="4" w:space="0" w:color="auto"/>
              <w:right w:val="single" w:sz="4" w:space="0" w:color="auto"/>
            </w:tcBorders>
          </w:tcPr>
          <w:p w14:paraId="4B7883E3" w14:textId="77777777" w:rsidR="001D0640" w:rsidRPr="002055D4" w:rsidRDefault="6A9D4121" w:rsidP="60E67443">
            <w:pPr>
              <w:rPr>
                <w:sz w:val="20"/>
                <w:szCs w:val="20"/>
              </w:rPr>
            </w:pPr>
            <w:r w:rsidRPr="60E67443">
              <w:rPr>
                <w:sz w:val="20"/>
                <w:szCs w:val="20"/>
              </w:rPr>
              <w:t xml:space="preserve">[If </w:t>
            </w:r>
            <w:proofErr w:type="gramStart"/>
            <w:r w:rsidRPr="60E67443">
              <w:rPr>
                <w:sz w:val="20"/>
                <w:szCs w:val="20"/>
              </w:rPr>
              <w:t>Yes</w:t>
            </w:r>
            <w:proofErr w:type="gramEnd"/>
            <w:r w:rsidRPr="60E67443">
              <w:rPr>
                <w:sz w:val="20"/>
                <w:szCs w:val="20"/>
              </w:rPr>
              <w:t xml:space="preserve">, </w:t>
            </w:r>
            <w:r w:rsidRPr="60E67443">
              <w:rPr>
                <w:rFonts w:cs="Arial"/>
                <w:sz w:val="20"/>
                <w:szCs w:val="20"/>
              </w:rPr>
              <w:t>up or down?]</w:t>
            </w:r>
          </w:p>
        </w:tc>
      </w:tr>
    </w:tbl>
    <w:p w14:paraId="617F7ADB" w14:textId="6DE296BF" w:rsidR="001D0640" w:rsidRPr="002055D4" w:rsidRDefault="001D0640" w:rsidP="60E67443">
      <w:pPr>
        <w:rPr>
          <w:sz w:val="20"/>
          <w:szCs w:val="20"/>
        </w:rPr>
      </w:pPr>
    </w:p>
    <w:tbl>
      <w:tblPr>
        <w:tblStyle w:val="TableGrid"/>
        <w:tblpPr w:leftFromText="180" w:rightFromText="180" w:vertAnchor="text" w:horzAnchor="page" w:tblpX="1325" w:tblpY="-10"/>
        <w:tblOverlap w:val="never"/>
        <w:tblW w:w="9351" w:type="dxa"/>
        <w:tblLook w:val="04A0" w:firstRow="1" w:lastRow="0" w:firstColumn="1" w:lastColumn="0" w:noHBand="0" w:noVBand="1"/>
      </w:tblPr>
      <w:tblGrid>
        <w:gridCol w:w="4957"/>
        <w:gridCol w:w="2268"/>
        <w:gridCol w:w="2126"/>
      </w:tblGrid>
      <w:tr w:rsidR="002055D4" w:rsidRPr="002055D4" w14:paraId="0E9D9AF1" w14:textId="77777777" w:rsidTr="0062367F">
        <w:trPr>
          <w:trHeight w:val="273"/>
        </w:trPr>
        <w:tc>
          <w:tcPr>
            <w:tcW w:w="49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935839" w14:textId="77777777" w:rsidR="001D0640" w:rsidRPr="002055D4" w:rsidRDefault="6A9D4121" w:rsidP="60E67443">
            <w:pPr>
              <w:rPr>
                <w:b/>
                <w:bCs/>
                <w:sz w:val="20"/>
                <w:szCs w:val="20"/>
              </w:rPr>
            </w:pPr>
            <w:r w:rsidRPr="60E67443">
              <w:rPr>
                <w:b/>
                <w:bCs/>
                <w:sz w:val="20"/>
                <w:szCs w:val="20"/>
              </w:rPr>
              <w:t>Indicator(s)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AC5DD2" w14:textId="4E4E0829" w:rsidR="001D0640" w:rsidRPr="002055D4" w:rsidRDefault="0062367F" w:rsidP="60E67443">
            <w:pPr>
              <w:rPr>
                <w:b/>
                <w:bCs/>
                <w:sz w:val="20"/>
                <w:szCs w:val="20"/>
              </w:rPr>
            </w:pPr>
            <w:r>
              <w:rPr>
                <w:b/>
                <w:bCs/>
                <w:sz w:val="20"/>
                <w:szCs w:val="20"/>
              </w:rPr>
              <w:t>2020</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981655" w14:textId="633ED80A" w:rsidR="001D0640" w:rsidRPr="002055D4" w:rsidRDefault="0062367F" w:rsidP="60E67443">
            <w:pPr>
              <w:rPr>
                <w:b/>
                <w:bCs/>
                <w:sz w:val="20"/>
                <w:szCs w:val="20"/>
              </w:rPr>
            </w:pPr>
            <w:r>
              <w:rPr>
                <w:b/>
                <w:bCs/>
                <w:sz w:val="20"/>
                <w:szCs w:val="20"/>
              </w:rPr>
              <w:t>2021</w:t>
            </w:r>
            <w:r w:rsidR="6A9D4121" w:rsidRPr="60E67443">
              <w:rPr>
                <w:b/>
                <w:bCs/>
                <w:sz w:val="20"/>
                <w:szCs w:val="20"/>
              </w:rPr>
              <w:t xml:space="preserve"> </w:t>
            </w:r>
          </w:p>
        </w:tc>
      </w:tr>
      <w:tr w:rsidR="002055D4" w:rsidRPr="002055D4" w14:paraId="4EF6949E" w14:textId="77777777" w:rsidTr="0062367F">
        <w:tc>
          <w:tcPr>
            <w:tcW w:w="4957" w:type="dxa"/>
            <w:tcBorders>
              <w:top w:val="single" w:sz="4" w:space="0" w:color="auto"/>
              <w:left w:val="single" w:sz="4" w:space="0" w:color="auto"/>
              <w:bottom w:val="single" w:sz="4" w:space="0" w:color="auto"/>
              <w:right w:val="single" w:sz="4" w:space="0" w:color="auto"/>
            </w:tcBorders>
          </w:tcPr>
          <w:p w14:paraId="4F4DBDC8" w14:textId="335FC36F" w:rsidR="001D0640" w:rsidRPr="002055D4" w:rsidRDefault="0DA050A5" w:rsidP="60E67443">
            <w:pPr>
              <w:rPr>
                <w:sz w:val="20"/>
                <w:szCs w:val="20"/>
              </w:rPr>
            </w:pPr>
            <w:r w:rsidRPr="60E67443">
              <w:rPr>
                <w:sz w:val="20"/>
                <w:szCs w:val="20"/>
              </w:rPr>
              <w:t>3</w:t>
            </w:r>
            <w:r w:rsidR="6A9D4121" w:rsidRPr="60E67443">
              <w:rPr>
                <w:sz w:val="20"/>
                <w:szCs w:val="20"/>
              </w:rPr>
              <w:t xml:space="preserve">.1 </w:t>
            </w:r>
            <w:r w:rsidRPr="60E67443">
              <w:rPr>
                <w:sz w:val="20"/>
                <w:szCs w:val="20"/>
              </w:rPr>
              <w:t>Gender ratio of people employed by or with main livelihood supported by LDN Fund projects</w:t>
            </w:r>
          </w:p>
        </w:tc>
        <w:tc>
          <w:tcPr>
            <w:tcW w:w="2268" w:type="dxa"/>
            <w:tcBorders>
              <w:top w:val="single" w:sz="4" w:space="0" w:color="auto"/>
              <w:left w:val="single" w:sz="4" w:space="0" w:color="auto"/>
              <w:bottom w:val="single" w:sz="4" w:space="0" w:color="auto"/>
              <w:right w:val="single" w:sz="4" w:space="0" w:color="auto"/>
            </w:tcBorders>
          </w:tcPr>
          <w:p w14:paraId="74767E44" w14:textId="50DD8037" w:rsidR="001D0640" w:rsidRPr="0062367F" w:rsidRDefault="6FB67FD5" w:rsidP="60E67443">
            <w:pPr>
              <w:rPr>
                <w:sz w:val="20"/>
                <w:szCs w:val="20"/>
              </w:rPr>
            </w:pPr>
            <w:r w:rsidRPr="0062367F">
              <w:rPr>
                <w:sz w:val="20"/>
                <w:szCs w:val="20"/>
              </w:rPr>
              <w:t>45%</w:t>
            </w:r>
            <w:r w:rsidR="0062367F">
              <w:rPr>
                <w:sz w:val="20"/>
                <w:szCs w:val="20"/>
              </w:rPr>
              <w:t xml:space="preserve"> female</w:t>
            </w:r>
          </w:p>
        </w:tc>
        <w:tc>
          <w:tcPr>
            <w:tcW w:w="2126" w:type="dxa"/>
            <w:tcBorders>
              <w:top w:val="single" w:sz="4" w:space="0" w:color="auto"/>
              <w:left w:val="single" w:sz="4" w:space="0" w:color="auto"/>
              <w:bottom w:val="single" w:sz="4" w:space="0" w:color="auto"/>
              <w:right w:val="single" w:sz="4" w:space="0" w:color="auto"/>
            </w:tcBorders>
          </w:tcPr>
          <w:p w14:paraId="00D6E407" w14:textId="5677C550" w:rsidR="001D0640" w:rsidRPr="002055D4" w:rsidRDefault="6FB67FD5" w:rsidP="60E67443">
            <w:pPr>
              <w:rPr>
                <w:sz w:val="20"/>
                <w:szCs w:val="20"/>
              </w:rPr>
            </w:pPr>
            <w:r w:rsidRPr="60E67443">
              <w:rPr>
                <w:sz w:val="20"/>
                <w:szCs w:val="20"/>
              </w:rPr>
              <w:t>45</w:t>
            </w:r>
            <w:r w:rsidR="0E31FB05" w:rsidRPr="60E67443">
              <w:rPr>
                <w:sz w:val="20"/>
                <w:szCs w:val="20"/>
              </w:rPr>
              <w:t>% female</w:t>
            </w:r>
          </w:p>
        </w:tc>
      </w:tr>
      <w:tr w:rsidR="002055D4" w:rsidRPr="002055D4" w14:paraId="656D2E00" w14:textId="77777777" w:rsidTr="0062367F">
        <w:tc>
          <w:tcPr>
            <w:tcW w:w="4957" w:type="dxa"/>
            <w:tcBorders>
              <w:top w:val="single" w:sz="4" w:space="0" w:color="auto"/>
              <w:left w:val="single" w:sz="4" w:space="0" w:color="auto"/>
              <w:bottom w:val="single" w:sz="4" w:space="0" w:color="auto"/>
              <w:right w:val="single" w:sz="4" w:space="0" w:color="auto"/>
            </w:tcBorders>
          </w:tcPr>
          <w:p w14:paraId="64B05474" w14:textId="560E4489" w:rsidR="001D0640" w:rsidRPr="002055D4" w:rsidRDefault="0DA050A5" w:rsidP="60E67443">
            <w:pPr>
              <w:rPr>
                <w:sz w:val="20"/>
                <w:szCs w:val="20"/>
              </w:rPr>
            </w:pPr>
            <w:r w:rsidRPr="60E67443">
              <w:rPr>
                <w:sz w:val="20"/>
                <w:szCs w:val="20"/>
              </w:rPr>
              <w:t>3</w:t>
            </w:r>
            <w:r w:rsidR="6A9D4121" w:rsidRPr="60E67443">
              <w:rPr>
                <w:sz w:val="20"/>
                <w:szCs w:val="20"/>
              </w:rPr>
              <w:t>.2</w:t>
            </w:r>
            <w:r w:rsidRPr="60E67443">
              <w:rPr>
                <w:sz w:val="20"/>
                <w:szCs w:val="20"/>
              </w:rPr>
              <w:t xml:space="preserve"> Number of community engagement events (and attendance in brackets)</w:t>
            </w:r>
          </w:p>
        </w:tc>
        <w:tc>
          <w:tcPr>
            <w:tcW w:w="2268" w:type="dxa"/>
            <w:tcBorders>
              <w:top w:val="single" w:sz="4" w:space="0" w:color="auto"/>
              <w:left w:val="single" w:sz="4" w:space="0" w:color="auto"/>
              <w:bottom w:val="single" w:sz="4" w:space="0" w:color="auto"/>
              <w:right w:val="single" w:sz="4" w:space="0" w:color="auto"/>
            </w:tcBorders>
          </w:tcPr>
          <w:p w14:paraId="56431560" w14:textId="11337563" w:rsidR="001D0640" w:rsidRPr="002055D4" w:rsidRDefault="0062367F" w:rsidP="60E67443">
            <w:pPr>
              <w:rPr>
                <w:sz w:val="20"/>
                <w:szCs w:val="20"/>
              </w:rPr>
            </w:pPr>
            <w:r>
              <w:rPr>
                <w:sz w:val="20"/>
                <w:szCs w:val="20"/>
              </w:rPr>
              <w:t>749</w:t>
            </w:r>
          </w:p>
          <w:p w14:paraId="5BA4D063" w14:textId="678DED73" w:rsidR="001D0640" w:rsidRPr="002055D4" w:rsidRDefault="001D0640" w:rsidP="60E67443"/>
        </w:tc>
        <w:tc>
          <w:tcPr>
            <w:tcW w:w="2126" w:type="dxa"/>
            <w:tcBorders>
              <w:top w:val="single" w:sz="4" w:space="0" w:color="auto"/>
              <w:left w:val="single" w:sz="4" w:space="0" w:color="auto"/>
              <w:bottom w:val="single" w:sz="4" w:space="0" w:color="auto"/>
              <w:right w:val="single" w:sz="4" w:space="0" w:color="auto"/>
            </w:tcBorders>
          </w:tcPr>
          <w:p w14:paraId="5CDB5588" w14:textId="44790C62" w:rsidR="001D0640" w:rsidRPr="002055D4" w:rsidRDefault="0062367F" w:rsidP="60E67443">
            <w:pPr>
              <w:rPr>
                <w:sz w:val="20"/>
                <w:szCs w:val="20"/>
              </w:rPr>
            </w:pPr>
            <w:r>
              <w:rPr>
                <w:sz w:val="20"/>
                <w:szCs w:val="20"/>
              </w:rPr>
              <w:t>1403</w:t>
            </w:r>
          </w:p>
        </w:tc>
      </w:tr>
      <w:tr w:rsidR="002055D4" w:rsidRPr="002055D4" w14:paraId="070D19AA" w14:textId="77777777" w:rsidTr="0062367F">
        <w:tc>
          <w:tcPr>
            <w:tcW w:w="4957" w:type="dxa"/>
            <w:tcBorders>
              <w:top w:val="single" w:sz="4" w:space="0" w:color="auto"/>
              <w:left w:val="single" w:sz="4" w:space="0" w:color="auto"/>
              <w:bottom w:val="single" w:sz="4" w:space="0" w:color="auto"/>
              <w:right w:val="single" w:sz="4" w:space="0" w:color="auto"/>
            </w:tcBorders>
          </w:tcPr>
          <w:p w14:paraId="288AAFE9" w14:textId="300FBDA1" w:rsidR="001D0640" w:rsidRPr="002055D4" w:rsidRDefault="0DA050A5" w:rsidP="60E67443">
            <w:pPr>
              <w:rPr>
                <w:sz w:val="20"/>
                <w:szCs w:val="20"/>
              </w:rPr>
            </w:pPr>
            <w:commentRangeStart w:id="1"/>
            <w:r w:rsidRPr="60E67443">
              <w:rPr>
                <w:sz w:val="20"/>
                <w:szCs w:val="20"/>
              </w:rPr>
              <w:t>3</w:t>
            </w:r>
            <w:r w:rsidR="6A9D4121" w:rsidRPr="60E67443">
              <w:rPr>
                <w:sz w:val="20"/>
                <w:szCs w:val="20"/>
              </w:rPr>
              <w:t>.</w:t>
            </w:r>
            <w:r w:rsidRPr="60E67443">
              <w:rPr>
                <w:sz w:val="20"/>
                <w:szCs w:val="20"/>
              </w:rPr>
              <w:t>3 Jobs created/supported by LDN Fund</w:t>
            </w:r>
          </w:p>
        </w:tc>
        <w:tc>
          <w:tcPr>
            <w:tcW w:w="2268" w:type="dxa"/>
            <w:tcBorders>
              <w:top w:val="single" w:sz="4" w:space="0" w:color="auto"/>
              <w:left w:val="single" w:sz="4" w:space="0" w:color="auto"/>
              <w:bottom w:val="single" w:sz="4" w:space="0" w:color="auto"/>
              <w:right w:val="single" w:sz="4" w:space="0" w:color="auto"/>
            </w:tcBorders>
          </w:tcPr>
          <w:p w14:paraId="41B73CD1" w14:textId="0868299E" w:rsidR="001D0640" w:rsidRPr="002055D4" w:rsidRDefault="00742C51" w:rsidP="60E67443">
            <w:pPr>
              <w:rPr>
                <w:sz w:val="20"/>
                <w:szCs w:val="20"/>
              </w:rPr>
            </w:pPr>
            <w:commentRangeStart w:id="2"/>
            <w:r>
              <w:rPr>
                <w:sz w:val="20"/>
                <w:szCs w:val="20"/>
              </w:rPr>
              <w:t>35,801</w:t>
            </w:r>
            <w:r w:rsidR="00F3226A">
              <w:rPr>
                <w:sz w:val="20"/>
                <w:szCs w:val="20"/>
              </w:rPr>
              <w:t xml:space="preserve"> (employees 2,714)</w:t>
            </w:r>
          </w:p>
          <w:p w14:paraId="6B8B456C" w14:textId="39674206" w:rsidR="001D0640" w:rsidRPr="002055D4" w:rsidRDefault="001D0640" w:rsidP="60E67443"/>
        </w:tc>
        <w:tc>
          <w:tcPr>
            <w:tcW w:w="2126" w:type="dxa"/>
            <w:tcBorders>
              <w:top w:val="single" w:sz="4" w:space="0" w:color="auto"/>
              <w:left w:val="single" w:sz="4" w:space="0" w:color="auto"/>
              <w:bottom w:val="single" w:sz="4" w:space="0" w:color="auto"/>
              <w:right w:val="single" w:sz="4" w:space="0" w:color="auto"/>
            </w:tcBorders>
          </w:tcPr>
          <w:p w14:paraId="58F340E3" w14:textId="0D16A87D" w:rsidR="001D0640" w:rsidRPr="002055D4" w:rsidRDefault="00742C51" w:rsidP="60E67443">
            <w:pPr>
              <w:rPr>
                <w:sz w:val="20"/>
                <w:szCs w:val="20"/>
              </w:rPr>
            </w:pPr>
            <w:r>
              <w:rPr>
                <w:sz w:val="20"/>
                <w:szCs w:val="20"/>
              </w:rPr>
              <w:t>31,995</w:t>
            </w:r>
            <w:commentRangeEnd w:id="2"/>
            <w:r>
              <w:rPr>
                <w:rStyle w:val="CommentReference"/>
                <w:lang w:eastAsia="en-US"/>
              </w:rPr>
              <w:commentReference w:id="2"/>
            </w:r>
            <w:commentRangeEnd w:id="1"/>
            <w:r w:rsidR="00C57EDB">
              <w:rPr>
                <w:rStyle w:val="CommentReference"/>
                <w:lang w:eastAsia="en-US"/>
              </w:rPr>
              <w:commentReference w:id="1"/>
            </w:r>
            <w:r w:rsidR="00986AD8">
              <w:rPr>
                <w:sz w:val="20"/>
                <w:szCs w:val="20"/>
              </w:rPr>
              <w:t xml:space="preserve"> </w:t>
            </w:r>
            <w:r w:rsidR="00986AD8">
              <w:rPr>
                <w:bCs/>
                <w:sz w:val="20"/>
                <w:szCs w:val="22"/>
              </w:rPr>
              <w:t xml:space="preserve"> employees and smallholders supported (employees 4,151)</w:t>
            </w:r>
          </w:p>
        </w:tc>
      </w:tr>
    </w:tbl>
    <w:p w14:paraId="7E4BBB2F" w14:textId="62B1CBC5" w:rsidR="00354FC3" w:rsidRPr="00AD3E2A" w:rsidRDefault="00354FC3" w:rsidP="00354FC3">
      <w:pPr>
        <w:rPr>
          <w:color w:val="FF0000"/>
          <w:sz w:val="22"/>
          <w:szCs w:val="22"/>
        </w:rPr>
      </w:pPr>
    </w:p>
    <w:p w14:paraId="0EEAADAE" w14:textId="734F7029" w:rsidR="001D0640" w:rsidRPr="00AD3E2A" w:rsidRDefault="0E31FB05" w:rsidP="60E67443">
      <w:pPr>
        <w:pStyle w:val="ListParagraph"/>
        <w:numPr>
          <w:ilvl w:val="0"/>
          <w:numId w:val="32"/>
        </w:numPr>
        <w:rPr>
          <w:sz w:val="22"/>
          <w:szCs w:val="22"/>
        </w:rPr>
      </w:pPr>
      <w:r w:rsidRPr="00AD3E2A">
        <w:rPr>
          <w:sz w:val="22"/>
          <w:szCs w:val="22"/>
        </w:rPr>
        <w:t>For output 3.1 the 2</w:t>
      </w:r>
      <w:r w:rsidR="348F6D25" w:rsidRPr="00AD3E2A">
        <w:rPr>
          <w:sz w:val="22"/>
          <w:szCs w:val="22"/>
        </w:rPr>
        <w:t xml:space="preserve">021 figure </w:t>
      </w:r>
      <w:r w:rsidRPr="00AD3E2A">
        <w:rPr>
          <w:sz w:val="22"/>
          <w:szCs w:val="22"/>
        </w:rPr>
        <w:t>covers</w:t>
      </w:r>
      <w:r w:rsidR="1922225E" w:rsidRPr="00AD3E2A">
        <w:rPr>
          <w:sz w:val="22"/>
          <w:szCs w:val="22"/>
        </w:rPr>
        <w:t xml:space="preserve"> all people employed by or with a main livelihood supported by the LDN Fund (which includes direct project beneficiaries)</w:t>
      </w:r>
      <w:r w:rsidR="03351613" w:rsidRPr="00AD3E2A">
        <w:rPr>
          <w:sz w:val="22"/>
          <w:szCs w:val="22"/>
        </w:rPr>
        <w:t>.</w:t>
      </w:r>
      <w:r w:rsidRPr="00AD3E2A">
        <w:rPr>
          <w:sz w:val="22"/>
          <w:szCs w:val="22"/>
        </w:rPr>
        <w:t xml:space="preserve"> This metric assumes that an increased ratio of women will provide empowerment to women in affected communities.</w:t>
      </w:r>
      <w:r w:rsidR="27542102" w:rsidRPr="00AD3E2A">
        <w:rPr>
          <w:sz w:val="22"/>
          <w:szCs w:val="22"/>
        </w:rPr>
        <w:t xml:space="preserve"> </w:t>
      </w:r>
      <w:r w:rsidR="111F031C" w:rsidRPr="00AD3E2A">
        <w:rPr>
          <w:sz w:val="22"/>
          <w:szCs w:val="22"/>
        </w:rPr>
        <w:t>The current baseline has been calculated using</w:t>
      </w:r>
      <w:r w:rsidR="27542102" w:rsidRPr="00AD3E2A">
        <w:rPr>
          <w:sz w:val="22"/>
          <w:szCs w:val="22"/>
        </w:rPr>
        <w:t xml:space="preserve"> data from </w:t>
      </w:r>
      <w:proofErr w:type="spellStart"/>
      <w:r w:rsidR="27542102" w:rsidRPr="00AD3E2A">
        <w:rPr>
          <w:sz w:val="22"/>
          <w:szCs w:val="22"/>
        </w:rPr>
        <w:t>Urapi</w:t>
      </w:r>
      <w:proofErr w:type="spellEnd"/>
      <w:r w:rsidR="27542102" w:rsidRPr="00AD3E2A">
        <w:rPr>
          <w:sz w:val="22"/>
          <w:szCs w:val="22"/>
        </w:rPr>
        <w:t xml:space="preserve">, Miro, </w:t>
      </w:r>
      <w:proofErr w:type="spellStart"/>
      <w:r w:rsidR="27542102" w:rsidRPr="00AD3E2A">
        <w:rPr>
          <w:sz w:val="22"/>
          <w:szCs w:val="22"/>
        </w:rPr>
        <w:t>Komaza</w:t>
      </w:r>
      <w:proofErr w:type="spellEnd"/>
      <w:r w:rsidR="27542102" w:rsidRPr="00AD3E2A">
        <w:rPr>
          <w:sz w:val="22"/>
          <w:szCs w:val="22"/>
        </w:rPr>
        <w:t xml:space="preserve">, Cacao Oro and </w:t>
      </w:r>
      <w:proofErr w:type="spellStart"/>
      <w:r w:rsidR="27542102" w:rsidRPr="00AD3E2A">
        <w:rPr>
          <w:sz w:val="22"/>
          <w:szCs w:val="22"/>
        </w:rPr>
        <w:t>Burapha</w:t>
      </w:r>
      <w:proofErr w:type="spellEnd"/>
      <w:r w:rsidR="27542102" w:rsidRPr="00AD3E2A">
        <w:rPr>
          <w:sz w:val="22"/>
          <w:szCs w:val="22"/>
        </w:rPr>
        <w:t xml:space="preserve"> prior to LDN investment</w:t>
      </w:r>
      <w:r w:rsidR="251CA6F3" w:rsidRPr="00AD3E2A">
        <w:rPr>
          <w:sz w:val="22"/>
          <w:szCs w:val="22"/>
        </w:rPr>
        <w:t>.</w:t>
      </w:r>
    </w:p>
    <w:p w14:paraId="28BDFC9F" w14:textId="1D0FB301" w:rsidR="001D0640" w:rsidRPr="00AD3E2A" w:rsidRDefault="2392AFE2" w:rsidP="60E67443">
      <w:pPr>
        <w:pStyle w:val="ListParagraph"/>
        <w:numPr>
          <w:ilvl w:val="0"/>
          <w:numId w:val="32"/>
        </w:numPr>
        <w:rPr>
          <w:sz w:val="22"/>
          <w:szCs w:val="22"/>
        </w:rPr>
      </w:pPr>
      <w:r w:rsidRPr="00AD3E2A">
        <w:rPr>
          <w:sz w:val="22"/>
          <w:szCs w:val="22"/>
        </w:rPr>
        <w:t>The ambition of the LDN Fund to address gender equality in the land-use sector has been further reinforced by the commitment from the Canada Government and the integration of specific gender equality objectives and milestones in the Fund’s theory of change.</w:t>
      </w:r>
    </w:p>
    <w:p w14:paraId="062D1330" w14:textId="4851EFAC" w:rsidR="2392AFE2" w:rsidRPr="00AD3E2A" w:rsidRDefault="2392AFE2" w:rsidP="60E67443">
      <w:pPr>
        <w:pStyle w:val="ListParagraph"/>
        <w:numPr>
          <w:ilvl w:val="0"/>
          <w:numId w:val="32"/>
        </w:numPr>
        <w:rPr>
          <w:sz w:val="22"/>
          <w:szCs w:val="22"/>
        </w:rPr>
      </w:pPr>
      <w:r w:rsidRPr="00AD3E2A">
        <w:rPr>
          <w:rFonts w:eastAsia="Arial" w:cs="Arial"/>
          <w:sz w:val="22"/>
          <w:szCs w:val="22"/>
        </w:rPr>
        <w:t xml:space="preserve">A dedicated workshop was organized internally to highlight synergies between promoting gender equality and supporting other SDGs and identify opportunities and barriers to gender equality in the land-use sector.  </w:t>
      </w:r>
    </w:p>
    <w:p w14:paraId="12522320" w14:textId="6809A93D" w:rsidR="2392AFE2" w:rsidRPr="00AD3E2A" w:rsidRDefault="2392AFE2" w:rsidP="60E67443">
      <w:pPr>
        <w:pStyle w:val="ListParagraph"/>
        <w:numPr>
          <w:ilvl w:val="0"/>
          <w:numId w:val="32"/>
        </w:numPr>
        <w:spacing w:line="257" w:lineRule="auto"/>
        <w:rPr>
          <w:rFonts w:eastAsia="Arial" w:cs="Arial"/>
          <w:sz w:val="22"/>
          <w:szCs w:val="22"/>
        </w:rPr>
      </w:pPr>
      <w:r w:rsidRPr="00AD3E2A">
        <w:rPr>
          <w:rFonts w:eastAsia="Arial" w:cs="Arial"/>
          <w:sz w:val="22"/>
          <w:szCs w:val="22"/>
        </w:rPr>
        <w:t>The ambition of the LDN Fund is to further address gender-related issues at portfolio level and promote new investment opportunities that contribute to gender equality.</w:t>
      </w:r>
    </w:p>
    <w:p w14:paraId="474314D5" w14:textId="57BD1875" w:rsidR="2392AFE2" w:rsidRDefault="2392AFE2" w:rsidP="60E67443">
      <w:pPr>
        <w:pStyle w:val="ListParagraph"/>
        <w:numPr>
          <w:ilvl w:val="0"/>
          <w:numId w:val="32"/>
        </w:numPr>
        <w:spacing w:line="257" w:lineRule="auto"/>
        <w:rPr>
          <w:rFonts w:eastAsia="Arial" w:cs="Arial"/>
          <w:sz w:val="22"/>
          <w:szCs w:val="22"/>
        </w:rPr>
      </w:pPr>
      <w:r w:rsidRPr="00AD3E2A">
        <w:rPr>
          <w:rFonts w:eastAsia="Arial" w:cs="Arial"/>
          <w:sz w:val="22"/>
          <w:szCs w:val="22"/>
        </w:rPr>
        <w:t>A specific request for proposals for projects with strong gender equality ambitions and core activities combating land degradation was launched. Through the LDN Fund’s Technical Assistance Facility, the LDN Fund aims to accompany entrepreneurs, companies, green and social business, young or mature, with strong gender equality ambitions that are looking to scale up and strengthen their business model.</w:t>
      </w:r>
    </w:p>
    <w:p w14:paraId="0C60358C" w14:textId="2A941A39" w:rsidR="00B81AA8" w:rsidRPr="00AD3E2A" w:rsidRDefault="00B81AA8" w:rsidP="60E67443">
      <w:pPr>
        <w:pStyle w:val="ListParagraph"/>
        <w:numPr>
          <w:ilvl w:val="0"/>
          <w:numId w:val="32"/>
        </w:numPr>
        <w:spacing w:line="257" w:lineRule="auto"/>
        <w:rPr>
          <w:rFonts w:eastAsia="Arial" w:cs="Arial"/>
          <w:sz w:val="22"/>
          <w:szCs w:val="22"/>
        </w:rPr>
      </w:pPr>
      <w:r>
        <w:rPr>
          <w:rFonts w:eastAsia="Arial" w:cs="Arial"/>
          <w:sz w:val="22"/>
          <w:szCs w:val="22"/>
        </w:rPr>
        <w:t xml:space="preserve">Community engagement through events continues to be strong. </w:t>
      </w:r>
      <w:r w:rsidR="00F3226A">
        <w:rPr>
          <w:rFonts w:eastAsia="Arial" w:cs="Arial"/>
          <w:sz w:val="22"/>
          <w:szCs w:val="22"/>
        </w:rPr>
        <w:t xml:space="preserve">The total number of jobs supported has decreased since 2020, including both direct employees of </w:t>
      </w:r>
      <w:r w:rsidR="00F3226A">
        <w:rPr>
          <w:rFonts w:eastAsia="Arial" w:cs="Arial"/>
          <w:sz w:val="22"/>
          <w:szCs w:val="22"/>
        </w:rPr>
        <w:lastRenderedPageBreak/>
        <w:t>projects funded and smallholders benefitting indirectly. However, looking only at direct employees, this figure has increased from 2,714 in 2020.</w:t>
      </w:r>
    </w:p>
    <w:p w14:paraId="2C98236A" w14:textId="77777777" w:rsidR="001D0640" w:rsidRPr="002055D4" w:rsidRDefault="001D0640" w:rsidP="006F3AE7">
      <w:pPr>
        <w:rPr>
          <w:color w:val="FF0000"/>
          <w:sz w:val="20"/>
          <w:szCs w:val="22"/>
        </w:rPr>
      </w:pPr>
    </w:p>
    <w:tbl>
      <w:tblPr>
        <w:tblStyle w:val="TableGrid"/>
        <w:tblW w:w="9356" w:type="dxa"/>
        <w:tblInd w:w="-147" w:type="dxa"/>
        <w:tblLook w:val="04A0" w:firstRow="1" w:lastRow="0" w:firstColumn="1" w:lastColumn="0" w:noHBand="0" w:noVBand="1"/>
      </w:tblPr>
      <w:tblGrid>
        <w:gridCol w:w="1708"/>
        <w:gridCol w:w="616"/>
        <w:gridCol w:w="937"/>
        <w:gridCol w:w="3283"/>
        <w:gridCol w:w="2812"/>
      </w:tblGrid>
      <w:tr w:rsidR="002055D4" w:rsidRPr="002055D4" w14:paraId="01EC8828" w14:textId="77777777" w:rsidTr="60E67443">
        <w:trPr>
          <w:trHeight w:val="489"/>
        </w:trPr>
        <w:tc>
          <w:tcPr>
            <w:tcW w:w="1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31C16D" w14:textId="77777777" w:rsidR="001D0640" w:rsidRPr="002055D4" w:rsidRDefault="6A9D4121" w:rsidP="60E67443">
            <w:pPr>
              <w:rPr>
                <w:b/>
                <w:bCs/>
                <w:sz w:val="20"/>
                <w:szCs w:val="20"/>
              </w:rPr>
            </w:pPr>
            <w:r w:rsidRPr="60E67443">
              <w:rPr>
                <w:b/>
                <w:bCs/>
                <w:sz w:val="20"/>
                <w:szCs w:val="20"/>
              </w:rPr>
              <w:t xml:space="preserve">Output Title </w:t>
            </w:r>
          </w:p>
        </w:tc>
        <w:tc>
          <w:tcPr>
            <w:tcW w:w="76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6D62F97" w14:textId="332FF2A5" w:rsidR="001D0640" w:rsidRPr="002055D4" w:rsidRDefault="0DA050A5" w:rsidP="60E67443">
            <w:pPr>
              <w:rPr>
                <w:sz w:val="20"/>
                <w:szCs w:val="20"/>
              </w:rPr>
            </w:pPr>
            <w:r w:rsidRPr="60E67443">
              <w:rPr>
                <w:sz w:val="20"/>
                <w:szCs w:val="20"/>
              </w:rPr>
              <w:t>The LDN Fund shares best practice with public and private actors focused on a) expanding SLM practices in developing countries, or b) utilising the impact investment fund approach to contribute to meeting SDG, climate change or environmental targets</w:t>
            </w:r>
          </w:p>
        </w:tc>
      </w:tr>
      <w:tr w:rsidR="002055D4" w:rsidRPr="002055D4" w14:paraId="2229C66F" w14:textId="77777777" w:rsidTr="60E67443">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3017E8" w14:textId="77777777" w:rsidR="001D0640" w:rsidRPr="002055D4" w:rsidRDefault="6A9D4121" w:rsidP="60E67443">
            <w:pPr>
              <w:rPr>
                <w:sz w:val="20"/>
                <w:szCs w:val="20"/>
              </w:rPr>
            </w:pPr>
            <w:r w:rsidRPr="60E67443">
              <w:rPr>
                <w:sz w:val="20"/>
                <w:szCs w:val="20"/>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52121405" w14:textId="4BAAA58A" w:rsidR="001D0640" w:rsidRPr="002055D4" w:rsidRDefault="0DA050A5" w:rsidP="60E67443">
            <w:pPr>
              <w:rPr>
                <w:sz w:val="20"/>
                <w:szCs w:val="20"/>
              </w:rPr>
            </w:pPr>
            <w:r w:rsidRPr="60E67443">
              <w:rPr>
                <w:sz w:val="20"/>
                <w:szCs w:val="20"/>
              </w:rPr>
              <w:t>4</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96F483" w14:textId="77777777" w:rsidR="001D0640" w:rsidRPr="002055D4" w:rsidRDefault="6A9D4121" w:rsidP="60E67443">
            <w:pPr>
              <w:rPr>
                <w:sz w:val="20"/>
                <w:szCs w:val="20"/>
              </w:rPr>
            </w:pPr>
            <w:r w:rsidRPr="60E67443">
              <w:rPr>
                <w:sz w:val="20"/>
                <w:szCs w:val="20"/>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2C2F0043" w14:textId="110D45D1" w:rsidR="001D0640" w:rsidRPr="002055D4" w:rsidRDefault="002C2611" w:rsidP="60E67443">
            <w:pPr>
              <w:rPr>
                <w:sz w:val="20"/>
                <w:szCs w:val="20"/>
              </w:rPr>
            </w:pPr>
            <w:r>
              <w:rPr>
                <w:sz w:val="20"/>
                <w:szCs w:val="20"/>
              </w:rPr>
              <w:t>A</w:t>
            </w:r>
          </w:p>
        </w:tc>
      </w:tr>
      <w:tr w:rsidR="002055D4" w:rsidRPr="002055D4" w14:paraId="406439BC" w14:textId="77777777" w:rsidTr="60E67443">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AE5DBA" w14:textId="77777777" w:rsidR="001D0640" w:rsidRPr="002055D4" w:rsidRDefault="6A9D4121" w:rsidP="60E67443">
            <w:pPr>
              <w:rPr>
                <w:sz w:val="20"/>
                <w:szCs w:val="20"/>
              </w:rPr>
            </w:pPr>
            <w:r w:rsidRPr="60E67443">
              <w:rPr>
                <w:sz w:val="20"/>
                <w:szCs w:val="20"/>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374E7466" w14:textId="39632DE4" w:rsidR="001D0640" w:rsidRPr="002055D4" w:rsidRDefault="3A737715" w:rsidP="60E67443">
            <w:pPr>
              <w:rPr>
                <w:sz w:val="20"/>
                <w:szCs w:val="20"/>
              </w:rPr>
            </w:pPr>
            <w:r w:rsidRPr="60E67443">
              <w:rPr>
                <w:sz w:val="20"/>
                <w:szCs w:val="20"/>
              </w:rPr>
              <w:t>Not yet set</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7D44000" w14:textId="77777777" w:rsidR="001D0640" w:rsidRPr="002055D4" w:rsidRDefault="6A9D4121" w:rsidP="60E67443">
            <w:pPr>
              <w:rPr>
                <w:sz w:val="20"/>
                <w:szCs w:val="20"/>
              </w:rPr>
            </w:pPr>
            <w:r w:rsidRPr="60E67443">
              <w:rPr>
                <w:sz w:val="20"/>
                <w:szCs w:val="20"/>
              </w:rPr>
              <w:t xml:space="preserve">Weighting revised since last </w:t>
            </w:r>
            <w:proofErr w:type="gramStart"/>
            <w:r w:rsidRPr="60E67443">
              <w:rPr>
                <w:sz w:val="20"/>
                <w:szCs w:val="20"/>
              </w:rPr>
              <w:t>AR?</w:t>
            </w:r>
            <w:proofErr w:type="gramEnd"/>
            <w:r w:rsidRPr="60E67443">
              <w:rPr>
                <w:sz w:val="20"/>
                <w:szCs w:val="20"/>
              </w:rPr>
              <w:t xml:space="preserve"> </w:t>
            </w:r>
          </w:p>
        </w:tc>
        <w:tc>
          <w:tcPr>
            <w:tcW w:w="2812" w:type="dxa"/>
            <w:tcBorders>
              <w:top w:val="single" w:sz="4" w:space="0" w:color="auto"/>
              <w:left w:val="single" w:sz="4" w:space="0" w:color="auto"/>
              <w:bottom w:val="single" w:sz="4" w:space="0" w:color="auto"/>
              <w:right w:val="single" w:sz="4" w:space="0" w:color="auto"/>
            </w:tcBorders>
          </w:tcPr>
          <w:p w14:paraId="04A81CC4" w14:textId="5781E843" w:rsidR="001D0640" w:rsidRPr="002055D4" w:rsidRDefault="00742C51" w:rsidP="60E67443">
            <w:pPr>
              <w:rPr>
                <w:sz w:val="20"/>
                <w:szCs w:val="20"/>
              </w:rPr>
            </w:pPr>
            <w:r>
              <w:rPr>
                <w:sz w:val="20"/>
                <w:szCs w:val="20"/>
              </w:rPr>
              <w:t>N/A</w:t>
            </w:r>
          </w:p>
        </w:tc>
      </w:tr>
    </w:tbl>
    <w:p w14:paraId="4ADC5EE8" w14:textId="77777777" w:rsidR="001D0640" w:rsidRPr="002055D4" w:rsidRDefault="001D0640" w:rsidP="60E67443">
      <w:pPr>
        <w:rPr>
          <w:sz w:val="20"/>
          <w:szCs w:val="20"/>
        </w:rPr>
      </w:pPr>
    </w:p>
    <w:tbl>
      <w:tblPr>
        <w:tblStyle w:val="TableGrid"/>
        <w:tblpPr w:leftFromText="180" w:rightFromText="180" w:vertAnchor="text" w:horzAnchor="page" w:tblpX="1325" w:tblpY="-10"/>
        <w:tblOverlap w:val="never"/>
        <w:tblW w:w="9351" w:type="dxa"/>
        <w:tblLook w:val="04A0" w:firstRow="1" w:lastRow="0" w:firstColumn="1" w:lastColumn="0" w:noHBand="0" w:noVBand="1"/>
      </w:tblPr>
      <w:tblGrid>
        <w:gridCol w:w="4957"/>
        <w:gridCol w:w="2268"/>
        <w:gridCol w:w="2126"/>
      </w:tblGrid>
      <w:tr w:rsidR="002055D4" w:rsidRPr="002055D4" w14:paraId="3C4BAB1F" w14:textId="77777777" w:rsidTr="00742C51">
        <w:trPr>
          <w:trHeight w:val="273"/>
        </w:trPr>
        <w:tc>
          <w:tcPr>
            <w:tcW w:w="49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189898" w14:textId="77777777" w:rsidR="001D0640" w:rsidRPr="002055D4" w:rsidRDefault="6A9D4121" w:rsidP="60E67443">
            <w:pPr>
              <w:rPr>
                <w:b/>
                <w:bCs/>
                <w:sz w:val="20"/>
                <w:szCs w:val="20"/>
              </w:rPr>
            </w:pPr>
            <w:r w:rsidRPr="60E67443">
              <w:rPr>
                <w:b/>
                <w:bCs/>
                <w:sz w:val="20"/>
                <w:szCs w:val="20"/>
              </w:rPr>
              <w:t>Indicator(s)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A2F83A" w14:textId="343F3BFD" w:rsidR="001D0640" w:rsidRPr="002055D4" w:rsidRDefault="00742C51" w:rsidP="60E67443">
            <w:pPr>
              <w:rPr>
                <w:b/>
                <w:bCs/>
                <w:sz w:val="20"/>
                <w:szCs w:val="20"/>
              </w:rPr>
            </w:pPr>
            <w:r>
              <w:rPr>
                <w:b/>
                <w:bCs/>
                <w:sz w:val="20"/>
                <w:szCs w:val="20"/>
              </w:rPr>
              <w:t>2020</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19BBEF" w14:textId="1BDE51EA" w:rsidR="001D0640" w:rsidRPr="002055D4" w:rsidRDefault="00742C51" w:rsidP="60E67443">
            <w:pPr>
              <w:rPr>
                <w:b/>
                <w:bCs/>
                <w:sz w:val="20"/>
                <w:szCs w:val="20"/>
              </w:rPr>
            </w:pPr>
            <w:r>
              <w:rPr>
                <w:b/>
                <w:bCs/>
                <w:sz w:val="20"/>
                <w:szCs w:val="20"/>
              </w:rPr>
              <w:t>2021</w:t>
            </w:r>
            <w:r w:rsidR="6A9D4121" w:rsidRPr="60E67443">
              <w:rPr>
                <w:b/>
                <w:bCs/>
                <w:sz w:val="20"/>
                <w:szCs w:val="20"/>
              </w:rPr>
              <w:t xml:space="preserve"> </w:t>
            </w:r>
          </w:p>
        </w:tc>
      </w:tr>
      <w:tr w:rsidR="002055D4" w:rsidRPr="002055D4" w14:paraId="47842D76" w14:textId="77777777" w:rsidTr="00742C51">
        <w:tc>
          <w:tcPr>
            <w:tcW w:w="4957" w:type="dxa"/>
            <w:tcBorders>
              <w:top w:val="single" w:sz="4" w:space="0" w:color="auto"/>
              <w:left w:val="single" w:sz="4" w:space="0" w:color="auto"/>
              <w:bottom w:val="single" w:sz="4" w:space="0" w:color="auto"/>
              <w:right w:val="single" w:sz="4" w:space="0" w:color="auto"/>
            </w:tcBorders>
          </w:tcPr>
          <w:p w14:paraId="3DF0A24C" w14:textId="31F8EE09" w:rsidR="001D0640" w:rsidRPr="002055D4" w:rsidRDefault="0DA050A5" w:rsidP="60E67443">
            <w:pPr>
              <w:rPr>
                <w:sz w:val="20"/>
                <w:szCs w:val="20"/>
              </w:rPr>
            </w:pPr>
            <w:r w:rsidRPr="60E67443">
              <w:rPr>
                <w:sz w:val="20"/>
                <w:szCs w:val="20"/>
              </w:rPr>
              <w:t>4.1 Reports on LDN Fund results shared in public domain</w:t>
            </w:r>
          </w:p>
        </w:tc>
        <w:tc>
          <w:tcPr>
            <w:tcW w:w="2268" w:type="dxa"/>
            <w:tcBorders>
              <w:top w:val="single" w:sz="4" w:space="0" w:color="auto"/>
              <w:left w:val="single" w:sz="4" w:space="0" w:color="auto"/>
              <w:bottom w:val="single" w:sz="4" w:space="0" w:color="auto"/>
              <w:right w:val="single" w:sz="4" w:space="0" w:color="auto"/>
            </w:tcBorders>
          </w:tcPr>
          <w:p w14:paraId="52197DF4" w14:textId="08A968A8" w:rsidR="001D0640" w:rsidRPr="002055D4" w:rsidRDefault="00742C51" w:rsidP="60E67443">
            <w:pPr>
              <w:rPr>
                <w:sz w:val="20"/>
                <w:szCs w:val="20"/>
              </w:rPr>
            </w:pPr>
            <w:r>
              <w:rPr>
                <w:sz w:val="20"/>
                <w:szCs w:val="20"/>
              </w:rPr>
              <w:t>3</w:t>
            </w:r>
          </w:p>
          <w:p w14:paraId="538F15E0" w14:textId="5941A323" w:rsidR="001D0640" w:rsidRPr="002055D4" w:rsidRDefault="001D0640" w:rsidP="60E67443"/>
        </w:tc>
        <w:tc>
          <w:tcPr>
            <w:tcW w:w="2126" w:type="dxa"/>
            <w:tcBorders>
              <w:top w:val="single" w:sz="4" w:space="0" w:color="auto"/>
              <w:left w:val="single" w:sz="4" w:space="0" w:color="auto"/>
              <w:bottom w:val="single" w:sz="4" w:space="0" w:color="auto"/>
              <w:right w:val="single" w:sz="4" w:space="0" w:color="auto"/>
            </w:tcBorders>
          </w:tcPr>
          <w:p w14:paraId="33470B2B" w14:textId="648D26E3" w:rsidR="001D0640" w:rsidRPr="002055D4" w:rsidRDefault="004625BE" w:rsidP="60E67443">
            <w:pPr>
              <w:rPr>
                <w:sz w:val="20"/>
                <w:szCs w:val="20"/>
              </w:rPr>
            </w:pPr>
            <w:r>
              <w:rPr>
                <w:sz w:val="20"/>
                <w:szCs w:val="20"/>
              </w:rPr>
              <w:t>5</w:t>
            </w:r>
          </w:p>
        </w:tc>
      </w:tr>
      <w:tr w:rsidR="002055D4" w:rsidRPr="002055D4" w14:paraId="51E4FF3B" w14:textId="77777777" w:rsidTr="00742C51">
        <w:tc>
          <w:tcPr>
            <w:tcW w:w="4957" w:type="dxa"/>
            <w:tcBorders>
              <w:top w:val="single" w:sz="4" w:space="0" w:color="auto"/>
              <w:left w:val="single" w:sz="4" w:space="0" w:color="auto"/>
              <w:bottom w:val="single" w:sz="4" w:space="0" w:color="auto"/>
              <w:right w:val="single" w:sz="4" w:space="0" w:color="auto"/>
            </w:tcBorders>
          </w:tcPr>
          <w:p w14:paraId="34D0F497" w14:textId="10B4F28B" w:rsidR="001D0640" w:rsidRPr="002055D4" w:rsidRDefault="0DA050A5" w:rsidP="60E67443">
            <w:pPr>
              <w:rPr>
                <w:sz w:val="20"/>
                <w:szCs w:val="20"/>
              </w:rPr>
            </w:pPr>
            <w:r w:rsidRPr="60E67443">
              <w:rPr>
                <w:sz w:val="20"/>
                <w:szCs w:val="20"/>
              </w:rPr>
              <w:t>4</w:t>
            </w:r>
            <w:r w:rsidR="6A9D4121" w:rsidRPr="60E67443">
              <w:rPr>
                <w:sz w:val="20"/>
                <w:szCs w:val="20"/>
              </w:rPr>
              <w:t>.2</w:t>
            </w:r>
            <w:r w:rsidRPr="60E67443">
              <w:rPr>
                <w:sz w:val="20"/>
                <w:szCs w:val="20"/>
              </w:rPr>
              <w:t xml:space="preserve"> Number of external events hosted by LDN Fund, LDN Facility and project partners.</w:t>
            </w:r>
          </w:p>
        </w:tc>
        <w:tc>
          <w:tcPr>
            <w:tcW w:w="2268" w:type="dxa"/>
            <w:tcBorders>
              <w:top w:val="single" w:sz="4" w:space="0" w:color="auto"/>
              <w:left w:val="single" w:sz="4" w:space="0" w:color="auto"/>
              <w:bottom w:val="single" w:sz="4" w:space="0" w:color="auto"/>
              <w:right w:val="single" w:sz="4" w:space="0" w:color="auto"/>
            </w:tcBorders>
          </w:tcPr>
          <w:p w14:paraId="4F440DD6" w14:textId="0F2C668C" w:rsidR="001D0640" w:rsidRPr="002055D4" w:rsidRDefault="00742C51" w:rsidP="60E67443">
            <w:pPr>
              <w:rPr>
                <w:sz w:val="20"/>
                <w:szCs w:val="20"/>
              </w:rPr>
            </w:pPr>
            <w:r>
              <w:rPr>
                <w:sz w:val="20"/>
                <w:szCs w:val="20"/>
              </w:rPr>
              <w:t>4</w:t>
            </w:r>
          </w:p>
        </w:tc>
        <w:tc>
          <w:tcPr>
            <w:tcW w:w="2126" w:type="dxa"/>
            <w:tcBorders>
              <w:top w:val="single" w:sz="4" w:space="0" w:color="auto"/>
              <w:left w:val="single" w:sz="4" w:space="0" w:color="auto"/>
              <w:bottom w:val="single" w:sz="4" w:space="0" w:color="auto"/>
              <w:right w:val="single" w:sz="4" w:space="0" w:color="auto"/>
            </w:tcBorders>
          </w:tcPr>
          <w:p w14:paraId="00D3A170" w14:textId="3E374DF8" w:rsidR="001D0640" w:rsidRPr="002055D4" w:rsidRDefault="190560C6" w:rsidP="60E67443">
            <w:pPr>
              <w:rPr>
                <w:sz w:val="20"/>
                <w:szCs w:val="20"/>
              </w:rPr>
            </w:pPr>
            <w:r w:rsidRPr="60E67443">
              <w:rPr>
                <w:sz w:val="20"/>
                <w:szCs w:val="20"/>
              </w:rPr>
              <w:t>6</w:t>
            </w:r>
          </w:p>
        </w:tc>
      </w:tr>
    </w:tbl>
    <w:p w14:paraId="056ED5C6" w14:textId="6F633D70" w:rsidR="00354FC3" w:rsidRPr="002055D4" w:rsidRDefault="00354FC3" w:rsidP="00354FC3">
      <w:pPr>
        <w:rPr>
          <w:color w:val="FF0000"/>
          <w:sz w:val="20"/>
          <w:szCs w:val="20"/>
        </w:rPr>
      </w:pPr>
    </w:p>
    <w:p w14:paraId="7D386C55" w14:textId="58F4ADB8" w:rsidR="00984094" w:rsidRPr="00742C51" w:rsidRDefault="00984094" w:rsidP="60E67443">
      <w:pPr>
        <w:pStyle w:val="ListParagraph"/>
        <w:numPr>
          <w:ilvl w:val="0"/>
          <w:numId w:val="33"/>
        </w:numPr>
        <w:rPr>
          <w:rFonts w:eastAsiaTheme="minorEastAsia" w:cs="Arial"/>
          <w:sz w:val="22"/>
          <w:szCs w:val="22"/>
        </w:rPr>
      </w:pPr>
      <w:r w:rsidRPr="00742C51">
        <w:rPr>
          <w:rFonts w:eastAsiaTheme="minorEastAsia" w:cs="Arial"/>
          <w:sz w:val="22"/>
          <w:szCs w:val="22"/>
        </w:rPr>
        <w:t>The LDN Fund team were involved in several initiatives, conferences, and publications with a view to raising awareness and sharing experience on investment in sustainable land use throughout 2021.</w:t>
      </w:r>
    </w:p>
    <w:p w14:paraId="0036F95C" w14:textId="50BC9BE5" w:rsidR="00E75614" w:rsidRPr="00742C51" w:rsidRDefault="71A1B709" w:rsidP="60E67443">
      <w:pPr>
        <w:pStyle w:val="ListParagraph"/>
        <w:numPr>
          <w:ilvl w:val="0"/>
          <w:numId w:val="33"/>
        </w:numPr>
        <w:rPr>
          <w:rFonts w:eastAsiaTheme="minorEastAsia" w:cs="Arial"/>
          <w:color w:val="FF0000"/>
          <w:sz w:val="22"/>
          <w:szCs w:val="22"/>
        </w:rPr>
      </w:pPr>
      <w:r w:rsidRPr="00742C51">
        <w:rPr>
          <w:rFonts w:cs="Arial"/>
          <w:sz w:val="22"/>
          <w:szCs w:val="22"/>
        </w:rPr>
        <w:t>For indicator 4.1 for</w:t>
      </w:r>
      <w:r w:rsidR="4F7AEE4D" w:rsidRPr="00742C51">
        <w:rPr>
          <w:rFonts w:cs="Arial"/>
          <w:sz w:val="22"/>
          <w:szCs w:val="22"/>
        </w:rPr>
        <w:t xml:space="preserve"> 2021 the reports were the Fund’s 2020 Impact report, and various reports on the LDN insights website</w:t>
      </w:r>
    </w:p>
    <w:p w14:paraId="2102668C" w14:textId="50C05024" w:rsidR="00A97998" w:rsidRDefault="42798075" w:rsidP="60E67443">
      <w:pPr>
        <w:pStyle w:val="ListParagraph"/>
        <w:numPr>
          <w:ilvl w:val="0"/>
          <w:numId w:val="15"/>
        </w:numPr>
        <w:rPr>
          <w:color w:val="000000" w:themeColor="text1"/>
          <w:sz w:val="22"/>
          <w:szCs w:val="22"/>
        </w:rPr>
      </w:pPr>
      <w:r w:rsidRPr="00742C51">
        <w:rPr>
          <w:rFonts w:cs="Arial"/>
          <w:sz w:val="22"/>
          <w:szCs w:val="22"/>
        </w:rPr>
        <w:t>For indicator 4.2 the assumption is that events will lead to an increased uptake of best-practice approaches used by the</w:t>
      </w:r>
      <w:r w:rsidRPr="60E67443">
        <w:rPr>
          <w:sz w:val="22"/>
          <w:szCs w:val="22"/>
        </w:rPr>
        <w:t xml:space="preserve"> LDN fund, and indeed that the LDN Fund is using best practice in its approach to funding large-scale SLM projects. In 2021 the events comprised:</w:t>
      </w:r>
    </w:p>
    <w:p w14:paraId="1004ABD0" w14:textId="2FD56220" w:rsidR="59FFEEDC" w:rsidRDefault="4F7AEE4D" w:rsidP="60E67443">
      <w:pPr>
        <w:pStyle w:val="ListParagraph"/>
        <w:numPr>
          <w:ilvl w:val="1"/>
          <w:numId w:val="15"/>
        </w:numPr>
        <w:rPr>
          <w:rFonts w:asciiTheme="minorHAnsi" w:eastAsiaTheme="minorEastAsia" w:hAnsiTheme="minorHAnsi" w:cstheme="minorBidi"/>
          <w:color w:val="000000" w:themeColor="text1"/>
          <w:sz w:val="22"/>
          <w:szCs w:val="22"/>
        </w:rPr>
      </w:pPr>
      <w:r w:rsidRPr="60E67443">
        <w:rPr>
          <w:sz w:val="22"/>
          <w:szCs w:val="22"/>
        </w:rPr>
        <w:t>UNCCD Cric 19</w:t>
      </w:r>
    </w:p>
    <w:p w14:paraId="2C95396E" w14:textId="44C42B95" w:rsidR="59FFEEDC" w:rsidRDefault="4F7AEE4D" w:rsidP="60E67443">
      <w:pPr>
        <w:pStyle w:val="ListParagraph"/>
        <w:numPr>
          <w:ilvl w:val="1"/>
          <w:numId w:val="15"/>
        </w:numPr>
        <w:rPr>
          <w:rFonts w:asciiTheme="minorHAnsi" w:eastAsiaTheme="minorEastAsia" w:hAnsiTheme="minorHAnsi" w:cstheme="minorBidi"/>
          <w:sz w:val="22"/>
          <w:szCs w:val="22"/>
        </w:rPr>
      </w:pPr>
      <w:r w:rsidRPr="60E67443">
        <w:rPr>
          <w:sz w:val="22"/>
          <w:szCs w:val="22"/>
        </w:rPr>
        <w:t>Presentation at Mobilizing Private Investment in the Great Green Wall (UNCCD)</w:t>
      </w:r>
    </w:p>
    <w:p w14:paraId="50BCFEF0" w14:textId="18A25E4B" w:rsidR="59FFEEDC" w:rsidRDefault="4F7AEE4D" w:rsidP="60E67443">
      <w:pPr>
        <w:pStyle w:val="ListParagraph"/>
        <w:numPr>
          <w:ilvl w:val="1"/>
          <w:numId w:val="15"/>
        </w:numPr>
        <w:rPr>
          <w:rFonts w:asciiTheme="minorHAnsi" w:eastAsiaTheme="minorEastAsia" w:hAnsiTheme="minorHAnsi" w:cstheme="minorBidi"/>
          <w:sz w:val="22"/>
          <w:szCs w:val="22"/>
        </w:rPr>
      </w:pPr>
      <w:r w:rsidRPr="60E67443">
        <w:rPr>
          <w:sz w:val="22"/>
          <w:szCs w:val="22"/>
        </w:rPr>
        <w:t>Presentation at GLF Africa Digital Conference</w:t>
      </w:r>
    </w:p>
    <w:p w14:paraId="301E211B" w14:textId="585CB463" w:rsidR="59FFEEDC" w:rsidRDefault="4F7AEE4D" w:rsidP="60E67443">
      <w:pPr>
        <w:pStyle w:val="ListParagraph"/>
        <w:numPr>
          <w:ilvl w:val="1"/>
          <w:numId w:val="15"/>
        </w:numPr>
        <w:rPr>
          <w:rFonts w:asciiTheme="minorHAnsi" w:eastAsiaTheme="minorEastAsia" w:hAnsiTheme="minorHAnsi" w:cstheme="minorBidi"/>
          <w:sz w:val="22"/>
          <w:szCs w:val="22"/>
        </w:rPr>
      </w:pPr>
      <w:r w:rsidRPr="60E67443">
        <w:rPr>
          <w:sz w:val="22"/>
          <w:szCs w:val="22"/>
        </w:rPr>
        <w:t>Presentation at ESKEN Webinar Series 2021- Demonstrating Positive Environmental and Social Impact of Sustainable Land-Use Finance</w:t>
      </w:r>
    </w:p>
    <w:p w14:paraId="72071259" w14:textId="3109532B" w:rsidR="59FFEEDC" w:rsidRDefault="4F7AEE4D" w:rsidP="60E67443">
      <w:pPr>
        <w:pStyle w:val="ListParagraph"/>
        <w:numPr>
          <w:ilvl w:val="1"/>
          <w:numId w:val="15"/>
        </w:numPr>
        <w:rPr>
          <w:rFonts w:asciiTheme="minorHAnsi" w:eastAsiaTheme="minorEastAsia" w:hAnsiTheme="minorHAnsi" w:cstheme="minorBidi"/>
          <w:sz w:val="22"/>
          <w:szCs w:val="22"/>
        </w:rPr>
      </w:pPr>
      <w:r w:rsidRPr="60E67443">
        <w:rPr>
          <w:sz w:val="22"/>
          <w:szCs w:val="22"/>
        </w:rPr>
        <w:t>Participation in two panels at IUCN World Conservation Congress Marseille</w:t>
      </w:r>
    </w:p>
    <w:p w14:paraId="1FFEF9EB" w14:textId="1CBC7779" w:rsidR="59FFEEDC" w:rsidRDefault="4F7AEE4D" w:rsidP="60E67443">
      <w:pPr>
        <w:pStyle w:val="ListParagraph"/>
        <w:numPr>
          <w:ilvl w:val="1"/>
          <w:numId w:val="15"/>
        </w:numPr>
        <w:rPr>
          <w:rFonts w:asciiTheme="minorHAnsi" w:eastAsiaTheme="minorEastAsia" w:hAnsiTheme="minorHAnsi" w:cstheme="minorBidi"/>
          <w:color w:val="FF0000"/>
          <w:sz w:val="22"/>
          <w:szCs w:val="22"/>
        </w:rPr>
      </w:pPr>
      <w:r w:rsidRPr="60E67443">
        <w:rPr>
          <w:sz w:val="22"/>
          <w:szCs w:val="22"/>
        </w:rPr>
        <w:t>Participation at the High-Level Session on Nature-based Finance during COP26 in Glasgow</w:t>
      </w:r>
    </w:p>
    <w:p w14:paraId="3D7E97DE" w14:textId="3BC1745C" w:rsidR="19713D79" w:rsidRDefault="19713D79" w:rsidP="60E67443">
      <w:pPr>
        <w:pStyle w:val="ListParagraph"/>
        <w:numPr>
          <w:ilvl w:val="0"/>
          <w:numId w:val="3"/>
        </w:numPr>
        <w:rPr>
          <w:sz w:val="22"/>
          <w:szCs w:val="22"/>
        </w:rPr>
      </w:pPr>
      <w:r w:rsidRPr="60E67443">
        <w:rPr>
          <w:rFonts w:eastAsia="Arial" w:cs="Arial"/>
          <w:sz w:val="22"/>
          <w:szCs w:val="22"/>
        </w:rPr>
        <w:t xml:space="preserve">The </w:t>
      </w:r>
      <w:r w:rsidR="66B32750" w:rsidRPr="60E67443">
        <w:rPr>
          <w:rFonts w:eastAsia="Arial" w:cs="Arial"/>
          <w:sz w:val="22"/>
          <w:szCs w:val="22"/>
        </w:rPr>
        <w:t>19</w:t>
      </w:r>
      <w:r w:rsidR="66B32750" w:rsidRPr="60E67443">
        <w:rPr>
          <w:rFonts w:eastAsia="Arial" w:cs="Arial"/>
          <w:sz w:val="22"/>
          <w:szCs w:val="22"/>
          <w:vertAlign w:val="superscript"/>
        </w:rPr>
        <w:t>th</w:t>
      </w:r>
      <w:r w:rsidR="66B32750" w:rsidRPr="60E67443">
        <w:rPr>
          <w:rFonts w:eastAsia="Arial" w:cs="Arial"/>
          <w:sz w:val="22"/>
          <w:szCs w:val="22"/>
        </w:rPr>
        <w:t xml:space="preserve"> </w:t>
      </w:r>
      <w:r w:rsidRPr="60E67443">
        <w:rPr>
          <w:rFonts w:eastAsia="Arial" w:cs="Arial"/>
          <w:sz w:val="22"/>
          <w:szCs w:val="22"/>
        </w:rPr>
        <w:t xml:space="preserve">session of the Committee for the Review of the Implementation of the Convention (CRIC 19) to the UNCCD was organized online from 15 to 19 March 2021. The CRIC 19 reviewed the effective implementation of the Convention at national, subregional and regional levels including updates on the voluntary land degradation neutrality target setting process, operationalization of the Land Degradation Neutrality Fund and implementation of the Drought Initiative. </w:t>
      </w:r>
      <w:proofErr w:type="spellStart"/>
      <w:r w:rsidRPr="60E67443">
        <w:rPr>
          <w:rFonts w:eastAsia="Arial" w:cs="Arial"/>
          <w:sz w:val="22"/>
          <w:szCs w:val="22"/>
        </w:rPr>
        <w:t>Mirova</w:t>
      </w:r>
      <w:proofErr w:type="spellEnd"/>
      <w:r w:rsidRPr="60E67443">
        <w:rPr>
          <w:rFonts w:eastAsia="Arial" w:cs="Arial"/>
          <w:sz w:val="22"/>
          <w:szCs w:val="22"/>
        </w:rPr>
        <w:t xml:space="preserve"> jointly with IDH participated to meetings to present the progress of the fund and discuss with national focal points and civil society organization to maximise synergies.</w:t>
      </w:r>
    </w:p>
    <w:p w14:paraId="7FFC7BC6" w14:textId="1C17B29D" w:rsidR="19713D79" w:rsidRDefault="19713D79" w:rsidP="60E67443">
      <w:pPr>
        <w:pStyle w:val="ListParagraph"/>
        <w:numPr>
          <w:ilvl w:val="0"/>
          <w:numId w:val="3"/>
        </w:numPr>
        <w:rPr>
          <w:sz w:val="22"/>
          <w:szCs w:val="22"/>
        </w:rPr>
      </w:pPr>
      <w:r w:rsidRPr="60E67443">
        <w:rPr>
          <w:rFonts w:eastAsia="Arial" w:cs="Arial"/>
          <w:sz w:val="22"/>
          <w:szCs w:val="22"/>
        </w:rPr>
        <w:t xml:space="preserve">Mobilizing Private Investment in the Great Green Wall - </w:t>
      </w:r>
      <w:proofErr w:type="spellStart"/>
      <w:r w:rsidRPr="60E67443">
        <w:rPr>
          <w:rFonts w:eastAsia="Arial" w:cs="Arial"/>
          <w:sz w:val="22"/>
          <w:szCs w:val="22"/>
        </w:rPr>
        <w:t>Mirova</w:t>
      </w:r>
      <w:proofErr w:type="spellEnd"/>
      <w:r w:rsidRPr="60E67443">
        <w:rPr>
          <w:rFonts w:eastAsia="Arial" w:cs="Arial"/>
          <w:sz w:val="22"/>
          <w:szCs w:val="22"/>
        </w:rPr>
        <w:t xml:space="preserve"> and IDH hosted several sessions during the conference organized by IUCN on private investment in the Great Green Wall, held from 23 to 25 March 2021. The aim of the conference was to connect diverse groups of actors, to share experiences, promote innovation, and stimulate investment in the Great Green Wall. The conference explored ways to strengthen the participation of women, youth and marginalized groups in entrepreneurial activities.</w:t>
      </w:r>
    </w:p>
    <w:p w14:paraId="383AC39A" w14:textId="477699BB" w:rsidR="19713D79" w:rsidRDefault="19713D79" w:rsidP="60E67443">
      <w:pPr>
        <w:pStyle w:val="ListParagraph"/>
        <w:numPr>
          <w:ilvl w:val="0"/>
          <w:numId w:val="3"/>
        </w:numPr>
        <w:rPr>
          <w:rFonts w:eastAsia="Arial" w:cs="Arial"/>
          <w:b/>
          <w:bCs/>
          <w:sz w:val="22"/>
          <w:szCs w:val="22"/>
        </w:rPr>
      </w:pPr>
      <w:proofErr w:type="spellStart"/>
      <w:r w:rsidRPr="60E67443">
        <w:rPr>
          <w:rFonts w:eastAsia="Arial" w:cs="Arial"/>
          <w:sz w:val="22"/>
          <w:szCs w:val="22"/>
        </w:rPr>
        <w:t>Mirova</w:t>
      </w:r>
      <w:proofErr w:type="spellEnd"/>
      <w:r w:rsidRPr="60E67443">
        <w:rPr>
          <w:rFonts w:eastAsia="Arial" w:cs="Arial"/>
          <w:sz w:val="22"/>
          <w:szCs w:val="22"/>
        </w:rPr>
        <w:t xml:space="preserve"> actively participated to several panels and discussions at the IUCN World Conservation </w:t>
      </w:r>
      <w:proofErr w:type="gramStart"/>
      <w:r w:rsidRPr="60E67443">
        <w:rPr>
          <w:rFonts w:eastAsia="Arial" w:cs="Arial"/>
          <w:sz w:val="22"/>
          <w:szCs w:val="22"/>
        </w:rPr>
        <w:t>Congress, and</w:t>
      </w:r>
      <w:proofErr w:type="gramEnd"/>
      <w:r w:rsidRPr="60E67443">
        <w:rPr>
          <w:rFonts w:eastAsia="Arial" w:cs="Arial"/>
          <w:sz w:val="22"/>
          <w:szCs w:val="22"/>
        </w:rPr>
        <w:t xml:space="preserve"> underlined the necessity for cooperation and dialogue between all stakeholders. Gautier </w:t>
      </w:r>
      <w:proofErr w:type="spellStart"/>
      <w:r w:rsidRPr="60E67443">
        <w:rPr>
          <w:rFonts w:eastAsia="Arial" w:cs="Arial"/>
          <w:sz w:val="22"/>
          <w:szCs w:val="22"/>
        </w:rPr>
        <w:t>Quéru</w:t>
      </w:r>
      <w:proofErr w:type="spellEnd"/>
      <w:r w:rsidRPr="60E67443">
        <w:rPr>
          <w:rFonts w:eastAsia="Arial" w:cs="Arial"/>
          <w:sz w:val="22"/>
          <w:szCs w:val="22"/>
        </w:rPr>
        <w:t xml:space="preserve">, LDN Fund Director participated </w:t>
      </w:r>
      <w:proofErr w:type="gramStart"/>
      <w:r w:rsidRPr="60E67443">
        <w:rPr>
          <w:rFonts w:eastAsia="Arial" w:cs="Arial"/>
          <w:sz w:val="22"/>
          <w:szCs w:val="22"/>
        </w:rPr>
        <w:t>to  two</w:t>
      </w:r>
      <w:proofErr w:type="gramEnd"/>
      <w:r w:rsidRPr="60E67443">
        <w:rPr>
          <w:rFonts w:eastAsia="Arial" w:cs="Arial"/>
          <w:sz w:val="22"/>
          <w:szCs w:val="22"/>
        </w:rPr>
        <w:t xml:space="preserve"> panels, on Land Degradation Neutrality and how to develop investable deals for private finance.</w:t>
      </w:r>
    </w:p>
    <w:p w14:paraId="08A17E6B" w14:textId="39C0FAAE" w:rsidR="19713D79" w:rsidRDefault="19713D79" w:rsidP="60E67443">
      <w:pPr>
        <w:pStyle w:val="ListParagraph"/>
        <w:numPr>
          <w:ilvl w:val="0"/>
          <w:numId w:val="3"/>
        </w:numPr>
        <w:rPr>
          <w:sz w:val="22"/>
          <w:szCs w:val="22"/>
        </w:rPr>
      </w:pPr>
      <w:proofErr w:type="spellStart"/>
      <w:r w:rsidRPr="60E67443">
        <w:rPr>
          <w:rFonts w:eastAsia="Arial" w:cs="Arial"/>
          <w:sz w:val="22"/>
          <w:szCs w:val="22"/>
        </w:rPr>
        <w:lastRenderedPageBreak/>
        <w:t>Mirova</w:t>
      </w:r>
      <w:proofErr w:type="spellEnd"/>
      <w:r w:rsidRPr="60E67443">
        <w:rPr>
          <w:rFonts w:eastAsia="Arial" w:cs="Arial"/>
          <w:sz w:val="22"/>
          <w:szCs w:val="22"/>
        </w:rPr>
        <w:t xml:space="preserve"> took part of the discussions and initiatives during COP26. The Fund believe that sharing and challenging </w:t>
      </w:r>
      <w:proofErr w:type="gramStart"/>
      <w:r w:rsidRPr="60E67443">
        <w:rPr>
          <w:rFonts w:eastAsia="Arial" w:cs="Arial"/>
          <w:sz w:val="22"/>
          <w:szCs w:val="22"/>
        </w:rPr>
        <w:t>it’s</w:t>
      </w:r>
      <w:proofErr w:type="gramEnd"/>
      <w:r w:rsidRPr="60E67443">
        <w:rPr>
          <w:rFonts w:eastAsia="Arial" w:cs="Arial"/>
          <w:sz w:val="22"/>
          <w:szCs w:val="22"/>
        </w:rPr>
        <w:t xml:space="preserve"> vision with stakeholders can contribute to advancing the collective thinking on climate change, inequality, the energy transition and the Fund’s innovative approach to the natural capital asset class. The Fund Manager acted as speaker at the High-Level Session on Nature-based Finance at Nature Pavilion on November 3 and on the side-event on ’How to Unlock Barriers to Scaling-up Climate Finance for more Transformative </w:t>
      </w:r>
      <w:proofErr w:type="gramStart"/>
      <w:r w:rsidRPr="60E67443">
        <w:rPr>
          <w:rFonts w:eastAsia="Arial" w:cs="Arial"/>
          <w:sz w:val="22"/>
          <w:szCs w:val="22"/>
        </w:rPr>
        <w:t>Finance‘ on</w:t>
      </w:r>
      <w:proofErr w:type="gramEnd"/>
      <w:r w:rsidRPr="60E67443">
        <w:rPr>
          <w:rFonts w:eastAsia="Arial" w:cs="Arial"/>
          <w:sz w:val="22"/>
          <w:szCs w:val="22"/>
        </w:rPr>
        <w:t xml:space="preserve"> November 6.</w:t>
      </w:r>
    </w:p>
    <w:p w14:paraId="3CFE01A6" w14:textId="2F57C65F" w:rsidR="37DAFE1E" w:rsidRPr="00742C51" w:rsidRDefault="37DAFE1E" w:rsidP="60E67443">
      <w:pPr>
        <w:pStyle w:val="ListParagraph"/>
        <w:numPr>
          <w:ilvl w:val="0"/>
          <w:numId w:val="3"/>
        </w:numPr>
        <w:rPr>
          <w:rFonts w:eastAsiaTheme="minorEastAsia" w:cs="Arial"/>
          <w:sz w:val="22"/>
          <w:szCs w:val="22"/>
        </w:rPr>
      </w:pPr>
      <w:r w:rsidRPr="00742C51">
        <w:rPr>
          <w:rFonts w:eastAsiaTheme="minorEastAsia" w:cs="Arial"/>
          <w:sz w:val="22"/>
          <w:szCs w:val="22"/>
        </w:rPr>
        <w:t xml:space="preserve">In relation to output 4 but not covered directly by either </w:t>
      </w:r>
      <w:proofErr w:type="gramStart"/>
      <w:r w:rsidRPr="00742C51">
        <w:rPr>
          <w:rFonts w:eastAsiaTheme="minorEastAsia" w:cs="Arial"/>
          <w:sz w:val="22"/>
          <w:szCs w:val="22"/>
        </w:rPr>
        <w:t>indicators</w:t>
      </w:r>
      <w:proofErr w:type="gramEnd"/>
      <w:r w:rsidRPr="00742C51">
        <w:rPr>
          <w:rFonts w:eastAsiaTheme="minorEastAsia" w:cs="Arial"/>
          <w:sz w:val="22"/>
          <w:szCs w:val="22"/>
        </w:rPr>
        <w:t xml:space="preserve">, in 2021 the Natural Capital Investment Alliance was established by His Royal Highness the Prince of Wales under his Sustainable Markets Initiative. The Alliance aims to accelerate the development of Natural Capital as an investment theme and to engage the investment management industry and mobilise this private capital efficiently and effectively for Natural Capital opportunities. </w:t>
      </w:r>
      <w:proofErr w:type="spellStart"/>
      <w:r w:rsidRPr="00742C51">
        <w:rPr>
          <w:rFonts w:eastAsiaTheme="minorEastAsia" w:cs="Arial"/>
          <w:sz w:val="22"/>
          <w:szCs w:val="22"/>
        </w:rPr>
        <w:t>Mirova</w:t>
      </w:r>
      <w:proofErr w:type="spellEnd"/>
      <w:r w:rsidRPr="00742C51">
        <w:rPr>
          <w:rFonts w:eastAsiaTheme="minorEastAsia" w:cs="Arial"/>
          <w:sz w:val="22"/>
          <w:szCs w:val="22"/>
        </w:rPr>
        <w:t xml:space="preserve"> is one of the Founding Partners.</w:t>
      </w:r>
    </w:p>
    <w:p w14:paraId="6B57292A" w14:textId="77777777" w:rsidR="00E75614" w:rsidRPr="002055D4" w:rsidRDefault="00E75614" w:rsidP="006F3AE7">
      <w:pPr>
        <w:rPr>
          <w:color w:val="FF0000"/>
          <w:sz w:val="20"/>
          <w:szCs w:val="22"/>
        </w:rPr>
      </w:pPr>
    </w:p>
    <w:p w14:paraId="272C4998" w14:textId="125E4F0E" w:rsidR="006F3AE7" w:rsidRPr="002055D4" w:rsidRDefault="25B96BF8" w:rsidP="60E67443">
      <w:pPr>
        <w:pBdr>
          <w:top w:val="single" w:sz="4" w:space="1" w:color="auto"/>
          <w:left w:val="single" w:sz="4" w:space="4" w:color="auto"/>
          <w:bottom w:val="single" w:sz="4" w:space="1" w:color="auto"/>
          <w:right w:val="single" w:sz="4" w:space="4" w:color="auto"/>
        </w:pBdr>
        <w:shd w:val="clear" w:color="auto" w:fill="D9E2F3" w:themeFill="accent1" w:themeFillTint="33"/>
        <w:rPr>
          <w:rFonts w:cs="Arial"/>
          <w:sz w:val="20"/>
          <w:szCs w:val="20"/>
        </w:rPr>
      </w:pPr>
      <w:r w:rsidRPr="60E67443">
        <w:rPr>
          <w:rFonts w:cs="Arial"/>
          <w:b/>
          <w:bCs/>
          <w:sz w:val="28"/>
          <w:szCs w:val="28"/>
        </w:rPr>
        <w:t xml:space="preserve">D: RISK </w:t>
      </w:r>
    </w:p>
    <w:p w14:paraId="778B24D0" w14:textId="77777777" w:rsidR="006F3AE7" w:rsidRPr="002055D4" w:rsidRDefault="006F3AE7" w:rsidP="60E67443">
      <w:pPr>
        <w:rPr>
          <w:b/>
          <w:bCs/>
          <w:sz w:val="22"/>
          <w:szCs w:val="22"/>
        </w:rPr>
      </w:pPr>
    </w:p>
    <w:p w14:paraId="274110C9" w14:textId="02D37DFE" w:rsidR="006F3AE7" w:rsidRPr="002055D4" w:rsidRDefault="25B96BF8" w:rsidP="60E67443">
      <w:pPr>
        <w:rPr>
          <w:rFonts w:cs="Arial"/>
          <w:sz w:val="20"/>
          <w:szCs w:val="20"/>
        </w:rPr>
      </w:pPr>
      <w:r w:rsidRPr="60E67443">
        <w:rPr>
          <w:b/>
          <w:bCs/>
          <w:sz w:val="22"/>
          <w:szCs w:val="22"/>
        </w:rPr>
        <w:t xml:space="preserve">Overview of </w:t>
      </w:r>
      <w:r w:rsidR="2869F992" w:rsidRPr="60E67443">
        <w:rPr>
          <w:b/>
          <w:bCs/>
          <w:sz w:val="22"/>
          <w:szCs w:val="22"/>
        </w:rPr>
        <w:t>risk management</w:t>
      </w:r>
    </w:p>
    <w:p w14:paraId="0F197605" w14:textId="5EC33BDF" w:rsidR="215E1B44" w:rsidRPr="002055D4" w:rsidRDefault="215E1B44" w:rsidP="60E67443"/>
    <w:p w14:paraId="27A725B9" w14:textId="67E93E14" w:rsidR="215E1B44" w:rsidRDefault="48BDD0DD" w:rsidP="60E67443">
      <w:pPr>
        <w:tabs>
          <w:tab w:val="left" w:pos="720"/>
        </w:tabs>
        <w:rPr>
          <w:rFonts w:eastAsia="Arial" w:cs="Arial"/>
          <w:sz w:val="22"/>
          <w:szCs w:val="22"/>
        </w:rPr>
      </w:pPr>
      <w:r w:rsidRPr="00742C51">
        <w:rPr>
          <w:rFonts w:eastAsia="Arial" w:cs="Arial"/>
          <w:sz w:val="22"/>
          <w:szCs w:val="22"/>
          <w:u w:val="single"/>
          <w:lang w:val="en-US"/>
        </w:rPr>
        <w:t>Project identification / Risk assessment</w:t>
      </w:r>
      <w:r w:rsidRPr="00742C51">
        <w:rPr>
          <w:rFonts w:eastAsia="Arial" w:cs="Arial"/>
          <w:sz w:val="22"/>
          <w:szCs w:val="22"/>
          <w:lang w:val="en-US"/>
        </w:rPr>
        <w:t xml:space="preserve">: as part of the inputs and barriers targeted for key output, </w:t>
      </w:r>
      <w:proofErr w:type="spellStart"/>
      <w:r w:rsidRPr="00742C51">
        <w:rPr>
          <w:rFonts w:eastAsia="Arial" w:cs="Arial"/>
          <w:sz w:val="22"/>
          <w:szCs w:val="22"/>
          <w:lang w:val="en-US"/>
        </w:rPr>
        <w:t>Mirova</w:t>
      </w:r>
      <w:proofErr w:type="spellEnd"/>
      <w:r w:rsidRPr="00742C51">
        <w:rPr>
          <w:rFonts w:eastAsia="Arial" w:cs="Arial"/>
          <w:sz w:val="22"/>
          <w:szCs w:val="22"/>
          <w:lang w:val="en-US"/>
        </w:rPr>
        <w:t xml:space="preserve"> has developed a</w:t>
      </w:r>
      <w:r w:rsidR="0056714C">
        <w:rPr>
          <w:rFonts w:eastAsia="Arial" w:cs="Arial"/>
          <w:sz w:val="22"/>
          <w:szCs w:val="22"/>
          <w:lang w:val="en-US"/>
        </w:rPr>
        <w:t xml:space="preserve"> strong</w:t>
      </w:r>
      <w:r w:rsidRPr="00742C51">
        <w:rPr>
          <w:rFonts w:eastAsia="Arial" w:cs="Arial"/>
          <w:sz w:val="22"/>
          <w:szCs w:val="22"/>
          <w:lang w:val="en-US"/>
        </w:rPr>
        <w:t xml:space="preserve"> investment process to screen projects and assess the corresponding risks and opportunities. </w:t>
      </w:r>
      <w:r w:rsidR="4633ED82" w:rsidRPr="00742C51">
        <w:rPr>
          <w:rFonts w:eastAsia="Arial" w:cs="Arial"/>
          <w:sz w:val="22"/>
          <w:szCs w:val="22"/>
          <w:lang w:val="en-US"/>
        </w:rPr>
        <w:t>Specifically</w:t>
      </w:r>
      <w:r w:rsidRPr="00742C51">
        <w:rPr>
          <w:rFonts w:eastAsia="Arial" w:cs="Arial"/>
          <w:sz w:val="22"/>
          <w:szCs w:val="22"/>
          <w:lang w:val="en-US"/>
        </w:rPr>
        <w:t xml:space="preserve">, </w:t>
      </w:r>
      <w:proofErr w:type="spellStart"/>
      <w:r w:rsidRPr="00742C51">
        <w:rPr>
          <w:rFonts w:eastAsia="Arial" w:cs="Arial"/>
          <w:sz w:val="22"/>
          <w:szCs w:val="22"/>
          <w:lang w:val="en-US"/>
        </w:rPr>
        <w:t>Mirova</w:t>
      </w:r>
      <w:proofErr w:type="spellEnd"/>
      <w:r w:rsidRPr="00742C51">
        <w:rPr>
          <w:rFonts w:eastAsia="Arial" w:cs="Arial"/>
          <w:sz w:val="22"/>
          <w:szCs w:val="22"/>
          <w:lang w:val="en-US"/>
        </w:rPr>
        <w:t xml:space="preserve"> has developed a risk rating tool, specific to SLM and land restoration projects. The rating is used at investment committee level before the investment is made, but also after the investment is made for the valuation of the corresponding investment</w:t>
      </w:r>
      <w:r w:rsidR="0056714C">
        <w:rPr>
          <w:rFonts w:eastAsia="Arial" w:cs="Arial"/>
          <w:sz w:val="22"/>
          <w:szCs w:val="22"/>
          <w:lang w:val="en-US"/>
        </w:rPr>
        <w:t xml:space="preserve">. </w:t>
      </w:r>
      <w:r w:rsidR="4633ED82" w:rsidRPr="00742C51">
        <w:rPr>
          <w:rFonts w:eastAsia="Arial" w:cs="Arial"/>
          <w:sz w:val="22"/>
          <w:szCs w:val="22"/>
        </w:rPr>
        <w:t>The</w:t>
      </w:r>
      <w:r w:rsidR="693B6545" w:rsidRPr="00742C51">
        <w:rPr>
          <w:rFonts w:eastAsia="Arial" w:cs="Arial"/>
          <w:sz w:val="22"/>
          <w:szCs w:val="22"/>
        </w:rPr>
        <w:t xml:space="preserve"> Fund itself assesses each potential investment project against Environmental, Social and Governance (ESG) risk and minimal performance criteria. ESG assessments are based on the </w:t>
      </w:r>
      <w:hyperlink r:id="rId19">
        <w:proofErr w:type="spellStart"/>
        <w:r w:rsidR="693B6545" w:rsidRPr="00742C51">
          <w:rPr>
            <w:rStyle w:val="Hyperlink"/>
            <w:rFonts w:eastAsia="Arial" w:cs="Arial"/>
            <w:color w:val="auto"/>
            <w:sz w:val="22"/>
            <w:szCs w:val="22"/>
          </w:rPr>
          <w:t>Mirova</w:t>
        </w:r>
        <w:proofErr w:type="spellEnd"/>
        <w:r w:rsidR="693B6545" w:rsidRPr="00742C51">
          <w:rPr>
            <w:rStyle w:val="Hyperlink"/>
            <w:rFonts w:eastAsia="Arial" w:cs="Arial"/>
            <w:color w:val="auto"/>
            <w:sz w:val="22"/>
            <w:szCs w:val="22"/>
          </w:rPr>
          <w:t xml:space="preserve"> Natural Capital ESG Policy</w:t>
        </w:r>
      </w:hyperlink>
      <w:r w:rsidR="693B6545" w:rsidRPr="00742C51">
        <w:rPr>
          <w:rFonts w:eastAsia="Arial" w:cs="Arial"/>
          <w:sz w:val="22"/>
          <w:szCs w:val="22"/>
        </w:rPr>
        <w:t xml:space="preserve"> and the </w:t>
      </w:r>
      <w:hyperlink r:id="rId20">
        <w:r w:rsidR="693B6545" w:rsidRPr="00742C51">
          <w:rPr>
            <w:rStyle w:val="Hyperlink"/>
            <w:rFonts w:eastAsia="Arial" w:cs="Arial"/>
            <w:color w:val="auto"/>
            <w:sz w:val="22"/>
            <w:szCs w:val="22"/>
          </w:rPr>
          <w:t>LDN Fund ESG Annex</w:t>
        </w:r>
      </w:hyperlink>
      <w:r w:rsidR="693B6545" w:rsidRPr="00742C51">
        <w:rPr>
          <w:rFonts w:eastAsia="Arial" w:cs="Arial"/>
          <w:sz w:val="22"/>
          <w:szCs w:val="22"/>
        </w:rPr>
        <w:t xml:space="preserve"> that state the Fund’s commitments in terms of ESG performance. More information on the selection and investment process of the Fund can be found </w:t>
      </w:r>
      <w:hyperlink r:id="rId21">
        <w:r w:rsidR="693B6545" w:rsidRPr="00742C51">
          <w:rPr>
            <w:rStyle w:val="Hyperlink"/>
            <w:rFonts w:eastAsia="Arial" w:cs="Arial"/>
            <w:color w:val="auto"/>
            <w:sz w:val="22"/>
            <w:szCs w:val="22"/>
          </w:rPr>
          <w:t>here</w:t>
        </w:r>
      </w:hyperlink>
      <w:r w:rsidR="693B6545" w:rsidRPr="00742C51">
        <w:rPr>
          <w:rFonts w:eastAsia="Arial" w:cs="Arial"/>
          <w:sz w:val="22"/>
          <w:szCs w:val="22"/>
        </w:rPr>
        <w:t xml:space="preserve">. These policies state that all projects should comply with </w:t>
      </w:r>
      <w:hyperlink r:id="rId22">
        <w:r w:rsidR="693B6545" w:rsidRPr="00742C51">
          <w:rPr>
            <w:rStyle w:val="Hyperlink"/>
            <w:rFonts w:eastAsia="Arial" w:cs="Arial"/>
            <w:color w:val="auto"/>
            <w:sz w:val="22"/>
            <w:szCs w:val="22"/>
          </w:rPr>
          <w:t>IFC Performance Standards</w:t>
        </w:r>
      </w:hyperlink>
      <w:r w:rsidR="693B6545" w:rsidRPr="00742C51">
        <w:rPr>
          <w:rFonts w:eastAsia="Arial" w:cs="Arial"/>
          <w:sz w:val="22"/>
          <w:szCs w:val="22"/>
        </w:rPr>
        <w:t xml:space="preserve">, as well as achieving E&amp;S certifications when relevant, and some complementary requirements including a safeguarding policy and </w:t>
      </w:r>
      <w:r w:rsidR="4633ED82" w:rsidRPr="00742C51">
        <w:rPr>
          <w:rFonts w:eastAsia="Arial" w:cs="Arial"/>
          <w:sz w:val="22"/>
          <w:szCs w:val="22"/>
        </w:rPr>
        <w:t>compliance</w:t>
      </w:r>
      <w:r w:rsidR="693B6545" w:rsidRPr="00742C51">
        <w:rPr>
          <w:rFonts w:eastAsia="Arial" w:cs="Arial"/>
          <w:sz w:val="22"/>
          <w:szCs w:val="22"/>
        </w:rPr>
        <w:t xml:space="preserve"> mechanism. An exclusion list also clarifies the activities that will not be supported by the LDN Fund.</w:t>
      </w:r>
    </w:p>
    <w:p w14:paraId="557243FC" w14:textId="1BA6F06B" w:rsidR="00284ADB" w:rsidRDefault="00284ADB" w:rsidP="60E67443">
      <w:pPr>
        <w:tabs>
          <w:tab w:val="left" w:pos="720"/>
        </w:tabs>
        <w:rPr>
          <w:rFonts w:eastAsia="Arial" w:cs="Arial"/>
          <w:sz w:val="22"/>
          <w:szCs w:val="22"/>
        </w:rPr>
      </w:pPr>
    </w:p>
    <w:p w14:paraId="756E9B0E" w14:textId="77777777" w:rsidR="00284ADB" w:rsidRPr="00742C51" w:rsidRDefault="00284ADB" w:rsidP="00284ADB">
      <w:pPr>
        <w:tabs>
          <w:tab w:val="left" w:pos="720"/>
        </w:tabs>
        <w:rPr>
          <w:rFonts w:eastAsia="Arial" w:cs="Arial"/>
          <w:sz w:val="22"/>
          <w:szCs w:val="22"/>
        </w:rPr>
      </w:pPr>
      <w:r>
        <w:rPr>
          <w:rFonts w:eastAsia="Arial" w:cs="Arial"/>
          <w:sz w:val="22"/>
          <w:szCs w:val="22"/>
        </w:rPr>
        <w:t xml:space="preserve">The Risk Rating for the programme is assessed at ‘Moderate’ for 2021, as this is still a relatively new programme for Defra, showing good progress in </w:t>
      </w:r>
      <w:proofErr w:type="gramStart"/>
      <w:r>
        <w:rPr>
          <w:rFonts w:eastAsia="Arial" w:cs="Arial"/>
          <w:sz w:val="22"/>
          <w:szCs w:val="22"/>
        </w:rPr>
        <w:t>a number of</w:t>
      </w:r>
      <w:proofErr w:type="gramEnd"/>
      <w:r>
        <w:rPr>
          <w:rFonts w:eastAsia="Arial" w:cs="Arial"/>
          <w:sz w:val="22"/>
          <w:szCs w:val="22"/>
        </w:rPr>
        <w:t xml:space="preserve"> areas including successful raising of private and public capital, but in the early stages of translating that into climate and nature impacts. If progress continues to be good in </w:t>
      </w:r>
      <w:proofErr w:type="gramStart"/>
      <w:r>
        <w:rPr>
          <w:rFonts w:eastAsia="Arial" w:cs="Arial"/>
          <w:sz w:val="22"/>
          <w:szCs w:val="22"/>
        </w:rPr>
        <w:t>2022</w:t>
      </w:r>
      <w:proofErr w:type="gramEnd"/>
      <w:r>
        <w:rPr>
          <w:rFonts w:eastAsia="Arial" w:cs="Arial"/>
          <w:sz w:val="22"/>
          <w:szCs w:val="22"/>
        </w:rPr>
        <w:t xml:space="preserve"> we anticipate downgrading the risk rating in future.</w:t>
      </w:r>
    </w:p>
    <w:p w14:paraId="08619BEB" w14:textId="06C1353A" w:rsidR="58A27B8A" w:rsidRPr="002055D4" w:rsidRDefault="58A27B8A" w:rsidP="58A27B8A">
      <w:pPr>
        <w:rPr>
          <w:rFonts w:cs="Arial"/>
          <w:color w:val="FF0000"/>
          <w:sz w:val="20"/>
          <w:szCs w:val="20"/>
        </w:rPr>
      </w:pPr>
    </w:p>
    <w:p w14:paraId="55A04E3E" w14:textId="6175BC66" w:rsidR="00742C51" w:rsidRPr="002055D4" w:rsidRDefault="00742C51" w:rsidP="00742C51">
      <w:pPr>
        <w:pBdr>
          <w:top w:val="single" w:sz="4" w:space="1" w:color="auto"/>
          <w:left w:val="single" w:sz="4" w:space="4" w:color="auto"/>
          <w:bottom w:val="single" w:sz="4" w:space="1" w:color="auto"/>
          <w:right w:val="single" w:sz="4" w:space="4" w:color="auto"/>
        </w:pBdr>
        <w:shd w:val="clear" w:color="auto" w:fill="D9E2F3" w:themeFill="accent1" w:themeFillTint="33"/>
        <w:rPr>
          <w:rFonts w:cs="Arial"/>
          <w:sz w:val="20"/>
          <w:szCs w:val="20"/>
        </w:rPr>
      </w:pPr>
      <w:r>
        <w:rPr>
          <w:rFonts w:cs="Arial"/>
          <w:b/>
          <w:bCs/>
          <w:sz w:val="28"/>
          <w:szCs w:val="28"/>
        </w:rPr>
        <w:t>E</w:t>
      </w:r>
      <w:r w:rsidRPr="00742C51">
        <w:rPr>
          <w:b/>
          <w:bCs/>
          <w:sz w:val="28"/>
          <w:szCs w:val="28"/>
        </w:rPr>
        <w:t>: PROGRAMME MANAGEMENT: DELIVERY, COMMERCIAL &amp; FINANCIAL PERFORMANCE</w:t>
      </w:r>
    </w:p>
    <w:p w14:paraId="6905FBF8" w14:textId="77777777" w:rsidR="00E031A6" w:rsidRDefault="00E031A6" w:rsidP="00E031A6">
      <w:pPr>
        <w:pStyle w:val="Normal1"/>
        <w:spacing w:after="120"/>
        <w:rPr>
          <w:rFonts w:eastAsia="Calibri"/>
          <w:b/>
          <w:bCs/>
          <w:sz w:val="20"/>
          <w:szCs w:val="20"/>
          <w:u w:val="single"/>
        </w:rPr>
      </w:pPr>
      <w:bookmarkStart w:id="3" w:name="_Hlk117002439"/>
    </w:p>
    <w:p w14:paraId="390EAC0C" w14:textId="4CEE3221" w:rsidR="00E031A6" w:rsidRPr="00E031A6" w:rsidRDefault="00E031A6" w:rsidP="00E031A6">
      <w:pPr>
        <w:pStyle w:val="Normal1"/>
        <w:spacing w:after="120"/>
        <w:rPr>
          <w:rFonts w:eastAsia="Calibri"/>
          <w:b/>
          <w:bCs/>
          <w:sz w:val="22"/>
          <w:szCs w:val="22"/>
        </w:rPr>
      </w:pPr>
      <w:r w:rsidRPr="00E031A6">
        <w:rPr>
          <w:rFonts w:eastAsia="Calibri"/>
          <w:b/>
          <w:bCs/>
          <w:sz w:val="22"/>
          <w:szCs w:val="22"/>
          <w:u w:val="single"/>
        </w:rPr>
        <w:t xml:space="preserve">Does programme progress demonstrate </w:t>
      </w:r>
      <w:proofErr w:type="spellStart"/>
      <w:r w:rsidRPr="00E031A6">
        <w:rPr>
          <w:rFonts w:eastAsia="Calibri"/>
          <w:b/>
          <w:bCs/>
          <w:sz w:val="22"/>
          <w:szCs w:val="22"/>
          <w:u w:val="single"/>
        </w:rPr>
        <w:t>VfM</w:t>
      </w:r>
      <w:proofErr w:type="spellEnd"/>
      <w:r w:rsidRPr="00E031A6">
        <w:rPr>
          <w:rFonts w:eastAsia="Calibri"/>
          <w:b/>
          <w:bCs/>
          <w:sz w:val="22"/>
          <w:szCs w:val="22"/>
          <w:u w:val="single"/>
        </w:rPr>
        <w:t>?</w:t>
      </w:r>
    </w:p>
    <w:p w14:paraId="02EB1EFB" w14:textId="77777777" w:rsidR="00E031A6" w:rsidRPr="00E031A6" w:rsidRDefault="00E031A6" w:rsidP="00E031A6">
      <w:pPr>
        <w:pStyle w:val="Normal1"/>
        <w:spacing w:after="120"/>
        <w:jc w:val="both"/>
        <w:rPr>
          <w:rFonts w:eastAsia="Calibri"/>
          <w:sz w:val="22"/>
          <w:szCs w:val="22"/>
        </w:rPr>
      </w:pPr>
      <w:r w:rsidRPr="00E031A6">
        <w:rPr>
          <w:rFonts w:eastAsia="Calibri"/>
          <w:sz w:val="22"/>
          <w:szCs w:val="22"/>
        </w:rPr>
        <w:t>Since the approval of the Business Case there has been no evidence that the economic arguments in favour of selecting option 1.3 in the business case where £10m of the total £22.6m was invested into the LDN have changed, nor has there been any significant changes in the design of the programme that will preclude it from delivering value for money.</w:t>
      </w:r>
    </w:p>
    <w:p w14:paraId="111035C3" w14:textId="6D056485" w:rsidR="00E031A6" w:rsidRPr="00E031A6" w:rsidRDefault="00E031A6" w:rsidP="00E031A6">
      <w:pPr>
        <w:pStyle w:val="Normal1"/>
        <w:spacing w:after="120"/>
        <w:jc w:val="both"/>
        <w:rPr>
          <w:rFonts w:eastAsia="Calibri"/>
          <w:sz w:val="22"/>
          <w:szCs w:val="22"/>
        </w:rPr>
      </w:pPr>
      <w:r w:rsidRPr="00E031A6">
        <w:rPr>
          <w:rFonts w:eastAsia="Calibri"/>
          <w:sz w:val="22"/>
          <w:szCs w:val="22"/>
        </w:rPr>
        <w:t xml:space="preserve">As per standard practice, </w:t>
      </w:r>
      <w:proofErr w:type="spellStart"/>
      <w:r w:rsidRPr="00E031A6">
        <w:rPr>
          <w:rFonts w:eastAsia="Calibri"/>
          <w:sz w:val="22"/>
          <w:szCs w:val="22"/>
        </w:rPr>
        <w:t>VfM</w:t>
      </w:r>
      <w:proofErr w:type="spellEnd"/>
      <w:r w:rsidRPr="00E031A6">
        <w:rPr>
          <w:rFonts w:eastAsia="Calibri"/>
          <w:sz w:val="22"/>
          <w:szCs w:val="22"/>
        </w:rPr>
        <w:t xml:space="preserve"> assessments compare current progress of the programme outputs (see Table 1) against the Programme Business Case. In addition to this approach, quantitative metrics have been developed to track the Funds progress in each of the sections (Economy, Efficiency, Effectiveness and Equity) to allow for comparisons between ARs</w:t>
      </w:r>
      <w:r w:rsidR="00867B7E">
        <w:rPr>
          <w:rFonts w:eastAsia="Calibri"/>
          <w:sz w:val="22"/>
          <w:szCs w:val="22"/>
        </w:rPr>
        <w:t>.</w:t>
      </w:r>
    </w:p>
    <w:p w14:paraId="35EB449F" w14:textId="77777777" w:rsidR="00E031A6" w:rsidRPr="00E031A6" w:rsidRDefault="00E031A6" w:rsidP="00E031A6">
      <w:pPr>
        <w:pStyle w:val="Normal1"/>
        <w:spacing w:after="120"/>
        <w:jc w:val="both"/>
        <w:rPr>
          <w:rFonts w:eastAsia="Calibri"/>
          <w:b/>
          <w:bCs/>
          <w:sz w:val="20"/>
          <w:szCs w:val="20"/>
        </w:rPr>
      </w:pPr>
    </w:p>
    <w:p w14:paraId="1DB45CE2" w14:textId="77777777" w:rsidR="00E031A6" w:rsidRPr="00E031A6" w:rsidRDefault="00E031A6" w:rsidP="00E031A6">
      <w:pPr>
        <w:pStyle w:val="Normal1"/>
        <w:spacing w:after="120"/>
        <w:jc w:val="both"/>
        <w:rPr>
          <w:rFonts w:eastAsia="Calibri"/>
          <w:b/>
          <w:bCs/>
          <w:iCs/>
          <w:sz w:val="20"/>
          <w:szCs w:val="20"/>
          <w:u w:val="single"/>
        </w:rPr>
      </w:pPr>
      <w:r w:rsidRPr="00E031A6">
        <w:rPr>
          <w:rFonts w:eastAsia="Calibri"/>
          <w:b/>
          <w:bCs/>
          <w:iCs/>
          <w:sz w:val="20"/>
          <w:szCs w:val="20"/>
          <w:u w:val="single"/>
        </w:rPr>
        <w:t xml:space="preserve">Table </w:t>
      </w:r>
      <w:r w:rsidRPr="00E031A6">
        <w:rPr>
          <w:rFonts w:eastAsia="Calibri"/>
          <w:b/>
          <w:bCs/>
          <w:iCs/>
          <w:sz w:val="20"/>
          <w:szCs w:val="20"/>
          <w:u w:val="single"/>
        </w:rPr>
        <w:fldChar w:fldCharType="begin"/>
      </w:r>
      <w:r w:rsidRPr="00E031A6">
        <w:rPr>
          <w:rFonts w:eastAsia="Calibri"/>
          <w:b/>
          <w:bCs/>
          <w:iCs/>
          <w:sz w:val="20"/>
          <w:szCs w:val="20"/>
          <w:u w:val="single"/>
        </w:rPr>
        <w:instrText xml:space="preserve"> SEQ Table \* ARABIC </w:instrText>
      </w:r>
      <w:r w:rsidRPr="00E031A6">
        <w:rPr>
          <w:rFonts w:eastAsia="Calibri"/>
          <w:b/>
          <w:bCs/>
          <w:iCs/>
          <w:sz w:val="20"/>
          <w:szCs w:val="20"/>
          <w:u w:val="single"/>
        </w:rPr>
        <w:fldChar w:fldCharType="separate"/>
      </w:r>
      <w:r w:rsidRPr="00E031A6">
        <w:rPr>
          <w:rFonts w:eastAsia="Calibri"/>
          <w:b/>
          <w:bCs/>
          <w:iCs/>
          <w:sz w:val="20"/>
          <w:szCs w:val="20"/>
          <w:u w:val="single"/>
        </w:rPr>
        <w:t>1</w:t>
      </w:r>
      <w:r w:rsidRPr="00E031A6">
        <w:rPr>
          <w:rFonts w:eastAsia="Calibri"/>
          <w:b/>
          <w:bCs/>
          <w:sz w:val="20"/>
          <w:szCs w:val="20"/>
        </w:rPr>
        <w:fldChar w:fldCharType="end"/>
      </w:r>
      <w:r w:rsidRPr="00E031A6">
        <w:rPr>
          <w:rFonts w:eastAsia="Calibri"/>
          <w:b/>
          <w:bCs/>
          <w:iCs/>
          <w:sz w:val="20"/>
          <w:szCs w:val="20"/>
          <w:u w:val="single"/>
        </w:rPr>
        <w:t xml:space="preserve"> - LDN Outputs</w:t>
      </w:r>
    </w:p>
    <w:tbl>
      <w:tblPr>
        <w:tblW w:w="9015" w:type="dxa"/>
        <w:tblLayout w:type="fixed"/>
        <w:tblLook w:val="04A0" w:firstRow="1" w:lastRow="0" w:firstColumn="1" w:lastColumn="0" w:noHBand="0" w:noVBand="1"/>
      </w:tblPr>
      <w:tblGrid>
        <w:gridCol w:w="1142"/>
        <w:gridCol w:w="5229"/>
        <w:gridCol w:w="2644"/>
      </w:tblGrid>
      <w:tr w:rsidR="00E031A6" w:rsidRPr="00E031A6" w14:paraId="4287F32E" w14:textId="77777777" w:rsidTr="00F97230">
        <w:trPr>
          <w:trHeight w:val="480"/>
        </w:trPr>
        <w:tc>
          <w:tcPr>
            <w:tcW w:w="114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B5C0AC4" w14:textId="77777777" w:rsidR="00E031A6" w:rsidRPr="00E031A6" w:rsidRDefault="00E031A6" w:rsidP="00E031A6">
            <w:pPr>
              <w:pStyle w:val="Normal1"/>
              <w:spacing w:after="120"/>
              <w:jc w:val="both"/>
              <w:rPr>
                <w:rFonts w:eastAsia="Calibri"/>
                <w:b/>
                <w:bCs/>
                <w:i/>
                <w:iCs/>
                <w:sz w:val="20"/>
                <w:szCs w:val="20"/>
              </w:rPr>
            </w:pPr>
            <w:r w:rsidRPr="00E031A6">
              <w:rPr>
                <w:rFonts w:eastAsia="Calibri"/>
                <w:b/>
                <w:bCs/>
                <w:i/>
                <w:iCs/>
                <w:sz w:val="20"/>
                <w:szCs w:val="20"/>
              </w:rPr>
              <w:lastRenderedPageBreak/>
              <w:t>Output #</w:t>
            </w:r>
          </w:p>
        </w:tc>
        <w:tc>
          <w:tcPr>
            <w:tcW w:w="522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15D1AE" w14:textId="77777777" w:rsidR="00E031A6" w:rsidRPr="00E031A6" w:rsidRDefault="00E031A6" w:rsidP="00E031A6">
            <w:pPr>
              <w:pStyle w:val="Normal1"/>
              <w:spacing w:after="120"/>
              <w:jc w:val="both"/>
              <w:rPr>
                <w:rFonts w:eastAsia="Calibri"/>
                <w:b/>
                <w:bCs/>
                <w:i/>
                <w:iCs/>
                <w:sz w:val="20"/>
                <w:szCs w:val="20"/>
              </w:rPr>
            </w:pPr>
            <w:r w:rsidRPr="00E031A6">
              <w:rPr>
                <w:rFonts w:eastAsia="Calibri"/>
                <w:b/>
                <w:bCs/>
                <w:i/>
                <w:iCs/>
                <w:sz w:val="20"/>
                <w:szCs w:val="20"/>
              </w:rPr>
              <w:t>Description</w:t>
            </w:r>
          </w:p>
        </w:tc>
        <w:tc>
          <w:tcPr>
            <w:tcW w:w="264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19B6D6" w14:textId="77777777" w:rsidR="00E031A6" w:rsidRPr="00E031A6" w:rsidRDefault="00E031A6" w:rsidP="00E031A6">
            <w:pPr>
              <w:pStyle w:val="Normal1"/>
              <w:spacing w:after="120"/>
              <w:rPr>
                <w:rFonts w:eastAsia="Calibri"/>
                <w:b/>
                <w:bCs/>
                <w:i/>
                <w:iCs/>
                <w:sz w:val="20"/>
                <w:szCs w:val="20"/>
              </w:rPr>
            </w:pPr>
            <w:r w:rsidRPr="00E031A6">
              <w:rPr>
                <w:rFonts w:eastAsia="Calibri"/>
                <w:b/>
                <w:bCs/>
                <w:i/>
                <w:iCs/>
                <w:sz w:val="20"/>
                <w:szCs w:val="20"/>
              </w:rPr>
              <w:t xml:space="preserve">How many output indicators have met or exceeded 2021 milestones (%) </w:t>
            </w:r>
          </w:p>
        </w:tc>
      </w:tr>
      <w:tr w:rsidR="00E031A6" w:rsidRPr="00E031A6" w14:paraId="648948C1" w14:textId="77777777" w:rsidTr="00F97230">
        <w:trPr>
          <w:trHeight w:val="480"/>
        </w:trPr>
        <w:tc>
          <w:tcPr>
            <w:tcW w:w="114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488F177" w14:textId="77777777" w:rsidR="00E031A6" w:rsidRPr="00E031A6" w:rsidRDefault="00E031A6" w:rsidP="00E031A6">
            <w:pPr>
              <w:pStyle w:val="Normal1"/>
              <w:spacing w:after="120"/>
              <w:rPr>
                <w:rFonts w:eastAsia="Calibri"/>
                <w:b/>
                <w:bCs/>
                <w:sz w:val="20"/>
                <w:szCs w:val="20"/>
              </w:rPr>
            </w:pPr>
            <w:r w:rsidRPr="00E031A6">
              <w:rPr>
                <w:rFonts w:eastAsia="Calibri"/>
                <w:b/>
                <w:bCs/>
                <w:sz w:val="20"/>
                <w:szCs w:val="20"/>
              </w:rPr>
              <w:t>Output 1</w:t>
            </w:r>
          </w:p>
        </w:tc>
        <w:tc>
          <w:tcPr>
            <w:tcW w:w="522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A4668E" w14:textId="77777777" w:rsidR="00E031A6" w:rsidRPr="00E031A6" w:rsidRDefault="00E031A6" w:rsidP="00E031A6">
            <w:pPr>
              <w:pStyle w:val="Normal1"/>
              <w:spacing w:after="120"/>
              <w:rPr>
                <w:rFonts w:eastAsia="Calibri"/>
                <w:sz w:val="20"/>
                <w:szCs w:val="20"/>
              </w:rPr>
            </w:pPr>
            <w:r w:rsidRPr="00E031A6">
              <w:rPr>
                <w:rFonts w:eastAsia="Calibri"/>
                <w:sz w:val="20"/>
                <w:szCs w:val="20"/>
              </w:rPr>
              <w:t>The LDN Fund provides finance and technical assistance to support successful SLM projects which provide financial returns for investors, sustained benefits for local communities and non-financial benefits on a local, national and global scale.</w:t>
            </w:r>
          </w:p>
        </w:tc>
        <w:tc>
          <w:tcPr>
            <w:tcW w:w="2644" w:type="dxa"/>
            <w:tcBorders>
              <w:top w:val="single" w:sz="6" w:space="0" w:color="auto"/>
              <w:left w:val="single" w:sz="6" w:space="0" w:color="auto"/>
              <w:bottom w:val="single" w:sz="6" w:space="0" w:color="auto"/>
              <w:right w:val="single" w:sz="6" w:space="0" w:color="auto"/>
            </w:tcBorders>
            <w:shd w:val="clear" w:color="auto" w:fill="FFFFFF" w:themeFill="background1"/>
          </w:tcPr>
          <w:p w14:paraId="71FF2708" w14:textId="5EBE00E4" w:rsidR="00E031A6" w:rsidRPr="00E031A6" w:rsidRDefault="00FB05E3" w:rsidP="00E031A6">
            <w:pPr>
              <w:pStyle w:val="Normal1"/>
              <w:spacing w:after="120"/>
              <w:jc w:val="both"/>
              <w:rPr>
                <w:rFonts w:eastAsia="Calibri"/>
                <w:sz w:val="20"/>
                <w:szCs w:val="20"/>
              </w:rPr>
            </w:pPr>
            <w:r>
              <w:rPr>
                <w:rFonts w:eastAsia="Calibri"/>
                <w:sz w:val="20"/>
                <w:szCs w:val="20"/>
              </w:rPr>
              <w:t>N/A</w:t>
            </w:r>
          </w:p>
        </w:tc>
      </w:tr>
      <w:tr w:rsidR="00E031A6" w:rsidRPr="00E031A6" w14:paraId="10605ACE" w14:textId="77777777" w:rsidTr="00F97230">
        <w:trPr>
          <w:trHeight w:val="480"/>
        </w:trPr>
        <w:tc>
          <w:tcPr>
            <w:tcW w:w="114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1B8EEDB" w14:textId="77777777" w:rsidR="00E031A6" w:rsidRPr="00E031A6" w:rsidRDefault="00E031A6" w:rsidP="00E031A6">
            <w:pPr>
              <w:pStyle w:val="Normal1"/>
              <w:spacing w:after="120"/>
              <w:rPr>
                <w:rFonts w:eastAsia="Calibri"/>
                <w:b/>
                <w:bCs/>
                <w:sz w:val="20"/>
                <w:szCs w:val="20"/>
              </w:rPr>
            </w:pPr>
            <w:r w:rsidRPr="00E031A6">
              <w:rPr>
                <w:rFonts w:eastAsia="Calibri"/>
                <w:b/>
                <w:bCs/>
                <w:sz w:val="20"/>
                <w:szCs w:val="20"/>
              </w:rPr>
              <w:t>Output 2 </w:t>
            </w:r>
          </w:p>
        </w:tc>
        <w:tc>
          <w:tcPr>
            <w:tcW w:w="522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EAFF9C3" w14:textId="1970AFD0" w:rsidR="00E031A6" w:rsidRPr="00E031A6" w:rsidRDefault="00E031A6" w:rsidP="00E031A6">
            <w:pPr>
              <w:pStyle w:val="Normal1"/>
              <w:spacing w:after="120"/>
              <w:rPr>
                <w:rFonts w:eastAsia="Calibri"/>
                <w:sz w:val="20"/>
                <w:szCs w:val="20"/>
              </w:rPr>
            </w:pPr>
            <w:r w:rsidRPr="00E031A6">
              <w:rPr>
                <w:rFonts w:eastAsia="Calibri"/>
                <w:sz w:val="20"/>
                <w:szCs w:val="20"/>
              </w:rPr>
              <w:t>Projects supported by the LDN Fund deliver positive environmental outputs on a local, national and global scale</w:t>
            </w:r>
          </w:p>
        </w:tc>
        <w:tc>
          <w:tcPr>
            <w:tcW w:w="2644" w:type="dxa"/>
            <w:tcBorders>
              <w:top w:val="single" w:sz="6" w:space="0" w:color="auto"/>
              <w:left w:val="single" w:sz="6" w:space="0" w:color="auto"/>
              <w:bottom w:val="single" w:sz="6" w:space="0" w:color="auto"/>
              <w:right w:val="single" w:sz="6" w:space="0" w:color="auto"/>
            </w:tcBorders>
            <w:shd w:val="clear" w:color="auto" w:fill="FFFFFF" w:themeFill="background1"/>
          </w:tcPr>
          <w:p w14:paraId="300D7C25" w14:textId="079B91F8" w:rsidR="00E031A6" w:rsidRPr="00E031A6" w:rsidRDefault="00FB05E3" w:rsidP="00E031A6">
            <w:pPr>
              <w:pStyle w:val="Normal1"/>
              <w:spacing w:after="120"/>
              <w:jc w:val="both"/>
              <w:rPr>
                <w:rFonts w:eastAsia="Calibri"/>
                <w:sz w:val="20"/>
                <w:szCs w:val="20"/>
              </w:rPr>
            </w:pPr>
            <w:r>
              <w:rPr>
                <w:rFonts w:eastAsia="Calibri"/>
                <w:sz w:val="20"/>
                <w:szCs w:val="20"/>
              </w:rPr>
              <w:t>N/A</w:t>
            </w:r>
          </w:p>
        </w:tc>
      </w:tr>
      <w:tr w:rsidR="00E031A6" w:rsidRPr="00E031A6" w14:paraId="15285FC9" w14:textId="77777777" w:rsidTr="00F97230">
        <w:trPr>
          <w:trHeight w:val="480"/>
        </w:trPr>
        <w:tc>
          <w:tcPr>
            <w:tcW w:w="114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B884FA0" w14:textId="77777777" w:rsidR="00E031A6" w:rsidRPr="00E031A6" w:rsidRDefault="00E031A6" w:rsidP="00E031A6">
            <w:pPr>
              <w:pStyle w:val="Normal1"/>
              <w:spacing w:after="120"/>
              <w:rPr>
                <w:rFonts w:eastAsia="Calibri"/>
                <w:b/>
                <w:bCs/>
                <w:sz w:val="20"/>
                <w:szCs w:val="20"/>
              </w:rPr>
            </w:pPr>
            <w:r w:rsidRPr="00E031A6">
              <w:rPr>
                <w:rFonts w:eastAsia="Calibri"/>
                <w:b/>
                <w:bCs/>
                <w:sz w:val="20"/>
                <w:szCs w:val="20"/>
              </w:rPr>
              <w:t>Output 3 </w:t>
            </w:r>
          </w:p>
        </w:tc>
        <w:tc>
          <w:tcPr>
            <w:tcW w:w="522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638F35" w14:textId="6C186720" w:rsidR="00E031A6" w:rsidRPr="00E031A6" w:rsidRDefault="00FB05E3" w:rsidP="00E031A6">
            <w:pPr>
              <w:pStyle w:val="Normal1"/>
              <w:spacing w:after="120"/>
              <w:rPr>
                <w:rFonts w:eastAsia="Calibri"/>
                <w:sz w:val="20"/>
                <w:szCs w:val="20"/>
              </w:rPr>
            </w:pPr>
            <w:r w:rsidRPr="00E031A6">
              <w:rPr>
                <w:rFonts w:eastAsia="Calibri"/>
                <w:sz w:val="20"/>
                <w:szCs w:val="20"/>
              </w:rPr>
              <w:t xml:space="preserve">Projects supported by the LDN Fund deliver positive </w:t>
            </w:r>
            <w:r>
              <w:rPr>
                <w:rFonts w:eastAsia="Calibri"/>
                <w:sz w:val="20"/>
                <w:szCs w:val="20"/>
              </w:rPr>
              <w:t>social</w:t>
            </w:r>
            <w:r w:rsidRPr="00E031A6">
              <w:rPr>
                <w:rFonts w:eastAsia="Calibri"/>
                <w:sz w:val="20"/>
                <w:szCs w:val="20"/>
              </w:rPr>
              <w:t xml:space="preserve"> outputs on a local, national and global scale</w:t>
            </w:r>
          </w:p>
        </w:tc>
        <w:tc>
          <w:tcPr>
            <w:tcW w:w="2644" w:type="dxa"/>
            <w:tcBorders>
              <w:top w:val="single" w:sz="6" w:space="0" w:color="auto"/>
              <w:left w:val="single" w:sz="6" w:space="0" w:color="auto"/>
              <w:bottom w:val="single" w:sz="6" w:space="0" w:color="auto"/>
              <w:right w:val="single" w:sz="6" w:space="0" w:color="auto"/>
            </w:tcBorders>
            <w:shd w:val="clear" w:color="auto" w:fill="FFFFFF" w:themeFill="background1"/>
          </w:tcPr>
          <w:p w14:paraId="6179B52D" w14:textId="087A7198" w:rsidR="00E031A6" w:rsidRPr="00E031A6" w:rsidRDefault="00FB05E3" w:rsidP="00E031A6">
            <w:pPr>
              <w:pStyle w:val="Normal1"/>
              <w:spacing w:after="120"/>
              <w:jc w:val="both"/>
              <w:rPr>
                <w:rFonts w:eastAsia="Calibri"/>
                <w:sz w:val="20"/>
                <w:szCs w:val="20"/>
              </w:rPr>
            </w:pPr>
            <w:r>
              <w:rPr>
                <w:rFonts w:eastAsia="Calibri"/>
                <w:sz w:val="20"/>
                <w:szCs w:val="20"/>
              </w:rPr>
              <w:t>N/A</w:t>
            </w:r>
          </w:p>
        </w:tc>
      </w:tr>
      <w:tr w:rsidR="00E031A6" w:rsidRPr="00E031A6" w14:paraId="2771775C" w14:textId="77777777" w:rsidTr="00F97230">
        <w:trPr>
          <w:trHeight w:val="480"/>
        </w:trPr>
        <w:tc>
          <w:tcPr>
            <w:tcW w:w="114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8EF4CBA" w14:textId="77777777" w:rsidR="00E031A6" w:rsidRPr="00E031A6" w:rsidRDefault="00E031A6" w:rsidP="00E031A6">
            <w:pPr>
              <w:pStyle w:val="Normal1"/>
              <w:spacing w:after="120"/>
              <w:rPr>
                <w:rFonts w:eastAsia="Calibri"/>
                <w:b/>
                <w:bCs/>
                <w:sz w:val="20"/>
                <w:szCs w:val="20"/>
              </w:rPr>
            </w:pPr>
            <w:r w:rsidRPr="00E031A6">
              <w:rPr>
                <w:rFonts w:eastAsia="Calibri"/>
                <w:b/>
                <w:bCs/>
                <w:sz w:val="20"/>
                <w:szCs w:val="20"/>
              </w:rPr>
              <w:t>Output 4 </w:t>
            </w:r>
          </w:p>
        </w:tc>
        <w:tc>
          <w:tcPr>
            <w:tcW w:w="522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5F69F1" w14:textId="77777777" w:rsidR="00E031A6" w:rsidRPr="00E031A6" w:rsidRDefault="00E031A6" w:rsidP="00E031A6">
            <w:pPr>
              <w:pStyle w:val="Normal1"/>
              <w:spacing w:after="120"/>
              <w:rPr>
                <w:rFonts w:eastAsia="Calibri"/>
                <w:sz w:val="20"/>
                <w:szCs w:val="20"/>
              </w:rPr>
            </w:pPr>
            <w:r w:rsidRPr="00E031A6">
              <w:rPr>
                <w:rFonts w:eastAsia="Calibri"/>
                <w:sz w:val="20"/>
                <w:szCs w:val="20"/>
              </w:rPr>
              <w:t>The LDN Fund shares best practice with public and private actors focused on a) expanding SLM practices in developing countries, or b) utilising the impact investment fund approach to contribute to meeting SDG, climate change or environmental targets</w:t>
            </w:r>
          </w:p>
        </w:tc>
        <w:tc>
          <w:tcPr>
            <w:tcW w:w="2644" w:type="dxa"/>
            <w:tcBorders>
              <w:top w:val="single" w:sz="6" w:space="0" w:color="auto"/>
              <w:left w:val="single" w:sz="6" w:space="0" w:color="auto"/>
              <w:bottom w:val="single" w:sz="6" w:space="0" w:color="auto"/>
              <w:right w:val="single" w:sz="6" w:space="0" w:color="auto"/>
            </w:tcBorders>
            <w:shd w:val="clear" w:color="auto" w:fill="FFFFFF" w:themeFill="background1"/>
          </w:tcPr>
          <w:p w14:paraId="2A700B62" w14:textId="0FACF27F" w:rsidR="00E031A6" w:rsidRPr="00E031A6" w:rsidRDefault="00FB05E3" w:rsidP="00E031A6">
            <w:pPr>
              <w:pStyle w:val="Normal1"/>
              <w:spacing w:after="120"/>
              <w:jc w:val="both"/>
              <w:rPr>
                <w:rFonts w:eastAsia="Calibri"/>
                <w:sz w:val="20"/>
                <w:szCs w:val="20"/>
              </w:rPr>
            </w:pPr>
            <w:r>
              <w:rPr>
                <w:rFonts w:eastAsia="Calibri"/>
                <w:sz w:val="20"/>
                <w:szCs w:val="20"/>
              </w:rPr>
              <w:t>N/A</w:t>
            </w:r>
          </w:p>
        </w:tc>
      </w:tr>
    </w:tbl>
    <w:p w14:paraId="46FCC635" w14:textId="77777777" w:rsidR="00E031A6" w:rsidRPr="00E031A6" w:rsidRDefault="00E031A6" w:rsidP="00E031A6">
      <w:pPr>
        <w:pStyle w:val="Normal1"/>
        <w:spacing w:after="120"/>
        <w:jc w:val="both"/>
        <w:rPr>
          <w:rFonts w:eastAsia="Calibri"/>
          <w:b/>
          <w:bCs/>
          <w:sz w:val="20"/>
          <w:szCs w:val="20"/>
        </w:rPr>
      </w:pPr>
    </w:p>
    <w:p w14:paraId="6A4CCB86" w14:textId="77777777" w:rsidR="00E031A6" w:rsidRPr="00E031A6" w:rsidRDefault="00E031A6" w:rsidP="00E031A6">
      <w:pPr>
        <w:pStyle w:val="Normal1"/>
        <w:spacing w:after="120"/>
        <w:jc w:val="both"/>
        <w:rPr>
          <w:rFonts w:eastAsia="Calibri"/>
          <w:b/>
          <w:bCs/>
          <w:sz w:val="22"/>
          <w:szCs w:val="22"/>
        </w:rPr>
      </w:pPr>
      <w:r w:rsidRPr="00E031A6">
        <w:rPr>
          <w:rFonts w:eastAsia="Calibri"/>
          <w:b/>
          <w:bCs/>
          <w:sz w:val="22"/>
          <w:szCs w:val="22"/>
        </w:rPr>
        <w:t>Value for Money assessment for Annual Review</w:t>
      </w:r>
    </w:p>
    <w:p w14:paraId="1F28BF94" w14:textId="77777777" w:rsidR="00E031A6" w:rsidRPr="00E031A6" w:rsidRDefault="00E031A6" w:rsidP="00E031A6">
      <w:pPr>
        <w:pStyle w:val="Normal1"/>
        <w:spacing w:after="120"/>
        <w:rPr>
          <w:rFonts w:eastAsia="Calibri"/>
          <w:sz w:val="22"/>
          <w:szCs w:val="22"/>
        </w:rPr>
      </w:pPr>
      <w:r w:rsidRPr="00E031A6">
        <w:rPr>
          <w:rFonts w:eastAsia="Calibri"/>
          <w:sz w:val="22"/>
          <w:szCs w:val="22"/>
        </w:rPr>
        <w:t>The following Value for Money (</w:t>
      </w:r>
      <w:proofErr w:type="spellStart"/>
      <w:r w:rsidRPr="00E031A6">
        <w:rPr>
          <w:rFonts w:eastAsia="Calibri"/>
          <w:sz w:val="22"/>
          <w:szCs w:val="22"/>
        </w:rPr>
        <w:t>Vfm</w:t>
      </w:r>
      <w:proofErr w:type="spellEnd"/>
      <w:r w:rsidRPr="00E031A6">
        <w:rPr>
          <w:rFonts w:eastAsia="Calibri"/>
          <w:sz w:val="22"/>
          <w:szCs w:val="22"/>
        </w:rPr>
        <w:t xml:space="preserve">) assessment has been undertaken consistent with Foreign, Commonwealth &amp; Development Office (FCDO) guidance. This recommends that all programmes are assessed against four </w:t>
      </w:r>
      <w:proofErr w:type="spellStart"/>
      <w:r w:rsidRPr="00E031A6">
        <w:rPr>
          <w:rFonts w:eastAsia="Calibri"/>
          <w:sz w:val="22"/>
          <w:szCs w:val="22"/>
        </w:rPr>
        <w:t>VfM</w:t>
      </w:r>
      <w:proofErr w:type="spellEnd"/>
      <w:r w:rsidRPr="00E031A6">
        <w:rPr>
          <w:rFonts w:eastAsia="Calibri"/>
          <w:sz w:val="22"/>
          <w:szCs w:val="22"/>
        </w:rPr>
        <w:t xml:space="preserve"> categories: </w:t>
      </w:r>
    </w:p>
    <w:p w14:paraId="794A59D1" w14:textId="77777777" w:rsidR="00E031A6" w:rsidRPr="00E031A6" w:rsidRDefault="00E031A6" w:rsidP="00E031A6">
      <w:pPr>
        <w:pStyle w:val="Normal1"/>
        <w:numPr>
          <w:ilvl w:val="0"/>
          <w:numId w:val="39"/>
        </w:numPr>
        <w:spacing w:after="120"/>
        <w:rPr>
          <w:rFonts w:eastAsia="Calibri"/>
          <w:sz w:val="22"/>
          <w:szCs w:val="22"/>
        </w:rPr>
      </w:pPr>
      <w:r w:rsidRPr="00E031A6">
        <w:rPr>
          <w:rFonts w:eastAsia="Calibri"/>
          <w:sz w:val="22"/>
          <w:szCs w:val="22"/>
        </w:rPr>
        <w:t>Economy - Are we (or our agents) buying inputs of the appropriate quality at the right price?</w:t>
      </w:r>
    </w:p>
    <w:p w14:paraId="3464AAF3" w14:textId="77777777" w:rsidR="00E031A6" w:rsidRPr="00E031A6" w:rsidRDefault="00E031A6" w:rsidP="00E031A6">
      <w:pPr>
        <w:pStyle w:val="Normal1"/>
        <w:numPr>
          <w:ilvl w:val="0"/>
          <w:numId w:val="39"/>
        </w:numPr>
        <w:spacing w:after="120"/>
        <w:rPr>
          <w:rFonts w:eastAsia="Calibri"/>
          <w:sz w:val="22"/>
          <w:szCs w:val="22"/>
        </w:rPr>
      </w:pPr>
      <w:r w:rsidRPr="00E031A6">
        <w:rPr>
          <w:rFonts w:eastAsia="Calibri"/>
          <w:sz w:val="22"/>
          <w:szCs w:val="22"/>
        </w:rPr>
        <w:t>Efficiency –How well are we (or our agents) converting inputs into outputs? (‘Spending well’)</w:t>
      </w:r>
    </w:p>
    <w:p w14:paraId="14FF0838" w14:textId="77777777" w:rsidR="00E031A6" w:rsidRPr="00E031A6" w:rsidRDefault="00E031A6" w:rsidP="00E031A6">
      <w:pPr>
        <w:pStyle w:val="Normal1"/>
        <w:numPr>
          <w:ilvl w:val="0"/>
          <w:numId w:val="39"/>
        </w:numPr>
        <w:spacing w:after="120"/>
        <w:rPr>
          <w:rFonts w:eastAsia="Calibri"/>
          <w:sz w:val="22"/>
          <w:szCs w:val="22"/>
        </w:rPr>
      </w:pPr>
      <w:r w:rsidRPr="00E031A6">
        <w:rPr>
          <w:rFonts w:eastAsia="Calibri"/>
          <w:sz w:val="22"/>
          <w:szCs w:val="22"/>
        </w:rPr>
        <w:t>Effectiveness –How well are the outputs produced by an intervention having the intended effect? (‘Spending wisely’)</w:t>
      </w:r>
    </w:p>
    <w:p w14:paraId="16EAFAF4" w14:textId="77777777" w:rsidR="00E031A6" w:rsidRPr="00E031A6" w:rsidRDefault="00E031A6" w:rsidP="00E031A6">
      <w:pPr>
        <w:pStyle w:val="Normal1"/>
        <w:numPr>
          <w:ilvl w:val="0"/>
          <w:numId w:val="39"/>
        </w:numPr>
        <w:spacing w:after="120"/>
        <w:rPr>
          <w:rFonts w:eastAsia="Calibri"/>
          <w:sz w:val="22"/>
          <w:szCs w:val="22"/>
        </w:rPr>
      </w:pPr>
      <w:r w:rsidRPr="00E031A6">
        <w:rPr>
          <w:rFonts w:eastAsia="Calibri"/>
          <w:sz w:val="22"/>
          <w:szCs w:val="22"/>
        </w:rPr>
        <w:t>Equity –To what extent are Gender Equality and Social Inclusion (GESI) considerations incorporated into the intervention?</w:t>
      </w:r>
    </w:p>
    <w:p w14:paraId="4FAA155E" w14:textId="78DFAB9B" w:rsidR="00E031A6" w:rsidRPr="00E031A6" w:rsidRDefault="00E031A6" w:rsidP="00E031A6">
      <w:pPr>
        <w:pStyle w:val="Normal1"/>
        <w:spacing w:after="120"/>
        <w:jc w:val="both"/>
        <w:rPr>
          <w:rFonts w:eastAsia="Calibri"/>
          <w:b/>
          <w:bCs/>
          <w:sz w:val="22"/>
          <w:szCs w:val="22"/>
        </w:rPr>
      </w:pPr>
    </w:p>
    <w:p w14:paraId="4B028FDD" w14:textId="29ECE0C7" w:rsidR="00E031A6" w:rsidRPr="00E031A6" w:rsidRDefault="00E031A6" w:rsidP="00E031A6">
      <w:pPr>
        <w:pStyle w:val="Normal1"/>
        <w:spacing w:after="120"/>
        <w:jc w:val="both"/>
        <w:rPr>
          <w:rFonts w:eastAsia="Calibri"/>
          <w:b/>
          <w:bCs/>
          <w:sz w:val="22"/>
          <w:szCs w:val="22"/>
        </w:rPr>
      </w:pPr>
      <w:r w:rsidRPr="00E031A6">
        <w:rPr>
          <w:rFonts w:eastAsia="Calibri"/>
          <w:b/>
          <w:bCs/>
          <w:sz w:val="22"/>
          <w:szCs w:val="22"/>
        </w:rPr>
        <w:t>Economy:</w:t>
      </w:r>
    </w:p>
    <w:p w14:paraId="6EF15B67" w14:textId="32833522" w:rsidR="00E031A6" w:rsidRDefault="00E031A6" w:rsidP="0056714C">
      <w:pPr>
        <w:pStyle w:val="Normal1"/>
        <w:spacing w:after="120"/>
        <w:jc w:val="both"/>
        <w:rPr>
          <w:rFonts w:eastAsia="Calibri"/>
          <w:sz w:val="22"/>
          <w:szCs w:val="22"/>
        </w:rPr>
      </w:pPr>
      <w:bookmarkStart w:id="4" w:name="_Hlk170199793"/>
      <w:proofErr w:type="gramStart"/>
      <w:r w:rsidRPr="00E031A6">
        <w:rPr>
          <w:rFonts w:eastAsia="Calibri"/>
          <w:sz w:val="22"/>
          <w:szCs w:val="22"/>
        </w:rPr>
        <w:t>In order to</w:t>
      </w:r>
      <w:proofErr w:type="gramEnd"/>
      <w:r w:rsidRPr="00E031A6">
        <w:rPr>
          <w:rFonts w:eastAsia="Calibri"/>
          <w:sz w:val="22"/>
          <w:szCs w:val="22"/>
        </w:rPr>
        <w:t xml:space="preserve"> track the progress with respect to how well the LDN</w:t>
      </w:r>
      <w:r w:rsidR="00867B7E">
        <w:rPr>
          <w:rFonts w:eastAsia="Calibri"/>
          <w:sz w:val="22"/>
          <w:szCs w:val="22"/>
        </w:rPr>
        <w:t>F</w:t>
      </w:r>
      <w:r w:rsidRPr="00E031A6">
        <w:rPr>
          <w:rFonts w:eastAsia="Calibri"/>
          <w:sz w:val="22"/>
          <w:szCs w:val="22"/>
        </w:rPr>
        <w:t xml:space="preserve"> is doing in terms of economy, the total amount spent</w:t>
      </w:r>
      <w:r w:rsidR="00851FD1">
        <w:rPr>
          <w:rFonts w:eastAsia="Calibri"/>
          <w:sz w:val="22"/>
          <w:szCs w:val="22"/>
        </w:rPr>
        <w:t xml:space="preserve"> on</w:t>
      </w:r>
      <w:r w:rsidRPr="00E031A6">
        <w:rPr>
          <w:rFonts w:eastAsia="Calibri"/>
          <w:sz w:val="22"/>
          <w:szCs w:val="22"/>
        </w:rPr>
        <w:t xml:space="preserve"> </w:t>
      </w:r>
      <w:r w:rsidR="00851FD1">
        <w:rPr>
          <w:rFonts w:eastAsia="Calibri"/>
          <w:sz w:val="22"/>
          <w:szCs w:val="22"/>
        </w:rPr>
        <w:t>expenses by the fund</w:t>
      </w:r>
      <w:r w:rsidRPr="00E031A6">
        <w:rPr>
          <w:rFonts w:eastAsia="Calibri"/>
          <w:sz w:val="22"/>
          <w:szCs w:val="22"/>
        </w:rPr>
        <w:t xml:space="preserve"> will be monitored closely year-over-year, reporting changes in any of these figures.</w:t>
      </w:r>
      <w:r w:rsidR="003614BF">
        <w:rPr>
          <w:rFonts w:eastAsia="Calibri"/>
          <w:sz w:val="22"/>
          <w:szCs w:val="22"/>
        </w:rPr>
        <w:t xml:space="preserve"> </w:t>
      </w:r>
    </w:p>
    <w:bookmarkEnd w:id="4"/>
    <w:p w14:paraId="3715539B" w14:textId="77777777" w:rsidR="00FB05E3" w:rsidRPr="00E031A6" w:rsidRDefault="00FB05E3" w:rsidP="00E031A6">
      <w:pPr>
        <w:pStyle w:val="Normal1"/>
        <w:spacing w:after="120"/>
        <w:jc w:val="both"/>
        <w:rPr>
          <w:rFonts w:eastAsia="Calibri"/>
          <w:sz w:val="22"/>
          <w:szCs w:val="22"/>
        </w:rPr>
      </w:pPr>
    </w:p>
    <w:p w14:paraId="3C4C7196" w14:textId="77777777" w:rsidR="00E031A6" w:rsidRPr="00E031A6" w:rsidRDefault="00E031A6" w:rsidP="00E031A6">
      <w:pPr>
        <w:pStyle w:val="Normal1"/>
        <w:spacing w:after="120"/>
        <w:jc w:val="both"/>
        <w:rPr>
          <w:rFonts w:eastAsia="Calibri"/>
          <w:sz w:val="22"/>
          <w:szCs w:val="22"/>
        </w:rPr>
      </w:pPr>
      <w:r w:rsidRPr="00E031A6">
        <w:rPr>
          <w:rFonts w:eastAsia="Calibri"/>
          <w:b/>
          <w:bCs/>
          <w:sz w:val="22"/>
          <w:szCs w:val="22"/>
        </w:rPr>
        <w:t>Efficiency</w:t>
      </w:r>
      <w:r w:rsidRPr="00E031A6">
        <w:rPr>
          <w:rFonts w:eastAsia="Calibri"/>
          <w:sz w:val="22"/>
          <w:szCs w:val="22"/>
        </w:rPr>
        <w:t>:</w:t>
      </w:r>
    </w:p>
    <w:p w14:paraId="5BAE58F0" w14:textId="77777777" w:rsidR="00E031A6" w:rsidRPr="00E031A6" w:rsidRDefault="00E031A6" w:rsidP="00E031A6">
      <w:pPr>
        <w:pStyle w:val="Normal1"/>
        <w:spacing w:after="120"/>
        <w:jc w:val="both"/>
        <w:rPr>
          <w:rFonts w:eastAsia="Calibri"/>
          <w:sz w:val="22"/>
          <w:szCs w:val="22"/>
        </w:rPr>
      </w:pPr>
      <w:proofErr w:type="gramStart"/>
      <w:r w:rsidRPr="00E031A6">
        <w:rPr>
          <w:rFonts w:eastAsia="Calibri"/>
          <w:sz w:val="22"/>
          <w:szCs w:val="22"/>
        </w:rPr>
        <w:t>In order to</w:t>
      </w:r>
      <w:proofErr w:type="gramEnd"/>
      <w:r w:rsidRPr="00E031A6">
        <w:rPr>
          <w:rFonts w:eastAsia="Calibri"/>
          <w:sz w:val="22"/>
          <w:szCs w:val="22"/>
        </w:rPr>
        <w:t xml:space="preserve"> track the progress with respect to how well the LDNF is doing in terms of efficiency, 2 Value for Money (</w:t>
      </w:r>
      <w:proofErr w:type="spellStart"/>
      <w:r w:rsidRPr="00E031A6">
        <w:rPr>
          <w:rFonts w:eastAsia="Calibri"/>
          <w:sz w:val="22"/>
          <w:szCs w:val="22"/>
        </w:rPr>
        <w:t>VfM</w:t>
      </w:r>
      <w:proofErr w:type="spellEnd"/>
      <w:r w:rsidRPr="00E031A6">
        <w:rPr>
          <w:rFonts w:eastAsia="Calibri"/>
          <w:sz w:val="22"/>
          <w:szCs w:val="22"/>
        </w:rPr>
        <w:t xml:space="preserve">) metric will be used in this annual review and for all other and future annual reviews hereafter. These </w:t>
      </w:r>
      <w:proofErr w:type="spellStart"/>
      <w:r w:rsidRPr="00E031A6">
        <w:rPr>
          <w:rFonts w:eastAsia="Calibri"/>
          <w:sz w:val="22"/>
          <w:szCs w:val="22"/>
        </w:rPr>
        <w:t>VfM</w:t>
      </w:r>
      <w:proofErr w:type="spellEnd"/>
      <w:r w:rsidRPr="00E031A6">
        <w:rPr>
          <w:rFonts w:eastAsia="Calibri"/>
          <w:sz w:val="22"/>
          <w:szCs w:val="22"/>
        </w:rPr>
        <w:t xml:space="preserve"> metrics are:</w:t>
      </w:r>
    </w:p>
    <w:p w14:paraId="4A96DA09" w14:textId="77777777" w:rsidR="00E031A6" w:rsidRPr="00E031A6" w:rsidRDefault="00E031A6" w:rsidP="00E031A6">
      <w:pPr>
        <w:pStyle w:val="Normal1"/>
        <w:numPr>
          <w:ilvl w:val="0"/>
          <w:numId w:val="40"/>
        </w:numPr>
        <w:spacing w:after="120"/>
        <w:jc w:val="both"/>
        <w:rPr>
          <w:rFonts w:eastAsia="Calibri"/>
          <w:sz w:val="22"/>
          <w:szCs w:val="22"/>
        </w:rPr>
      </w:pPr>
      <w:r w:rsidRPr="00E031A6">
        <w:rPr>
          <w:rFonts w:eastAsia="Calibri"/>
          <w:sz w:val="22"/>
          <w:szCs w:val="22"/>
        </w:rPr>
        <w:t xml:space="preserve">Ratio of private finance mobilised </w:t>
      </w:r>
      <w:proofErr w:type="gramStart"/>
      <w:r w:rsidRPr="00E031A6">
        <w:rPr>
          <w:rFonts w:eastAsia="Calibri"/>
          <w:sz w:val="22"/>
          <w:szCs w:val="22"/>
        </w:rPr>
        <w:t>as a result of</w:t>
      </w:r>
      <w:proofErr w:type="gramEnd"/>
      <w:r w:rsidRPr="00E031A6">
        <w:rPr>
          <w:rFonts w:eastAsia="Calibri"/>
          <w:sz w:val="22"/>
          <w:szCs w:val="22"/>
        </w:rPr>
        <w:t xml:space="preserve"> every £ of ICF support</w:t>
      </w:r>
    </w:p>
    <w:p w14:paraId="183765DC" w14:textId="1BEFF900" w:rsidR="00E031A6" w:rsidRPr="00E031A6" w:rsidRDefault="00E031A6" w:rsidP="00E031A6">
      <w:pPr>
        <w:pStyle w:val="Normal1"/>
        <w:numPr>
          <w:ilvl w:val="0"/>
          <w:numId w:val="40"/>
        </w:numPr>
        <w:spacing w:after="120"/>
        <w:jc w:val="both"/>
        <w:rPr>
          <w:rFonts w:eastAsia="Calibri"/>
          <w:sz w:val="22"/>
          <w:szCs w:val="22"/>
        </w:rPr>
      </w:pPr>
      <w:r w:rsidRPr="00E031A6">
        <w:rPr>
          <w:rFonts w:eastAsia="Calibri"/>
          <w:sz w:val="22"/>
          <w:szCs w:val="22"/>
        </w:rPr>
        <w:t xml:space="preserve">Ratio of public finance mobilised </w:t>
      </w:r>
      <w:proofErr w:type="gramStart"/>
      <w:r w:rsidRPr="00E031A6">
        <w:rPr>
          <w:rFonts w:eastAsia="Calibri"/>
          <w:sz w:val="22"/>
          <w:szCs w:val="22"/>
        </w:rPr>
        <w:t>as a result of</w:t>
      </w:r>
      <w:proofErr w:type="gramEnd"/>
      <w:r w:rsidRPr="00E031A6">
        <w:rPr>
          <w:rFonts w:eastAsia="Calibri"/>
          <w:sz w:val="22"/>
          <w:szCs w:val="22"/>
        </w:rPr>
        <w:t xml:space="preserve"> every £ of ICF support</w:t>
      </w:r>
    </w:p>
    <w:p w14:paraId="204B738D" w14:textId="6409C61E" w:rsidR="00E031A6" w:rsidRPr="00E031A6" w:rsidRDefault="00E031A6" w:rsidP="00E031A6">
      <w:pPr>
        <w:pStyle w:val="Normal1"/>
        <w:spacing w:after="120"/>
        <w:jc w:val="both"/>
        <w:rPr>
          <w:rFonts w:eastAsia="Calibri"/>
          <w:sz w:val="22"/>
          <w:szCs w:val="22"/>
        </w:rPr>
      </w:pPr>
      <w:r w:rsidRPr="00E031A6">
        <w:rPr>
          <w:rFonts w:eastAsia="Calibri"/>
          <w:sz w:val="22"/>
          <w:szCs w:val="22"/>
        </w:rPr>
        <w:t xml:space="preserve">The results for the </w:t>
      </w:r>
      <w:proofErr w:type="spellStart"/>
      <w:r w:rsidRPr="00E031A6">
        <w:rPr>
          <w:rFonts w:eastAsia="Calibri"/>
          <w:sz w:val="22"/>
          <w:szCs w:val="22"/>
        </w:rPr>
        <w:t>VfM</w:t>
      </w:r>
      <w:proofErr w:type="spellEnd"/>
      <w:r w:rsidRPr="00E031A6">
        <w:rPr>
          <w:rFonts w:eastAsia="Calibri"/>
          <w:sz w:val="22"/>
          <w:szCs w:val="22"/>
        </w:rPr>
        <w:t xml:space="preserve"> metrics for this Annual Review are shown below in Table 4:</w:t>
      </w:r>
    </w:p>
    <w:p w14:paraId="099CBEC5" w14:textId="4938C3E9" w:rsidR="00E031A6" w:rsidRPr="00E031A6" w:rsidRDefault="00E031A6" w:rsidP="00E031A6">
      <w:pPr>
        <w:pStyle w:val="Normal1"/>
        <w:spacing w:after="120"/>
        <w:jc w:val="both"/>
        <w:rPr>
          <w:rFonts w:eastAsia="Calibri"/>
          <w:b/>
          <w:bCs/>
          <w:sz w:val="22"/>
          <w:szCs w:val="22"/>
          <w:u w:val="single"/>
        </w:rPr>
      </w:pPr>
      <w:r w:rsidRPr="00E031A6">
        <w:rPr>
          <w:rFonts w:eastAsia="Calibri"/>
          <w:b/>
          <w:bCs/>
          <w:sz w:val="22"/>
          <w:szCs w:val="22"/>
          <w:u w:val="single"/>
        </w:rPr>
        <w:t xml:space="preserve">Table 4 - </w:t>
      </w:r>
      <w:proofErr w:type="spellStart"/>
      <w:r w:rsidRPr="00E031A6">
        <w:rPr>
          <w:rFonts w:eastAsia="Calibri"/>
          <w:b/>
          <w:bCs/>
          <w:sz w:val="22"/>
          <w:szCs w:val="22"/>
          <w:u w:val="single"/>
        </w:rPr>
        <w:t>VfM</w:t>
      </w:r>
      <w:proofErr w:type="spellEnd"/>
      <w:r w:rsidRPr="00E031A6">
        <w:rPr>
          <w:rFonts w:eastAsia="Calibri"/>
          <w:b/>
          <w:bCs/>
          <w:sz w:val="22"/>
          <w:szCs w:val="22"/>
          <w:u w:val="single"/>
        </w:rPr>
        <w:t xml:space="preserve"> Efficiency Metrics Results</w:t>
      </w:r>
    </w:p>
    <w:tbl>
      <w:tblPr>
        <w:tblStyle w:val="TableGrid"/>
        <w:tblW w:w="0" w:type="auto"/>
        <w:tblLook w:val="04A0" w:firstRow="1" w:lastRow="0" w:firstColumn="1" w:lastColumn="0" w:noHBand="0" w:noVBand="1"/>
      </w:tblPr>
      <w:tblGrid>
        <w:gridCol w:w="4508"/>
        <w:gridCol w:w="4508"/>
      </w:tblGrid>
      <w:tr w:rsidR="003B5617" w:rsidRPr="00E031A6" w14:paraId="7F488C5D" w14:textId="77777777" w:rsidTr="008E6323">
        <w:tc>
          <w:tcPr>
            <w:tcW w:w="4508" w:type="dxa"/>
            <w:shd w:val="clear" w:color="auto" w:fill="D9E2F3" w:themeFill="accent1" w:themeFillTint="33"/>
          </w:tcPr>
          <w:p w14:paraId="1D19A02E" w14:textId="77777777" w:rsidR="003B5617" w:rsidRPr="00E031A6" w:rsidRDefault="003B5617" w:rsidP="008E6323">
            <w:pPr>
              <w:pStyle w:val="Normal1"/>
              <w:spacing w:after="120"/>
              <w:jc w:val="both"/>
              <w:rPr>
                <w:rFonts w:eastAsia="Calibri"/>
                <w:b/>
                <w:bCs/>
                <w:i/>
                <w:iCs/>
                <w:sz w:val="20"/>
                <w:szCs w:val="20"/>
              </w:rPr>
            </w:pPr>
            <w:proofErr w:type="spellStart"/>
            <w:r w:rsidRPr="00E031A6">
              <w:rPr>
                <w:rFonts w:eastAsia="Calibri"/>
                <w:b/>
                <w:bCs/>
                <w:i/>
                <w:iCs/>
                <w:sz w:val="20"/>
                <w:szCs w:val="20"/>
              </w:rPr>
              <w:t>VfM</w:t>
            </w:r>
            <w:proofErr w:type="spellEnd"/>
            <w:r w:rsidRPr="00E031A6">
              <w:rPr>
                <w:rFonts w:eastAsia="Calibri"/>
                <w:b/>
                <w:bCs/>
                <w:i/>
                <w:iCs/>
                <w:sz w:val="20"/>
                <w:szCs w:val="20"/>
              </w:rPr>
              <w:t xml:space="preserve"> Metric</w:t>
            </w:r>
          </w:p>
        </w:tc>
        <w:tc>
          <w:tcPr>
            <w:tcW w:w="4508" w:type="dxa"/>
          </w:tcPr>
          <w:p w14:paraId="7B22C0BA" w14:textId="51EF3353" w:rsidR="003B5617" w:rsidRPr="00E276E2" w:rsidRDefault="003B5617" w:rsidP="008E6323">
            <w:pPr>
              <w:pStyle w:val="Normal1"/>
              <w:spacing w:after="120"/>
              <w:jc w:val="both"/>
              <w:rPr>
                <w:rFonts w:eastAsia="Calibri"/>
                <w:b/>
                <w:bCs/>
                <w:sz w:val="20"/>
                <w:szCs w:val="20"/>
              </w:rPr>
            </w:pPr>
            <w:r w:rsidRPr="00E276E2">
              <w:rPr>
                <w:rFonts w:eastAsia="Calibri"/>
                <w:b/>
                <w:bCs/>
                <w:sz w:val="20"/>
                <w:szCs w:val="20"/>
              </w:rPr>
              <w:t>Result</w:t>
            </w:r>
          </w:p>
        </w:tc>
      </w:tr>
      <w:tr w:rsidR="003B5617" w:rsidRPr="00E031A6" w14:paraId="663BF1F2" w14:textId="77777777" w:rsidTr="008E6323">
        <w:tc>
          <w:tcPr>
            <w:tcW w:w="4508" w:type="dxa"/>
            <w:shd w:val="clear" w:color="auto" w:fill="D9E2F3" w:themeFill="accent1" w:themeFillTint="33"/>
          </w:tcPr>
          <w:p w14:paraId="1D3DC219" w14:textId="77777777" w:rsidR="003B5617" w:rsidRPr="00E031A6" w:rsidRDefault="003B5617" w:rsidP="008E6323">
            <w:pPr>
              <w:pStyle w:val="Normal1"/>
              <w:spacing w:after="120"/>
              <w:jc w:val="both"/>
              <w:rPr>
                <w:rFonts w:eastAsia="Calibri"/>
                <w:sz w:val="20"/>
                <w:szCs w:val="20"/>
              </w:rPr>
            </w:pPr>
            <w:r w:rsidRPr="00E031A6">
              <w:rPr>
                <w:rFonts w:eastAsia="Calibri"/>
                <w:sz w:val="20"/>
                <w:szCs w:val="20"/>
              </w:rPr>
              <w:lastRenderedPageBreak/>
              <w:t xml:space="preserve">Ratio of private finance mobilised </w:t>
            </w:r>
            <w:proofErr w:type="gramStart"/>
            <w:r w:rsidRPr="00E031A6">
              <w:rPr>
                <w:rFonts w:eastAsia="Calibri"/>
                <w:sz w:val="20"/>
                <w:szCs w:val="20"/>
              </w:rPr>
              <w:t>as a result of</w:t>
            </w:r>
            <w:proofErr w:type="gramEnd"/>
            <w:r w:rsidRPr="00E031A6">
              <w:rPr>
                <w:rFonts w:eastAsia="Calibri"/>
                <w:sz w:val="20"/>
                <w:szCs w:val="20"/>
              </w:rPr>
              <w:t xml:space="preserve"> every £ of ICF support</w:t>
            </w:r>
          </w:p>
          <w:p w14:paraId="654C0BBA" w14:textId="77777777" w:rsidR="003B5617" w:rsidRPr="00E031A6" w:rsidRDefault="003B5617" w:rsidP="008E6323">
            <w:pPr>
              <w:pStyle w:val="Normal1"/>
              <w:spacing w:after="120"/>
              <w:jc w:val="both"/>
              <w:rPr>
                <w:rFonts w:eastAsia="Calibri"/>
                <w:sz w:val="20"/>
                <w:szCs w:val="20"/>
              </w:rPr>
            </w:pPr>
            <w:r w:rsidRPr="00E031A6">
              <w:rPr>
                <w:rFonts w:eastAsia="Calibri"/>
                <w:sz w:val="20"/>
                <w:szCs w:val="20"/>
              </w:rPr>
              <w:t xml:space="preserve">Ratio of public finance mobilised </w:t>
            </w:r>
            <w:proofErr w:type="gramStart"/>
            <w:r w:rsidRPr="00E031A6">
              <w:rPr>
                <w:rFonts w:eastAsia="Calibri"/>
                <w:sz w:val="20"/>
                <w:szCs w:val="20"/>
              </w:rPr>
              <w:t>as a result of</w:t>
            </w:r>
            <w:proofErr w:type="gramEnd"/>
            <w:r w:rsidRPr="00E031A6">
              <w:rPr>
                <w:rFonts w:eastAsia="Calibri"/>
                <w:sz w:val="20"/>
                <w:szCs w:val="20"/>
              </w:rPr>
              <w:t xml:space="preserve"> every £ of ICF support</w:t>
            </w:r>
          </w:p>
        </w:tc>
        <w:tc>
          <w:tcPr>
            <w:tcW w:w="4508" w:type="dxa"/>
          </w:tcPr>
          <w:p w14:paraId="316AC5D3" w14:textId="77777777" w:rsidR="003B5617" w:rsidRPr="0010412A" w:rsidRDefault="003B5617" w:rsidP="008E6323">
            <w:pPr>
              <w:rPr>
                <w:rFonts w:eastAsia="Calibri"/>
                <w:sz w:val="20"/>
                <w:szCs w:val="20"/>
              </w:rPr>
            </w:pPr>
            <w:r>
              <w:rPr>
                <w:rFonts w:eastAsia="Calibri"/>
                <w:sz w:val="20"/>
                <w:szCs w:val="20"/>
              </w:rPr>
              <w:t>0.246</w:t>
            </w:r>
          </w:p>
          <w:p w14:paraId="6833EEAA" w14:textId="77777777" w:rsidR="003B5617" w:rsidRDefault="003B5617" w:rsidP="008E6323">
            <w:pPr>
              <w:rPr>
                <w:rFonts w:eastAsia="Calibri"/>
              </w:rPr>
            </w:pPr>
          </w:p>
          <w:p w14:paraId="2B57E6BF" w14:textId="77777777" w:rsidR="003B5617" w:rsidRPr="00CB4A30" w:rsidRDefault="003B5617" w:rsidP="008E6323">
            <w:pPr>
              <w:rPr>
                <w:rFonts w:eastAsia="Calibri"/>
                <w:sz w:val="20"/>
                <w:szCs w:val="20"/>
              </w:rPr>
            </w:pPr>
            <w:r w:rsidRPr="00CB4A30">
              <w:rPr>
                <w:rFonts w:eastAsia="Calibri"/>
                <w:sz w:val="20"/>
                <w:szCs w:val="20"/>
              </w:rPr>
              <w:t>0.106</w:t>
            </w:r>
          </w:p>
        </w:tc>
      </w:tr>
    </w:tbl>
    <w:p w14:paraId="09526A49" w14:textId="5BCC0F94" w:rsidR="008D6B3D" w:rsidRPr="00E031A6" w:rsidRDefault="003B5617" w:rsidP="00E031A6">
      <w:pPr>
        <w:pStyle w:val="Normal1"/>
        <w:spacing w:after="120"/>
        <w:jc w:val="both"/>
        <w:rPr>
          <w:rFonts w:eastAsia="Calibri"/>
          <w:i/>
          <w:iCs/>
          <w:sz w:val="20"/>
          <w:szCs w:val="20"/>
        </w:rPr>
      </w:pPr>
      <w:r w:rsidRPr="00E031A6">
        <w:rPr>
          <w:rFonts w:eastAsia="Calibri"/>
          <w:i/>
          <w:iCs/>
          <w:sz w:val="20"/>
          <w:szCs w:val="20"/>
        </w:rPr>
        <w:t xml:space="preserve">Note: the calculations for </w:t>
      </w:r>
      <w:r>
        <w:rPr>
          <w:rFonts w:eastAsia="Calibri"/>
          <w:i/>
          <w:iCs/>
          <w:sz w:val="20"/>
          <w:szCs w:val="20"/>
        </w:rPr>
        <w:t>finance mobilised are based on growth in the fund following Defra’s investment, multiplied by Defra’s percentage share of the fund in each year and with a 50% additionality factor applied.</w:t>
      </w:r>
    </w:p>
    <w:p w14:paraId="3BCB7192" w14:textId="3E7B5963" w:rsidR="00E031A6" w:rsidRPr="00B44F3A" w:rsidRDefault="00E031A6" w:rsidP="00E031A6">
      <w:pPr>
        <w:pStyle w:val="Normal1"/>
        <w:spacing w:after="120"/>
        <w:jc w:val="both"/>
        <w:rPr>
          <w:rFonts w:eastAsia="Calibri"/>
          <w:sz w:val="22"/>
          <w:szCs w:val="22"/>
        </w:rPr>
      </w:pPr>
      <w:r w:rsidRPr="00E031A6">
        <w:rPr>
          <w:rFonts w:eastAsia="Calibri"/>
          <w:sz w:val="22"/>
          <w:szCs w:val="22"/>
        </w:rPr>
        <w:t xml:space="preserve">2021 has been a productive year for the LDN Fund despite the global situation. The </w:t>
      </w:r>
      <w:r w:rsidR="00B44F3A">
        <w:rPr>
          <w:rFonts w:eastAsia="Calibri"/>
          <w:sz w:val="22"/>
          <w:szCs w:val="22"/>
        </w:rPr>
        <w:t xml:space="preserve">last AR requested more information regarding </w:t>
      </w:r>
      <w:proofErr w:type="gramStart"/>
      <w:r w:rsidR="00B44F3A">
        <w:rPr>
          <w:rFonts w:eastAsia="Calibri"/>
          <w:sz w:val="22"/>
          <w:szCs w:val="22"/>
        </w:rPr>
        <w:t>whether or not</w:t>
      </w:r>
      <w:proofErr w:type="gramEnd"/>
      <w:r w:rsidR="00B44F3A">
        <w:rPr>
          <w:rFonts w:eastAsia="Calibri"/>
          <w:sz w:val="22"/>
          <w:szCs w:val="22"/>
        </w:rPr>
        <w:t xml:space="preserve"> the Fund reached first closing at $100</w:t>
      </w:r>
      <w:r w:rsidR="00B82C7E">
        <w:rPr>
          <w:rStyle w:val="FootnoteReference"/>
          <w:rFonts w:eastAsia="Calibri"/>
          <w:sz w:val="22"/>
          <w:szCs w:val="22"/>
        </w:rPr>
        <w:footnoteReference w:id="2"/>
      </w:r>
      <w:r w:rsidR="00B44F3A">
        <w:rPr>
          <w:rFonts w:eastAsia="Calibri"/>
          <w:sz w:val="22"/>
          <w:szCs w:val="22"/>
        </w:rPr>
        <w:t xml:space="preserve"> million in 2019. The </w:t>
      </w:r>
      <w:r w:rsidRPr="00E031A6">
        <w:rPr>
          <w:rFonts w:eastAsia="Calibri"/>
          <w:sz w:val="22"/>
          <w:szCs w:val="22"/>
        </w:rPr>
        <w:t xml:space="preserve">Fund </w:t>
      </w:r>
      <w:r w:rsidR="00B44F3A">
        <w:rPr>
          <w:rFonts w:eastAsia="Calibri"/>
          <w:sz w:val="22"/>
          <w:szCs w:val="22"/>
        </w:rPr>
        <w:t xml:space="preserve">shared information on this informing that LDNF successfully </w:t>
      </w:r>
      <w:r w:rsidRPr="00E031A6">
        <w:rPr>
          <w:rFonts w:eastAsia="Calibri"/>
          <w:sz w:val="22"/>
          <w:szCs w:val="22"/>
        </w:rPr>
        <w:t>reached final closing in March</w:t>
      </w:r>
      <w:r w:rsidR="00B44F3A">
        <w:rPr>
          <w:rFonts w:eastAsia="Calibri"/>
          <w:sz w:val="22"/>
          <w:szCs w:val="22"/>
        </w:rPr>
        <w:t xml:space="preserve">. Moreover, other successful activities </w:t>
      </w:r>
      <w:r w:rsidR="00FB7211">
        <w:rPr>
          <w:rFonts w:eastAsia="Calibri"/>
          <w:sz w:val="22"/>
          <w:szCs w:val="22"/>
        </w:rPr>
        <w:t xml:space="preserve">include investments </w:t>
      </w:r>
      <w:r w:rsidRPr="00E031A6">
        <w:rPr>
          <w:rFonts w:eastAsia="Calibri"/>
          <w:sz w:val="22"/>
          <w:szCs w:val="22"/>
        </w:rPr>
        <w:t xml:space="preserve">into three new projects across the globe and </w:t>
      </w:r>
      <w:r w:rsidR="00FB7211">
        <w:rPr>
          <w:rFonts w:eastAsia="Calibri"/>
          <w:sz w:val="22"/>
          <w:szCs w:val="22"/>
        </w:rPr>
        <w:t>the development of</w:t>
      </w:r>
      <w:r w:rsidRPr="00E031A6">
        <w:rPr>
          <w:rFonts w:eastAsia="Calibri"/>
          <w:sz w:val="22"/>
          <w:szCs w:val="22"/>
        </w:rPr>
        <w:t xml:space="preserve"> a robust pipeline of projects.</w:t>
      </w:r>
      <w:r w:rsidRPr="00E031A6">
        <w:rPr>
          <w:sz w:val="22"/>
          <w:szCs w:val="22"/>
        </w:rPr>
        <w:t xml:space="preserve"> </w:t>
      </w:r>
    </w:p>
    <w:p w14:paraId="06D0C748" w14:textId="3C623669" w:rsidR="00E031A6" w:rsidRPr="00E031A6" w:rsidRDefault="00E031A6" w:rsidP="00E031A6">
      <w:pPr>
        <w:pStyle w:val="Normal1"/>
        <w:spacing w:after="120"/>
        <w:jc w:val="both"/>
        <w:rPr>
          <w:rFonts w:eastAsia="Calibri"/>
          <w:sz w:val="22"/>
          <w:szCs w:val="22"/>
        </w:rPr>
      </w:pPr>
      <w:r w:rsidRPr="00E031A6">
        <w:rPr>
          <w:rFonts w:eastAsia="Calibri"/>
          <w:sz w:val="22"/>
          <w:szCs w:val="22"/>
        </w:rPr>
        <w:t>The year first started with the One Planet Summit on Biodiversity, that brought together 11 heads of state and government as well as the Secretary General of the United Nations, the Prince of Wales, the President of the European Commission, and of the European council. Action commitments for biodiversity were articulated around 4 topics: (</w:t>
      </w:r>
      <w:proofErr w:type="spellStart"/>
      <w:r w:rsidRPr="00E031A6">
        <w:rPr>
          <w:rFonts w:eastAsia="Calibri"/>
          <w:sz w:val="22"/>
          <w:szCs w:val="22"/>
        </w:rPr>
        <w:t>i</w:t>
      </w:r>
      <w:proofErr w:type="spellEnd"/>
      <w:r w:rsidRPr="00E031A6">
        <w:rPr>
          <w:rFonts w:eastAsia="Calibri"/>
          <w:sz w:val="22"/>
          <w:szCs w:val="22"/>
        </w:rPr>
        <w:t>) Protection of terrestrial and marine ecosystems, (ii) Promotion of agroecology, (iii) Finance for biodiversity and (iv) Protecting forests, species and human health.</w:t>
      </w:r>
    </w:p>
    <w:p w14:paraId="1279D573" w14:textId="60B7AB36" w:rsidR="00E031A6" w:rsidRDefault="00E031A6" w:rsidP="00E031A6">
      <w:pPr>
        <w:pStyle w:val="Normal1"/>
        <w:spacing w:after="120"/>
        <w:jc w:val="both"/>
        <w:rPr>
          <w:rFonts w:eastAsia="Calibri"/>
          <w:sz w:val="22"/>
          <w:szCs w:val="22"/>
        </w:rPr>
      </w:pPr>
      <w:r w:rsidRPr="00E031A6">
        <w:rPr>
          <w:rFonts w:eastAsia="Calibri"/>
          <w:sz w:val="22"/>
          <w:szCs w:val="22"/>
        </w:rPr>
        <w:t>The LDN Fund Technical Assistance Facility, which is managed by IDH</w:t>
      </w:r>
      <w:r w:rsidR="00FB05E3">
        <w:rPr>
          <w:rFonts w:eastAsia="Calibri"/>
          <w:sz w:val="22"/>
          <w:szCs w:val="22"/>
        </w:rPr>
        <w:t xml:space="preserve"> (The Sustainable Trade Initiative)</w:t>
      </w:r>
      <w:r w:rsidRPr="00E031A6">
        <w:rPr>
          <w:rFonts w:eastAsia="Calibri"/>
          <w:sz w:val="22"/>
          <w:szCs w:val="22"/>
        </w:rPr>
        <w:t>, was also active in 2021 with pre-investment preparation, post-investment implementation, impact monitoring, and knowledge sharing. The TA Facility plays a critical role to prepare the projects that will become mature for investment in the next 1-2 years.</w:t>
      </w:r>
    </w:p>
    <w:p w14:paraId="05325916" w14:textId="181A3E95" w:rsidR="00D12269" w:rsidRPr="00E031A6" w:rsidRDefault="00D12269" w:rsidP="00E031A6">
      <w:pPr>
        <w:pStyle w:val="Normal1"/>
        <w:spacing w:after="120"/>
        <w:jc w:val="both"/>
        <w:rPr>
          <w:sz w:val="22"/>
          <w:szCs w:val="22"/>
        </w:rPr>
      </w:pPr>
    </w:p>
    <w:p w14:paraId="66FE4A68" w14:textId="086E9968" w:rsidR="00E031A6" w:rsidRDefault="00E031A6" w:rsidP="00E031A6">
      <w:pPr>
        <w:pStyle w:val="Normal1"/>
        <w:spacing w:after="120"/>
        <w:jc w:val="both"/>
        <w:rPr>
          <w:rFonts w:eastAsia="Calibri"/>
          <w:b/>
          <w:bCs/>
          <w:sz w:val="22"/>
          <w:szCs w:val="22"/>
        </w:rPr>
      </w:pPr>
      <w:r w:rsidRPr="00E031A6">
        <w:rPr>
          <w:rFonts w:eastAsia="Calibri"/>
          <w:b/>
          <w:bCs/>
          <w:sz w:val="22"/>
          <w:szCs w:val="22"/>
        </w:rPr>
        <w:t>Effectiveness:</w:t>
      </w:r>
    </w:p>
    <w:p w14:paraId="7C424E96" w14:textId="33427EE8" w:rsidR="007151A7" w:rsidRDefault="00706ACD" w:rsidP="00AA26A9">
      <w:pPr>
        <w:textAlignment w:val="baseline"/>
        <w:rPr>
          <w:rFonts w:eastAsia="Calibri"/>
          <w:sz w:val="22"/>
          <w:szCs w:val="22"/>
        </w:rPr>
      </w:pPr>
      <w:r>
        <w:rPr>
          <w:rFonts w:cs="Arial"/>
          <w:sz w:val="22"/>
          <w:szCs w:val="22"/>
          <w:lang w:eastAsia="en-GB"/>
        </w:rPr>
        <w:t>As</w:t>
      </w:r>
      <w:r w:rsidRPr="00706ACD">
        <w:rPr>
          <w:rFonts w:cs="Arial"/>
          <w:sz w:val="22"/>
          <w:szCs w:val="22"/>
          <w:lang w:eastAsia="en-GB"/>
        </w:rPr>
        <w:t xml:space="preserve"> </w:t>
      </w:r>
      <w:r w:rsidR="00AA26A9">
        <w:rPr>
          <w:rFonts w:cs="Arial"/>
          <w:sz w:val="22"/>
          <w:szCs w:val="22"/>
          <w:lang w:eastAsia="en-GB"/>
        </w:rPr>
        <w:t xml:space="preserve">most of </w:t>
      </w:r>
      <w:r>
        <w:rPr>
          <w:rFonts w:cs="Arial"/>
          <w:sz w:val="22"/>
          <w:szCs w:val="22"/>
          <w:lang w:eastAsia="en-GB"/>
        </w:rPr>
        <w:t xml:space="preserve">LDNFs </w:t>
      </w:r>
      <w:r w:rsidRPr="00706ACD">
        <w:rPr>
          <w:rFonts w:cs="Arial"/>
          <w:sz w:val="22"/>
          <w:szCs w:val="22"/>
          <w:lang w:eastAsia="en-GB"/>
        </w:rPr>
        <w:t>milestones are set for 202</w:t>
      </w:r>
      <w:r>
        <w:rPr>
          <w:rFonts w:cs="Arial"/>
          <w:sz w:val="22"/>
          <w:szCs w:val="22"/>
          <w:lang w:eastAsia="en-GB"/>
        </w:rPr>
        <w:t>2</w:t>
      </w:r>
      <w:r w:rsidRPr="00706ACD">
        <w:rPr>
          <w:rFonts w:cs="Arial"/>
          <w:sz w:val="22"/>
          <w:szCs w:val="22"/>
          <w:lang w:eastAsia="en-GB"/>
        </w:rPr>
        <w:t xml:space="preserve">, there was no way to compare the </w:t>
      </w:r>
      <w:r>
        <w:rPr>
          <w:rFonts w:cs="Arial"/>
          <w:sz w:val="22"/>
          <w:szCs w:val="22"/>
          <w:lang w:eastAsia="en-GB"/>
        </w:rPr>
        <w:t>Funds</w:t>
      </w:r>
      <w:r w:rsidRPr="00706ACD">
        <w:rPr>
          <w:rFonts w:cs="Arial"/>
          <w:sz w:val="22"/>
          <w:szCs w:val="22"/>
          <w:lang w:eastAsia="en-GB"/>
        </w:rPr>
        <w:t xml:space="preserve"> current progress to milestones</w:t>
      </w:r>
      <w:r w:rsidR="00AA26A9">
        <w:rPr>
          <w:rFonts w:cs="Arial"/>
          <w:sz w:val="22"/>
          <w:szCs w:val="22"/>
          <w:lang w:eastAsia="en-GB"/>
        </w:rPr>
        <w:t>; m</w:t>
      </w:r>
      <w:r w:rsidR="00D12269" w:rsidRPr="00FB05E3">
        <w:rPr>
          <w:rFonts w:eastAsia="Calibri"/>
          <w:sz w:val="22"/>
          <w:szCs w:val="22"/>
        </w:rPr>
        <w:t xml:space="preserve">ilestones </w:t>
      </w:r>
      <w:r w:rsidR="00D12269">
        <w:rPr>
          <w:rFonts w:eastAsia="Calibri"/>
          <w:sz w:val="22"/>
          <w:szCs w:val="22"/>
        </w:rPr>
        <w:t>were not set for 2020 or 2021, as the fund was in its first years, without a solid baseline to set targets from. From 2022 most indicators will have milestones to measure against.</w:t>
      </w:r>
      <w:r w:rsidR="007151A7">
        <w:rPr>
          <w:rFonts w:eastAsia="Calibri"/>
          <w:sz w:val="22"/>
          <w:szCs w:val="22"/>
        </w:rPr>
        <w:t xml:space="preserve"> Although progress cannot be compared to milestones it can be compared to </w:t>
      </w:r>
      <w:r w:rsidR="00781B6E">
        <w:rPr>
          <w:rFonts w:eastAsia="Calibri"/>
          <w:sz w:val="22"/>
          <w:szCs w:val="22"/>
        </w:rPr>
        <w:t xml:space="preserve">previous </w:t>
      </w:r>
      <w:r w:rsidR="007151A7">
        <w:rPr>
          <w:rFonts w:eastAsia="Calibri"/>
          <w:sz w:val="22"/>
          <w:szCs w:val="22"/>
        </w:rPr>
        <w:t>years</w:t>
      </w:r>
      <w:r w:rsidR="00AA0B3C">
        <w:rPr>
          <w:rFonts w:eastAsia="Calibri"/>
          <w:sz w:val="22"/>
          <w:szCs w:val="22"/>
        </w:rPr>
        <w:t>’</w:t>
      </w:r>
      <w:r w:rsidR="007151A7">
        <w:rPr>
          <w:rFonts w:eastAsia="Calibri"/>
          <w:sz w:val="22"/>
          <w:szCs w:val="22"/>
        </w:rPr>
        <w:t xml:space="preserve"> results:</w:t>
      </w:r>
      <w:r w:rsidR="00AA0B3C">
        <w:rPr>
          <w:rFonts w:eastAsia="Calibri"/>
          <w:sz w:val="22"/>
          <w:szCs w:val="22"/>
        </w:rPr>
        <w:t xml:space="preserve"> </w:t>
      </w:r>
    </w:p>
    <w:p w14:paraId="15FDF1DD" w14:textId="77777777" w:rsidR="007C29E1" w:rsidRDefault="007C29E1" w:rsidP="00AA26A9">
      <w:pPr>
        <w:textAlignment w:val="baseline"/>
        <w:rPr>
          <w:rFonts w:eastAsia="Calibri"/>
          <w:sz w:val="22"/>
          <w:szCs w:val="22"/>
        </w:rPr>
      </w:pPr>
    </w:p>
    <w:p w14:paraId="76BB1A1D" w14:textId="15AA16D8" w:rsidR="0049737C" w:rsidRDefault="00D643B3" w:rsidP="0049737C">
      <w:pPr>
        <w:keepNext/>
        <w:textAlignment w:val="baseline"/>
      </w:pPr>
      <w:r>
        <w:rPr>
          <w:noProof/>
        </w:rPr>
        <w:drawing>
          <wp:inline distT="0" distB="0" distL="0" distR="0" wp14:anchorId="393B077A" wp14:editId="105B0EAB">
            <wp:extent cx="5534024" cy="3109914"/>
            <wp:effectExtent l="0" t="0" r="10160" b="14605"/>
            <wp:docPr id="1085122017" name="Chart 1">
              <a:extLst xmlns:a="http://schemas.openxmlformats.org/drawingml/2006/main">
                <a:ext uri="{FF2B5EF4-FFF2-40B4-BE49-F238E27FC236}">
                  <a16:creationId xmlns:a16="http://schemas.microsoft.com/office/drawing/2014/main" id="{D3D1E10F-DCA5-0837-51C3-7B09AAD1B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2E5B949" w14:textId="455F8F67" w:rsidR="0049737C" w:rsidRDefault="007F0FB7" w:rsidP="0049737C">
      <w:pPr>
        <w:pStyle w:val="Caption"/>
      </w:pPr>
      <w:r>
        <w:rPr>
          <w:noProof/>
        </w:rPr>
        <mc:AlternateContent>
          <mc:Choice Requires="wpg">
            <w:drawing>
              <wp:anchor distT="0" distB="0" distL="114300" distR="114300" simplePos="0" relativeHeight="251658240" behindDoc="0" locked="0" layoutInCell="1" allowOverlap="1" wp14:anchorId="577CCEFB" wp14:editId="5A95E6CB">
                <wp:simplePos x="0" y="0"/>
                <wp:positionH relativeFrom="column">
                  <wp:posOffset>9806305</wp:posOffset>
                </wp:positionH>
                <wp:positionV relativeFrom="paragraph">
                  <wp:posOffset>370205</wp:posOffset>
                </wp:positionV>
                <wp:extent cx="9941560" cy="2853690"/>
                <wp:effectExtent l="0" t="0" r="2540" b="3810"/>
                <wp:wrapNone/>
                <wp:docPr id="8" name="Group 7">
                  <a:extLst xmlns:a="http://schemas.openxmlformats.org/drawingml/2006/main">
                    <a:ext uri="{FF2B5EF4-FFF2-40B4-BE49-F238E27FC236}">
                      <a16:creationId xmlns:a16="http://schemas.microsoft.com/office/drawing/2014/main" id="{EAE02199-98CF-45ED-9EBD-926C0A7DDC69}"/>
                    </a:ext>
                  </a:extLst>
                </wp:docPr>
                <wp:cNvGraphicFramePr/>
                <a:graphic xmlns:a="http://schemas.openxmlformats.org/drawingml/2006/main">
                  <a:graphicData uri="http://schemas.microsoft.com/office/word/2010/wordprocessingGroup">
                    <wpg:wgp>
                      <wpg:cNvGrpSpPr/>
                      <wpg:grpSpPr>
                        <a:xfrm>
                          <a:off x="0" y="0"/>
                          <a:ext cx="9941560" cy="2853690"/>
                          <a:chOff x="5857874" y="7937"/>
                          <a:chExt cx="12587300" cy="3737032"/>
                        </a:xfrm>
                      </wpg:grpSpPr>
                      <wpg:graphicFrame>
                        <wpg:cNvPr id="3" name="Chart 3">
                          <a:extLst>
                            <a:ext uri="{FF2B5EF4-FFF2-40B4-BE49-F238E27FC236}">
                              <a16:creationId xmlns:a16="http://schemas.microsoft.com/office/drawing/2014/main" id="{1B27019D-CD9E-405B-8F6D-374457B64BCC}"/>
                            </a:ext>
                          </a:extLst>
                        </wpg:cNvPr>
                        <wpg:cNvFrPr/>
                        <wpg:xfrm>
                          <a:off x="5857874" y="7937"/>
                          <a:ext cx="6260329" cy="3641726"/>
                        </wpg:xfrm>
                        <a:graphic>
                          <a:graphicData uri="http://schemas.openxmlformats.org/drawingml/2006/chart">
                            <c:chart xmlns:c="http://schemas.openxmlformats.org/drawingml/2006/chart" xmlns:r="http://schemas.openxmlformats.org/officeDocument/2006/relationships" r:id="rId24"/>
                          </a:graphicData>
                        </a:graphic>
                      </wpg:graphicFrame>
                      <wpg:graphicFrame>
                        <wpg:cNvPr id="4" name="Chart 4">
                          <a:extLst>
                            <a:ext uri="{FF2B5EF4-FFF2-40B4-BE49-F238E27FC236}">
                              <a16:creationId xmlns:a16="http://schemas.microsoft.com/office/drawing/2014/main" id="{433098F5-0493-492E-B801-791F556D24A4}"/>
                            </a:ext>
                          </a:extLst>
                        </wpg:cNvPr>
                        <wpg:cNvFrPr/>
                        <wpg:xfrm>
                          <a:off x="12129075" y="9186"/>
                          <a:ext cx="6316099" cy="3735783"/>
                        </wpg:xfrm>
                        <a:graphic>
                          <a:graphicData uri="http://schemas.openxmlformats.org/drawingml/2006/chart">
                            <c:chart xmlns:c="http://schemas.openxmlformats.org/drawingml/2006/chart" xmlns:r="http://schemas.openxmlformats.org/officeDocument/2006/relationships" r:id="rId25"/>
                          </a:graphicData>
                        </a:graphic>
                      </wpg:graphicFrame>
                    </wpg:wgp>
                  </a:graphicData>
                </a:graphic>
                <wp14:sizeRelH relativeFrom="margin">
                  <wp14:pctWidth>0</wp14:pctWidth>
                </wp14:sizeRelH>
                <wp14:sizeRelV relativeFrom="margin">
                  <wp14:pctHeight>0</wp14:pctHeight>
                </wp14:sizeRelV>
              </wp:anchor>
            </w:drawing>
          </mc:Choice>
          <mc:Fallback xmlns:c="http://schemas.openxmlformats.org/drawingml/2006/chart" xmlns:a16="http://schemas.microsoft.com/office/drawing/2014/main" xmlns:a14="http://schemas.microsoft.com/office/drawing/2010/main" xmlns:pic="http://schemas.openxmlformats.org/drawingml/2006/picture" xmlns:a="http://schemas.openxmlformats.org/drawingml/2006/main">
            <w:pict>
              <v:group id="Group 7" style="position:absolute;margin-left:772.15pt;margin-top:29.15pt;width:782.8pt;height:224.7pt;z-index:251658240;mso-width-relative:margin;mso-height-relative:margin" coordsize="125873,37370" coordorigin="58578,79" o:spid="_x0000_s1026" w14:anchorId="40BE1320"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hart 3" style="position:absolute;left:58501;width:62750;height:36561;visibility:visibl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">
                  <v:imagedata o:title="" r:id="rId26"/>
                  <o:lock v:ext="edit" aspectratio="f"/>
                </v:shape>
                <v:shape id="Chart 4" style="position:absolute;left:121251;width:63290;height:37519;visibility:visibl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">
                  <v:imagedata o:title="" r:id="rId27"/>
                  <o:lock v:ext="edit" aspectratio="f"/>
                </v:shape>
              </v:group>
            </w:pict>
          </mc:Fallback>
        </mc:AlternateContent>
      </w:r>
      <w:r w:rsidR="0049737C">
        <w:t xml:space="preserve">Figure </w:t>
      </w:r>
      <w:r w:rsidR="003079A0">
        <w:fldChar w:fldCharType="begin"/>
      </w:r>
      <w:r w:rsidR="003079A0">
        <w:instrText xml:space="preserve"> SEQ Figure \* ARABIC </w:instrText>
      </w:r>
      <w:r w:rsidR="003079A0">
        <w:fldChar w:fldCharType="separate"/>
      </w:r>
      <w:r w:rsidR="0049737C">
        <w:rPr>
          <w:noProof/>
        </w:rPr>
        <w:t>1</w:t>
      </w:r>
      <w:r w:rsidR="003079A0">
        <w:rPr>
          <w:noProof/>
        </w:rPr>
        <w:fldChar w:fldCharType="end"/>
      </w:r>
      <w:r w:rsidR="0049737C">
        <w:t xml:space="preserve"> - Private and Public Finance leveraged by the LDN Fund</w:t>
      </w:r>
    </w:p>
    <w:p w14:paraId="03E7C2F9" w14:textId="39607B1B" w:rsidR="007151A7" w:rsidRDefault="007151A7" w:rsidP="00AA26A9">
      <w:pPr>
        <w:textAlignment w:val="baseline"/>
        <w:rPr>
          <w:rFonts w:eastAsia="Calibri"/>
          <w:sz w:val="22"/>
          <w:szCs w:val="22"/>
        </w:rPr>
      </w:pPr>
    </w:p>
    <w:p w14:paraId="6E3CABE5" w14:textId="13845C46" w:rsidR="007151A7" w:rsidRDefault="007151A7" w:rsidP="00AA26A9">
      <w:pPr>
        <w:textAlignment w:val="baseline"/>
        <w:rPr>
          <w:noProof/>
        </w:rPr>
      </w:pPr>
    </w:p>
    <w:p w14:paraId="77837900" w14:textId="4A7B2567" w:rsidR="0049737C" w:rsidRDefault="00CD64D9" w:rsidP="0049737C">
      <w:pPr>
        <w:keepNext/>
        <w:textAlignment w:val="baseline"/>
      </w:pPr>
      <w:r>
        <w:rPr>
          <w:noProof/>
        </w:rPr>
        <w:lastRenderedPageBreak/>
        <w:drawing>
          <wp:inline distT="0" distB="0" distL="0" distR="0" wp14:anchorId="7156CF29" wp14:editId="4E03E9ED">
            <wp:extent cx="5176838" cy="2757488"/>
            <wp:effectExtent l="0" t="0" r="5080" b="5080"/>
            <wp:docPr id="749283038" name="Chart 1">
              <a:extLst xmlns:a="http://schemas.openxmlformats.org/drawingml/2006/main">
                <a:ext uri="{FF2B5EF4-FFF2-40B4-BE49-F238E27FC236}">
                  <a16:creationId xmlns:a16="http://schemas.microsoft.com/office/drawing/2014/main" id="{ABBA3A29-2522-FD6C-BD10-C5CB7896DD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7D493D7" w14:textId="1BA623AB" w:rsidR="007C29E1" w:rsidRDefault="0049737C" w:rsidP="0049737C">
      <w:pPr>
        <w:pStyle w:val="Caption"/>
        <w:rPr>
          <w:noProof/>
        </w:rPr>
      </w:pPr>
      <w:r>
        <w:t xml:space="preserve">Figure </w:t>
      </w:r>
      <w:r w:rsidR="003079A0">
        <w:fldChar w:fldCharType="begin"/>
      </w:r>
      <w:r w:rsidR="003079A0">
        <w:instrText xml:space="preserve"> SEQ Figure \* ARABIC </w:instrText>
      </w:r>
      <w:r w:rsidR="003079A0">
        <w:fldChar w:fldCharType="separate"/>
      </w:r>
      <w:r>
        <w:rPr>
          <w:noProof/>
        </w:rPr>
        <w:t>2</w:t>
      </w:r>
      <w:r w:rsidR="003079A0">
        <w:rPr>
          <w:noProof/>
        </w:rPr>
        <w:fldChar w:fldCharType="end"/>
      </w:r>
      <w:r>
        <w:t xml:space="preserve"> - Tonnes of CO2e emissions avoided (KPI 6)</w:t>
      </w:r>
    </w:p>
    <w:p w14:paraId="3D6AFA43" w14:textId="4C0FA399" w:rsidR="007C29E1" w:rsidRDefault="007C29E1" w:rsidP="00AA26A9">
      <w:pPr>
        <w:textAlignment w:val="baseline"/>
        <w:rPr>
          <w:noProof/>
        </w:rPr>
      </w:pPr>
    </w:p>
    <w:p w14:paraId="5C16CD3D" w14:textId="73F7AEE4" w:rsidR="0049737C" w:rsidRDefault="00D140CC" w:rsidP="0049737C">
      <w:pPr>
        <w:keepNext/>
        <w:textAlignment w:val="baseline"/>
      </w:pPr>
      <w:r>
        <w:rPr>
          <w:noProof/>
        </w:rPr>
        <w:drawing>
          <wp:inline distT="0" distB="0" distL="0" distR="0" wp14:anchorId="7FFD6752" wp14:editId="57980234">
            <wp:extent cx="5176520" cy="2495550"/>
            <wp:effectExtent l="0" t="0" r="5080" b="0"/>
            <wp:docPr id="919410786" name="Chart 1">
              <a:extLst xmlns:a="http://schemas.openxmlformats.org/drawingml/2006/main">
                <a:ext uri="{FF2B5EF4-FFF2-40B4-BE49-F238E27FC236}">
                  <a16:creationId xmlns:a16="http://schemas.microsoft.com/office/drawing/2014/main" id="{1566B7A9-3795-E1DD-D5AF-BD269AADA8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F03F475" w14:textId="10A09695" w:rsidR="007C29E1" w:rsidRDefault="0049737C" w:rsidP="0049737C">
      <w:pPr>
        <w:pStyle w:val="Caption"/>
        <w:rPr>
          <w:noProof/>
        </w:rPr>
      </w:pPr>
      <w:r>
        <w:t xml:space="preserve">Figure </w:t>
      </w:r>
      <w:r w:rsidR="003079A0">
        <w:fldChar w:fldCharType="begin"/>
      </w:r>
      <w:r w:rsidR="003079A0">
        <w:instrText xml:space="preserve"> SEQ Figure \* ARABIC </w:instrText>
      </w:r>
      <w:r w:rsidR="003079A0">
        <w:fldChar w:fldCharType="separate"/>
      </w:r>
      <w:r>
        <w:rPr>
          <w:noProof/>
        </w:rPr>
        <w:t>3</w:t>
      </w:r>
      <w:r w:rsidR="003079A0">
        <w:rPr>
          <w:noProof/>
        </w:rPr>
        <w:fldChar w:fldCharType="end"/>
      </w:r>
      <w:r>
        <w:t xml:space="preserve"> - Area of Reforestation</w:t>
      </w:r>
    </w:p>
    <w:p w14:paraId="36CC0837" w14:textId="4C63E8BE" w:rsidR="007C29E1" w:rsidRDefault="007C29E1" w:rsidP="00AA26A9">
      <w:pPr>
        <w:textAlignment w:val="baseline"/>
        <w:rPr>
          <w:noProof/>
        </w:rPr>
      </w:pPr>
    </w:p>
    <w:p w14:paraId="56D2DA08" w14:textId="766477C5" w:rsidR="0049737C" w:rsidRDefault="00FF390B" w:rsidP="0049737C">
      <w:pPr>
        <w:keepNext/>
        <w:textAlignment w:val="baseline"/>
      </w:pPr>
      <w:r>
        <w:rPr>
          <w:noProof/>
        </w:rPr>
        <w:drawing>
          <wp:inline distT="0" distB="0" distL="0" distR="0" wp14:anchorId="0753A4AD" wp14:editId="6DD08EF1">
            <wp:extent cx="5176520" cy="2619375"/>
            <wp:effectExtent l="0" t="0" r="5080" b="9525"/>
            <wp:docPr id="743386896" name="Chart 1">
              <a:extLst xmlns:a="http://schemas.openxmlformats.org/drawingml/2006/main">
                <a:ext uri="{FF2B5EF4-FFF2-40B4-BE49-F238E27FC236}">
                  <a16:creationId xmlns:a16="http://schemas.microsoft.com/office/drawing/2014/main" id="{72C78643-1677-25C5-8458-C675DF97B0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FE494CB" w14:textId="2CA1BE86" w:rsidR="007C29E1" w:rsidRDefault="0049737C" w:rsidP="0049737C">
      <w:pPr>
        <w:pStyle w:val="Caption"/>
        <w:rPr>
          <w:noProof/>
        </w:rPr>
      </w:pPr>
      <w:r>
        <w:t xml:space="preserve">Figure </w:t>
      </w:r>
      <w:r w:rsidR="003079A0">
        <w:fldChar w:fldCharType="begin"/>
      </w:r>
      <w:r w:rsidR="003079A0">
        <w:instrText xml:space="preserve"> SEQ Figure \* ARABIC </w:instrText>
      </w:r>
      <w:r w:rsidR="003079A0">
        <w:fldChar w:fldCharType="separate"/>
      </w:r>
      <w:r>
        <w:rPr>
          <w:noProof/>
        </w:rPr>
        <w:t>4</w:t>
      </w:r>
      <w:r w:rsidR="003079A0">
        <w:rPr>
          <w:noProof/>
        </w:rPr>
        <w:fldChar w:fldCharType="end"/>
      </w:r>
      <w:r>
        <w:t xml:space="preserve"> - Area of Land Under Sustainable Management</w:t>
      </w:r>
    </w:p>
    <w:p w14:paraId="04DE2AFA" w14:textId="7180863E" w:rsidR="00E12E5D" w:rsidRDefault="00A5671A" w:rsidP="005E1A4D">
      <w:pPr>
        <w:textAlignment w:val="baseline"/>
        <w:rPr>
          <w:noProof/>
          <w:sz w:val="22"/>
          <w:szCs w:val="22"/>
        </w:rPr>
      </w:pPr>
      <w:r w:rsidRPr="00A5671A">
        <w:rPr>
          <w:noProof/>
          <w:sz w:val="22"/>
          <w:szCs w:val="22"/>
        </w:rPr>
        <w:t xml:space="preserve">As can be seen in Figures 1, 2, 3, and 4, the LDN Fund had a successful year in 2021 and made significant progress in all of the indicators listed; compared to </w:t>
      </w:r>
      <w:r w:rsidRPr="0098773D">
        <w:rPr>
          <w:noProof/>
          <w:sz w:val="22"/>
          <w:szCs w:val="22"/>
        </w:rPr>
        <w:t xml:space="preserve">2020, public finance </w:t>
      </w:r>
      <w:r w:rsidRPr="0098773D">
        <w:rPr>
          <w:noProof/>
          <w:sz w:val="22"/>
          <w:szCs w:val="22"/>
        </w:rPr>
        <w:lastRenderedPageBreak/>
        <w:t xml:space="preserve">leveraged by the LDN Fund (KPI 12) increased by 119%, private finance leveraged by the LDN Fund (KPI 11) increased by </w:t>
      </w:r>
      <w:r w:rsidR="003540E3" w:rsidRPr="0098773D">
        <w:rPr>
          <w:noProof/>
          <w:sz w:val="22"/>
          <w:szCs w:val="22"/>
        </w:rPr>
        <w:t>25</w:t>
      </w:r>
      <w:r w:rsidRPr="0098773D">
        <w:rPr>
          <w:noProof/>
          <w:sz w:val="22"/>
          <w:szCs w:val="22"/>
        </w:rPr>
        <w:t>%, area of reforestation increased by</w:t>
      </w:r>
      <w:r w:rsidRPr="00A5671A">
        <w:rPr>
          <w:noProof/>
          <w:sz w:val="22"/>
          <w:szCs w:val="22"/>
        </w:rPr>
        <w:t xml:space="preserve"> 40%, tonnes of CO2e emissions avoided (KPI 6) increased by </w:t>
      </w:r>
      <w:r w:rsidR="00774208">
        <w:rPr>
          <w:noProof/>
          <w:sz w:val="22"/>
          <w:szCs w:val="22"/>
        </w:rPr>
        <w:t>25</w:t>
      </w:r>
      <w:r w:rsidRPr="00A5671A">
        <w:rPr>
          <w:noProof/>
          <w:sz w:val="22"/>
          <w:szCs w:val="22"/>
        </w:rPr>
        <w:t>7%, and area of land under sustainable management increased by 141%.</w:t>
      </w:r>
    </w:p>
    <w:p w14:paraId="5376A73D" w14:textId="77777777" w:rsidR="00A5671A" w:rsidRPr="005E1A4D" w:rsidRDefault="00A5671A" w:rsidP="005E1A4D">
      <w:pPr>
        <w:textAlignment w:val="baseline"/>
        <w:rPr>
          <w:noProof/>
          <w:sz w:val="22"/>
          <w:szCs w:val="22"/>
        </w:rPr>
      </w:pPr>
    </w:p>
    <w:p w14:paraId="7AB16CD5" w14:textId="7BC48543" w:rsidR="00781B6E" w:rsidRPr="007222D2" w:rsidRDefault="00781B6E" w:rsidP="007222D2">
      <w:pPr>
        <w:rPr>
          <w:rFonts w:cs="Arial"/>
          <w:color w:val="000000"/>
          <w:sz w:val="22"/>
          <w:szCs w:val="22"/>
          <w:lang w:eastAsia="en-GB"/>
        </w:rPr>
      </w:pPr>
      <w:r>
        <w:rPr>
          <w:rFonts w:eastAsia="Calibri" w:cs="Arial"/>
          <w:color w:val="000000" w:themeColor="text1"/>
          <w:sz w:val="22"/>
          <w:szCs w:val="22"/>
        </w:rPr>
        <w:t>T</w:t>
      </w:r>
      <w:r w:rsidRPr="00781B6E">
        <w:rPr>
          <w:rFonts w:eastAsia="Calibri" w:cs="Arial"/>
          <w:color w:val="000000" w:themeColor="text1"/>
          <w:sz w:val="22"/>
          <w:szCs w:val="22"/>
        </w:rPr>
        <w:t xml:space="preserve">he business case estimated the creation of 5,750 jobs, and current progress under indicator 3.3 – jobs created/supported by LDN Fund – is </w:t>
      </w:r>
      <w:r w:rsidR="005E1A4D" w:rsidRPr="005E1A4D">
        <w:rPr>
          <w:rFonts w:eastAsia="Calibri" w:cs="Arial"/>
          <w:color w:val="000000" w:themeColor="text1"/>
          <w:sz w:val="22"/>
          <w:szCs w:val="22"/>
        </w:rPr>
        <w:t>31</w:t>
      </w:r>
      <w:r w:rsidR="005E1A4D">
        <w:rPr>
          <w:rFonts w:eastAsia="Calibri" w:cs="Arial"/>
          <w:color w:val="000000" w:themeColor="text1"/>
          <w:sz w:val="22"/>
          <w:szCs w:val="22"/>
        </w:rPr>
        <w:t>,</w:t>
      </w:r>
      <w:r w:rsidR="005E1A4D" w:rsidRPr="005E1A4D">
        <w:rPr>
          <w:rFonts w:eastAsia="Calibri" w:cs="Arial"/>
          <w:color w:val="000000" w:themeColor="text1"/>
          <w:sz w:val="22"/>
          <w:szCs w:val="22"/>
        </w:rPr>
        <w:t>995</w:t>
      </w:r>
      <w:r w:rsidR="001C398C">
        <w:rPr>
          <w:rFonts w:eastAsia="Calibri" w:cs="Arial"/>
          <w:color w:val="000000" w:themeColor="text1"/>
          <w:sz w:val="22"/>
          <w:szCs w:val="22"/>
        </w:rPr>
        <w:t>, with 4,151 direct employees</w:t>
      </w:r>
      <w:r w:rsidR="005E1A4D">
        <w:rPr>
          <w:rFonts w:eastAsia="Calibri" w:cs="Arial"/>
          <w:color w:val="000000" w:themeColor="text1"/>
          <w:sz w:val="22"/>
          <w:szCs w:val="22"/>
        </w:rPr>
        <w:t xml:space="preserve">, </w:t>
      </w:r>
      <w:r w:rsidR="001C398C">
        <w:rPr>
          <w:rFonts w:eastAsia="Calibri" w:cs="Arial"/>
          <w:color w:val="000000" w:themeColor="text1"/>
          <w:sz w:val="22"/>
          <w:szCs w:val="22"/>
        </w:rPr>
        <w:t>on track towards</w:t>
      </w:r>
      <w:r w:rsidR="001C398C" w:rsidRPr="00781B6E">
        <w:rPr>
          <w:rFonts w:eastAsia="Calibri" w:cs="Arial"/>
          <w:color w:val="000000" w:themeColor="text1"/>
          <w:sz w:val="22"/>
          <w:szCs w:val="22"/>
        </w:rPr>
        <w:t xml:space="preserve"> </w:t>
      </w:r>
      <w:r w:rsidRPr="00781B6E">
        <w:rPr>
          <w:rFonts w:eastAsia="Calibri" w:cs="Arial"/>
          <w:color w:val="000000" w:themeColor="text1"/>
          <w:sz w:val="22"/>
          <w:szCs w:val="22"/>
        </w:rPr>
        <w:t>the target established in the business case</w:t>
      </w:r>
      <w:r w:rsidR="007222D2">
        <w:rPr>
          <w:rFonts w:eastAsia="Calibri" w:cs="Arial"/>
          <w:color w:val="000000" w:themeColor="text1"/>
          <w:sz w:val="22"/>
          <w:szCs w:val="22"/>
        </w:rPr>
        <w:t xml:space="preserve">. In 2020, the fund created and supported </w:t>
      </w:r>
      <w:r w:rsidR="007222D2" w:rsidRPr="007222D2">
        <w:rPr>
          <w:rFonts w:cs="Arial"/>
          <w:color w:val="000000"/>
          <w:sz w:val="22"/>
          <w:szCs w:val="22"/>
          <w:lang w:eastAsia="en-GB"/>
        </w:rPr>
        <w:t>35,801 jobs; this means that compared to last year the Fund created and supported ~11% less jobs</w:t>
      </w:r>
      <w:r w:rsidR="001C398C">
        <w:rPr>
          <w:rFonts w:cs="Arial"/>
          <w:color w:val="000000"/>
          <w:sz w:val="22"/>
          <w:szCs w:val="22"/>
          <w:lang w:eastAsia="en-GB"/>
        </w:rPr>
        <w:t>, though direct employees increased from 2,714</w:t>
      </w:r>
      <w:r w:rsidR="007222D2" w:rsidRPr="007222D2">
        <w:rPr>
          <w:rFonts w:cs="Arial"/>
          <w:color w:val="000000"/>
          <w:sz w:val="22"/>
          <w:szCs w:val="22"/>
          <w:lang w:eastAsia="en-GB"/>
        </w:rPr>
        <w:t>.</w:t>
      </w:r>
    </w:p>
    <w:p w14:paraId="2AAC5E48" w14:textId="77777777" w:rsidR="005E1A4D" w:rsidRDefault="005E1A4D" w:rsidP="005E1A4D">
      <w:pPr>
        <w:spacing w:line="257" w:lineRule="auto"/>
        <w:rPr>
          <w:rFonts w:eastAsia="Calibri"/>
          <w:sz w:val="22"/>
          <w:szCs w:val="22"/>
        </w:rPr>
      </w:pPr>
    </w:p>
    <w:p w14:paraId="60BEE644" w14:textId="4C23280E" w:rsidR="008168EA" w:rsidRDefault="00770075" w:rsidP="00D12269">
      <w:pPr>
        <w:pStyle w:val="Normal1"/>
        <w:spacing w:after="120"/>
        <w:jc w:val="both"/>
        <w:rPr>
          <w:rFonts w:eastAsia="Calibri"/>
          <w:sz w:val="22"/>
          <w:szCs w:val="22"/>
        </w:rPr>
      </w:pPr>
      <w:r w:rsidRPr="00770075">
        <w:rPr>
          <w:rFonts w:eastAsia="Calibri" w:cs="Times New Roman"/>
          <w:color w:val="auto"/>
          <w:sz w:val="22"/>
          <w:szCs w:val="22"/>
        </w:rPr>
        <w:t xml:space="preserve">As the fund has continued to successfully attract public and private investment and expand its portfolio, </w:t>
      </w:r>
      <w:r w:rsidR="00AD5798">
        <w:rPr>
          <w:rFonts w:eastAsia="Calibri" w:cs="Times New Roman"/>
          <w:color w:val="auto"/>
          <w:sz w:val="22"/>
          <w:szCs w:val="22"/>
        </w:rPr>
        <w:t>there have been</w:t>
      </w:r>
      <w:r w:rsidR="00AD5798" w:rsidRPr="00770075">
        <w:rPr>
          <w:rFonts w:eastAsia="Calibri" w:cs="Times New Roman"/>
          <w:color w:val="auto"/>
          <w:sz w:val="22"/>
          <w:szCs w:val="22"/>
        </w:rPr>
        <w:t xml:space="preserve"> </w:t>
      </w:r>
      <w:r w:rsidRPr="00770075">
        <w:rPr>
          <w:rFonts w:eastAsia="Calibri" w:cs="Times New Roman"/>
          <w:color w:val="auto"/>
          <w:sz w:val="22"/>
          <w:szCs w:val="22"/>
        </w:rPr>
        <w:t>corresponding increases in reforestation, CO2 emissions avoided, and land under sustainable management.</w:t>
      </w:r>
      <w:r>
        <w:rPr>
          <w:rFonts w:eastAsia="Calibri" w:cs="Times New Roman"/>
          <w:color w:val="auto"/>
          <w:sz w:val="22"/>
          <w:szCs w:val="22"/>
        </w:rPr>
        <w:t xml:space="preserve"> </w:t>
      </w:r>
      <w:r w:rsidR="00AD5798">
        <w:rPr>
          <w:rFonts w:eastAsia="Calibri"/>
          <w:sz w:val="22"/>
          <w:szCs w:val="22"/>
        </w:rPr>
        <w:t>T</w:t>
      </w:r>
      <w:r w:rsidRPr="00781B6E">
        <w:rPr>
          <w:rFonts w:eastAsia="Calibri"/>
          <w:sz w:val="22"/>
          <w:szCs w:val="22"/>
        </w:rPr>
        <w:t xml:space="preserve">he Fund is displaying </w:t>
      </w:r>
      <w:r w:rsidR="00AD5798">
        <w:rPr>
          <w:rFonts w:eastAsia="Calibri"/>
          <w:sz w:val="22"/>
          <w:szCs w:val="22"/>
        </w:rPr>
        <w:t>strong</w:t>
      </w:r>
      <w:r w:rsidR="00AD5798" w:rsidRPr="00781B6E">
        <w:rPr>
          <w:rFonts w:eastAsia="Calibri"/>
          <w:sz w:val="22"/>
          <w:szCs w:val="22"/>
        </w:rPr>
        <w:t xml:space="preserve"> </w:t>
      </w:r>
      <w:r w:rsidRPr="00781B6E">
        <w:rPr>
          <w:rFonts w:eastAsia="Calibri"/>
          <w:sz w:val="22"/>
          <w:szCs w:val="22"/>
        </w:rPr>
        <w:t xml:space="preserve">effectiveness </w:t>
      </w:r>
      <w:r w:rsidR="00AD5798">
        <w:rPr>
          <w:rFonts w:eastAsia="Calibri"/>
          <w:sz w:val="22"/>
          <w:szCs w:val="22"/>
        </w:rPr>
        <w:t>in</w:t>
      </w:r>
      <w:r w:rsidR="00AD5798" w:rsidRPr="00781B6E">
        <w:rPr>
          <w:rFonts w:eastAsia="Calibri"/>
          <w:sz w:val="22"/>
          <w:szCs w:val="22"/>
        </w:rPr>
        <w:t xml:space="preserve"> </w:t>
      </w:r>
      <w:r w:rsidRPr="00781B6E">
        <w:rPr>
          <w:rFonts w:eastAsia="Calibri"/>
          <w:sz w:val="22"/>
          <w:szCs w:val="22"/>
        </w:rPr>
        <w:t>attaining the desired outcomes and achieving the intended impacts.</w:t>
      </w:r>
    </w:p>
    <w:p w14:paraId="77F56584" w14:textId="77777777" w:rsidR="008168EA" w:rsidRDefault="008168EA" w:rsidP="00D12269">
      <w:pPr>
        <w:pStyle w:val="Normal1"/>
        <w:spacing w:after="120"/>
        <w:jc w:val="both"/>
        <w:rPr>
          <w:rFonts w:eastAsia="Calibri"/>
          <w:sz w:val="22"/>
          <w:szCs w:val="22"/>
        </w:rPr>
      </w:pPr>
    </w:p>
    <w:p w14:paraId="43DC5BFC" w14:textId="77777777" w:rsidR="00E031A6" w:rsidRPr="00E031A6" w:rsidRDefault="00E031A6" w:rsidP="00E031A6">
      <w:pPr>
        <w:pStyle w:val="Normal1"/>
        <w:spacing w:after="120"/>
        <w:jc w:val="both"/>
        <w:rPr>
          <w:rFonts w:eastAsia="Calibri"/>
          <w:b/>
          <w:bCs/>
          <w:sz w:val="22"/>
          <w:szCs w:val="22"/>
        </w:rPr>
      </w:pPr>
      <w:commentRangeStart w:id="5"/>
      <w:r w:rsidRPr="00E031A6">
        <w:rPr>
          <w:rFonts w:eastAsia="Calibri"/>
          <w:b/>
          <w:bCs/>
          <w:sz w:val="22"/>
          <w:szCs w:val="22"/>
        </w:rPr>
        <w:t>Equity</w:t>
      </w:r>
      <w:commentRangeEnd w:id="5"/>
      <w:r w:rsidRPr="00E031A6">
        <w:rPr>
          <w:rFonts w:eastAsia="Calibri"/>
          <w:b/>
          <w:bCs/>
          <w:sz w:val="22"/>
          <w:szCs w:val="22"/>
        </w:rPr>
        <w:commentReference w:id="5"/>
      </w:r>
      <w:r w:rsidRPr="00E031A6">
        <w:rPr>
          <w:rFonts w:eastAsia="Calibri"/>
          <w:b/>
          <w:bCs/>
          <w:sz w:val="22"/>
          <w:szCs w:val="22"/>
        </w:rPr>
        <w:t>:</w:t>
      </w:r>
    </w:p>
    <w:p w14:paraId="77C1A5F0" w14:textId="08586734" w:rsidR="00E031A6" w:rsidRPr="00E031A6" w:rsidRDefault="00E031A6" w:rsidP="00E031A6">
      <w:pPr>
        <w:pStyle w:val="Normal1"/>
        <w:spacing w:after="120"/>
        <w:jc w:val="both"/>
        <w:rPr>
          <w:rFonts w:eastAsia="Calibri"/>
          <w:sz w:val="22"/>
          <w:szCs w:val="22"/>
        </w:rPr>
      </w:pPr>
      <w:proofErr w:type="gramStart"/>
      <w:r w:rsidRPr="00E031A6">
        <w:rPr>
          <w:rFonts w:eastAsia="Calibri"/>
          <w:sz w:val="22"/>
          <w:szCs w:val="22"/>
        </w:rPr>
        <w:t>In order to</w:t>
      </w:r>
      <w:proofErr w:type="gramEnd"/>
      <w:r w:rsidRPr="00E031A6">
        <w:rPr>
          <w:rFonts w:eastAsia="Calibri"/>
          <w:sz w:val="22"/>
          <w:szCs w:val="22"/>
        </w:rPr>
        <w:t xml:space="preserve"> track the progress with respect to how well the LDN</w:t>
      </w:r>
      <w:r w:rsidR="00867B7E">
        <w:rPr>
          <w:rFonts w:eastAsia="Calibri"/>
          <w:sz w:val="22"/>
          <w:szCs w:val="22"/>
        </w:rPr>
        <w:t>F</w:t>
      </w:r>
      <w:r w:rsidRPr="00E031A6">
        <w:rPr>
          <w:rFonts w:eastAsia="Calibri"/>
          <w:sz w:val="22"/>
          <w:szCs w:val="22"/>
        </w:rPr>
        <w:t xml:space="preserve"> is doing in terms of equity, 1 </w:t>
      </w:r>
      <w:proofErr w:type="spellStart"/>
      <w:r w:rsidRPr="00E031A6">
        <w:rPr>
          <w:rFonts w:eastAsia="Calibri"/>
          <w:sz w:val="22"/>
          <w:szCs w:val="22"/>
        </w:rPr>
        <w:t>VfM</w:t>
      </w:r>
      <w:proofErr w:type="spellEnd"/>
      <w:r w:rsidRPr="00E031A6">
        <w:rPr>
          <w:rFonts w:eastAsia="Calibri"/>
          <w:sz w:val="22"/>
          <w:szCs w:val="22"/>
        </w:rPr>
        <w:t xml:space="preserve"> metric will be used in this annual review and for all other and future annual reviews hereafter. This </w:t>
      </w:r>
      <w:proofErr w:type="spellStart"/>
      <w:r w:rsidRPr="00E031A6">
        <w:rPr>
          <w:rFonts w:eastAsia="Calibri"/>
          <w:sz w:val="22"/>
          <w:szCs w:val="22"/>
        </w:rPr>
        <w:t>VfM</w:t>
      </w:r>
      <w:proofErr w:type="spellEnd"/>
      <w:r w:rsidRPr="00E031A6">
        <w:rPr>
          <w:rFonts w:eastAsia="Calibri"/>
          <w:sz w:val="22"/>
          <w:szCs w:val="22"/>
        </w:rPr>
        <w:t xml:space="preserve"> metric is:</w:t>
      </w:r>
    </w:p>
    <w:p w14:paraId="504E492F" w14:textId="77777777" w:rsidR="001D0596" w:rsidRPr="001D0596" w:rsidRDefault="001D0596" w:rsidP="001D0596">
      <w:pPr>
        <w:pStyle w:val="Normal1"/>
        <w:numPr>
          <w:ilvl w:val="0"/>
          <w:numId w:val="15"/>
        </w:numPr>
        <w:spacing w:after="120"/>
        <w:rPr>
          <w:rFonts w:eastAsia="Calibri"/>
          <w:b/>
          <w:bCs/>
          <w:sz w:val="20"/>
          <w:szCs w:val="20"/>
        </w:rPr>
      </w:pPr>
      <w:r w:rsidRPr="001D0596">
        <w:rPr>
          <w:rFonts w:eastAsia="Calibri"/>
          <w:sz w:val="22"/>
          <w:szCs w:val="22"/>
        </w:rPr>
        <w:t>Gender ratio of people employed by or with main livelihood supported by LDN Fund projects</w:t>
      </w:r>
    </w:p>
    <w:p w14:paraId="5A5F6B02" w14:textId="50686743" w:rsidR="00E031A6" w:rsidRPr="00E031A6" w:rsidRDefault="00E031A6" w:rsidP="001D0596">
      <w:pPr>
        <w:pStyle w:val="Normal1"/>
        <w:spacing w:after="120"/>
        <w:rPr>
          <w:rFonts w:eastAsia="Calibri"/>
          <w:b/>
          <w:bCs/>
          <w:sz w:val="20"/>
          <w:szCs w:val="20"/>
        </w:rPr>
      </w:pPr>
      <w:r w:rsidRPr="00E031A6">
        <w:rPr>
          <w:rFonts w:eastAsia="Calibri"/>
          <w:sz w:val="22"/>
          <w:szCs w:val="22"/>
        </w:rPr>
        <w:t xml:space="preserve">The results for the </w:t>
      </w:r>
      <w:proofErr w:type="spellStart"/>
      <w:r w:rsidRPr="00E031A6">
        <w:rPr>
          <w:rFonts w:eastAsia="Calibri"/>
          <w:sz w:val="22"/>
          <w:szCs w:val="22"/>
        </w:rPr>
        <w:t>VfM</w:t>
      </w:r>
      <w:proofErr w:type="spellEnd"/>
      <w:r w:rsidRPr="00E031A6">
        <w:rPr>
          <w:rFonts w:eastAsia="Calibri"/>
          <w:sz w:val="22"/>
          <w:szCs w:val="22"/>
        </w:rPr>
        <w:t xml:space="preserve"> metric for this Annual Review are shown below in Table 5:</w:t>
      </w:r>
      <w:r w:rsidRPr="00E031A6">
        <w:rPr>
          <w:rFonts w:eastAsia="Calibri"/>
          <w:b/>
          <w:bCs/>
          <w:sz w:val="20"/>
          <w:szCs w:val="20"/>
        </w:rPr>
        <w:br/>
      </w:r>
    </w:p>
    <w:p w14:paraId="19990019" w14:textId="77777777" w:rsidR="00E031A6" w:rsidRPr="00E031A6" w:rsidRDefault="00E031A6" w:rsidP="00E031A6">
      <w:pPr>
        <w:pStyle w:val="Normal1"/>
        <w:spacing w:after="120"/>
        <w:jc w:val="both"/>
        <w:rPr>
          <w:rFonts w:eastAsia="Calibri"/>
          <w:b/>
          <w:bCs/>
          <w:sz w:val="20"/>
          <w:szCs w:val="20"/>
          <w:u w:val="single"/>
        </w:rPr>
      </w:pPr>
      <w:r w:rsidRPr="00E031A6">
        <w:rPr>
          <w:rFonts w:eastAsia="Calibri"/>
          <w:b/>
          <w:bCs/>
          <w:sz w:val="20"/>
          <w:szCs w:val="20"/>
          <w:u w:val="single"/>
        </w:rPr>
        <w:t xml:space="preserve">Table 5 - </w:t>
      </w:r>
      <w:proofErr w:type="spellStart"/>
      <w:r w:rsidRPr="00E031A6">
        <w:rPr>
          <w:rFonts w:eastAsia="Calibri"/>
          <w:b/>
          <w:bCs/>
          <w:sz w:val="20"/>
          <w:szCs w:val="20"/>
          <w:u w:val="single"/>
        </w:rPr>
        <w:t>VfM</w:t>
      </w:r>
      <w:proofErr w:type="spellEnd"/>
      <w:r w:rsidRPr="00E031A6">
        <w:rPr>
          <w:rFonts w:eastAsia="Calibri"/>
          <w:b/>
          <w:bCs/>
          <w:sz w:val="20"/>
          <w:szCs w:val="20"/>
          <w:u w:val="single"/>
        </w:rPr>
        <w:t xml:space="preserve"> Equity Metrics Results</w:t>
      </w:r>
    </w:p>
    <w:tbl>
      <w:tblPr>
        <w:tblStyle w:val="TableGrid"/>
        <w:tblW w:w="0" w:type="auto"/>
        <w:tblLook w:val="04A0" w:firstRow="1" w:lastRow="0" w:firstColumn="1" w:lastColumn="0" w:noHBand="0" w:noVBand="1"/>
      </w:tblPr>
      <w:tblGrid>
        <w:gridCol w:w="4508"/>
        <w:gridCol w:w="4508"/>
      </w:tblGrid>
      <w:tr w:rsidR="00E031A6" w:rsidRPr="00E031A6" w14:paraId="5443C0A1" w14:textId="77777777" w:rsidTr="00F97230">
        <w:tc>
          <w:tcPr>
            <w:tcW w:w="4508" w:type="dxa"/>
            <w:shd w:val="clear" w:color="auto" w:fill="D9E2F3" w:themeFill="accent1" w:themeFillTint="33"/>
          </w:tcPr>
          <w:p w14:paraId="1DA586CA" w14:textId="77777777" w:rsidR="00E031A6" w:rsidRPr="00E031A6" w:rsidRDefault="00E031A6" w:rsidP="00E031A6">
            <w:pPr>
              <w:pStyle w:val="Normal1"/>
              <w:spacing w:after="120"/>
              <w:jc w:val="both"/>
              <w:rPr>
                <w:rFonts w:eastAsia="Calibri"/>
                <w:b/>
                <w:bCs/>
                <w:i/>
                <w:iCs/>
                <w:sz w:val="20"/>
                <w:szCs w:val="20"/>
              </w:rPr>
            </w:pPr>
            <w:proofErr w:type="spellStart"/>
            <w:r w:rsidRPr="00E031A6">
              <w:rPr>
                <w:rFonts w:eastAsia="Calibri"/>
                <w:b/>
                <w:bCs/>
                <w:i/>
                <w:iCs/>
                <w:sz w:val="20"/>
                <w:szCs w:val="20"/>
              </w:rPr>
              <w:t>VfM</w:t>
            </w:r>
            <w:proofErr w:type="spellEnd"/>
            <w:r w:rsidRPr="00E031A6">
              <w:rPr>
                <w:rFonts w:eastAsia="Calibri"/>
                <w:b/>
                <w:bCs/>
                <w:i/>
                <w:iCs/>
                <w:sz w:val="20"/>
                <w:szCs w:val="20"/>
              </w:rPr>
              <w:t xml:space="preserve"> Metric</w:t>
            </w:r>
          </w:p>
        </w:tc>
        <w:tc>
          <w:tcPr>
            <w:tcW w:w="4508" w:type="dxa"/>
          </w:tcPr>
          <w:p w14:paraId="7230C6B3" w14:textId="77777777" w:rsidR="00E031A6" w:rsidRPr="00E031A6" w:rsidRDefault="00E031A6" w:rsidP="00E031A6">
            <w:pPr>
              <w:pStyle w:val="Normal1"/>
              <w:spacing w:after="120"/>
              <w:jc w:val="both"/>
              <w:rPr>
                <w:rFonts w:eastAsia="Calibri"/>
                <w:b/>
                <w:bCs/>
                <w:i/>
                <w:iCs/>
                <w:sz w:val="20"/>
                <w:szCs w:val="20"/>
              </w:rPr>
            </w:pPr>
            <w:r w:rsidRPr="00E031A6">
              <w:rPr>
                <w:rFonts w:eastAsia="Calibri"/>
                <w:b/>
                <w:bCs/>
                <w:i/>
                <w:iCs/>
                <w:sz w:val="20"/>
                <w:szCs w:val="20"/>
              </w:rPr>
              <w:t xml:space="preserve">Result </w:t>
            </w:r>
          </w:p>
        </w:tc>
      </w:tr>
      <w:tr w:rsidR="00E031A6" w:rsidRPr="00E031A6" w14:paraId="4989621E" w14:textId="77777777" w:rsidTr="00F97230">
        <w:trPr>
          <w:trHeight w:val="489"/>
        </w:trPr>
        <w:tc>
          <w:tcPr>
            <w:tcW w:w="4508" w:type="dxa"/>
            <w:shd w:val="clear" w:color="auto" w:fill="D9E2F3" w:themeFill="accent1" w:themeFillTint="33"/>
          </w:tcPr>
          <w:p w14:paraId="4641C737" w14:textId="123111E9" w:rsidR="00E031A6" w:rsidRPr="00E031A6" w:rsidRDefault="00E031A6" w:rsidP="00E031A6">
            <w:pPr>
              <w:pStyle w:val="Normal1"/>
              <w:spacing w:after="120"/>
              <w:jc w:val="both"/>
              <w:rPr>
                <w:rFonts w:eastAsia="Calibri"/>
                <w:sz w:val="20"/>
                <w:szCs w:val="20"/>
              </w:rPr>
            </w:pPr>
            <w:r w:rsidRPr="00E031A6">
              <w:rPr>
                <w:rFonts w:eastAsia="Calibri"/>
                <w:sz w:val="20"/>
                <w:szCs w:val="20"/>
              </w:rPr>
              <w:t>Gender ratio of people employed by or with main livelihood supported by LDN Fund projects</w:t>
            </w:r>
            <w:r w:rsidR="00F94BAC">
              <w:rPr>
                <w:rFonts w:eastAsia="Calibri"/>
                <w:sz w:val="20"/>
                <w:szCs w:val="20"/>
              </w:rPr>
              <w:t xml:space="preserve"> (logframe output indicator 3.1)</w:t>
            </w:r>
            <w:r w:rsidRPr="00E031A6">
              <w:rPr>
                <w:rFonts w:eastAsia="Calibri"/>
                <w:sz w:val="20"/>
                <w:szCs w:val="20"/>
              </w:rPr>
              <w:t>.</w:t>
            </w:r>
          </w:p>
        </w:tc>
        <w:tc>
          <w:tcPr>
            <w:tcW w:w="4508" w:type="dxa"/>
          </w:tcPr>
          <w:p w14:paraId="648463F1" w14:textId="77777777" w:rsidR="00E031A6" w:rsidRPr="00E031A6" w:rsidRDefault="00E031A6" w:rsidP="00E031A6">
            <w:pPr>
              <w:pStyle w:val="Normal1"/>
              <w:spacing w:after="120"/>
              <w:jc w:val="both"/>
              <w:rPr>
                <w:rFonts w:eastAsia="Calibri"/>
                <w:sz w:val="20"/>
                <w:szCs w:val="20"/>
              </w:rPr>
            </w:pPr>
            <w:r w:rsidRPr="00E031A6">
              <w:rPr>
                <w:rFonts w:eastAsia="Calibri"/>
                <w:sz w:val="20"/>
                <w:szCs w:val="20"/>
              </w:rPr>
              <w:t>F:45%</w:t>
            </w:r>
          </w:p>
          <w:p w14:paraId="45FB0205" w14:textId="77777777" w:rsidR="00E031A6" w:rsidRPr="00E031A6" w:rsidRDefault="00E031A6" w:rsidP="00E031A6">
            <w:pPr>
              <w:pStyle w:val="Normal1"/>
              <w:spacing w:after="120"/>
              <w:jc w:val="both"/>
              <w:rPr>
                <w:rFonts w:eastAsia="Calibri"/>
                <w:sz w:val="20"/>
                <w:szCs w:val="20"/>
              </w:rPr>
            </w:pPr>
            <w:r w:rsidRPr="00E031A6">
              <w:rPr>
                <w:rFonts w:eastAsia="Calibri"/>
                <w:sz w:val="20"/>
                <w:szCs w:val="20"/>
              </w:rPr>
              <w:t>M:55%</w:t>
            </w:r>
          </w:p>
        </w:tc>
      </w:tr>
      <w:bookmarkEnd w:id="3"/>
    </w:tbl>
    <w:p w14:paraId="6B9A478C" w14:textId="33C674BF" w:rsidR="00E031A6" w:rsidRDefault="00E031A6" w:rsidP="60E67443">
      <w:pPr>
        <w:pStyle w:val="Normal1"/>
        <w:spacing w:after="120"/>
        <w:jc w:val="both"/>
        <w:rPr>
          <w:rFonts w:eastAsia="Calibri"/>
          <w:b/>
          <w:bCs/>
          <w:sz w:val="20"/>
          <w:szCs w:val="20"/>
        </w:rPr>
      </w:pPr>
    </w:p>
    <w:p w14:paraId="5F798433" w14:textId="14E3F097" w:rsidR="00215A66" w:rsidRPr="00A81C5C" w:rsidRDefault="00215A66" w:rsidP="60E67443">
      <w:pPr>
        <w:pStyle w:val="Normal1"/>
        <w:spacing w:after="120"/>
        <w:jc w:val="both"/>
        <w:rPr>
          <w:rFonts w:eastAsia="Calibri"/>
          <w:sz w:val="22"/>
          <w:szCs w:val="22"/>
        </w:rPr>
      </w:pPr>
      <w:r w:rsidRPr="00A81C5C">
        <w:rPr>
          <w:rFonts w:eastAsia="Calibri"/>
          <w:sz w:val="22"/>
          <w:szCs w:val="22"/>
        </w:rPr>
        <w:t xml:space="preserve">Th last AR for 2020 reported on logframe indicator 3.1 and mentioned that at the time the indicator only covered direct employees whose primary source of income </w:t>
      </w:r>
      <w:r w:rsidR="00F94BAC" w:rsidRPr="00A81C5C">
        <w:rPr>
          <w:rFonts w:eastAsia="Calibri"/>
          <w:sz w:val="22"/>
          <w:szCs w:val="22"/>
        </w:rPr>
        <w:t>is</w:t>
      </w:r>
      <w:r w:rsidRPr="00A81C5C">
        <w:rPr>
          <w:rFonts w:eastAsia="Calibri"/>
          <w:sz w:val="22"/>
          <w:szCs w:val="22"/>
        </w:rPr>
        <w:t xml:space="preserve"> supported by LDN Fund projects and initiatives but in FY21 the indicator will be redeveloped to also include those whose livelihood is supported by LDN Fund. The changes to this indicator have now been made and the indicator covers </w:t>
      </w:r>
      <w:proofErr w:type="gramStart"/>
      <w:r w:rsidRPr="00A81C5C">
        <w:rPr>
          <w:rFonts w:eastAsia="Calibri"/>
          <w:sz w:val="22"/>
          <w:szCs w:val="22"/>
        </w:rPr>
        <w:t>both of these</w:t>
      </w:r>
      <w:proofErr w:type="gramEnd"/>
      <w:r w:rsidRPr="00A81C5C">
        <w:rPr>
          <w:rFonts w:eastAsia="Calibri"/>
          <w:sz w:val="22"/>
          <w:szCs w:val="22"/>
        </w:rPr>
        <w:t xml:space="preserve"> groups</w:t>
      </w:r>
      <w:r w:rsidR="00E16BEA" w:rsidRPr="00A81C5C">
        <w:rPr>
          <w:rFonts w:eastAsia="Calibri"/>
          <w:sz w:val="22"/>
          <w:szCs w:val="22"/>
        </w:rPr>
        <w:t xml:space="preserve">; </w:t>
      </w:r>
      <w:r w:rsidR="00664086" w:rsidRPr="00A81C5C">
        <w:rPr>
          <w:rFonts w:eastAsia="Calibri"/>
          <w:sz w:val="22"/>
          <w:szCs w:val="22"/>
        </w:rPr>
        <w:t>The commitment of the Fund in ensuring that benefits are equitably distributed is illustrated by the inclusion of another group in the indicator.</w:t>
      </w:r>
      <w:r w:rsidR="0012151C" w:rsidRPr="00A81C5C">
        <w:rPr>
          <w:rFonts w:eastAsia="Calibri"/>
          <w:sz w:val="22"/>
          <w:szCs w:val="22"/>
        </w:rPr>
        <w:t xml:space="preserve"> </w:t>
      </w:r>
      <w:r w:rsidR="00F94BAC" w:rsidRPr="00A81C5C">
        <w:rPr>
          <w:rFonts w:eastAsia="Calibri"/>
          <w:sz w:val="22"/>
          <w:szCs w:val="22"/>
        </w:rPr>
        <w:t xml:space="preserve">Though, the results for this indicator have remained constant at 45% from 2019 (baseline) to date (2021), milestones have been set from 2022 and by 2023 small increases in this ratio are expected. </w:t>
      </w:r>
    </w:p>
    <w:p w14:paraId="0208157E" w14:textId="6B29B9CB" w:rsidR="00215A66" w:rsidRPr="00A81C5C" w:rsidRDefault="009E7E8F" w:rsidP="60E67443">
      <w:pPr>
        <w:pStyle w:val="Normal1"/>
        <w:spacing w:after="120"/>
        <w:jc w:val="both"/>
        <w:rPr>
          <w:rFonts w:eastAsia="Calibri"/>
          <w:sz w:val="22"/>
          <w:szCs w:val="22"/>
        </w:rPr>
      </w:pPr>
      <w:r w:rsidRPr="00A81C5C">
        <w:rPr>
          <w:rFonts w:eastAsia="Calibri"/>
          <w:sz w:val="22"/>
          <w:szCs w:val="22"/>
        </w:rPr>
        <w:t xml:space="preserve">In Q4, a dedicated workshop on gender equality was held in December on how the LDN Fund gender aspects could be improved and specific involvement in events and webinars promoting sustainable land management and gender equality is targeted for 2022, together with specific action plans at project level, and dedicated impact reporting. </w:t>
      </w:r>
      <w:proofErr w:type="gramStart"/>
      <w:r w:rsidR="00005551" w:rsidRPr="00A81C5C">
        <w:rPr>
          <w:rFonts w:eastAsia="Calibri"/>
          <w:sz w:val="22"/>
          <w:szCs w:val="22"/>
        </w:rPr>
        <w:t>All of</w:t>
      </w:r>
      <w:proofErr w:type="gramEnd"/>
      <w:r w:rsidR="00005551" w:rsidRPr="00A81C5C">
        <w:rPr>
          <w:rFonts w:eastAsia="Calibri"/>
          <w:sz w:val="22"/>
          <w:szCs w:val="22"/>
        </w:rPr>
        <w:t xml:space="preserve"> these activities demonstrate the fund's dedication to producing fair outcomes and ensuring benefits are distributed equitably.</w:t>
      </w:r>
    </w:p>
    <w:p w14:paraId="14D32E43" w14:textId="77777777" w:rsidR="00215A66" w:rsidRPr="001D0596" w:rsidRDefault="00215A66" w:rsidP="60E67443">
      <w:pPr>
        <w:pStyle w:val="Normal1"/>
        <w:spacing w:after="120"/>
        <w:jc w:val="both"/>
        <w:rPr>
          <w:rFonts w:eastAsia="Calibri"/>
          <w:b/>
          <w:bCs/>
          <w:sz w:val="20"/>
          <w:szCs w:val="20"/>
        </w:rPr>
      </w:pPr>
    </w:p>
    <w:p w14:paraId="792D49CF" w14:textId="62FEFF70" w:rsidR="58A27B8A" w:rsidRPr="00FB05E3" w:rsidRDefault="5BE7FB86" w:rsidP="60E67443">
      <w:pPr>
        <w:pStyle w:val="Normal1"/>
        <w:spacing w:after="120"/>
        <w:jc w:val="both"/>
        <w:rPr>
          <w:rFonts w:eastAsia="Calibri"/>
          <w:color w:val="auto"/>
          <w:sz w:val="22"/>
          <w:szCs w:val="22"/>
        </w:rPr>
      </w:pPr>
      <w:r w:rsidRPr="00FB05E3">
        <w:rPr>
          <w:rFonts w:eastAsia="Calibri"/>
          <w:b/>
          <w:bCs/>
          <w:color w:val="auto"/>
          <w:sz w:val="22"/>
          <w:szCs w:val="22"/>
        </w:rPr>
        <w:t>Finance:</w:t>
      </w:r>
    </w:p>
    <w:p w14:paraId="4A512C5D" w14:textId="0FA68457" w:rsidR="58A27B8A" w:rsidRPr="00FB05E3" w:rsidRDefault="5C0EC682" w:rsidP="60E67443">
      <w:pPr>
        <w:rPr>
          <w:rFonts w:cs="Arial"/>
          <w:sz w:val="22"/>
          <w:szCs w:val="22"/>
        </w:rPr>
      </w:pPr>
      <w:r w:rsidRPr="00FB05E3">
        <w:rPr>
          <w:rFonts w:cs="Arial"/>
          <w:sz w:val="22"/>
          <w:szCs w:val="22"/>
        </w:rPr>
        <w:t>Defra has received the audited financial statement from the Fund for 1st January to 31st December 202</w:t>
      </w:r>
      <w:r w:rsidR="5416492C" w:rsidRPr="00FB05E3">
        <w:rPr>
          <w:rFonts w:cs="Arial"/>
          <w:sz w:val="22"/>
          <w:szCs w:val="22"/>
        </w:rPr>
        <w:t>1</w:t>
      </w:r>
      <w:r w:rsidRPr="00FB05E3">
        <w:rPr>
          <w:rFonts w:cs="Arial"/>
          <w:sz w:val="22"/>
          <w:szCs w:val="22"/>
        </w:rPr>
        <w:t>. The auditor’s report confirms that the Fund’s financial statements give a true and fair view of the financial position of the Fund as of 31 December 202</w:t>
      </w:r>
      <w:r w:rsidR="3ED7E80F" w:rsidRPr="00FB05E3">
        <w:rPr>
          <w:rFonts w:cs="Arial"/>
          <w:sz w:val="22"/>
          <w:szCs w:val="22"/>
        </w:rPr>
        <w:t>1</w:t>
      </w:r>
      <w:r w:rsidRPr="00FB05E3">
        <w:rPr>
          <w:rFonts w:cs="Arial"/>
          <w:sz w:val="22"/>
          <w:szCs w:val="22"/>
        </w:rPr>
        <w:t xml:space="preserve">, and of the financial performance and their cashflows for the year then ended in accordance with International Financial Reporting Standards (“IFRS”) as adopted by the European Union. </w:t>
      </w:r>
    </w:p>
    <w:p w14:paraId="0E0A28A9" w14:textId="29BD2334" w:rsidR="58A27B8A" w:rsidRPr="00FB05E3" w:rsidRDefault="58A27B8A" w:rsidP="60E67443">
      <w:pPr>
        <w:rPr>
          <w:rFonts w:cs="Arial"/>
          <w:sz w:val="22"/>
          <w:szCs w:val="22"/>
        </w:rPr>
      </w:pPr>
    </w:p>
    <w:p w14:paraId="03465F0B" w14:textId="5D7837FA" w:rsidR="60E67443" w:rsidRPr="00FB05E3" w:rsidRDefault="5C0EC682" w:rsidP="60E67443">
      <w:pPr>
        <w:rPr>
          <w:rFonts w:cs="Arial"/>
          <w:color w:val="FF0000"/>
          <w:sz w:val="22"/>
          <w:szCs w:val="22"/>
        </w:rPr>
      </w:pPr>
      <w:r w:rsidRPr="00FB05E3">
        <w:rPr>
          <w:rFonts w:cs="Arial"/>
          <w:sz w:val="22"/>
          <w:szCs w:val="22"/>
        </w:rPr>
        <w:t>It is noted that 202</w:t>
      </w:r>
      <w:r w:rsidR="4F525057" w:rsidRPr="00FB05E3">
        <w:rPr>
          <w:rFonts w:cs="Arial"/>
          <w:sz w:val="22"/>
          <w:szCs w:val="22"/>
        </w:rPr>
        <w:t>1</w:t>
      </w:r>
      <w:r w:rsidRPr="00FB05E3">
        <w:rPr>
          <w:rFonts w:cs="Arial"/>
          <w:sz w:val="22"/>
          <w:szCs w:val="22"/>
        </w:rPr>
        <w:t xml:space="preserve"> was a very productive year for the LDN Fund</w:t>
      </w:r>
      <w:r w:rsidRPr="00A800A4">
        <w:rPr>
          <w:rFonts w:cs="Arial"/>
          <w:sz w:val="22"/>
          <w:szCs w:val="22"/>
        </w:rPr>
        <w:t xml:space="preserve">. The Fund invested into </w:t>
      </w:r>
      <w:r w:rsidR="001D0596" w:rsidRPr="00A800A4">
        <w:rPr>
          <w:rFonts w:cs="Arial"/>
          <w:sz w:val="22"/>
          <w:szCs w:val="22"/>
        </w:rPr>
        <w:t>three</w:t>
      </w:r>
      <w:r w:rsidRPr="00A800A4">
        <w:rPr>
          <w:rFonts w:cs="Arial"/>
          <w:sz w:val="22"/>
          <w:szCs w:val="22"/>
        </w:rPr>
        <w:t xml:space="preserve"> new projects, and secured new commitments</w:t>
      </w:r>
      <w:r w:rsidR="0077666E" w:rsidRPr="00A800A4">
        <w:rPr>
          <w:rFonts w:cs="Arial"/>
          <w:sz w:val="22"/>
          <w:szCs w:val="22"/>
        </w:rPr>
        <w:t xml:space="preserve"> in fundraising, notably CAD $55m from the Canadian government</w:t>
      </w:r>
      <w:r w:rsidRPr="00A800A4">
        <w:rPr>
          <w:rFonts w:cs="Arial"/>
          <w:sz w:val="22"/>
          <w:szCs w:val="22"/>
        </w:rPr>
        <w:t xml:space="preserve">. As of </w:t>
      </w:r>
      <w:proofErr w:type="gramStart"/>
      <w:r w:rsidR="001D0596" w:rsidRPr="00A800A4">
        <w:rPr>
          <w:rFonts w:cs="Arial"/>
          <w:sz w:val="22"/>
          <w:szCs w:val="22"/>
        </w:rPr>
        <w:t xml:space="preserve">31 </w:t>
      </w:r>
      <w:r w:rsidRPr="00A800A4">
        <w:rPr>
          <w:rFonts w:cs="Arial"/>
          <w:sz w:val="22"/>
          <w:szCs w:val="22"/>
        </w:rPr>
        <w:t>December 202</w:t>
      </w:r>
      <w:r w:rsidR="0077666E" w:rsidRPr="00A800A4">
        <w:rPr>
          <w:rFonts w:cs="Arial"/>
          <w:sz w:val="22"/>
          <w:szCs w:val="22"/>
        </w:rPr>
        <w:t>1</w:t>
      </w:r>
      <w:proofErr w:type="gramEnd"/>
      <w:r w:rsidRPr="00A800A4">
        <w:rPr>
          <w:rFonts w:cs="Arial"/>
          <w:sz w:val="22"/>
          <w:szCs w:val="22"/>
        </w:rPr>
        <w:t xml:space="preserve"> a total of </w:t>
      </w:r>
      <w:r w:rsidR="00AD5798">
        <w:rPr>
          <w:rFonts w:cs="Arial"/>
          <w:sz w:val="22"/>
          <w:szCs w:val="22"/>
        </w:rPr>
        <w:t>$</w:t>
      </w:r>
      <w:r w:rsidR="0077666E" w:rsidRPr="00A800A4">
        <w:rPr>
          <w:rFonts w:cs="Arial"/>
          <w:sz w:val="22"/>
          <w:szCs w:val="22"/>
        </w:rPr>
        <w:t>208</w:t>
      </w:r>
      <w:r w:rsidR="00AD5798">
        <w:rPr>
          <w:rFonts w:cs="Arial"/>
          <w:sz w:val="22"/>
          <w:szCs w:val="22"/>
        </w:rPr>
        <w:t>.4m</w:t>
      </w:r>
      <w:r w:rsidR="00400B29" w:rsidRPr="00A800A4">
        <w:rPr>
          <w:rFonts w:cs="Arial"/>
          <w:sz w:val="22"/>
          <w:szCs w:val="22"/>
        </w:rPr>
        <w:t xml:space="preserve"> </w:t>
      </w:r>
      <w:r w:rsidRPr="00A800A4">
        <w:rPr>
          <w:rFonts w:cs="Arial"/>
          <w:sz w:val="22"/>
          <w:szCs w:val="22"/>
        </w:rPr>
        <w:t xml:space="preserve">commitments </w:t>
      </w:r>
      <w:r w:rsidR="67024789" w:rsidRPr="00A800A4">
        <w:rPr>
          <w:rFonts w:cs="Arial"/>
          <w:sz w:val="22"/>
          <w:szCs w:val="22"/>
        </w:rPr>
        <w:t>were</w:t>
      </w:r>
      <w:r w:rsidRPr="00A800A4">
        <w:rPr>
          <w:rFonts w:cs="Arial"/>
          <w:sz w:val="22"/>
          <w:szCs w:val="22"/>
        </w:rPr>
        <w:t xml:space="preserve"> secured, including </w:t>
      </w:r>
      <w:r w:rsidR="00AD5798">
        <w:rPr>
          <w:rFonts w:cs="Arial"/>
          <w:sz w:val="22"/>
          <w:szCs w:val="22"/>
        </w:rPr>
        <w:t>$</w:t>
      </w:r>
      <w:r w:rsidR="00400B29" w:rsidRPr="00A800A4">
        <w:rPr>
          <w:rFonts w:cs="Arial"/>
          <w:sz w:val="22"/>
          <w:szCs w:val="22"/>
        </w:rPr>
        <w:t>43</w:t>
      </w:r>
      <w:r w:rsidR="00AD5798">
        <w:rPr>
          <w:rFonts w:cs="Arial"/>
          <w:sz w:val="22"/>
          <w:szCs w:val="22"/>
        </w:rPr>
        <w:t>.</w:t>
      </w:r>
      <w:r w:rsidR="00400B29" w:rsidRPr="00A800A4">
        <w:rPr>
          <w:rFonts w:cs="Arial"/>
          <w:sz w:val="22"/>
          <w:szCs w:val="22"/>
        </w:rPr>
        <w:t>5</w:t>
      </w:r>
      <w:r w:rsidR="00AD5798">
        <w:rPr>
          <w:rFonts w:cs="Arial"/>
          <w:sz w:val="22"/>
          <w:szCs w:val="22"/>
        </w:rPr>
        <w:t xml:space="preserve">m </w:t>
      </w:r>
      <w:r w:rsidRPr="00A800A4">
        <w:rPr>
          <w:rFonts w:cs="Arial"/>
          <w:sz w:val="22"/>
          <w:szCs w:val="22"/>
        </w:rPr>
        <w:t>commitments from Junior Limited Partners (representing 2</w:t>
      </w:r>
      <w:r w:rsidR="00400B29" w:rsidRPr="00A800A4">
        <w:rPr>
          <w:rFonts w:cs="Arial"/>
          <w:sz w:val="22"/>
          <w:szCs w:val="22"/>
        </w:rPr>
        <w:t>1</w:t>
      </w:r>
      <w:r w:rsidRPr="00A800A4">
        <w:rPr>
          <w:rFonts w:cs="Arial"/>
          <w:sz w:val="22"/>
          <w:szCs w:val="22"/>
        </w:rPr>
        <w:t>% of the Fund) and</w:t>
      </w:r>
      <w:r w:rsidR="00400B29" w:rsidRPr="00A800A4">
        <w:rPr>
          <w:rFonts w:cs="Arial"/>
          <w:sz w:val="22"/>
          <w:szCs w:val="22"/>
        </w:rPr>
        <w:t xml:space="preserve"> </w:t>
      </w:r>
      <w:r w:rsidR="00AD5798">
        <w:rPr>
          <w:rFonts w:cs="Arial"/>
          <w:sz w:val="22"/>
          <w:szCs w:val="22"/>
        </w:rPr>
        <w:t>$</w:t>
      </w:r>
      <w:r w:rsidRPr="00A800A4">
        <w:rPr>
          <w:rFonts w:cs="Arial"/>
          <w:sz w:val="22"/>
          <w:szCs w:val="22"/>
        </w:rPr>
        <w:t>1</w:t>
      </w:r>
      <w:r w:rsidR="00400B29" w:rsidRPr="00A800A4">
        <w:rPr>
          <w:rFonts w:cs="Arial"/>
          <w:sz w:val="22"/>
          <w:szCs w:val="22"/>
        </w:rPr>
        <w:t>6</w:t>
      </w:r>
      <w:r w:rsidRPr="00A800A4">
        <w:rPr>
          <w:rFonts w:cs="Arial"/>
          <w:sz w:val="22"/>
          <w:szCs w:val="22"/>
        </w:rPr>
        <w:t>4</w:t>
      </w:r>
      <w:r w:rsidR="00AD5798">
        <w:rPr>
          <w:rFonts w:cs="Arial"/>
          <w:sz w:val="22"/>
          <w:szCs w:val="22"/>
        </w:rPr>
        <w:t>.</w:t>
      </w:r>
      <w:r w:rsidR="00400B29" w:rsidRPr="00A800A4">
        <w:rPr>
          <w:rFonts w:cs="Arial"/>
          <w:sz w:val="22"/>
          <w:szCs w:val="22"/>
        </w:rPr>
        <w:t>8</w:t>
      </w:r>
      <w:r w:rsidR="00AD5798">
        <w:rPr>
          <w:rFonts w:cs="Arial"/>
          <w:sz w:val="22"/>
          <w:szCs w:val="22"/>
        </w:rPr>
        <w:t xml:space="preserve">m </w:t>
      </w:r>
      <w:r w:rsidRPr="00A800A4">
        <w:rPr>
          <w:rFonts w:cs="Arial"/>
          <w:sz w:val="22"/>
          <w:szCs w:val="22"/>
        </w:rPr>
        <w:t>commitments from Senior Limited Partners (representing 7</w:t>
      </w:r>
      <w:r w:rsidR="00400B29" w:rsidRPr="00A800A4">
        <w:rPr>
          <w:rFonts w:cs="Arial"/>
          <w:sz w:val="22"/>
          <w:szCs w:val="22"/>
        </w:rPr>
        <w:t>9</w:t>
      </w:r>
      <w:r w:rsidRPr="00A800A4">
        <w:rPr>
          <w:rFonts w:cs="Arial"/>
          <w:sz w:val="22"/>
          <w:szCs w:val="22"/>
        </w:rPr>
        <w:t>% of the Fund).</w:t>
      </w:r>
      <w:r w:rsidR="00A800A4" w:rsidRPr="00A800A4">
        <w:rPr>
          <w:rFonts w:cs="Arial"/>
          <w:sz w:val="22"/>
          <w:szCs w:val="22"/>
        </w:rPr>
        <w:t xml:space="preserve"> </w:t>
      </w:r>
      <w:r w:rsidR="49C0E34B" w:rsidRPr="00A800A4">
        <w:rPr>
          <w:rFonts w:cs="Arial"/>
          <w:sz w:val="22"/>
          <w:szCs w:val="22"/>
        </w:rPr>
        <w:t xml:space="preserve">The investment team continued to develop a pipeline throughout 2020 </w:t>
      </w:r>
      <w:r w:rsidR="00A800A4" w:rsidRPr="00A800A4">
        <w:rPr>
          <w:rFonts w:cs="Arial"/>
          <w:sz w:val="22"/>
          <w:szCs w:val="22"/>
        </w:rPr>
        <w:t>with eight investment opportunities being actively considered for 2022</w:t>
      </w:r>
      <w:r w:rsidR="49C0E34B" w:rsidRPr="00A800A4">
        <w:rPr>
          <w:rFonts w:cs="Arial"/>
          <w:sz w:val="22"/>
          <w:szCs w:val="22"/>
        </w:rPr>
        <w:t xml:space="preserve">. </w:t>
      </w:r>
    </w:p>
    <w:p w14:paraId="025467FB" w14:textId="4F0B0197" w:rsidR="58A27B8A" w:rsidRPr="00FB05E3" w:rsidRDefault="5BE7FB86" w:rsidP="60E67443">
      <w:pPr>
        <w:spacing w:beforeAutospacing="1" w:afterAutospacing="1"/>
        <w:jc w:val="both"/>
        <w:rPr>
          <w:rFonts w:eastAsia="Calibri" w:cs="Arial"/>
          <w:sz w:val="22"/>
          <w:szCs w:val="22"/>
        </w:rPr>
      </w:pPr>
      <w:r w:rsidRPr="00FB05E3">
        <w:rPr>
          <w:rStyle w:val="normaltextrun"/>
          <w:rFonts w:eastAsia="Calibri" w:cs="Arial"/>
          <w:b/>
          <w:bCs/>
          <w:sz w:val="22"/>
          <w:szCs w:val="22"/>
        </w:rPr>
        <w:t>Commercial:</w:t>
      </w:r>
    </w:p>
    <w:p w14:paraId="7E9B73F9" w14:textId="5563AB78" w:rsidR="5B7CBCB1" w:rsidRPr="00FB05E3" w:rsidRDefault="49C0E34B" w:rsidP="60E67443">
      <w:pPr>
        <w:rPr>
          <w:rFonts w:cs="Arial"/>
          <w:sz w:val="22"/>
          <w:szCs w:val="22"/>
        </w:rPr>
      </w:pPr>
      <w:r w:rsidRPr="00FB05E3">
        <w:rPr>
          <w:rFonts w:cs="Arial"/>
          <w:sz w:val="22"/>
          <w:szCs w:val="22"/>
        </w:rPr>
        <w:t>The LDN Fund Technical Assistance Facility, which is managed by IDH, was active in 202</w:t>
      </w:r>
      <w:r w:rsidR="44D5EEDE" w:rsidRPr="00FB05E3">
        <w:rPr>
          <w:rFonts w:cs="Arial"/>
          <w:sz w:val="22"/>
          <w:szCs w:val="22"/>
        </w:rPr>
        <w:t>1</w:t>
      </w:r>
      <w:r w:rsidRPr="00FB05E3">
        <w:rPr>
          <w:rFonts w:cs="Arial"/>
          <w:sz w:val="22"/>
          <w:szCs w:val="22"/>
        </w:rPr>
        <w:t xml:space="preserve"> with pre-investment preparation, post-investment implementation, impact monitoring, and knowledge sharing. The TA Facility plays a critical role in preparation of projects that will become mature for investment in the next 1-2 years.</w:t>
      </w:r>
    </w:p>
    <w:p w14:paraId="777E9105" w14:textId="46981C87" w:rsidR="00CC3810" w:rsidRPr="00FB05E3" w:rsidRDefault="00CC3810" w:rsidP="00CC3810">
      <w:pPr>
        <w:rPr>
          <w:rFonts w:cs="Arial"/>
          <w:color w:val="FF0000"/>
          <w:sz w:val="22"/>
          <w:szCs w:val="22"/>
        </w:rPr>
      </w:pPr>
    </w:p>
    <w:p w14:paraId="142E3F36" w14:textId="00882600" w:rsidR="58A27B8A" w:rsidRPr="00FB05E3" w:rsidRDefault="2808E32E" w:rsidP="60E67443">
      <w:pPr>
        <w:pStyle w:val="Normal1"/>
        <w:jc w:val="both"/>
        <w:rPr>
          <w:rFonts w:eastAsia="Calibri"/>
          <w:color w:val="auto"/>
          <w:sz w:val="22"/>
          <w:szCs w:val="22"/>
        </w:rPr>
      </w:pPr>
      <w:r w:rsidRPr="00FB05E3">
        <w:rPr>
          <w:rFonts w:eastAsia="Calibri"/>
          <w:b/>
          <w:bCs/>
          <w:color w:val="auto"/>
          <w:sz w:val="22"/>
          <w:szCs w:val="22"/>
        </w:rPr>
        <w:t>Reporting and monitoring:</w:t>
      </w:r>
    </w:p>
    <w:p w14:paraId="1E1F87C4" w14:textId="3BA1DBC7" w:rsidR="5B7CBCB1" w:rsidRPr="00FB05E3" w:rsidRDefault="5B7CBCB1" w:rsidP="60E67443">
      <w:pPr>
        <w:pStyle w:val="Normal1"/>
        <w:jc w:val="both"/>
        <w:rPr>
          <w:b/>
          <w:bCs/>
          <w:color w:val="auto"/>
          <w:sz w:val="22"/>
          <w:szCs w:val="22"/>
        </w:rPr>
      </w:pPr>
    </w:p>
    <w:p w14:paraId="75FE2456" w14:textId="555745B0" w:rsidR="5B7CBCB1" w:rsidRPr="00FB05E3" w:rsidRDefault="54410D09" w:rsidP="60E67443">
      <w:pPr>
        <w:pStyle w:val="Normal1"/>
        <w:jc w:val="both"/>
        <w:rPr>
          <w:color w:val="auto"/>
          <w:sz w:val="22"/>
          <w:szCs w:val="22"/>
        </w:rPr>
      </w:pPr>
      <w:r w:rsidRPr="00FB05E3">
        <w:rPr>
          <w:color w:val="auto"/>
          <w:sz w:val="22"/>
          <w:szCs w:val="22"/>
        </w:rPr>
        <w:t>Throughout 202</w:t>
      </w:r>
      <w:r w:rsidR="2D18CCBF" w:rsidRPr="00FB05E3">
        <w:rPr>
          <w:color w:val="auto"/>
          <w:sz w:val="22"/>
          <w:szCs w:val="22"/>
        </w:rPr>
        <w:t>1</w:t>
      </w:r>
      <w:r w:rsidRPr="00FB05E3">
        <w:rPr>
          <w:color w:val="auto"/>
          <w:sz w:val="22"/>
          <w:szCs w:val="22"/>
        </w:rPr>
        <w:t xml:space="preserve"> reporting timeliness and quality of reporting has been consistently good. Quarterly reports are sent to shareholders within 3 months of the quarter finishing, and the audited annual statement was provided within 3 months of the end of the year. The fund also produces an annual impact report. Defra is a member of the Advisory Committee. Meetings of the committee take place at least twice a year but can be called more frequently if requested.</w:t>
      </w:r>
      <w:r w:rsidR="67024789" w:rsidRPr="00FB05E3">
        <w:rPr>
          <w:color w:val="auto"/>
          <w:sz w:val="22"/>
          <w:szCs w:val="22"/>
        </w:rPr>
        <w:t xml:space="preserve"> Defra did not request an additional meeting during 202</w:t>
      </w:r>
      <w:r w:rsidR="45509724" w:rsidRPr="00FB05E3">
        <w:rPr>
          <w:color w:val="auto"/>
          <w:sz w:val="22"/>
          <w:szCs w:val="22"/>
        </w:rPr>
        <w:t>1</w:t>
      </w:r>
      <w:r w:rsidR="67024789" w:rsidRPr="00FB05E3">
        <w:rPr>
          <w:color w:val="auto"/>
          <w:sz w:val="22"/>
          <w:szCs w:val="22"/>
        </w:rPr>
        <w:t>.</w:t>
      </w:r>
    </w:p>
    <w:p w14:paraId="18A71C85" w14:textId="77777777" w:rsidR="006F3AE7" w:rsidRPr="00FB05E3" w:rsidRDefault="006F3AE7" w:rsidP="006F3AE7">
      <w:pPr>
        <w:rPr>
          <w:rFonts w:cs="Arial"/>
          <w:color w:val="FF0000"/>
          <w:sz w:val="22"/>
          <w:szCs w:val="22"/>
        </w:rPr>
      </w:pPr>
    </w:p>
    <w:tbl>
      <w:tblPr>
        <w:tblStyle w:val="TableGrid"/>
        <w:tblW w:w="9214" w:type="dxa"/>
        <w:tblInd w:w="-5" w:type="dxa"/>
        <w:tblLook w:val="04A0" w:firstRow="1" w:lastRow="0" w:firstColumn="1" w:lastColumn="0" w:noHBand="0" w:noVBand="1"/>
      </w:tblPr>
      <w:tblGrid>
        <w:gridCol w:w="2410"/>
        <w:gridCol w:w="2268"/>
        <w:gridCol w:w="1985"/>
        <w:gridCol w:w="2551"/>
      </w:tblGrid>
      <w:tr w:rsidR="002055D4" w:rsidRPr="00FB05E3" w14:paraId="299AD655" w14:textId="703F3467" w:rsidTr="58A27B8A">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FDDA14" w14:textId="77777777" w:rsidR="006839BA" w:rsidRPr="00FB05E3" w:rsidRDefault="006839BA" w:rsidP="00FD6297">
            <w:pPr>
              <w:rPr>
                <w:rFonts w:cs="Arial"/>
                <w:sz w:val="20"/>
                <w:szCs w:val="22"/>
              </w:rPr>
            </w:pPr>
            <w:r w:rsidRPr="00FB05E3">
              <w:rPr>
                <w:rFonts w:cs="Arial"/>
                <w:sz w:val="20"/>
                <w:szCs w:val="22"/>
              </w:rPr>
              <w:t>Date of last narrative financial report</w:t>
            </w:r>
          </w:p>
        </w:tc>
        <w:tc>
          <w:tcPr>
            <w:tcW w:w="2268" w:type="dxa"/>
            <w:tcBorders>
              <w:top w:val="single" w:sz="4" w:space="0" w:color="auto"/>
              <w:left w:val="single" w:sz="4" w:space="0" w:color="auto"/>
              <w:bottom w:val="single" w:sz="4" w:space="0" w:color="auto"/>
              <w:right w:val="single" w:sz="4" w:space="0" w:color="auto"/>
            </w:tcBorders>
          </w:tcPr>
          <w:p w14:paraId="6EA42135" w14:textId="090A7A8F" w:rsidR="006839BA" w:rsidRPr="00FB05E3" w:rsidRDefault="58A27B8A" w:rsidP="00FD6297">
            <w:pPr>
              <w:rPr>
                <w:rFonts w:cs="Arial"/>
                <w:sz w:val="20"/>
                <w:szCs w:val="20"/>
              </w:rPr>
            </w:pPr>
            <w:r w:rsidRPr="00FB05E3">
              <w:rPr>
                <w:rFonts w:cs="Arial"/>
                <w:sz w:val="20"/>
                <w:szCs w:val="20"/>
              </w:rPr>
              <w:t>Q4 202</w:t>
            </w:r>
            <w:r w:rsidR="002055D4" w:rsidRPr="00FB05E3">
              <w:rPr>
                <w:rFonts w:cs="Arial"/>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A097E4" w14:textId="3C943B72" w:rsidR="006839BA" w:rsidRPr="00FB05E3" w:rsidRDefault="006839BA" w:rsidP="00FD6297">
            <w:pPr>
              <w:rPr>
                <w:rFonts w:cs="Arial"/>
                <w:sz w:val="20"/>
                <w:szCs w:val="22"/>
              </w:rPr>
            </w:pPr>
            <w:r w:rsidRPr="00FB05E3">
              <w:rPr>
                <w:rFonts w:cs="Arial"/>
                <w:sz w:val="20"/>
                <w:szCs w:val="22"/>
              </w:rPr>
              <w:t>Date of last audited annual statement</w:t>
            </w:r>
          </w:p>
        </w:tc>
        <w:tc>
          <w:tcPr>
            <w:tcW w:w="2551" w:type="dxa"/>
            <w:tcBorders>
              <w:top w:val="single" w:sz="4" w:space="0" w:color="auto"/>
              <w:left w:val="single" w:sz="4" w:space="0" w:color="auto"/>
              <w:bottom w:val="single" w:sz="4" w:space="0" w:color="auto"/>
              <w:right w:val="single" w:sz="4" w:space="0" w:color="auto"/>
            </w:tcBorders>
          </w:tcPr>
          <w:p w14:paraId="43CA3E31" w14:textId="65CE2A25" w:rsidR="006839BA" w:rsidRPr="00FB05E3" w:rsidRDefault="58A27B8A" w:rsidP="00FD6297">
            <w:pPr>
              <w:rPr>
                <w:rFonts w:cs="Arial"/>
                <w:sz w:val="20"/>
                <w:szCs w:val="20"/>
              </w:rPr>
            </w:pPr>
            <w:r w:rsidRPr="00FB05E3">
              <w:rPr>
                <w:rFonts w:cs="Arial"/>
                <w:sz w:val="20"/>
                <w:szCs w:val="20"/>
              </w:rPr>
              <w:t>The 202</w:t>
            </w:r>
            <w:r w:rsidR="002055D4" w:rsidRPr="00FB05E3">
              <w:rPr>
                <w:rFonts w:cs="Arial"/>
                <w:sz w:val="20"/>
                <w:szCs w:val="20"/>
              </w:rPr>
              <w:t>1</w:t>
            </w:r>
            <w:r w:rsidRPr="00FB05E3">
              <w:rPr>
                <w:rFonts w:cs="Arial"/>
                <w:sz w:val="20"/>
                <w:szCs w:val="20"/>
              </w:rPr>
              <w:t xml:space="preserve"> annual statement has been audited, as of March 202</w:t>
            </w:r>
            <w:r w:rsidR="002055D4" w:rsidRPr="00FB05E3">
              <w:rPr>
                <w:rFonts w:cs="Arial"/>
                <w:sz w:val="20"/>
                <w:szCs w:val="20"/>
              </w:rPr>
              <w:t>2</w:t>
            </w:r>
          </w:p>
        </w:tc>
      </w:tr>
    </w:tbl>
    <w:p w14:paraId="4DAC1688" w14:textId="373B7990" w:rsidR="00105347" w:rsidRPr="00FB05E3" w:rsidRDefault="00105347">
      <w:pPr>
        <w:spacing w:after="160" w:line="259" w:lineRule="auto"/>
        <w:rPr>
          <w:rFonts w:cs="Arial"/>
          <w:color w:val="FF0000"/>
          <w:sz w:val="20"/>
        </w:rPr>
      </w:pPr>
    </w:p>
    <w:sectPr w:rsidR="00105347" w:rsidRPr="00FB05E3" w:rsidSect="007561CD">
      <w:headerReference w:type="even" r:id="rId31"/>
      <w:headerReference w:type="default" r:id="rId32"/>
      <w:footerReference w:type="even" r:id="rId33"/>
      <w:footerReference w:type="default" r:id="rId34"/>
      <w:headerReference w:type="first" r:id="rId35"/>
      <w:footerReference w:type="first" r:id="rId36"/>
      <w:pgSz w:w="11906" w:h="16838"/>
      <w:pgMar w:top="709" w:right="1440" w:bottom="709"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orman, William" w:date="2023-01-27T12:21:00Z" w:initials="NW">
    <w:p w14:paraId="7240A4E0" w14:textId="053F0CDA" w:rsidR="00FD141A" w:rsidRDefault="00FD141A">
      <w:pPr>
        <w:pStyle w:val="CommentText"/>
      </w:pPr>
      <w:r>
        <w:rPr>
          <w:rStyle w:val="CommentReference"/>
        </w:rPr>
        <w:annotationRef/>
      </w:r>
      <w:r>
        <w:t>Given good progress on all indicators but a lack of targets to compare against a flat A seems fair</w:t>
      </w:r>
      <w:r w:rsidR="00EE5A0F">
        <w:t xml:space="preserve"> for all sets</w:t>
      </w:r>
      <w:r>
        <w:t>.</w:t>
      </w:r>
    </w:p>
  </w:comment>
  <w:comment w:id="2" w:author="Norman, William" w:date="2023-01-27T12:45:00Z" w:initials="NW">
    <w:p w14:paraId="7997E8FC" w14:textId="5DF39777" w:rsidR="00742C51" w:rsidRDefault="00742C51">
      <w:pPr>
        <w:pStyle w:val="CommentText"/>
      </w:pPr>
      <w:r>
        <w:rPr>
          <w:rStyle w:val="CommentReference"/>
        </w:rPr>
        <w:annotationRef/>
      </w:r>
      <w:r w:rsidR="00815DAE" w:rsidRPr="00CD12EA">
        <w:t>C</w:t>
      </w:r>
      <w:r w:rsidRPr="00CD12EA">
        <w:t xml:space="preserve">heck these figures with </w:t>
      </w:r>
      <w:r w:rsidR="00815DAE" w:rsidRPr="00CD12EA">
        <w:t>Mirova</w:t>
      </w:r>
    </w:p>
  </w:comment>
  <w:comment w:id="1" w:author="COLLET Xavier" w:date="2023-06-05T17:13:00Z" w:initials="CX">
    <w:p w14:paraId="6D319910" w14:textId="5F99B4F4" w:rsidR="00C57EDB" w:rsidRDefault="00C57EDB" w:rsidP="00C57EDB">
      <w:pPr>
        <w:pStyle w:val="CommentText"/>
      </w:pPr>
      <w:r>
        <w:rPr>
          <w:rStyle w:val="CommentReference"/>
        </w:rPr>
        <w:annotationRef/>
      </w:r>
      <w:r>
        <w:t>The figure includes employees and smallholders. If only employees then, the figures are:</w:t>
      </w:r>
    </w:p>
    <w:p w14:paraId="22C9DC25" w14:textId="57570274" w:rsidR="00C57EDB" w:rsidRDefault="00C57EDB" w:rsidP="00C57EDB">
      <w:pPr>
        <w:pStyle w:val="CommentText"/>
        <w:numPr>
          <w:ilvl w:val="0"/>
          <w:numId w:val="42"/>
        </w:numPr>
      </w:pPr>
      <w:r>
        <w:t xml:space="preserve"> 2020: 2</w:t>
      </w:r>
      <w:r w:rsidR="00CD12EA">
        <w:t>,</w:t>
      </w:r>
      <w:r>
        <w:t>714</w:t>
      </w:r>
    </w:p>
    <w:p w14:paraId="54B194F3" w14:textId="071F3221" w:rsidR="00C57EDB" w:rsidRDefault="00C57EDB" w:rsidP="00C57EDB">
      <w:pPr>
        <w:pStyle w:val="CommentText"/>
        <w:numPr>
          <w:ilvl w:val="0"/>
          <w:numId w:val="42"/>
        </w:numPr>
      </w:pPr>
      <w:r>
        <w:t xml:space="preserve"> 2021: 4,151</w:t>
      </w:r>
    </w:p>
  </w:comment>
  <w:comment w:id="5" w:author="Author" w:initials="A">
    <w:p w14:paraId="6A1165A9" w14:textId="3BD16668" w:rsidR="00E031A6" w:rsidRDefault="00E031A6" w:rsidP="00E031A6">
      <w:pPr>
        <w:pStyle w:val="CommentText"/>
      </w:pPr>
      <w:r>
        <w:rPr>
          <w:rStyle w:val="CommentReference"/>
        </w:rPr>
        <w:annotationRef/>
      </w:r>
      <w:r>
        <w:t>Needs more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40A4E0" w15:done="1"/>
  <w15:commentEx w15:paraId="7997E8FC" w15:done="1"/>
  <w15:commentEx w15:paraId="54B194F3" w15:paraIdParent="7997E8FC" w15:done="1"/>
  <w15:commentEx w15:paraId="6A1165A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7E4044" w16cex:dateUtc="2023-01-27T12:21:00Z"/>
  <w16cex:commentExtensible w16cex:durableId="277E45D9" w16cex:dateUtc="2023-01-27T12:45:00Z"/>
  <w16cex:commentExtensible w16cex:durableId="28289649" w16cex:dateUtc="2023-06-0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40A4E0" w16cid:durableId="277E4044"/>
  <w16cid:commentId w16cid:paraId="7997E8FC" w16cid:durableId="277E45D9"/>
  <w16cid:commentId w16cid:paraId="54B194F3" w16cid:durableId="28289649"/>
  <w16cid:commentId w16cid:paraId="6A1165A9" w16cid:durableId="277D18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1153E" w14:textId="77777777" w:rsidR="0008576C" w:rsidRDefault="0008576C" w:rsidP="006E5785">
      <w:r>
        <w:separator/>
      </w:r>
    </w:p>
  </w:endnote>
  <w:endnote w:type="continuationSeparator" w:id="0">
    <w:p w14:paraId="4F841CA8" w14:textId="77777777" w:rsidR="0008576C" w:rsidRDefault="0008576C" w:rsidP="006E5785">
      <w:r>
        <w:continuationSeparator/>
      </w:r>
    </w:p>
  </w:endnote>
  <w:endnote w:type="continuationNotice" w:id="1">
    <w:p w14:paraId="7A0312C4" w14:textId="77777777" w:rsidR="0008576C" w:rsidRDefault="00085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AC5F2" w14:textId="77777777" w:rsidR="00F97230" w:rsidRDefault="00F97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8A0E7" w14:textId="61A4B102" w:rsidR="00F97230" w:rsidRDefault="00F97230">
    <w:pPr>
      <w:pStyle w:val="Footer"/>
    </w:pPr>
    <w:r>
      <w:rPr>
        <w:noProof/>
      </w:rPr>
      <mc:AlternateContent>
        <mc:Choice Requires="wps">
          <w:drawing>
            <wp:anchor distT="0" distB="0" distL="114300" distR="114300" simplePos="0" relativeHeight="251658241" behindDoc="0" locked="0" layoutInCell="0" allowOverlap="1" wp14:anchorId="06279271" wp14:editId="2BDCB608">
              <wp:simplePos x="0" y="0"/>
              <wp:positionH relativeFrom="page">
                <wp:posOffset>0</wp:posOffset>
              </wp:positionH>
              <wp:positionV relativeFrom="page">
                <wp:posOffset>10227945</wp:posOffset>
              </wp:positionV>
              <wp:extent cx="7560310" cy="273050"/>
              <wp:effectExtent l="0" t="0" r="0" b="12700"/>
              <wp:wrapNone/>
              <wp:docPr id="2" name="MSIPCMe4274af28649443155ce75ae" descr="{&quot;HashCode&quot;:164422857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8FD8F9" w14:textId="22D24CEF" w:rsidR="00F97230" w:rsidRPr="00F97230" w:rsidRDefault="00F97230" w:rsidP="00F97230">
                          <w:pPr>
                            <w:rPr>
                              <w:rFonts w:ascii="Calibri" w:hAnsi="Calibri" w:cs="Calibri"/>
                              <w:color w:val="FFFFFF"/>
                              <w:sz w:val="2"/>
                            </w:rPr>
                          </w:pPr>
                          <w:r w:rsidRPr="00F97230">
                            <w:rPr>
                              <w:rFonts w:ascii="Calibri" w:hAnsi="Calibri" w:cs="Calibri"/>
                              <w:color w:val="FFFFFF"/>
                              <w:sz w:val="2"/>
                            </w:rPr>
                            <w:t>C1 - Public Natixis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6279271" id="_x0000_t202" coordsize="21600,21600" o:spt="202" path="m,l,21600r21600,l21600,xe">
              <v:stroke joinstyle="miter"/>
              <v:path gradientshapeok="t" o:connecttype="rect"/>
            </v:shapetype>
            <v:shape id="MSIPCMe4274af28649443155ce75ae" o:spid="_x0000_s1027" type="#_x0000_t202" alt="{&quot;HashCode&quot;:1644228579,&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28FD8F9" w14:textId="22D24CEF" w:rsidR="00F97230" w:rsidRPr="00F97230" w:rsidRDefault="00F97230" w:rsidP="00F97230">
                    <w:pPr>
                      <w:rPr>
                        <w:rFonts w:ascii="Calibri" w:hAnsi="Calibri" w:cs="Calibri"/>
                        <w:color w:val="FFFFFF"/>
                        <w:sz w:val="2"/>
                      </w:rPr>
                    </w:pPr>
                    <w:r w:rsidRPr="00F97230">
                      <w:rPr>
                        <w:rFonts w:ascii="Calibri" w:hAnsi="Calibri" w:cs="Calibri"/>
                        <w:color w:val="FFFFFF"/>
                        <w:sz w:val="2"/>
                      </w:rPr>
                      <w:t>C1 - Public Natixis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A205" w14:textId="77777777" w:rsidR="00F97230" w:rsidRDefault="00F9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82EFA" w14:textId="77777777" w:rsidR="0008576C" w:rsidRDefault="0008576C" w:rsidP="006E5785">
      <w:r>
        <w:separator/>
      </w:r>
    </w:p>
  </w:footnote>
  <w:footnote w:type="continuationSeparator" w:id="0">
    <w:p w14:paraId="02D2BB9F" w14:textId="77777777" w:rsidR="0008576C" w:rsidRDefault="0008576C" w:rsidP="006E5785">
      <w:r>
        <w:continuationSeparator/>
      </w:r>
    </w:p>
  </w:footnote>
  <w:footnote w:type="continuationNotice" w:id="1">
    <w:p w14:paraId="355BA327" w14:textId="77777777" w:rsidR="0008576C" w:rsidRDefault="0008576C"/>
  </w:footnote>
  <w:footnote w:id="2">
    <w:p w14:paraId="32FED371" w14:textId="3BF87625" w:rsidR="00B82C7E" w:rsidRDefault="00B82C7E">
      <w:pPr>
        <w:pStyle w:val="FootnoteText"/>
      </w:pPr>
      <w:r>
        <w:rPr>
          <w:rStyle w:val="FootnoteReference"/>
        </w:rPr>
        <w:footnoteRef/>
      </w:r>
      <w:r>
        <w:t xml:space="preserve"> This is the ICF Fund level that offers optimal </w:t>
      </w:r>
      <w:proofErr w:type="spellStart"/>
      <w:r>
        <w:t>VfM</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EE587" w14:textId="77777777" w:rsidR="00F97230" w:rsidRDefault="00F97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F92EF" w14:textId="5B953D0D" w:rsidR="000E1AA3" w:rsidRDefault="000E1AA3">
    <w:pPr>
      <w:pStyle w:val="Header"/>
    </w:pPr>
    <w:r>
      <w:rPr>
        <w:noProof/>
      </w:rPr>
      <mc:AlternateContent>
        <mc:Choice Requires="wps">
          <w:drawing>
            <wp:anchor distT="0" distB="0" distL="114300" distR="114300" simplePos="0" relativeHeight="251658240" behindDoc="0" locked="0" layoutInCell="0" allowOverlap="1" wp14:anchorId="075411E3" wp14:editId="2B8A39F1">
              <wp:simplePos x="0" y="0"/>
              <wp:positionH relativeFrom="page">
                <wp:posOffset>0</wp:posOffset>
              </wp:positionH>
              <wp:positionV relativeFrom="page">
                <wp:posOffset>190500</wp:posOffset>
              </wp:positionV>
              <wp:extent cx="7560310" cy="273050"/>
              <wp:effectExtent l="0" t="0" r="0" b="12700"/>
              <wp:wrapNone/>
              <wp:docPr id="1" name="Text Box 1"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ABAE4" w14:textId="5DE5ECEF" w:rsidR="000E1AA3" w:rsidRPr="006E5785" w:rsidRDefault="000E1AA3" w:rsidP="006E5785">
                          <w:pPr>
                            <w:rPr>
                              <w:rFonts w:ascii="Calibri" w:hAnsi="Calibri" w:cs="Calibri"/>
                              <w:color w:val="000000"/>
                              <w:sz w:val="20"/>
                            </w:rPr>
                          </w:pPr>
                          <w:r w:rsidRPr="006E578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75411E3" id="_x0000_t202" coordsize="21600,21600" o:spt="202" path="m,l,21600r21600,l21600,xe">
              <v:stroke joinstyle="miter"/>
              <v:path gradientshapeok="t" o:connecttype="rect"/>
            </v:shapetype>
            <v:shape id="Text Box 1" o:spid="_x0000_s1026" type="#_x0000_t202" alt="{&quot;HashCode&quot;:-1291824593,&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72ABAE4" w14:textId="5DE5ECEF" w:rsidR="000E1AA3" w:rsidRPr="006E5785" w:rsidRDefault="000E1AA3" w:rsidP="006E5785">
                    <w:pPr>
                      <w:rPr>
                        <w:rFonts w:ascii="Calibri" w:hAnsi="Calibri" w:cs="Calibri"/>
                        <w:color w:val="000000"/>
                        <w:sz w:val="20"/>
                      </w:rPr>
                    </w:pPr>
                    <w:r w:rsidRPr="006E5785">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82AFA" w14:textId="77777777" w:rsidR="00F97230" w:rsidRDefault="00F97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7B2B"/>
    <w:multiLevelType w:val="hybridMultilevel"/>
    <w:tmpl w:val="2E76C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83501"/>
    <w:multiLevelType w:val="hybridMultilevel"/>
    <w:tmpl w:val="4F82AF76"/>
    <w:lvl w:ilvl="0" w:tplc="AE8CAB44">
      <w:start w:val="1"/>
      <w:numFmt w:val="decimal"/>
      <w:lvlText w:val="%1."/>
      <w:lvlJc w:val="left"/>
      <w:pPr>
        <w:ind w:left="720" w:hanging="360"/>
      </w:pPr>
      <w:rPr>
        <w:rFonts w:ascii="Arial" w:hAnsi="Arial" w:cs="Arial" w:hint="default"/>
      </w:rPr>
    </w:lvl>
    <w:lvl w:ilvl="1" w:tplc="F0D60630">
      <w:start w:val="1"/>
      <w:numFmt w:val="lowerLetter"/>
      <w:lvlText w:val="%2."/>
      <w:lvlJc w:val="left"/>
      <w:pPr>
        <w:ind w:left="1440" w:hanging="360"/>
      </w:pPr>
    </w:lvl>
    <w:lvl w:ilvl="2" w:tplc="B7222742">
      <w:start w:val="1"/>
      <w:numFmt w:val="lowerRoman"/>
      <w:lvlText w:val="%3."/>
      <w:lvlJc w:val="right"/>
      <w:pPr>
        <w:ind w:left="2160" w:hanging="180"/>
      </w:pPr>
    </w:lvl>
    <w:lvl w:ilvl="3" w:tplc="562C2C1C">
      <w:start w:val="1"/>
      <w:numFmt w:val="decimal"/>
      <w:lvlText w:val="%4."/>
      <w:lvlJc w:val="left"/>
      <w:pPr>
        <w:ind w:left="2880" w:hanging="360"/>
      </w:pPr>
    </w:lvl>
    <w:lvl w:ilvl="4" w:tplc="7A7ECA64">
      <w:start w:val="1"/>
      <w:numFmt w:val="lowerLetter"/>
      <w:lvlText w:val="%5."/>
      <w:lvlJc w:val="left"/>
      <w:pPr>
        <w:ind w:left="3600" w:hanging="360"/>
      </w:pPr>
    </w:lvl>
    <w:lvl w:ilvl="5" w:tplc="FAEA6E5C">
      <w:start w:val="1"/>
      <w:numFmt w:val="lowerRoman"/>
      <w:lvlText w:val="%6."/>
      <w:lvlJc w:val="right"/>
      <w:pPr>
        <w:ind w:left="4320" w:hanging="180"/>
      </w:pPr>
    </w:lvl>
    <w:lvl w:ilvl="6" w:tplc="1916AA70">
      <w:start w:val="1"/>
      <w:numFmt w:val="decimal"/>
      <w:lvlText w:val="%7."/>
      <w:lvlJc w:val="left"/>
      <w:pPr>
        <w:ind w:left="5040" w:hanging="360"/>
      </w:pPr>
    </w:lvl>
    <w:lvl w:ilvl="7" w:tplc="2FCAE8BA">
      <w:start w:val="1"/>
      <w:numFmt w:val="lowerLetter"/>
      <w:lvlText w:val="%8."/>
      <w:lvlJc w:val="left"/>
      <w:pPr>
        <w:ind w:left="5760" w:hanging="360"/>
      </w:pPr>
    </w:lvl>
    <w:lvl w:ilvl="8" w:tplc="C866A30C">
      <w:start w:val="1"/>
      <w:numFmt w:val="lowerRoman"/>
      <w:lvlText w:val="%9."/>
      <w:lvlJc w:val="right"/>
      <w:pPr>
        <w:ind w:left="6480" w:hanging="180"/>
      </w:pPr>
    </w:lvl>
  </w:abstractNum>
  <w:abstractNum w:abstractNumId="2" w15:restartNumberingAfterBreak="0">
    <w:nsid w:val="083464E1"/>
    <w:multiLevelType w:val="hybridMultilevel"/>
    <w:tmpl w:val="BF7A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01983"/>
    <w:multiLevelType w:val="hybridMultilevel"/>
    <w:tmpl w:val="F79CC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802AE8"/>
    <w:multiLevelType w:val="hybridMultilevel"/>
    <w:tmpl w:val="FFFFFFFF"/>
    <w:lvl w:ilvl="0" w:tplc="6B2E58B2">
      <w:start w:val="1"/>
      <w:numFmt w:val="decimal"/>
      <w:lvlText w:val="%1."/>
      <w:lvlJc w:val="left"/>
      <w:pPr>
        <w:ind w:left="720" w:hanging="360"/>
      </w:pPr>
    </w:lvl>
    <w:lvl w:ilvl="1" w:tplc="FE906DF6">
      <w:start w:val="1"/>
      <w:numFmt w:val="lowerLetter"/>
      <w:lvlText w:val="%2."/>
      <w:lvlJc w:val="left"/>
      <w:pPr>
        <w:ind w:left="1440" w:hanging="360"/>
      </w:pPr>
    </w:lvl>
    <w:lvl w:ilvl="2" w:tplc="E5D6F5D6">
      <w:start w:val="1"/>
      <w:numFmt w:val="lowerRoman"/>
      <w:lvlText w:val="%3."/>
      <w:lvlJc w:val="right"/>
      <w:pPr>
        <w:ind w:left="2160" w:hanging="180"/>
      </w:pPr>
    </w:lvl>
    <w:lvl w:ilvl="3" w:tplc="ADE8347E">
      <w:start w:val="1"/>
      <w:numFmt w:val="decimal"/>
      <w:lvlText w:val="%4."/>
      <w:lvlJc w:val="left"/>
      <w:pPr>
        <w:ind w:left="2880" w:hanging="360"/>
      </w:pPr>
    </w:lvl>
    <w:lvl w:ilvl="4" w:tplc="450061A6">
      <w:start w:val="1"/>
      <w:numFmt w:val="lowerLetter"/>
      <w:lvlText w:val="%5."/>
      <w:lvlJc w:val="left"/>
      <w:pPr>
        <w:ind w:left="3600" w:hanging="360"/>
      </w:pPr>
    </w:lvl>
    <w:lvl w:ilvl="5" w:tplc="92A69418">
      <w:start w:val="1"/>
      <w:numFmt w:val="lowerRoman"/>
      <w:lvlText w:val="%6."/>
      <w:lvlJc w:val="right"/>
      <w:pPr>
        <w:ind w:left="4320" w:hanging="180"/>
      </w:pPr>
    </w:lvl>
    <w:lvl w:ilvl="6" w:tplc="DBF276A6">
      <w:start w:val="1"/>
      <w:numFmt w:val="decimal"/>
      <w:lvlText w:val="%7."/>
      <w:lvlJc w:val="left"/>
      <w:pPr>
        <w:ind w:left="5040" w:hanging="360"/>
      </w:pPr>
    </w:lvl>
    <w:lvl w:ilvl="7" w:tplc="640EECC6">
      <w:start w:val="1"/>
      <w:numFmt w:val="lowerLetter"/>
      <w:lvlText w:val="%8."/>
      <w:lvlJc w:val="left"/>
      <w:pPr>
        <w:ind w:left="5760" w:hanging="360"/>
      </w:pPr>
    </w:lvl>
    <w:lvl w:ilvl="8" w:tplc="EB62BF48">
      <w:start w:val="1"/>
      <w:numFmt w:val="lowerRoman"/>
      <w:lvlText w:val="%9."/>
      <w:lvlJc w:val="right"/>
      <w:pPr>
        <w:ind w:left="6480" w:hanging="180"/>
      </w:pPr>
    </w:lvl>
  </w:abstractNum>
  <w:abstractNum w:abstractNumId="5" w15:restartNumberingAfterBreak="0">
    <w:nsid w:val="0DEF369D"/>
    <w:multiLevelType w:val="hybridMultilevel"/>
    <w:tmpl w:val="A29E04BA"/>
    <w:lvl w:ilvl="0" w:tplc="07AA4342">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9B7CB0"/>
    <w:multiLevelType w:val="hybridMultilevel"/>
    <w:tmpl w:val="E6E69D7E"/>
    <w:lvl w:ilvl="0" w:tplc="9438A1E0">
      <w:start w:val="1"/>
      <w:numFmt w:val="bullet"/>
      <w:lvlText w:val="-"/>
      <w:lvlJc w:val="left"/>
      <w:pPr>
        <w:ind w:left="720" w:hanging="360"/>
      </w:pPr>
      <w:rPr>
        <w:rFonts w:ascii="Symbol" w:hAnsi="Symbol" w:hint="default"/>
      </w:rPr>
    </w:lvl>
    <w:lvl w:ilvl="1" w:tplc="B7A02496">
      <w:start w:val="1"/>
      <w:numFmt w:val="bullet"/>
      <w:lvlText w:val="o"/>
      <w:lvlJc w:val="left"/>
      <w:pPr>
        <w:ind w:left="1440" w:hanging="360"/>
      </w:pPr>
      <w:rPr>
        <w:rFonts w:ascii="Courier New" w:hAnsi="Courier New" w:hint="default"/>
      </w:rPr>
    </w:lvl>
    <w:lvl w:ilvl="2" w:tplc="D3002DD8">
      <w:start w:val="1"/>
      <w:numFmt w:val="bullet"/>
      <w:lvlText w:val=""/>
      <w:lvlJc w:val="left"/>
      <w:pPr>
        <w:ind w:left="2160" w:hanging="360"/>
      </w:pPr>
      <w:rPr>
        <w:rFonts w:ascii="Wingdings" w:hAnsi="Wingdings" w:hint="default"/>
      </w:rPr>
    </w:lvl>
    <w:lvl w:ilvl="3" w:tplc="189ECA20">
      <w:start w:val="1"/>
      <w:numFmt w:val="bullet"/>
      <w:lvlText w:val=""/>
      <w:lvlJc w:val="left"/>
      <w:pPr>
        <w:ind w:left="2880" w:hanging="360"/>
      </w:pPr>
      <w:rPr>
        <w:rFonts w:ascii="Symbol" w:hAnsi="Symbol" w:hint="default"/>
      </w:rPr>
    </w:lvl>
    <w:lvl w:ilvl="4" w:tplc="DCEA817A">
      <w:start w:val="1"/>
      <w:numFmt w:val="bullet"/>
      <w:lvlText w:val="o"/>
      <w:lvlJc w:val="left"/>
      <w:pPr>
        <w:ind w:left="3600" w:hanging="360"/>
      </w:pPr>
      <w:rPr>
        <w:rFonts w:ascii="Courier New" w:hAnsi="Courier New" w:hint="default"/>
      </w:rPr>
    </w:lvl>
    <w:lvl w:ilvl="5" w:tplc="B84859F0">
      <w:start w:val="1"/>
      <w:numFmt w:val="bullet"/>
      <w:lvlText w:val=""/>
      <w:lvlJc w:val="left"/>
      <w:pPr>
        <w:ind w:left="4320" w:hanging="360"/>
      </w:pPr>
      <w:rPr>
        <w:rFonts w:ascii="Wingdings" w:hAnsi="Wingdings" w:hint="default"/>
      </w:rPr>
    </w:lvl>
    <w:lvl w:ilvl="6" w:tplc="D02CB956">
      <w:start w:val="1"/>
      <w:numFmt w:val="bullet"/>
      <w:lvlText w:val=""/>
      <w:lvlJc w:val="left"/>
      <w:pPr>
        <w:ind w:left="5040" w:hanging="360"/>
      </w:pPr>
      <w:rPr>
        <w:rFonts w:ascii="Symbol" w:hAnsi="Symbol" w:hint="default"/>
      </w:rPr>
    </w:lvl>
    <w:lvl w:ilvl="7" w:tplc="B6E2A61A">
      <w:start w:val="1"/>
      <w:numFmt w:val="bullet"/>
      <w:lvlText w:val="o"/>
      <w:lvlJc w:val="left"/>
      <w:pPr>
        <w:ind w:left="5760" w:hanging="360"/>
      </w:pPr>
      <w:rPr>
        <w:rFonts w:ascii="Courier New" w:hAnsi="Courier New" w:hint="default"/>
      </w:rPr>
    </w:lvl>
    <w:lvl w:ilvl="8" w:tplc="D9B816B0">
      <w:start w:val="1"/>
      <w:numFmt w:val="bullet"/>
      <w:lvlText w:val=""/>
      <w:lvlJc w:val="left"/>
      <w:pPr>
        <w:ind w:left="6480" w:hanging="360"/>
      </w:pPr>
      <w:rPr>
        <w:rFonts w:ascii="Wingdings" w:hAnsi="Wingdings" w:hint="default"/>
      </w:rPr>
    </w:lvl>
  </w:abstractNum>
  <w:abstractNum w:abstractNumId="7" w15:restartNumberingAfterBreak="0">
    <w:nsid w:val="15CB340E"/>
    <w:multiLevelType w:val="hybridMultilevel"/>
    <w:tmpl w:val="56463ABC"/>
    <w:lvl w:ilvl="0" w:tplc="9C04B6A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C3BA2"/>
    <w:multiLevelType w:val="hybridMultilevel"/>
    <w:tmpl w:val="1A00CB06"/>
    <w:lvl w:ilvl="0" w:tplc="B232C0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EBEAA"/>
    <w:multiLevelType w:val="hybridMultilevel"/>
    <w:tmpl w:val="6FB860DE"/>
    <w:lvl w:ilvl="0" w:tplc="7F6029EE">
      <w:start w:val="1"/>
      <w:numFmt w:val="decimal"/>
      <w:lvlText w:val="%1."/>
      <w:lvlJc w:val="left"/>
      <w:pPr>
        <w:ind w:left="720" w:hanging="360"/>
      </w:pPr>
    </w:lvl>
    <w:lvl w:ilvl="1" w:tplc="D2DAB3E8">
      <w:start w:val="1"/>
      <w:numFmt w:val="lowerLetter"/>
      <w:lvlText w:val="%2."/>
      <w:lvlJc w:val="left"/>
      <w:pPr>
        <w:ind w:left="1440" w:hanging="360"/>
      </w:pPr>
    </w:lvl>
    <w:lvl w:ilvl="2" w:tplc="4440DFAA">
      <w:start w:val="1"/>
      <w:numFmt w:val="lowerRoman"/>
      <w:lvlText w:val="%3."/>
      <w:lvlJc w:val="right"/>
      <w:pPr>
        <w:ind w:left="2160" w:hanging="180"/>
      </w:pPr>
    </w:lvl>
    <w:lvl w:ilvl="3" w:tplc="351030CA">
      <w:start w:val="1"/>
      <w:numFmt w:val="decimal"/>
      <w:lvlText w:val="%4."/>
      <w:lvlJc w:val="left"/>
      <w:pPr>
        <w:ind w:left="2880" w:hanging="360"/>
      </w:pPr>
    </w:lvl>
    <w:lvl w:ilvl="4" w:tplc="3B24466A">
      <w:start w:val="1"/>
      <w:numFmt w:val="lowerLetter"/>
      <w:lvlText w:val="%5."/>
      <w:lvlJc w:val="left"/>
      <w:pPr>
        <w:ind w:left="3600" w:hanging="360"/>
      </w:pPr>
    </w:lvl>
    <w:lvl w:ilvl="5" w:tplc="CA76C682">
      <w:start w:val="1"/>
      <w:numFmt w:val="lowerRoman"/>
      <w:lvlText w:val="%6."/>
      <w:lvlJc w:val="right"/>
      <w:pPr>
        <w:ind w:left="4320" w:hanging="180"/>
      </w:pPr>
    </w:lvl>
    <w:lvl w:ilvl="6" w:tplc="F3AA70FE">
      <w:start w:val="1"/>
      <w:numFmt w:val="decimal"/>
      <w:lvlText w:val="%7."/>
      <w:lvlJc w:val="left"/>
      <w:pPr>
        <w:ind w:left="5040" w:hanging="360"/>
      </w:pPr>
    </w:lvl>
    <w:lvl w:ilvl="7" w:tplc="4C5E1D7C">
      <w:start w:val="1"/>
      <w:numFmt w:val="lowerLetter"/>
      <w:lvlText w:val="%8."/>
      <w:lvlJc w:val="left"/>
      <w:pPr>
        <w:ind w:left="5760" w:hanging="360"/>
      </w:pPr>
    </w:lvl>
    <w:lvl w:ilvl="8" w:tplc="71AC3ACE">
      <w:start w:val="1"/>
      <w:numFmt w:val="lowerRoman"/>
      <w:lvlText w:val="%9."/>
      <w:lvlJc w:val="right"/>
      <w:pPr>
        <w:ind w:left="6480" w:hanging="180"/>
      </w:pPr>
    </w:lvl>
  </w:abstractNum>
  <w:abstractNum w:abstractNumId="10" w15:restartNumberingAfterBreak="0">
    <w:nsid w:val="17E97017"/>
    <w:multiLevelType w:val="hybridMultilevel"/>
    <w:tmpl w:val="682A8CF8"/>
    <w:lvl w:ilvl="0" w:tplc="FFFFFFFF">
      <w:start w:val="1"/>
      <w:numFmt w:val="decimal"/>
      <w:lvlText w:val="%1."/>
      <w:lvlJc w:val="left"/>
      <w:pPr>
        <w:ind w:left="360" w:hanging="360"/>
      </w:pPr>
      <w:rPr>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B13E5F"/>
    <w:multiLevelType w:val="hybridMultilevel"/>
    <w:tmpl w:val="1EDE7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EC16D5"/>
    <w:multiLevelType w:val="hybridMultilevel"/>
    <w:tmpl w:val="26C8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3186B"/>
    <w:multiLevelType w:val="hybridMultilevel"/>
    <w:tmpl w:val="917E0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11E61"/>
    <w:multiLevelType w:val="hybridMultilevel"/>
    <w:tmpl w:val="4CE6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C860F2"/>
    <w:multiLevelType w:val="hybridMultilevel"/>
    <w:tmpl w:val="C05AD654"/>
    <w:lvl w:ilvl="0" w:tplc="0809000F">
      <w:start w:val="1"/>
      <w:numFmt w:val="decimal"/>
      <w:lvlText w:val="%1."/>
      <w:lvlJc w:val="left"/>
      <w:pPr>
        <w:ind w:left="360" w:hanging="360"/>
      </w:pPr>
      <w:rPr>
        <w:rFonts w:cs="Times New Roman"/>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15:restartNumberingAfterBreak="0">
    <w:nsid w:val="316249C6"/>
    <w:multiLevelType w:val="hybridMultilevel"/>
    <w:tmpl w:val="FFFFFFFF"/>
    <w:lvl w:ilvl="0" w:tplc="FC48E16A">
      <w:start w:val="1"/>
      <w:numFmt w:val="bullet"/>
      <w:lvlText w:val=""/>
      <w:lvlJc w:val="left"/>
      <w:pPr>
        <w:ind w:left="720" w:hanging="360"/>
      </w:pPr>
      <w:rPr>
        <w:rFonts w:ascii="Symbol" w:hAnsi="Symbol" w:hint="default"/>
      </w:rPr>
    </w:lvl>
    <w:lvl w:ilvl="1" w:tplc="60F29D80">
      <w:start w:val="1"/>
      <w:numFmt w:val="bullet"/>
      <w:lvlText w:val="o"/>
      <w:lvlJc w:val="left"/>
      <w:pPr>
        <w:ind w:left="1440" w:hanging="360"/>
      </w:pPr>
      <w:rPr>
        <w:rFonts w:ascii="Courier New" w:hAnsi="Courier New" w:hint="default"/>
      </w:rPr>
    </w:lvl>
    <w:lvl w:ilvl="2" w:tplc="CB1449B6">
      <w:start w:val="1"/>
      <w:numFmt w:val="bullet"/>
      <w:lvlText w:val=""/>
      <w:lvlJc w:val="left"/>
      <w:pPr>
        <w:ind w:left="2160" w:hanging="360"/>
      </w:pPr>
      <w:rPr>
        <w:rFonts w:ascii="Wingdings" w:hAnsi="Wingdings" w:hint="default"/>
      </w:rPr>
    </w:lvl>
    <w:lvl w:ilvl="3" w:tplc="2A30C9A2">
      <w:start w:val="1"/>
      <w:numFmt w:val="bullet"/>
      <w:lvlText w:val=""/>
      <w:lvlJc w:val="left"/>
      <w:pPr>
        <w:ind w:left="2880" w:hanging="360"/>
      </w:pPr>
      <w:rPr>
        <w:rFonts w:ascii="Symbol" w:hAnsi="Symbol" w:hint="default"/>
      </w:rPr>
    </w:lvl>
    <w:lvl w:ilvl="4" w:tplc="C6B8FE10">
      <w:start w:val="1"/>
      <w:numFmt w:val="bullet"/>
      <w:lvlText w:val="o"/>
      <w:lvlJc w:val="left"/>
      <w:pPr>
        <w:ind w:left="3600" w:hanging="360"/>
      </w:pPr>
      <w:rPr>
        <w:rFonts w:ascii="Courier New" w:hAnsi="Courier New" w:hint="default"/>
      </w:rPr>
    </w:lvl>
    <w:lvl w:ilvl="5" w:tplc="62944948">
      <w:start w:val="1"/>
      <w:numFmt w:val="bullet"/>
      <w:lvlText w:val=""/>
      <w:lvlJc w:val="left"/>
      <w:pPr>
        <w:ind w:left="4320" w:hanging="360"/>
      </w:pPr>
      <w:rPr>
        <w:rFonts w:ascii="Wingdings" w:hAnsi="Wingdings" w:hint="default"/>
      </w:rPr>
    </w:lvl>
    <w:lvl w:ilvl="6" w:tplc="DB90B0C2">
      <w:start w:val="1"/>
      <w:numFmt w:val="bullet"/>
      <w:lvlText w:val=""/>
      <w:lvlJc w:val="left"/>
      <w:pPr>
        <w:ind w:left="5040" w:hanging="360"/>
      </w:pPr>
      <w:rPr>
        <w:rFonts w:ascii="Symbol" w:hAnsi="Symbol" w:hint="default"/>
      </w:rPr>
    </w:lvl>
    <w:lvl w:ilvl="7" w:tplc="6E7C0F9E">
      <w:start w:val="1"/>
      <w:numFmt w:val="bullet"/>
      <w:lvlText w:val="o"/>
      <w:lvlJc w:val="left"/>
      <w:pPr>
        <w:ind w:left="5760" w:hanging="360"/>
      </w:pPr>
      <w:rPr>
        <w:rFonts w:ascii="Courier New" w:hAnsi="Courier New" w:hint="default"/>
      </w:rPr>
    </w:lvl>
    <w:lvl w:ilvl="8" w:tplc="6824986C">
      <w:start w:val="1"/>
      <w:numFmt w:val="bullet"/>
      <w:lvlText w:val=""/>
      <w:lvlJc w:val="left"/>
      <w:pPr>
        <w:ind w:left="6480" w:hanging="360"/>
      </w:pPr>
      <w:rPr>
        <w:rFonts w:ascii="Wingdings" w:hAnsi="Wingdings" w:hint="default"/>
      </w:rPr>
    </w:lvl>
  </w:abstractNum>
  <w:abstractNum w:abstractNumId="17" w15:restartNumberingAfterBreak="0">
    <w:nsid w:val="325E72A3"/>
    <w:multiLevelType w:val="hybridMultilevel"/>
    <w:tmpl w:val="35849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98185F"/>
    <w:multiLevelType w:val="hybridMultilevel"/>
    <w:tmpl w:val="D2941D4C"/>
    <w:lvl w:ilvl="0" w:tplc="42BA4ADA">
      <w:start w:val="1"/>
      <w:numFmt w:val="bullet"/>
      <w:lvlText w:val=""/>
      <w:lvlJc w:val="left"/>
      <w:pPr>
        <w:ind w:left="360" w:hanging="360"/>
      </w:pPr>
      <w:rPr>
        <w:rFonts w:ascii="Symbol" w:hAnsi="Symbol" w:hint="default"/>
        <w:color w:val="auto"/>
      </w:rPr>
    </w:lvl>
    <w:lvl w:ilvl="1" w:tplc="931866C2">
      <w:start w:val="1"/>
      <w:numFmt w:val="bullet"/>
      <w:lvlText w:val="o"/>
      <w:lvlJc w:val="left"/>
      <w:pPr>
        <w:ind w:left="1080" w:hanging="360"/>
      </w:pPr>
      <w:rPr>
        <w:rFonts w:ascii="Courier New" w:hAnsi="Courier New" w:hint="default"/>
      </w:rPr>
    </w:lvl>
    <w:lvl w:ilvl="2" w:tplc="C20CF42C">
      <w:start w:val="1"/>
      <w:numFmt w:val="bullet"/>
      <w:lvlText w:val=""/>
      <w:lvlJc w:val="left"/>
      <w:pPr>
        <w:ind w:left="1800" w:hanging="360"/>
      </w:pPr>
      <w:rPr>
        <w:rFonts w:ascii="Wingdings" w:hAnsi="Wingdings" w:hint="default"/>
      </w:rPr>
    </w:lvl>
    <w:lvl w:ilvl="3" w:tplc="F8940E7A">
      <w:start w:val="1"/>
      <w:numFmt w:val="bullet"/>
      <w:lvlText w:val=""/>
      <w:lvlJc w:val="left"/>
      <w:pPr>
        <w:ind w:left="2520" w:hanging="360"/>
      </w:pPr>
      <w:rPr>
        <w:rFonts w:ascii="Symbol" w:hAnsi="Symbol" w:hint="default"/>
      </w:rPr>
    </w:lvl>
    <w:lvl w:ilvl="4" w:tplc="C89ED15E">
      <w:start w:val="1"/>
      <w:numFmt w:val="bullet"/>
      <w:lvlText w:val="o"/>
      <w:lvlJc w:val="left"/>
      <w:pPr>
        <w:ind w:left="3240" w:hanging="360"/>
      </w:pPr>
      <w:rPr>
        <w:rFonts w:ascii="Courier New" w:hAnsi="Courier New" w:hint="default"/>
      </w:rPr>
    </w:lvl>
    <w:lvl w:ilvl="5" w:tplc="B916F362">
      <w:start w:val="1"/>
      <w:numFmt w:val="bullet"/>
      <w:lvlText w:val=""/>
      <w:lvlJc w:val="left"/>
      <w:pPr>
        <w:ind w:left="3960" w:hanging="360"/>
      </w:pPr>
      <w:rPr>
        <w:rFonts w:ascii="Wingdings" w:hAnsi="Wingdings" w:hint="default"/>
      </w:rPr>
    </w:lvl>
    <w:lvl w:ilvl="6" w:tplc="A33EF62C">
      <w:start w:val="1"/>
      <w:numFmt w:val="bullet"/>
      <w:lvlText w:val=""/>
      <w:lvlJc w:val="left"/>
      <w:pPr>
        <w:ind w:left="4680" w:hanging="360"/>
      </w:pPr>
      <w:rPr>
        <w:rFonts w:ascii="Symbol" w:hAnsi="Symbol" w:hint="default"/>
      </w:rPr>
    </w:lvl>
    <w:lvl w:ilvl="7" w:tplc="868AF2DA">
      <w:start w:val="1"/>
      <w:numFmt w:val="bullet"/>
      <w:lvlText w:val="o"/>
      <w:lvlJc w:val="left"/>
      <w:pPr>
        <w:ind w:left="5400" w:hanging="360"/>
      </w:pPr>
      <w:rPr>
        <w:rFonts w:ascii="Courier New" w:hAnsi="Courier New" w:hint="default"/>
      </w:rPr>
    </w:lvl>
    <w:lvl w:ilvl="8" w:tplc="3DB017AE">
      <w:start w:val="1"/>
      <w:numFmt w:val="bullet"/>
      <w:lvlText w:val=""/>
      <w:lvlJc w:val="left"/>
      <w:pPr>
        <w:ind w:left="6120" w:hanging="360"/>
      </w:pPr>
      <w:rPr>
        <w:rFonts w:ascii="Wingdings" w:hAnsi="Wingdings" w:hint="default"/>
      </w:rPr>
    </w:lvl>
  </w:abstractNum>
  <w:abstractNum w:abstractNumId="19" w15:restartNumberingAfterBreak="0">
    <w:nsid w:val="34776F9F"/>
    <w:multiLevelType w:val="hybridMultilevel"/>
    <w:tmpl w:val="D3D4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50734"/>
    <w:multiLevelType w:val="hybridMultilevel"/>
    <w:tmpl w:val="5D8403CA"/>
    <w:lvl w:ilvl="0" w:tplc="F9FCBAC2">
      <w:start w:val="1"/>
      <w:numFmt w:val="bullet"/>
      <w:lvlText w:val=""/>
      <w:lvlJc w:val="left"/>
      <w:pPr>
        <w:ind w:left="360" w:hanging="360"/>
      </w:pPr>
      <w:rPr>
        <w:rFonts w:ascii="Symbol" w:hAnsi="Symbol" w:hint="default"/>
      </w:rPr>
    </w:lvl>
    <w:lvl w:ilvl="1" w:tplc="409E6A2E">
      <w:start w:val="1"/>
      <w:numFmt w:val="bullet"/>
      <w:lvlText w:val="o"/>
      <w:lvlJc w:val="left"/>
      <w:pPr>
        <w:ind w:left="1080" w:hanging="360"/>
      </w:pPr>
      <w:rPr>
        <w:rFonts w:ascii="Courier New" w:hAnsi="Courier New" w:hint="default"/>
      </w:rPr>
    </w:lvl>
    <w:lvl w:ilvl="2" w:tplc="C6DA1922">
      <w:start w:val="1"/>
      <w:numFmt w:val="bullet"/>
      <w:lvlText w:val=""/>
      <w:lvlJc w:val="left"/>
      <w:pPr>
        <w:ind w:left="1800" w:hanging="360"/>
      </w:pPr>
      <w:rPr>
        <w:rFonts w:ascii="Wingdings" w:hAnsi="Wingdings" w:hint="default"/>
      </w:rPr>
    </w:lvl>
    <w:lvl w:ilvl="3" w:tplc="A64642F6">
      <w:start w:val="1"/>
      <w:numFmt w:val="bullet"/>
      <w:lvlText w:val=""/>
      <w:lvlJc w:val="left"/>
      <w:pPr>
        <w:ind w:left="2520" w:hanging="360"/>
      </w:pPr>
      <w:rPr>
        <w:rFonts w:ascii="Symbol" w:hAnsi="Symbol" w:hint="default"/>
      </w:rPr>
    </w:lvl>
    <w:lvl w:ilvl="4" w:tplc="5694D260">
      <w:start w:val="1"/>
      <w:numFmt w:val="bullet"/>
      <w:lvlText w:val="o"/>
      <w:lvlJc w:val="left"/>
      <w:pPr>
        <w:ind w:left="3240" w:hanging="360"/>
      </w:pPr>
      <w:rPr>
        <w:rFonts w:ascii="Courier New" w:hAnsi="Courier New" w:hint="default"/>
      </w:rPr>
    </w:lvl>
    <w:lvl w:ilvl="5" w:tplc="6220CF52">
      <w:start w:val="1"/>
      <w:numFmt w:val="bullet"/>
      <w:lvlText w:val=""/>
      <w:lvlJc w:val="left"/>
      <w:pPr>
        <w:ind w:left="3960" w:hanging="360"/>
      </w:pPr>
      <w:rPr>
        <w:rFonts w:ascii="Wingdings" w:hAnsi="Wingdings" w:hint="default"/>
      </w:rPr>
    </w:lvl>
    <w:lvl w:ilvl="6" w:tplc="2FD0AAB6">
      <w:start w:val="1"/>
      <w:numFmt w:val="bullet"/>
      <w:lvlText w:val=""/>
      <w:lvlJc w:val="left"/>
      <w:pPr>
        <w:ind w:left="4680" w:hanging="360"/>
      </w:pPr>
      <w:rPr>
        <w:rFonts w:ascii="Symbol" w:hAnsi="Symbol" w:hint="default"/>
      </w:rPr>
    </w:lvl>
    <w:lvl w:ilvl="7" w:tplc="9CB8CF30">
      <w:start w:val="1"/>
      <w:numFmt w:val="bullet"/>
      <w:lvlText w:val="o"/>
      <w:lvlJc w:val="left"/>
      <w:pPr>
        <w:ind w:left="5400" w:hanging="360"/>
      </w:pPr>
      <w:rPr>
        <w:rFonts w:ascii="Courier New" w:hAnsi="Courier New" w:hint="default"/>
      </w:rPr>
    </w:lvl>
    <w:lvl w:ilvl="8" w:tplc="F6164FD4">
      <w:start w:val="1"/>
      <w:numFmt w:val="bullet"/>
      <w:lvlText w:val=""/>
      <w:lvlJc w:val="left"/>
      <w:pPr>
        <w:ind w:left="6120" w:hanging="360"/>
      </w:pPr>
      <w:rPr>
        <w:rFonts w:ascii="Wingdings" w:hAnsi="Wingdings" w:hint="default"/>
      </w:rPr>
    </w:lvl>
  </w:abstractNum>
  <w:abstractNum w:abstractNumId="21" w15:restartNumberingAfterBreak="0">
    <w:nsid w:val="3E464C9E"/>
    <w:multiLevelType w:val="hybridMultilevel"/>
    <w:tmpl w:val="14101BE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A83923"/>
    <w:multiLevelType w:val="hybridMultilevel"/>
    <w:tmpl w:val="73CCF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1F6F04"/>
    <w:multiLevelType w:val="hybridMultilevel"/>
    <w:tmpl w:val="FFFFFFFF"/>
    <w:lvl w:ilvl="0" w:tplc="CFEC0622">
      <w:start w:val="1"/>
      <w:numFmt w:val="bullet"/>
      <w:lvlText w:val="·"/>
      <w:lvlJc w:val="left"/>
      <w:pPr>
        <w:ind w:left="785" w:hanging="360"/>
      </w:pPr>
      <w:rPr>
        <w:rFonts w:ascii="Symbol" w:hAnsi="Symbol" w:hint="default"/>
      </w:rPr>
    </w:lvl>
    <w:lvl w:ilvl="1" w:tplc="B3BA67E0">
      <w:start w:val="1"/>
      <w:numFmt w:val="bullet"/>
      <w:lvlText w:val="o"/>
      <w:lvlJc w:val="left"/>
      <w:pPr>
        <w:ind w:left="1505" w:hanging="360"/>
      </w:pPr>
      <w:rPr>
        <w:rFonts w:ascii="Courier New" w:hAnsi="Courier New" w:cs="Times New Roman" w:hint="default"/>
      </w:rPr>
    </w:lvl>
    <w:lvl w:ilvl="2" w:tplc="92B011C4">
      <w:start w:val="1"/>
      <w:numFmt w:val="bullet"/>
      <w:lvlText w:val=""/>
      <w:lvlJc w:val="left"/>
      <w:pPr>
        <w:ind w:left="2225" w:hanging="360"/>
      </w:pPr>
      <w:rPr>
        <w:rFonts w:ascii="Wingdings" w:hAnsi="Wingdings" w:hint="default"/>
      </w:rPr>
    </w:lvl>
    <w:lvl w:ilvl="3" w:tplc="EC46EAA4">
      <w:start w:val="1"/>
      <w:numFmt w:val="bullet"/>
      <w:lvlText w:val=""/>
      <w:lvlJc w:val="left"/>
      <w:pPr>
        <w:ind w:left="2945" w:hanging="360"/>
      </w:pPr>
      <w:rPr>
        <w:rFonts w:ascii="Symbol" w:hAnsi="Symbol" w:hint="default"/>
      </w:rPr>
    </w:lvl>
    <w:lvl w:ilvl="4" w:tplc="4BEAAC06">
      <w:start w:val="1"/>
      <w:numFmt w:val="bullet"/>
      <w:lvlText w:val="o"/>
      <w:lvlJc w:val="left"/>
      <w:pPr>
        <w:ind w:left="3665" w:hanging="360"/>
      </w:pPr>
      <w:rPr>
        <w:rFonts w:ascii="Courier New" w:hAnsi="Courier New" w:cs="Times New Roman" w:hint="default"/>
      </w:rPr>
    </w:lvl>
    <w:lvl w:ilvl="5" w:tplc="D396A61A">
      <w:start w:val="1"/>
      <w:numFmt w:val="bullet"/>
      <w:lvlText w:val=""/>
      <w:lvlJc w:val="left"/>
      <w:pPr>
        <w:ind w:left="4385" w:hanging="360"/>
      </w:pPr>
      <w:rPr>
        <w:rFonts w:ascii="Wingdings" w:hAnsi="Wingdings" w:hint="default"/>
      </w:rPr>
    </w:lvl>
    <w:lvl w:ilvl="6" w:tplc="D81C47BE">
      <w:start w:val="1"/>
      <w:numFmt w:val="bullet"/>
      <w:lvlText w:val=""/>
      <w:lvlJc w:val="left"/>
      <w:pPr>
        <w:ind w:left="5105" w:hanging="360"/>
      </w:pPr>
      <w:rPr>
        <w:rFonts w:ascii="Symbol" w:hAnsi="Symbol" w:hint="default"/>
      </w:rPr>
    </w:lvl>
    <w:lvl w:ilvl="7" w:tplc="96DAC988">
      <w:start w:val="1"/>
      <w:numFmt w:val="bullet"/>
      <w:lvlText w:val="o"/>
      <w:lvlJc w:val="left"/>
      <w:pPr>
        <w:ind w:left="5825" w:hanging="360"/>
      </w:pPr>
      <w:rPr>
        <w:rFonts w:ascii="Courier New" w:hAnsi="Courier New" w:cs="Times New Roman" w:hint="default"/>
      </w:rPr>
    </w:lvl>
    <w:lvl w:ilvl="8" w:tplc="21DC36D0">
      <w:start w:val="1"/>
      <w:numFmt w:val="bullet"/>
      <w:lvlText w:val=""/>
      <w:lvlJc w:val="left"/>
      <w:pPr>
        <w:ind w:left="6545" w:hanging="360"/>
      </w:pPr>
      <w:rPr>
        <w:rFonts w:ascii="Wingdings" w:hAnsi="Wingdings" w:hint="default"/>
      </w:rPr>
    </w:lvl>
  </w:abstractNum>
  <w:abstractNum w:abstractNumId="24" w15:restartNumberingAfterBreak="0">
    <w:nsid w:val="475F5457"/>
    <w:multiLevelType w:val="hybridMultilevel"/>
    <w:tmpl w:val="B61A85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C2EF1"/>
    <w:multiLevelType w:val="hybridMultilevel"/>
    <w:tmpl w:val="2FC058EA"/>
    <w:lvl w:ilvl="0" w:tplc="6172E1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F0FDE"/>
    <w:multiLevelType w:val="hybridMultilevel"/>
    <w:tmpl w:val="FAC2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F7B0D"/>
    <w:multiLevelType w:val="hybridMultilevel"/>
    <w:tmpl w:val="DDB86478"/>
    <w:lvl w:ilvl="0" w:tplc="893C22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401CC"/>
    <w:multiLevelType w:val="hybridMultilevel"/>
    <w:tmpl w:val="245C62C0"/>
    <w:lvl w:ilvl="0" w:tplc="0809000F">
      <w:start w:val="1"/>
      <w:numFmt w:val="decimal"/>
      <w:lvlText w:val="%1."/>
      <w:lvlJc w:val="left"/>
      <w:pPr>
        <w:ind w:left="360" w:hanging="360"/>
      </w:pPr>
      <w:rPr>
        <w:rFonts w:cs="Times New Roman"/>
      </w:rPr>
    </w:lvl>
    <w:lvl w:ilvl="1" w:tplc="08090001">
      <w:start w:val="1"/>
      <w:numFmt w:val="bullet"/>
      <w:lvlText w:val=""/>
      <w:lvlJc w:val="left"/>
      <w:pPr>
        <w:ind w:left="1080" w:hanging="360"/>
      </w:pPr>
      <w:rPr>
        <w:rFonts w:ascii="Symbol" w:hAnsi="Symbol" w:hint="default"/>
      </w:rPr>
    </w:lvl>
    <w:lvl w:ilvl="2" w:tplc="0809000B">
      <w:start w:val="1"/>
      <w:numFmt w:val="bullet"/>
      <w:lvlText w:val=""/>
      <w:lvlJc w:val="left"/>
      <w:pPr>
        <w:ind w:left="1800" w:hanging="180"/>
      </w:pPr>
      <w:rPr>
        <w:rFonts w:ascii="Wingdings" w:hAnsi="Wingdings"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9" w15:restartNumberingAfterBreak="0">
    <w:nsid w:val="566C35AE"/>
    <w:multiLevelType w:val="hybridMultilevel"/>
    <w:tmpl w:val="FFFFFFFF"/>
    <w:lvl w:ilvl="0" w:tplc="28FCC666">
      <w:start w:val="1"/>
      <w:numFmt w:val="bullet"/>
      <w:lvlText w:val=""/>
      <w:lvlJc w:val="left"/>
      <w:pPr>
        <w:ind w:left="720" w:hanging="360"/>
      </w:pPr>
      <w:rPr>
        <w:rFonts w:ascii="Symbol" w:hAnsi="Symbol" w:hint="default"/>
      </w:rPr>
    </w:lvl>
    <w:lvl w:ilvl="1" w:tplc="B852D77A">
      <w:start w:val="1"/>
      <w:numFmt w:val="bullet"/>
      <w:lvlText w:val="o"/>
      <w:lvlJc w:val="left"/>
      <w:pPr>
        <w:ind w:left="1440" w:hanging="360"/>
      </w:pPr>
      <w:rPr>
        <w:rFonts w:ascii="Courier New" w:hAnsi="Courier New" w:hint="default"/>
      </w:rPr>
    </w:lvl>
    <w:lvl w:ilvl="2" w:tplc="EB40B5DC">
      <w:start w:val="1"/>
      <w:numFmt w:val="bullet"/>
      <w:lvlText w:val=""/>
      <w:lvlJc w:val="left"/>
      <w:pPr>
        <w:ind w:left="2160" w:hanging="360"/>
      </w:pPr>
      <w:rPr>
        <w:rFonts w:ascii="Wingdings" w:hAnsi="Wingdings" w:hint="default"/>
      </w:rPr>
    </w:lvl>
    <w:lvl w:ilvl="3" w:tplc="5440A526">
      <w:start w:val="1"/>
      <w:numFmt w:val="bullet"/>
      <w:lvlText w:val=""/>
      <w:lvlJc w:val="left"/>
      <w:pPr>
        <w:ind w:left="2880" w:hanging="360"/>
      </w:pPr>
      <w:rPr>
        <w:rFonts w:ascii="Symbol" w:hAnsi="Symbol" w:hint="default"/>
      </w:rPr>
    </w:lvl>
    <w:lvl w:ilvl="4" w:tplc="4C782308">
      <w:start w:val="1"/>
      <w:numFmt w:val="bullet"/>
      <w:lvlText w:val="o"/>
      <w:lvlJc w:val="left"/>
      <w:pPr>
        <w:ind w:left="3600" w:hanging="360"/>
      </w:pPr>
      <w:rPr>
        <w:rFonts w:ascii="Courier New" w:hAnsi="Courier New" w:hint="default"/>
      </w:rPr>
    </w:lvl>
    <w:lvl w:ilvl="5" w:tplc="6E4A7726">
      <w:start w:val="1"/>
      <w:numFmt w:val="bullet"/>
      <w:lvlText w:val=""/>
      <w:lvlJc w:val="left"/>
      <w:pPr>
        <w:ind w:left="4320" w:hanging="360"/>
      </w:pPr>
      <w:rPr>
        <w:rFonts w:ascii="Wingdings" w:hAnsi="Wingdings" w:hint="default"/>
      </w:rPr>
    </w:lvl>
    <w:lvl w:ilvl="6" w:tplc="6D08565C">
      <w:start w:val="1"/>
      <w:numFmt w:val="bullet"/>
      <w:lvlText w:val=""/>
      <w:lvlJc w:val="left"/>
      <w:pPr>
        <w:ind w:left="5040" w:hanging="360"/>
      </w:pPr>
      <w:rPr>
        <w:rFonts w:ascii="Symbol" w:hAnsi="Symbol" w:hint="default"/>
      </w:rPr>
    </w:lvl>
    <w:lvl w:ilvl="7" w:tplc="9B3E33FA">
      <w:start w:val="1"/>
      <w:numFmt w:val="bullet"/>
      <w:lvlText w:val="o"/>
      <w:lvlJc w:val="left"/>
      <w:pPr>
        <w:ind w:left="5760" w:hanging="360"/>
      </w:pPr>
      <w:rPr>
        <w:rFonts w:ascii="Courier New" w:hAnsi="Courier New" w:hint="default"/>
      </w:rPr>
    </w:lvl>
    <w:lvl w:ilvl="8" w:tplc="727C7BC6">
      <w:start w:val="1"/>
      <w:numFmt w:val="bullet"/>
      <w:lvlText w:val=""/>
      <w:lvlJc w:val="left"/>
      <w:pPr>
        <w:ind w:left="6480" w:hanging="360"/>
      </w:pPr>
      <w:rPr>
        <w:rFonts w:ascii="Wingdings" w:hAnsi="Wingdings" w:hint="default"/>
      </w:rPr>
    </w:lvl>
  </w:abstractNum>
  <w:abstractNum w:abstractNumId="30" w15:restartNumberingAfterBreak="0">
    <w:nsid w:val="581C70BD"/>
    <w:multiLevelType w:val="hybridMultilevel"/>
    <w:tmpl w:val="3194449E"/>
    <w:lvl w:ilvl="0" w:tplc="B156D6C2">
      <w:start w:val="1"/>
      <w:numFmt w:val="bullet"/>
      <w:lvlText w:val=""/>
      <w:lvlJc w:val="left"/>
      <w:pPr>
        <w:ind w:left="1080" w:hanging="360"/>
      </w:pPr>
      <w:rPr>
        <w:rFonts w:ascii="Symbol" w:hAnsi="Symbol" w:hint="default"/>
      </w:rPr>
    </w:lvl>
    <w:lvl w:ilvl="1" w:tplc="80BE7D3A">
      <w:start w:val="1"/>
      <w:numFmt w:val="bullet"/>
      <w:lvlText w:val="o"/>
      <w:lvlJc w:val="left"/>
      <w:pPr>
        <w:ind w:left="1800" w:hanging="360"/>
      </w:pPr>
      <w:rPr>
        <w:rFonts w:ascii="Courier New" w:hAnsi="Courier New" w:hint="default"/>
      </w:rPr>
    </w:lvl>
    <w:lvl w:ilvl="2" w:tplc="7DA47130">
      <w:start w:val="1"/>
      <w:numFmt w:val="bullet"/>
      <w:lvlText w:val=""/>
      <w:lvlJc w:val="left"/>
      <w:pPr>
        <w:ind w:left="2520" w:hanging="360"/>
      </w:pPr>
      <w:rPr>
        <w:rFonts w:ascii="Wingdings" w:hAnsi="Wingdings" w:hint="default"/>
      </w:rPr>
    </w:lvl>
    <w:lvl w:ilvl="3" w:tplc="9DE2564C">
      <w:start w:val="1"/>
      <w:numFmt w:val="bullet"/>
      <w:lvlText w:val=""/>
      <w:lvlJc w:val="left"/>
      <w:pPr>
        <w:ind w:left="3240" w:hanging="360"/>
      </w:pPr>
      <w:rPr>
        <w:rFonts w:ascii="Symbol" w:hAnsi="Symbol" w:hint="default"/>
      </w:rPr>
    </w:lvl>
    <w:lvl w:ilvl="4" w:tplc="103298DA">
      <w:start w:val="1"/>
      <w:numFmt w:val="bullet"/>
      <w:lvlText w:val="o"/>
      <w:lvlJc w:val="left"/>
      <w:pPr>
        <w:ind w:left="3960" w:hanging="360"/>
      </w:pPr>
      <w:rPr>
        <w:rFonts w:ascii="Courier New" w:hAnsi="Courier New" w:hint="default"/>
      </w:rPr>
    </w:lvl>
    <w:lvl w:ilvl="5" w:tplc="7F38E95A">
      <w:start w:val="1"/>
      <w:numFmt w:val="bullet"/>
      <w:lvlText w:val=""/>
      <w:lvlJc w:val="left"/>
      <w:pPr>
        <w:ind w:left="4680" w:hanging="360"/>
      </w:pPr>
      <w:rPr>
        <w:rFonts w:ascii="Wingdings" w:hAnsi="Wingdings" w:hint="default"/>
      </w:rPr>
    </w:lvl>
    <w:lvl w:ilvl="6" w:tplc="B12EDB86">
      <w:start w:val="1"/>
      <w:numFmt w:val="bullet"/>
      <w:lvlText w:val=""/>
      <w:lvlJc w:val="left"/>
      <w:pPr>
        <w:ind w:left="5400" w:hanging="360"/>
      </w:pPr>
      <w:rPr>
        <w:rFonts w:ascii="Symbol" w:hAnsi="Symbol" w:hint="default"/>
      </w:rPr>
    </w:lvl>
    <w:lvl w:ilvl="7" w:tplc="4E9E7468">
      <w:start w:val="1"/>
      <w:numFmt w:val="bullet"/>
      <w:lvlText w:val="o"/>
      <w:lvlJc w:val="left"/>
      <w:pPr>
        <w:ind w:left="6120" w:hanging="360"/>
      </w:pPr>
      <w:rPr>
        <w:rFonts w:ascii="Courier New" w:hAnsi="Courier New" w:hint="default"/>
      </w:rPr>
    </w:lvl>
    <w:lvl w:ilvl="8" w:tplc="485C56EA">
      <w:start w:val="1"/>
      <w:numFmt w:val="bullet"/>
      <w:lvlText w:val=""/>
      <w:lvlJc w:val="left"/>
      <w:pPr>
        <w:ind w:left="6840" w:hanging="360"/>
      </w:pPr>
      <w:rPr>
        <w:rFonts w:ascii="Wingdings" w:hAnsi="Wingdings" w:hint="default"/>
      </w:rPr>
    </w:lvl>
  </w:abstractNum>
  <w:abstractNum w:abstractNumId="31" w15:restartNumberingAfterBreak="0">
    <w:nsid w:val="5BD42D41"/>
    <w:multiLevelType w:val="hybridMultilevel"/>
    <w:tmpl w:val="FFFFFFFF"/>
    <w:lvl w:ilvl="0" w:tplc="893C224C">
      <w:start w:val="1"/>
      <w:numFmt w:val="bullet"/>
      <w:lvlText w:val=""/>
      <w:lvlJc w:val="left"/>
      <w:pPr>
        <w:ind w:left="720" w:hanging="360"/>
      </w:pPr>
      <w:rPr>
        <w:rFonts w:ascii="Symbol" w:hAnsi="Symbol" w:hint="default"/>
      </w:rPr>
    </w:lvl>
    <w:lvl w:ilvl="1" w:tplc="38EE55D4">
      <w:start w:val="1"/>
      <w:numFmt w:val="bullet"/>
      <w:lvlText w:val="o"/>
      <w:lvlJc w:val="left"/>
      <w:pPr>
        <w:ind w:left="1440" w:hanging="360"/>
      </w:pPr>
      <w:rPr>
        <w:rFonts w:ascii="Courier New" w:hAnsi="Courier New" w:hint="default"/>
      </w:rPr>
    </w:lvl>
    <w:lvl w:ilvl="2" w:tplc="3342FD10">
      <w:start w:val="1"/>
      <w:numFmt w:val="bullet"/>
      <w:lvlText w:val=""/>
      <w:lvlJc w:val="left"/>
      <w:pPr>
        <w:ind w:left="2160" w:hanging="360"/>
      </w:pPr>
      <w:rPr>
        <w:rFonts w:ascii="Wingdings" w:hAnsi="Wingdings" w:hint="default"/>
      </w:rPr>
    </w:lvl>
    <w:lvl w:ilvl="3" w:tplc="D4D48AD4">
      <w:start w:val="1"/>
      <w:numFmt w:val="bullet"/>
      <w:lvlText w:val=""/>
      <w:lvlJc w:val="left"/>
      <w:pPr>
        <w:ind w:left="2880" w:hanging="360"/>
      </w:pPr>
      <w:rPr>
        <w:rFonts w:ascii="Symbol" w:hAnsi="Symbol" w:hint="default"/>
      </w:rPr>
    </w:lvl>
    <w:lvl w:ilvl="4" w:tplc="7E18DE3C">
      <w:start w:val="1"/>
      <w:numFmt w:val="bullet"/>
      <w:lvlText w:val="o"/>
      <w:lvlJc w:val="left"/>
      <w:pPr>
        <w:ind w:left="3600" w:hanging="360"/>
      </w:pPr>
      <w:rPr>
        <w:rFonts w:ascii="Courier New" w:hAnsi="Courier New" w:hint="default"/>
      </w:rPr>
    </w:lvl>
    <w:lvl w:ilvl="5" w:tplc="3E20A8BA">
      <w:start w:val="1"/>
      <w:numFmt w:val="bullet"/>
      <w:lvlText w:val=""/>
      <w:lvlJc w:val="left"/>
      <w:pPr>
        <w:ind w:left="4320" w:hanging="360"/>
      </w:pPr>
      <w:rPr>
        <w:rFonts w:ascii="Wingdings" w:hAnsi="Wingdings" w:hint="default"/>
      </w:rPr>
    </w:lvl>
    <w:lvl w:ilvl="6" w:tplc="66AA26B2">
      <w:start w:val="1"/>
      <w:numFmt w:val="bullet"/>
      <w:lvlText w:val=""/>
      <w:lvlJc w:val="left"/>
      <w:pPr>
        <w:ind w:left="5040" w:hanging="360"/>
      </w:pPr>
      <w:rPr>
        <w:rFonts w:ascii="Symbol" w:hAnsi="Symbol" w:hint="default"/>
      </w:rPr>
    </w:lvl>
    <w:lvl w:ilvl="7" w:tplc="F634DF12">
      <w:start w:val="1"/>
      <w:numFmt w:val="bullet"/>
      <w:lvlText w:val="o"/>
      <w:lvlJc w:val="left"/>
      <w:pPr>
        <w:ind w:left="5760" w:hanging="360"/>
      </w:pPr>
      <w:rPr>
        <w:rFonts w:ascii="Courier New" w:hAnsi="Courier New" w:hint="default"/>
      </w:rPr>
    </w:lvl>
    <w:lvl w:ilvl="8" w:tplc="5BAAEEDE">
      <w:start w:val="1"/>
      <w:numFmt w:val="bullet"/>
      <w:lvlText w:val=""/>
      <w:lvlJc w:val="left"/>
      <w:pPr>
        <w:ind w:left="6480" w:hanging="360"/>
      </w:pPr>
      <w:rPr>
        <w:rFonts w:ascii="Wingdings" w:hAnsi="Wingdings" w:hint="default"/>
      </w:rPr>
    </w:lvl>
  </w:abstractNum>
  <w:abstractNum w:abstractNumId="32" w15:restartNumberingAfterBreak="0">
    <w:nsid w:val="5E361077"/>
    <w:multiLevelType w:val="hybridMultilevel"/>
    <w:tmpl w:val="A5FAFCFE"/>
    <w:lvl w:ilvl="0" w:tplc="1F100554">
      <w:start w:val="1"/>
      <w:numFmt w:val="bullet"/>
      <w:lvlText w:val=""/>
      <w:lvlJc w:val="left"/>
      <w:pPr>
        <w:ind w:left="720" w:hanging="360"/>
      </w:pPr>
      <w:rPr>
        <w:rFonts w:ascii="Symbol" w:hAnsi="Symbol" w:hint="default"/>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C195C"/>
    <w:multiLevelType w:val="hybridMultilevel"/>
    <w:tmpl w:val="FFFFFFFF"/>
    <w:lvl w:ilvl="0" w:tplc="3BF460DC">
      <w:start w:val="1"/>
      <w:numFmt w:val="bullet"/>
      <w:lvlText w:val=""/>
      <w:lvlJc w:val="left"/>
      <w:pPr>
        <w:ind w:left="720" w:hanging="360"/>
      </w:pPr>
      <w:rPr>
        <w:rFonts w:ascii="Symbol" w:hAnsi="Symbol" w:hint="default"/>
      </w:rPr>
    </w:lvl>
    <w:lvl w:ilvl="1" w:tplc="6B5AFAE8">
      <w:start w:val="1"/>
      <w:numFmt w:val="bullet"/>
      <w:lvlText w:val="o"/>
      <w:lvlJc w:val="left"/>
      <w:pPr>
        <w:ind w:left="1440" w:hanging="360"/>
      </w:pPr>
      <w:rPr>
        <w:rFonts w:ascii="Courier New" w:hAnsi="Courier New" w:hint="default"/>
      </w:rPr>
    </w:lvl>
    <w:lvl w:ilvl="2" w:tplc="2CEA583A">
      <w:start w:val="1"/>
      <w:numFmt w:val="bullet"/>
      <w:lvlText w:val=""/>
      <w:lvlJc w:val="left"/>
      <w:pPr>
        <w:ind w:left="2160" w:hanging="360"/>
      </w:pPr>
      <w:rPr>
        <w:rFonts w:ascii="Wingdings" w:hAnsi="Wingdings" w:hint="default"/>
      </w:rPr>
    </w:lvl>
    <w:lvl w:ilvl="3" w:tplc="3E4A27F8">
      <w:start w:val="1"/>
      <w:numFmt w:val="bullet"/>
      <w:lvlText w:val=""/>
      <w:lvlJc w:val="left"/>
      <w:pPr>
        <w:ind w:left="2880" w:hanging="360"/>
      </w:pPr>
      <w:rPr>
        <w:rFonts w:ascii="Symbol" w:hAnsi="Symbol" w:hint="default"/>
      </w:rPr>
    </w:lvl>
    <w:lvl w:ilvl="4" w:tplc="A4BEAF5E">
      <w:start w:val="1"/>
      <w:numFmt w:val="bullet"/>
      <w:lvlText w:val="o"/>
      <w:lvlJc w:val="left"/>
      <w:pPr>
        <w:ind w:left="3600" w:hanging="360"/>
      </w:pPr>
      <w:rPr>
        <w:rFonts w:ascii="Courier New" w:hAnsi="Courier New" w:hint="default"/>
      </w:rPr>
    </w:lvl>
    <w:lvl w:ilvl="5" w:tplc="56044916">
      <w:start w:val="1"/>
      <w:numFmt w:val="bullet"/>
      <w:lvlText w:val=""/>
      <w:lvlJc w:val="left"/>
      <w:pPr>
        <w:ind w:left="4320" w:hanging="360"/>
      </w:pPr>
      <w:rPr>
        <w:rFonts w:ascii="Wingdings" w:hAnsi="Wingdings" w:hint="default"/>
      </w:rPr>
    </w:lvl>
    <w:lvl w:ilvl="6" w:tplc="45D67500">
      <w:start w:val="1"/>
      <w:numFmt w:val="bullet"/>
      <w:lvlText w:val=""/>
      <w:lvlJc w:val="left"/>
      <w:pPr>
        <w:ind w:left="5040" w:hanging="360"/>
      </w:pPr>
      <w:rPr>
        <w:rFonts w:ascii="Symbol" w:hAnsi="Symbol" w:hint="default"/>
      </w:rPr>
    </w:lvl>
    <w:lvl w:ilvl="7" w:tplc="216EE75A">
      <w:start w:val="1"/>
      <w:numFmt w:val="bullet"/>
      <w:lvlText w:val="o"/>
      <w:lvlJc w:val="left"/>
      <w:pPr>
        <w:ind w:left="5760" w:hanging="360"/>
      </w:pPr>
      <w:rPr>
        <w:rFonts w:ascii="Courier New" w:hAnsi="Courier New" w:hint="default"/>
      </w:rPr>
    </w:lvl>
    <w:lvl w:ilvl="8" w:tplc="F7F4F7C2">
      <w:start w:val="1"/>
      <w:numFmt w:val="bullet"/>
      <w:lvlText w:val=""/>
      <w:lvlJc w:val="left"/>
      <w:pPr>
        <w:ind w:left="6480" w:hanging="360"/>
      </w:pPr>
      <w:rPr>
        <w:rFonts w:ascii="Wingdings" w:hAnsi="Wingdings" w:hint="default"/>
      </w:rPr>
    </w:lvl>
  </w:abstractNum>
  <w:abstractNum w:abstractNumId="34" w15:restartNumberingAfterBreak="0">
    <w:nsid w:val="69BA6F10"/>
    <w:multiLevelType w:val="hybridMultilevel"/>
    <w:tmpl w:val="D1DC81C8"/>
    <w:lvl w:ilvl="0" w:tplc="587E5C3A">
      <w:start w:val="1"/>
      <w:numFmt w:val="bullet"/>
      <w:lvlText w:val=""/>
      <w:lvlJc w:val="left"/>
      <w:pPr>
        <w:ind w:left="720" w:hanging="360"/>
      </w:pPr>
      <w:rPr>
        <w:rFonts w:ascii="Symbol" w:hAnsi="Symbol" w:hint="default"/>
      </w:rPr>
    </w:lvl>
    <w:lvl w:ilvl="1" w:tplc="73560F4C">
      <w:start w:val="1"/>
      <w:numFmt w:val="bullet"/>
      <w:lvlText w:val="o"/>
      <w:lvlJc w:val="left"/>
      <w:pPr>
        <w:ind w:left="1440" w:hanging="360"/>
      </w:pPr>
      <w:rPr>
        <w:rFonts w:ascii="Courier New" w:hAnsi="Courier New" w:hint="default"/>
      </w:rPr>
    </w:lvl>
    <w:lvl w:ilvl="2" w:tplc="3D568850">
      <w:start w:val="1"/>
      <w:numFmt w:val="bullet"/>
      <w:lvlText w:val=""/>
      <w:lvlJc w:val="left"/>
      <w:pPr>
        <w:ind w:left="2160" w:hanging="360"/>
      </w:pPr>
      <w:rPr>
        <w:rFonts w:ascii="Wingdings" w:hAnsi="Wingdings" w:hint="default"/>
      </w:rPr>
    </w:lvl>
    <w:lvl w:ilvl="3" w:tplc="F6C0ECA4">
      <w:start w:val="1"/>
      <w:numFmt w:val="bullet"/>
      <w:lvlText w:val=""/>
      <w:lvlJc w:val="left"/>
      <w:pPr>
        <w:ind w:left="2880" w:hanging="360"/>
      </w:pPr>
      <w:rPr>
        <w:rFonts w:ascii="Symbol" w:hAnsi="Symbol" w:hint="default"/>
      </w:rPr>
    </w:lvl>
    <w:lvl w:ilvl="4" w:tplc="CFE89462">
      <w:start w:val="1"/>
      <w:numFmt w:val="bullet"/>
      <w:lvlText w:val="o"/>
      <w:lvlJc w:val="left"/>
      <w:pPr>
        <w:ind w:left="3600" w:hanging="360"/>
      </w:pPr>
      <w:rPr>
        <w:rFonts w:ascii="Courier New" w:hAnsi="Courier New" w:hint="default"/>
      </w:rPr>
    </w:lvl>
    <w:lvl w:ilvl="5" w:tplc="D8D881F2">
      <w:start w:val="1"/>
      <w:numFmt w:val="bullet"/>
      <w:lvlText w:val=""/>
      <w:lvlJc w:val="left"/>
      <w:pPr>
        <w:ind w:left="4320" w:hanging="360"/>
      </w:pPr>
      <w:rPr>
        <w:rFonts w:ascii="Wingdings" w:hAnsi="Wingdings" w:hint="default"/>
      </w:rPr>
    </w:lvl>
    <w:lvl w:ilvl="6" w:tplc="C59C7624">
      <w:start w:val="1"/>
      <w:numFmt w:val="bullet"/>
      <w:lvlText w:val=""/>
      <w:lvlJc w:val="left"/>
      <w:pPr>
        <w:ind w:left="5040" w:hanging="360"/>
      </w:pPr>
      <w:rPr>
        <w:rFonts w:ascii="Symbol" w:hAnsi="Symbol" w:hint="default"/>
      </w:rPr>
    </w:lvl>
    <w:lvl w:ilvl="7" w:tplc="E55C848A">
      <w:start w:val="1"/>
      <w:numFmt w:val="bullet"/>
      <w:lvlText w:val="o"/>
      <w:lvlJc w:val="left"/>
      <w:pPr>
        <w:ind w:left="5760" w:hanging="360"/>
      </w:pPr>
      <w:rPr>
        <w:rFonts w:ascii="Courier New" w:hAnsi="Courier New" w:hint="default"/>
      </w:rPr>
    </w:lvl>
    <w:lvl w:ilvl="8" w:tplc="410021F8">
      <w:start w:val="1"/>
      <w:numFmt w:val="bullet"/>
      <w:lvlText w:val=""/>
      <w:lvlJc w:val="left"/>
      <w:pPr>
        <w:ind w:left="6480" w:hanging="360"/>
      </w:pPr>
      <w:rPr>
        <w:rFonts w:ascii="Wingdings" w:hAnsi="Wingdings" w:hint="default"/>
      </w:rPr>
    </w:lvl>
  </w:abstractNum>
  <w:abstractNum w:abstractNumId="35" w15:restartNumberingAfterBreak="0">
    <w:nsid w:val="6DBC1DEC"/>
    <w:multiLevelType w:val="hybridMultilevel"/>
    <w:tmpl w:val="4EB2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2C52E"/>
    <w:multiLevelType w:val="hybridMultilevel"/>
    <w:tmpl w:val="5E1E25E0"/>
    <w:lvl w:ilvl="0" w:tplc="6FFC76D8">
      <w:start w:val="1"/>
      <w:numFmt w:val="decimal"/>
      <w:lvlText w:val="%1."/>
      <w:lvlJc w:val="left"/>
      <w:pPr>
        <w:ind w:left="720" w:hanging="360"/>
      </w:pPr>
    </w:lvl>
    <w:lvl w:ilvl="1" w:tplc="A99087A2">
      <w:start w:val="1"/>
      <w:numFmt w:val="lowerLetter"/>
      <w:lvlText w:val="%2."/>
      <w:lvlJc w:val="left"/>
      <w:pPr>
        <w:ind w:left="1440" w:hanging="360"/>
      </w:pPr>
    </w:lvl>
    <w:lvl w:ilvl="2" w:tplc="EF4E0424">
      <w:start w:val="1"/>
      <w:numFmt w:val="lowerRoman"/>
      <w:lvlText w:val="%3."/>
      <w:lvlJc w:val="right"/>
      <w:pPr>
        <w:ind w:left="2160" w:hanging="180"/>
      </w:pPr>
    </w:lvl>
    <w:lvl w:ilvl="3" w:tplc="34CAB996">
      <w:start w:val="1"/>
      <w:numFmt w:val="decimal"/>
      <w:lvlText w:val="%4."/>
      <w:lvlJc w:val="left"/>
      <w:pPr>
        <w:ind w:left="2880" w:hanging="360"/>
      </w:pPr>
    </w:lvl>
    <w:lvl w:ilvl="4" w:tplc="3D64A434">
      <w:start w:val="1"/>
      <w:numFmt w:val="lowerLetter"/>
      <w:lvlText w:val="%5."/>
      <w:lvlJc w:val="left"/>
      <w:pPr>
        <w:ind w:left="3600" w:hanging="360"/>
      </w:pPr>
    </w:lvl>
    <w:lvl w:ilvl="5" w:tplc="EA8ECF98">
      <w:start w:val="1"/>
      <w:numFmt w:val="lowerRoman"/>
      <w:lvlText w:val="%6."/>
      <w:lvlJc w:val="right"/>
      <w:pPr>
        <w:ind w:left="4320" w:hanging="180"/>
      </w:pPr>
    </w:lvl>
    <w:lvl w:ilvl="6" w:tplc="971488EA">
      <w:start w:val="1"/>
      <w:numFmt w:val="decimal"/>
      <w:lvlText w:val="%7."/>
      <w:lvlJc w:val="left"/>
      <w:pPr>
        <w:ind w:left="5040" w:hanging="360"/>
      </w:pPr>
    </w:lvl>
    <w:lvl w:ilvl="7" w:tplc="06288300">
      <w:start w:val="1"/>
      <w:numFmt w:val="lowerLetter"/>
      <w:lvlText w:val="%8."/>
      <w:lvlJc w:val="left"/>
      <w:pPr>
        <w:ind w:left="5760" w:hanging="360"/>
      </w:pPr>
    </w:lvl>
    <w:lvl w:ilvl="8" w:tplc="0DEA4B62">
      <w:start w:val="1"/>
      <w:numFmt w:val="lowerRoman"/>
      <w:lvlText w:val="%9."/>
      <w:lvlJc w:val="right"/>
      <w:pPr>
        <w:ind w:left="6480" w:hanging="180"/>
      </w:pPr>
    </w:lvl>
  </w:abstractNum>
  <w:abstractNum w:abstractNumId="37" w15:restartNumberingAfterBreak="0">
    <w:nsid w:val="73915CD7"/>
    <w:multiLevelType w:val="hybridMultilevel"/>
    <w:tmpl w:val="73CCF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381EF4"/>
    <w:multiLevelType w:val="hybridMultilevel"/>
    <w:tmpl w:val="1C426EE4"/>
    <w:lvl w:ilvl="0" w:tplc="B26C589C">
      <w:start w:val="1"/>
      <w:numFmt w:val="decimal"/>
      <w:lvlText w:val="%1."/>
      <w:lvlJc w:val="left"/>
      <w:pPr>
        <w:ind w:left="720" w:hanging="360"/>
      </w:pPr>
      <w:rPr>
        <w:b w:val="0"/>
        <w:bCs w:val="0"/>
        <w:sz w:val="22"/>
        <w:szCs w:val="22"/>
      </w:rPr>
    </w:lvl>
    <w:lvl w:ilvl="1" w:tplc="B7361A84">
      <w:start w:val="1"/>
      <w:numFmt w:val="lowerLetter"/>
      <w:lvlText w:val="%2."/>
      <w:lvlJc w:val="left"/>
      <w:pPr>
        <w:ind w:left="1440" w:hanging="360"/>
      </w:pPr>
    </w:lvl>
    <w:lvl w:ilvl="2" w:tplc="A37AE80E">
      <w:start w:val="1"/>
      <w:numFmt w:val="lowerRoman"/>
      <w:lvlText w:val="%3."/>
      <w:lvlJc w:val="right"/>
      <w:pPr>
        <w:ind w:left="2160" w:hanging="180"/>
      </w:pPr>
    </w:lvl>
    <w:lvl w:ilvl="3" w:tplc="08286AF2">
      <w:start w:val="1"/>
      <w:numFmt w:val="decimal"/>
      <w:lvlText w:val="%4."/>
      <w:lvlJc w:val="left"/>
      <w:pPr>
        <w:ind w:left="2880" w:hanging="360"/>
      </w:pPr>
    </w:lvl>
    <w:lvl w:ilvl="4" w:tplc="58C61F02">
      <w:start w:val="1"/>
      <w:numFmt w:val="lowerLetter"/>
      <w:lvlText w:val="%5."/>
      <w:lvlJc w:val="left"/>
      <w:pPr>
        <w:ind w:left="3600" w:hanging="360"/>
      </w:pPr>
    </w:lvl>
    <w:lvl w:ilvl="5" w:tplc="FB0C8612">
      <w:start w:val="1"/>
      <w:numFmt w:val="lowerRoman"/>
      <w:lvlText w:val="%6."/>
      <w:lvlJc w:val="right"/>
      <w:pPr>
        <w:ind w:left="4320" w:hanging="180"/>
      </w:pPr>
    </w:lvl>
    <w:lvl w:ilvl="6" w:tplc="FE8A76B0">
      <w:start w:val="1"/>
      <w:numFmt w:val="decimal"/>
      <w:lvlText w:val="%7."/>
      <w:lvlJc w:val="left"/>
      <w:pPr>
        <w:ind w:left="5040" w:hanging="360"/>
      </w:pPr>
    </w:lvl>
    <w:lvl w:ilvl="7" w:tplc="A476DD56">
      <w:start w:val="1"/>
      <w:numFmt w:val="lowerLetter"/>
      <w:lvlText w:val="%8."/>
      <w:lvlJc w:val="left"/>
      <w:pPr>
        <w:ind w:left="5760" w:hanging="360"/>
      </w:pPr>
    </w:lvl>
    <w:lvl w:ilvl="8" w:tplc="B97E931C">
      <w:start w:val="1"/>
      <w:numFmt w:val="lowerRoman"/>
      <w:lvlText w:val="%9."/>
      <w:lvlJc w:val="right"/>
      <w:pPr>
        <w:ind w:left="6480" w:hanging="180"/>
      </w:pPr>
    </w:lvl>
  </w:abstractNum>
  <w:abstractNum w:abstractNumId="39" w15:restartNumberingAfterBreak="0">
    <w:nsid w:val="789E2661"/>
    <w:multiLevelType w:val="hybridMultilevel"/>
    <w:tmpl w:val="57D601D2"/>
    <w:lvl w:ilvl="0" w:tplc="3740FC7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0C16E0"/>
    <w:multiLevelType w:val="hybridMultilevel"/>
    <w:tmpl w:val="092E673C"/>
    <w:lvl w:ilvl="0" w:tplc="08090001">
      <w:start w:val="1"/>
      <w:numFmt w:val="bullet"/>
      <w:lvlText w:val=""/>
      <w:lvlJc w:val="left"/>
      <w:pPr>
        <w:ind w:left="720" w:hanging="360"/>
      </w:pPr>
      <w:rPr>
        <w:rFonts w:ascii="Symbol" w:hAnsi="Symbol" w:hint="default"/>
      </w:rPr>
    </w:lvl>
    <w:lvl w:ilvl="1" w:tplc="93E41C7C">
      <w:start w:val="1"/>
      <w:numFmt w:val="bullet"/>
      <w:lvlText w:val="o"/>
      <w:lvlJc w:val="left"/>
      <w:pPr>
        <w:ind w:left="1440" w:hanging="360"/>
      </w:pPr>
      <w:rPr>
        <w:rFonts w:ascii="Courier New" w:hAnsi="Courier New" w:hint="default"/>
        <w:color w:val="auto"/>
      </w:rPr>
    </w:lvl>
    <w:lvl w:ilvl="2" w:tplc="92C65432">
      <w:start w:val="1"/>
      <w:numFmt w:val="bullet"/>
      <w:lvlText w:val=""/>
      <w:lvlJc w:val="left"/>
      <w:pPr>
        <w:ind w:left="2160" w:hanging="360"/>
      </w:pPr>
      <w:rPr>
        <w:rFonts w:ascii="Wingdings" w:hAnsi="Wingdings" w:hint="default"/>
      </w:rPr>
    </w:lvl>
    <w:lvl w:ilvl="3" w:tplc="993C015A">
      <w:start w:val="1"/>
      <w:numFmt w:val="bullet"/>
      <w:lvlText w:val=""/>
      <w:lvlJc w:val="left"/>
      <w:pPr>
        <w:ind w:left="2880" w:hanging="360"/>
      </w:pPr>
      <w:rPr>
        <w:rFonts w:ascii="Symbol" w:hAnsi="Symbol" w:hint="default"/>
      </w:rPr>
    </w:lvl>
    <w:lvl w:ilvl="4" w:tplc="55EA6122">
      <w:start w:val="1"/>
      <w:numFmt w:val="bullet"/>
      <w:lvlText w:val="o"/>
      <w:lvlJc w:val="left"/>
      <w:pPr>
        <w:ind w:left="3600" w:hanging="360"/>
      </w:pPr>
      <w:rPr>
        <w:rFonts w:ascii="Courier New" w:hAnsi="Courier New" w:hint="default"/>
      </w:rPr>
    </w:lvl>
    <w:lvl w:ilvl="5" w:tplc="D0446F3E">
      <w:start w:val="1"/>
      <w:numFmt w:val="bullet"/>
      <w:lvlText w:val=""/>
      <w:lvlJc w:val="left"/>
      <w:pPr>
        <w:ind w:left="4320" w:hanging="360"/>
      </w:pPr>
      <w:rPr>
        <w:rFonts w:ascii="Wingdings" w:hAnsi="Wingdings" w:hint="default"/>
      </w:rPr>
    </w:lvl>
    <w:lvl w:ilvl="6" w:tplc="0F06C0CC">
      <w:start w:val="1"/>
      <w:numFmt w:val="bullet"/>
      <w:lvlText w:val=""/>
      <w:lvlJc w:val="left"/>
      <w:pPr>
        <w:ind w:left="5040" w:hanging="360"/>
      </w:pPr>
      <w:rPr>
        <w:rFonts w:ascii="Symbol" w:hAnsi="Symbol" w:hint="default"/>
      </w:rPr>
    </w:lvl>
    <w:lvl w:ilvl="7" w:tplc="CBD65246">
      <w:start w:val="1"/>
      <w:numFmt w:val="bullet"/>
      <w:lvlText w:val="o"/>
      <w:lvlJc w:val="left"/>
      <w:pPr>
        <w:ind w:left="5760" w:hanging="360"/>
      </w:pPr>
      <w:rPr>
        <w:rFonts w:ascii="Courier New" w:hAnsi="Courier New" w:hint="default"/>
      </w:rPr>
    </w:lvl>
    <w:lvl w:ilvl="8" w:tplc="A9AE0560">
      <w:start w:val="1"/>
      <w:numFmt w:val="bullet"/>
      <w:lvlText w:val=""/>
      <w:lvlJc w:val="left"/>
      <w:pPr>
        <w:ind w:left="6480" w:hanging="360"/>
      </w:pPr>
      <w:rPr>
        <w:rFonts w:ascii="Wingdings" w:hAnsi="Wingdings" w:hint="default"/>
      </w:rPr>
    </w:lvl>
  </w:abstractNum>
  <w:abstractNum w:abstractNumId="41" w15:restartNumberingAfterBreak="0">
    <w:nsid w:val="7C052310"/>
    <w:multiLevelType w:val="hybridMultilevel"/>
    <w:tmpl w:val="4976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AD55E7"/>
    <w:multiLevelType w:val="hybridMultilevel"/>
    <w:tmpl w:val="31749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EB7659"/>
    <w:multiLevelType w:val="multilevel"/>
    <w:tmpl w:val="1FB8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46319682">
    <w:abstractNumId w:val="30"/>
  </w:num>
  <w:num w:numId="2" w16cid:durableId="1185511657">
    <w:abstractNumId w:val="6"/>
  </w:num>
  <w:num w:numId="3" w16cid:durableId="1993214862">
    <w:abstractNumId w:val="34"/>
  </w:num>
  <w:num w:numId="4" w16cid:durableId="96751212">
    <w:abstractNumId w:val="9"/>
  </w:num>
  <w:num w:numId="5" w16cid:durableId="25907117">
    <w:abstractNumId w:val="36"/>
  </w:num>
  <w:num w:numId="6" w16cid:durableId="1571649208">
    <w:abstractNumId w:val="18"/>
  </w:num>
  <w:num w:numId="7" w16cid:durableId="495654107">
    <w:abstractNumId w:val="4"/>
  </w:num>
  <w:num w:numId="8" w16cid:durableId="2005040464">
    <w:abstractNumId w:val="38"/>
  </w:num>
  <w:num w:numId="9" w16cid:durableId="794375099">
    <w:abstractNumId w:val="1"/>
  </w:num>
  <w:num w:numId="10" w16cid:durableId="1976254765">
    <w:abstractNumId w:val="29"/>
  </w:num>
  <w:num w:numId="11" w16cid:durableId="1962883180">
    <w:abstractNumId w:val="31"/>
  </w:num>
  <w:num w:numId="12" w16cid:durableId="90441671">
    <w:abstractNumId w:val="16"/>
  </w:num>
  <w:num w:numId="13" w16cid:durableId="618338849">
    <w:abstractNumId w:val="33"/>
  </w:num>
  <w:num w:numId="14" w16cid:durableId="1416321648">
    <w:abstractNumId w:val="20"/>
  </w:num>
  <w:num w:numId="15" w16cid:durableId="731385492">
    <w:abstractNumId w:val="40"/>
  </w:num>
  <w:num w:numId="16" w16cid:durableId="2006009095">
    <w:abstractNumId w:val="35"/>
  </w:num>
  <w:num w:numId="17" w16cid:durableId="736897008">
    <w:abstractNumId w:val="17"/>
  </w:num>
  <w:num w:numId="18" w16cid:durableId="397627484">
    <w:abstractNumId w:val="3"/>
  </w:num>
  <w:num w:numId="19" w16cid:durableId="1146311964">
    <w:abstractNumId w:val="3"/>
  </w:num>
  <w:num w:numId="20" w16cid:durableId="589390709">
    <w:abstractNumId w:val="2"/>
  </w:num>
  <w:num w:numId="21" w16cid:durableId="1247689424">
    <w:abstractNumId w:val="24"/>
  </w:num>
  <w:num w:numId="22" w16cid:durableId="1474905328">
    <w:abstractNumId w:val="12"/>
  </w:num>
  <w:num w:numId="23" w16cid:durableId="971903694">
    <w:abstractNumId w:val="15"/>
  </w:num>
  <w:num w:numId="24" w16cid:durableId="1798375414">
    <w:abstractNumId w:val="28"/>
  </w:num>
  <w:num w:numId="25" w16cid:durableId="567422547">
    <w:abstractNumId w:val="11"/>
  </w:num>
  <w:num w:numId="26" w16cid:durableId="143548814">
    <w:abstractNumId w:val="8"/>
  </w:num>
  <w:num w:numId="27" w16cid:durableId="1279487371">
    <w:abstractNumId w:val="42"/>
  </w:num>
  <w:num w:numId="28" w16cid:durableId="739597684">
    <w:abstractNumId w:val="7"/>
  </w:num>
  <w:num w:numId="29" w16cid:durableId="1316838068">
    <w:abstractNumId w:val="21"/>
  </w:num>
  <w:num w:numId="30" w16cid:durableId="1831213458">
    <w:abstractNumId w:val="13"/>
  </w:num>
  <w:num w:numId="31" w16cid:durableId="590511822">
    <w:abstractNumId w:val="39"/>
  </w:num>
  <w:num w:numId="32" w16cid:durableId="1434860347">
    <w:abstractNumId w:val="19"/>
  </w:num>
  <w:num w:numId="33" w16cid:durableId="1319920042">
    <w:abstractNumId w:val="25"/>
  </w:num>
  <w:num w:numId="34" w16cid:durableId="714961968">
    <w:abstractNumId w:val="10"/>
  </w:num>
  <w:num w:numId="35" w16cid:durableId="59989979">
    <w:abstractNumId w:val="41"/>
  </w:num>
  <w:num w:numId="36" w16cid:durableId="223226666">
    <w:abstractNumId w:val="32"/>
  </w:num>
  <w:num w:numId="37" w16cid:durableId="1966960158">
    <w:abstractNumId w:val="43"/>
  </w:num>
  <w:num w:numId="38" w16cid:durableId="670527423">
    <w:abstractNumId w:val="37"/>
  </w:num>
  <w:num w:numId="39" w16cid:durableId="1342972668">
    <w:abstractNumId w:val="23"/>
  </w:num>
  <w:num w:numId="40" w16cid:durableId="588777814">
    <w:abstractNumId w:val="22"/>
  </w:num>
  <w:num w:numId="41" w16cid:durableId="1464887399">
    <w:abstractNumId w:val="0"/>
  </w:num>
  <w:num w:numId="42" w16cid:durableId="687100797">
    <w:abstractNumId w:val="5"/>
  </w:num>
  <w:num w:numId="43" w16cid:durableId="2072193972">
    <w:abstractNumId w:val="27"/>
  </w:num>
  <w:num w:numId="44" w16cid:durableId="86582558">
    <w:abstractNumId w:val="14"/>
  </w:num>
  <w:num w:numId="45" w16cid:durableId="60754766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rman, William">
    <w15:presenceInfo w15:providerId="AD" w15:userId="S::William.Norman@defra.gov.uk::85c1915d-a78a-4bbc-bf05-54e0e79931d1"/>
  </w15:person>
  <w15:person w15:author="COLLET Xavier">
    <w15:presenceInfo w15:providerId="None" w15:userId="COLLET Xav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CF"/>
    <w:rsid w:val="00002327"/>
    <w:rsid w:val="00002F1F"/>
    <w:rsid w:val="000052EF"/>
    <w:rsid w:val="00005551"/>
    <w:rsid w:val="00007E8C"/>
    <w:rsid w:val="00010E29"/>
    <w:rsid w:val="00017A90"/>
    <w:rsid w:val="0002130C"/>
    <w:rsid w:val="00026C40"/>
    <w:rsid w:val="0005564C"/>
    <w:rsid w:val="0007125A"/>
    <w:rsid w:val="0008576C"/>
    <w:rsid w:val="000913E7"/>
    <w:rsid w:val="000A216E"/>
    <w:rsid w:val="000A247E"/>
    <w:rsid w:val="000B0FAA"/>
    <w:rsid w:val="000B2B57"/>
    <w:rsid w:val="000B2E6C"/>
    <w:rsid w:val="000C1D62"/>
    <w:rsid w:val="000C2ED6"/>
    <w:rsid w:val="000C6663"/>
    <w:rsid w:val="000C6AEE"/>
    <w:rsid w:val="000C7CBA"/>
    <w:rsid w:val="000D1DFC"/>
    <w:rsid w:val="000E1AA3"/>
    <w:rsid w:val="000E46E8"/>
    <w:rsid w:val="000E7BD7"/>
    <w:rsid w:val="000E7DDE"/>
    <w:rsid w:val="000F334C"/>
    <w:rsid w:val="000F5ADB"/>
    <w:rsid w:val="0010412A"/>
    <w:rsid w:val="00105347"/>
    <w:rsid w:val="0010590C"/>
    <w:rsid w:val="00116C1F"/>
    <w:rsid w:val="00117B22"/>
    <w:rsid w:val="0012151C"/>
    <w:rsid w:val="001313CC"/>
    <w:rsid w:val="00137CAF"/>
    <w:rsid w:val="00142DFA"/>
    <w:rsid w:val="001550FC"/>
    <w:rsid w:val="001670B6"/>
    <w:rsid w:val="00167475"/>
    <w:rsid w:val="00175D53"/>
    <w:rsid w:val="00184874"/>
    <w:rsid w:val="00196262"/>
    <w:rsid w:val="0019679E"/>
    <w:rsid w:val="001A6035"/>
    <w:rsid w:val="001A6464"/>
    <w:rsid w:val="001AFD80"/>
    <w:rsid w:val="001B1923"/>
    <w:rsid w:val="001C2996"/>
    <w:rsid w:val="001C398C"/>
    <w:rsid w:val="001C58A1"/>
    <w:rsid w:val="001D0596"/>
    <w:rsid w:val="001D0640"/>
    <w:rsid w:val="001D0747"/>
    <w:rsid w:val="001D1D39"/>
    <w:rsid w:val="001D4725"/>
    <w:rsid w:val="001D6A5B"/>
    <w:rsid w:val="001E14A0"/>
    <w:rsid w:val="00200BAB"/>
    <w:rsid w:val="002055D4"/>
    <w:rsid w:val="002116C1"/>
    <w:rsid w:val="00215A66"/>
    <w:rsid w:val="00215F37"/>
    <w:rsid w:val="00216699"/>
    <w:rsid w:val="00220395"/>
    <w:rsid w:val="00226409"/>
    <w:rsid w:val="00227210"/>
    <w:rsid w:val="00235096"/>
    <w:rsid w:val="00237AEF"/>
    <w:rsid w:val="00240486"/>
    <w:rsid w:val="00243B0E"/>
    <w:rsid w:val="0024569C"/>
    <w:rsid w:val="00247A81"/>
    <w:rsid w:val="0025229C"/>
    <w:rsid w:val="00256732"/>
    <w:rsid w:val="00257BFD"/>
    <w:rsid w:val="00264D9C"/>
    <w:rsid w:val="0026747B"/>
    <w:rsid w:val="00267637"/>
    <w:rsid w:val="00270178"/>
    <w:rsid w:val="0027373E"/>
    <w:rsid w:val="002759E1"/>
    <w:rsid w:val="00280150"/>
    <w:rsid w:val="002816BC"/>
    <w:rsid w:val="00284ADB"/>
    <w:rsid w:val="00286041"/>
    <w:rsid w:val="00293990"/>
    <w:rsid w:val="00297901"/>
    <w:rsid w:val="002A0666"/>
    <w:rsid w:val="002A1E97"/>
    <w:rsid w:val="002A5F28"/>
    <w:rsid w:val="002B5A06"/>
    <w:rsid w:val="002C2611"/>
    <w:rsid w:val="002C5785"/>
    <w:rsid w:val="002F62FC"/>
    <w:rsid w:val="003079A0"/>
    <w:rsid w:val="00314464"/>
    <w:rsid w:val="0031516B"/>
    <w:rsid w:val="00324277"/>
    <w:rsid w:val="00324FE7"/>
    <w:rsid w:val="003343C1"/>
    <w:rsid w:val="003352B5"/>
    <w:rsid w:val="003429A6"/>
    <w:rsid w:val="003507A1"/>
    <w:rsid w:val="00350816"/>
    <w:rsid w:val="0035380D"/>
    <w:rsid w:val="003540E3"/>
    <w:rsid w:val="00354FC3"/>
    <w:rsid w:val="0035C3A5"/>
    <w:rsid w:val="003614BF"/>
    <w:rsid w:val="003766F1"/>
    <w:rsid w:val="00392C31"/>
    <w:rsid w:val="003A2A31"/>
    <w:rsid w:val="003A495F"/>
    <w:rsid w:val="003A7A92"/>
    <w:rsid w:val="003B3DF1"/>
    <w:rsid w:val="003B5617"/>
    <w:rsid w:val="003B755E"/>
    <w:rsid w:val="003C736B"/>
    <w:rsid w:val="003D5104"/>
    <w:rsid w:val="003D71CA"/>
    <w:rsid w:val="003E045A"/>
    <w:rsid w:val="003E05DA"/>
    <w:rsid w:val="003E7439"/>
    <w:rsid w:val="00400B29"/>
    <w:rsid w:val="0040456E"/>
    <w:rsid w:val="00413E77"/>
    <w:rsid w:val="00416378"/>
    <w:rsid w:val="004279BF"/>
    <w:rsid w:val="0044533D"/>
    <w:rsid w:val="00456531"/>
    <w:rsid w:val="004625BE"/>
    <w:rsid w:val="00462F17"/>
    <w:rsid w:val="00465995"/>
    <w:rsid w:val="00471246"/>
    <w:rsid w:val="00473666"/>
    <w:rsid w:val="00482665"/>
    <w:rsid w:val="004871FE"/>
    <w:rsid w:val="0049737C"/>
    <w:rsid w:val="004A2D9C"/>
    <w:rsid w:val="004B7D45"/>
    <w:rsid w:val="004C072E"/>
    <w:rsid w:val="004CB6F8"/>
    <w:rsid w:val="004D0145"/>
    <w:rsid w:val="004D0C6C"/>
    <w:rsid w:val="004D5939"/>
    <w:rsid w:val="004D68C7"/>
    <w:rsid w:val="004E6EAF"/>
    <w:rsid w:val="004F1746"/>
    <w:rsid w:val="004F464F"/>
    <w:rsid w:val="004F73DF"/>
    <w:rsid w:val="005077DF"/>
    <w:rsid w:val="0052349E"/>
    <w:rsid w:val="005237B4"/>
    <w:rsid w:val="00530C0E"/>
    <w:rsid w:val="00531EBD"/>
    <w:rsid w:val="0053274E"/>
    <w:rsid w:val="00537681"/>
    <w:rsid w:val="00543ACF"/>
    <w:rsid w:val="00547478"/>
    <w:rsid w:val="005616AD"/>
    <w:rsid w:val="005640EF"/>
    <w:rsid w:val="00565A93"/>
    <w:rsid w:val="00565DC5"/>
    <w:rsid w:val="00565F53"/>
    <w:rsid w:val="0056714C"/>
    <w:rsid w:val="00586B93"/>
    <w:rsid w:val="00593C08"/>
    <w:rsid w:val="00594A70"/>
    <w:rsid w:val="00596564"/>
    <w:rsid w:val="005A1E0D"/>
    <w:rsid w:val="005A6D81"/>
    <w:rsid w:val="005A794C"/>
    <w:rsid w:val="005B6E1E"/>
    <w:rsid w:val="005D0D5E"/>
    <w:rsid w:val="005E1A4D"/>
    <w:rsid w:val="005E7100"/>
    <w:rsid w:val="005F120D"/>
    <w:rsid w:val="005F2026"/>
    <w:rsid w:val="00602440"/>
    <w:rsid w:val="00604FCD"/>
    <w:rsid w:val="0061001C"/>
    <w:rsid w:val="00617C76"/>
    <w:rsid w:val="0062367F"/>
    <w:rsid w:val="006553B5"/>
    <w:rsid w:val="006555A4"/>
    <w:rsid w:val="00664086"/>
    <w:rsid w:val="00674192"/>
    <w:rsid w:val="006839BA"/>
    <w:rsid w:val="00694A43"/>
    <w:rsid w:val="00697BAA"/>
    <w:rsid w:val="006A0EDB"/>
    <w:rsid w:val="006A4573"/>
    <w:rsid w:val="006A5F96"/>
    <w:rsid w:val="006ACE75"/>
    <w:rsid w:val="006B5B88"/>
    <w:rsid w:val="006B7B43"/>
    <w:rsid w:val="006C0007"/>
    <w:rsid w:val="006C36F5"/>
    <w:rsid w:val="006E3C61"/>
    <w:rsid w:val="006E54CC"/>
    <w:rsid w:val="006E5785"/>
    <w:rsid w:val="006E61F2"/>
    <w:rsid w:val="006F3AE7"/>
    <w:rsid w:val="00700820"/>
    <w:rsid w:val="00706ACD"/>
    <w:rsid w:val="007151A7"/>
    <w:rsid w:val="0072120A"/>
    <w:rsid w:val="007222D2"/>
    <w:rsid w:val="0072306F"/>
    <w:rsid w:val="00725D35"/>
    <w:rsid w:val="00731999"/>
    <w:rsid w:val="00734D22"/>
    <w:rsid w:val="007372E6"/>
    <w:rsid w:val="007410FF"/>
    <w:rsid w:val="00742C51"/>
    <w:rsid w:val="00743C99"/>
    <w:rsid w:val="00746238"/>
    <w:rsid w:val="007561CD"/>
    <w:rsid w:val="00770075"/>
    <w:rsid w:val="00774208"/>
    <w:rsid w:val="0077666E"/>
    <w:rsid w:val="0077675E"/>
    <w:rsid w:val="00777511"/>
    <w:rsid w:val="007805C5"/>
    <w:rsid w:val="00781B6E"/>
    <w:rsid w:val="007838C7"/>
    <w:rsid w:val="00790D41"/>
    <w:rsid w:val="00791399"/>
    <w:rsid w:val="007954DE"/>
    <w:rsid w:val="007A147A"/>
    <w:rsid w:val="007A2D9C"/>
    <w:rsid w:val="007B139E"/>
    <w:rsid w:val="007C25F2"/>
    <w:rsid w:val="007C29E1"/>
    <w:rsid w:val="007C4A75"/>
    <w:rsid w:val="007C67CB"/>
    <w:rsid w:val="007D5C49"/>
    <w:rsid w:val="007D654B"/>
    <w:rsid w:val="007D7AA6"/>
    <w:rsid w:val="007E297E"/>
    <w:rsid w:val="007E5F35"/>
    <w:rsid w:val="007F0FB7"/>
    <w:rsid w:val="007F6719"/>
    <w:rsid w:val="00801FE2"/>
    <w:rsid w:val="008106DC"/>
    <w:rsid w:val="00812115"/>
    <w:rsid w:val="00815DAE"/>
    <w:rsid w:val="008168EA"/>
    <w:rsid w:val="00822B64"/>
    <w:rsid w:val="00830D4B"/>
    <w:rsid w:val="008473AA"/>
    <w:rsid w:val="00851FD1"/>
    <w:rsid w:val="00853D37"/>
    <w:rsid w:val="00856E8A"/>
    <w:rsid w:val="00863670"/>
    <w:rsid w:val="00867B7E"/>
    <w:rsid w:val="0088387E"/>
    <w:rsid w:val="00883CCB"/>
    <w:rsid w:val="0088481D"/>
    <w:rsid w:val="00887915"/>
    <w:rsid w:val="00890EA9"/>
    <w:rsid w:val="008950C9"/>
    <w:rsid w:val="00895202"/>
    <w:rsid w:val="0089596E"/>
    <w:rsid w:val="008A3680"/>
    <w:rsid w:val="008A50A4"/>
    <w:rsid w:val="008A69B2"/>
    <w:rsid w:val="008B24B7"/>
    <w:rsid w:val="008C4B53"/>
    <w:rsid w:val="008C730A"/>
    <w:rsid w:val="008D17FE"/>
    <w:rsid w:val="008D6B3D"/>
    <w:rsid w:val="008D6F84"/>
    <w:rsid w:val="008E6B70"/>
    <w:rsid w:val="008F0A0C"/>
    <w:rsid w:val="008F5D46"/>
    <w:rsid w:val="0090661F"/>
    <w:rsid w:val="00915E25"/>
    <w:rsid w:val="009240E3"/>
    <w:rsid w:val="00924EC1"/>
    <w:rsid w:val="00934138"/>
    <w:rsid w:val="009516BF"/>
    <w:rsid w:val="009541E0"/>
    <w:rsid w:val="0096193C"/>
    <w:rsid w:val="0097437A"/>
    <w:rsid w:val="009766AE"/>
    <w:rsid w:val="00984094"/>
    <w:rsid w:val="00986AD8"/>
    <w:rsid w:val="009873F3"/>
    <w:rsid w:val="0098773D"/>
    <w:rsid w:val="009A5EAD"/>
    <w:rsid w:val="009B3346"/>
    <w:rsid w:val="009B3643"/>
    <w:rsid w:val="009C7060"/>
    <w:rsid w:val="009E054B"/>
    <w:rsid w:val="009E4AD1"/>
    <w:rsid w:val="009E51C4"/>
    <w:rsid w:val="009E7D5B"/>
    <w:rsid w:val="009E7E8F"/>
    <w:rsid w:val="009F1A97"/>
    <w:rsid w:val="00A1230F"/>
    <w:rsid w:val="00A16335"/>
    <w:rsid w:val="00A17078"/>
    <w:rsid w:val="00A2013B"/>
    <w:rsid w:val="00A257AE"/>
    <w:rsid w:val="00A25870"/>
    <w:rsid w:val="00A35F84"/>
    <w:rsid w:val="00A46C9F"/>
    <w:rsid w:val="00A46F2D"/>
    <w:rsid w:val="00A52BBA"/>
    <w:rsid w:val="00A5671A"/>
    <w:rsid w:val="00A73B10"/>
    <w:rsid w:val="00A76FC9"/>
    <w:rsid w:val="00A800A4"/>
    <w:rsid w:val="00A81C5C"/>
    <w:rsid w:val="00A8694E"/>
    <w:rsid w:val="00A97998"/>
    <w:rsid w:val="00AA0B3C"/>
    <w:rsid w:val="00AA26A9"/>
    <w:rsid w:val="00AA6627"/>
    <w:rsid w:val="00AC4F89"/>
    <w:rsid w:val="00AD2542"/>
    <w:rsid w:val="00AD3E2A"/>
    <w:rsid w:val="00AD3F2C"/>
    <w:rsid w:val="00AD5798"/>
    <w:rsid w:val="00AD5D7A"/>
    <w:rsid w:val="00AE1E38"/>
    <w:rsid w:val="00AE4D36"/>
    <w:rsid w:val="00AE7653"/>
    <w:rsid w:val="00B0171D"/>
    <w:rsid w:val="00B068C6"/>
    <w:rsid w:val="00B06D54"/>
    <w:rsid w:val="00B11BE8"/>
    <w:rsid w:val="00B125EB"/>
    <w:rsid w:val="00B172E8"/>
    <w:rsid w:val="00B22CF7"/>
    <w:rsid w:val="00B308C2"/>
    <w:rsid w:val="00B44F3A"/>
    <w:rsid w:val="00B561AE"/>
    <w:rsid w:val="00B676BB"/>
    <w:rsid w:val="00B7066E"/>
    <w:rsid w:val="00B73A62"/>
    <w:rsid w:val="00B81AA8"/>
    <w:rsid w:val="00B825A0"/>
    <w:rsid w:val="00B8265E"/>
    <w:rsid w:val="00B82C7E"/>
    <w:rsid w:val="00B9623A"/>
    <w:rsid w:val="00BA0979"/>
    <w:rsid w:val="00BA1928"/>
    <w:rsid w:val="00BA516C"/>
    <w:rsid w:val="00BA7C73"/>
    <w:rsid w:val="00BB226A"/>
    <w:rsid w:val="00BB798A"/>
    <w:rsid w:val="00BC3956"/>
    <w:rsid w:val="00BD1397"/>
    <w:rsid w:val="00BD14D8"/>
    <w:rsid w:val="00BD56B3"/>
    <w:rsid w:val="00BD5DF2"/>
    <w:rsid w:val="00BF1F9D"/>
    <w:rsid w:val="00C021B9"/>
    <w:rsid w:val="00C04B62"/>
    <w:rsid w:val="00C05395"/>
    <w:rsid w:val="00C11517"/>
    <w:rsid w:val="00C1525D"/>
    <w:rsid w:val="00C177A3"/>
    <w:rsid w:val="00C270E3"/>
    <w:rsid w:val="00C2724E"/>
    <w:rsid w:val="00C37FC9"/>
    <w:rsid w:val="00C42D3E"/>
    <w:rsid w:val="00C46C0A"/>
    <w:rsid w:val="00C511CD"/>
    <w:rsid w:val="00C51B84"/>
    <w:rsid w:val="00C57EDB"/>
    <w:rsid w:val="00C60A77"/>
    <w:rsid w:val="00C7689B"/>
    <w:rsid w:val="00C86444"/>
    <w:rsid w:val="00C873E6"/>
    <w:rsid w:val="00C88FE6"/>
    <w:rsid w:val="00C92DAF"/>
    <w:rsid w:val="00C94CDB"/>
    <w:rsid w:val="00CA60CB"/>
    <w:rsid w:val="00CB4A3C"/>
    <w:rsid w:val="00CB5FB4"/>
    <w:rsid w:val="00CC3810"/>
    <w:rsid w:val="00CC4A95"/>
    <w:rsid w:val="00CC6489"/>
    <w:rsid w:val="00CC6BCC"/>
    <w:rsid w:val="00CD12EA"/>
    <w:rsid w:val="00CD210F"/>
    <w:rsid w:val="00CD64D9"/>
    <w:rsid w:val="00D01A77"/>
    <w:rsid w:val="00D059CD"/>
    <w:rsid w:val="00D05ADB"/>
    <w:rsid w:val="00D12269"/>
    <w:rsid w:val="00D140CC"/>
    <w:rsid w:val="00D149A4"/>
    <w:rsid w:val="00D17136"/>
    <w:rsid w:val="00D305FE"/>
    <w:rsid w:val="00D40E61"/>
    <w:rsid w:val="00D504CE"/>
    <w:rsid w:val="00D53992"/>
    <w:rsid w:val="00D64329"/>
    <w:rsid w:val="00D643B3"/>
    <w:rsid w:val="00D70A64"/>
    <w:rsid w:val="00D80F13"/>
    <w:rsid w:val="00D851EA"/>
    <w:rsid w:val="00D8798B"/>
    <w:rsid w:val="00DA0446"/>
    <w:rsid w:val="00DB0CA0"/>
    <w:rsid w:val="00DB2FA6"/>
    <w:rsid w:val="00DC0E28"/>
    <w:rsid w:val="00DD36B6"/>
    <w:rsid w:val="00DE309B"/>
    <w:rsid w:val="00DE6C7E"/>
    <w:rsid w:val="00DF08E1"/>
    <w:rsid w:val="00E031A6"/>
    <w:rsid w:val="00E055A1"/>
    <w:rsid w:val="00E06FDE"/>
    <w:rsid w:val="00E07783"/>
    <w:rsid w:val="00E12E5D"/>
    <w:rsid w:val="00E13925"/>
    <w:rsid w:val="00E14F77"/>
    <w:rsid w:val="00E16BEA"/>
    <w:rsid w:val="00E21C1E"/>
    <w:rsid w:val="00E276E2"/>
    <w:rsid w:val="00E338CF"/>
    <w:rsid w:val="00E33C92"/>
    <w:rsid w:val="00E51A4A"/>
    <w:rsid w:val="00E56450"/>
    <w:rsid w:val="00E65EC4"/>
    <w:rsid w:val="00E7359F"/>
    <w:rsid w:val="00E75614"/>
    <w:rsid w:val="00E957EB"/>
    <w:rsid w:val="00EB3A85"/>
    <w:rsid w:val="00EC1599"/>
    <w:rsid w:val="00EC3141"/>
    <w:rsid w:val="00ED0965"/>
    <w:rsid w:val="00ED23C8"/>
    <w:rsid w:val="00ED5B0C"/>
    <w:rsid w:val="00ED6830"/>
    <w:rsid w:val="00EE44C1"/>
    <w:rsid w:val="00EE5A0F"/>
    <w:rsid w:val="00EE5E9E"/>
    <w:rsid w:val="00F03830"/>
    <w:rsid w:val="00F038EF"/>
    <w:rsid w:val="00F11E23"/>
    <w:rsid w:val="00F17CBE"/>
    <w:rsid w:val="00F25A55"/>
    <w:rsid w:val="00F3226A"/>
    <w:rsid w:val="00F37127"/>
    <w:rsid w:val="00F562D7"/>
    <w:rsid w:val="00F57BA3"/>
    <w:rsid w:val="00F607F8"/>
    <w:rsid w:val="00F6233A"/>
    <w:rsid w:val="00F65318"/>
    <w:rsid w:val="00F6796E"/>
    <w:rsid w:val="00F712E2"/>
    <w:rsid w:val="00F75B32"/>
    <w:rsid w:val="00F8136E"/>
    <w:rsid w:val="00F94BAC"/>
    <w:rsid w:val="00F967EB"/>
    <w:rsid w:val="00F97230"/>
    <w:rsid w:val="00FB05E3"/>
    <w:rsid w:val="00FB61BC"/>
    <w:rsid w:val="00FB6E17"/>
    <w:rsid w:val="00FB7211"/>
    <w:rsid w:val="00FC1BD5"/>
    <w:rsid w:val="00FC7708"/>
    <w:rsid w:val="00FD141A"/>
    <w:rsid w:val="00FD2C8F"/>
    <w:rsid w:val="00FD6297"/>
    <w:rsid w:val="00FDE9DC"/>
    <w:rsid w:val="00FE2E8B"/>
    <w:rsid w:val="00FF390B"/>
    <w:rsid w:val="01141CE1"/>
    <w:rsid w:val="011EAE20"/>
    <w:rsid w:val="015945A6"/>
    <w:rsid w:val="0162D19E"/>
    <w:rsid w:val="016A92E7"/>
    <w:rsid w:val="017A33EF"/>
    <w:rsid w:val="01AAAB94"/>
    <w:rsid w:val="01B6E984"/>
    <w:rsid w:val="02101FF3"/>
    <w:rsid w:val="0214E8E7"/>
    <w:rsid w:val="02246921"/>
    <w:rsid w:val="0230378F"/>
    <w:rsid w:val="02317244"/>
    <w:rsid w:val="0235D975"/>
    <w:rsid w:val="023D3FF7"/>
    <w:rsid w:val="0248D439"/>
    <w:rsid w:val="0254DED6"/>
    <w:rsid w:val="0279AC72"/>
    <w:rsid w:val="02A35FC9"/>
    <w:rsid w:val="02A4FA4C"/>
    <w:rsid w:val="02B5E1D2"/>
    <w:rsid w:val="02E5D469"/>
    <w:rsid w:val="02E7935B"/>
    <w:rsid w:val="031F5240"/>
    <w:rsid w:val="033147F3"/>
    <w:rsid w:val="03351613"/>
    <w:rsid w:val="03502A2F"/>
    <w:rsid w:val="03610FB0"/>
    <w:rsid w:val="0394C12C"/>
    <w:rsid w:val="03957453"/>
    <w:rsid w:val="03A99274"/>
    <w:rsid w:val="040B27AD"/>
    <w:rsid w:val="04101F98"/>
    <w:rsid w:val="04124C69"/>
    <w:rsid w:val="041A055C"/>
    <w:rsid w:val="0463732C"/>
    <w:rsid w:val="04883426"/>
    <w:rsid w:val="04F3666A"/>
    <w:rsid w:val="052AB98E"/>
    <w:rsid w:val="053AE694"/>
    <w:rsid w:val="05479FF2"/>
    <w:rsid w:val="05615851"/>
    <w:rsid w:val="059E853A"/>
    <w:rsid w:val="05A9BA95"/>
    <w:rsid w:val="05B77783"/>
    <w:rsid w:val="05C2BA76"/>
    <w:rsid w:val="05EBBBE9"/>
    <w:rsid w:val="06119729"/>
    <w:rsid w:val="0617E436"/>
    <w:rsid w:val="06482322"/>
    <w:rsid w:val="06A9EB8E"/>
    <w:rsid w:val="07350817"/>
    <w:rsid w:val="073846D6"/>
    <w:rsid w:val="073FF79F"/>
    <w:rsid w:val="0759556C"/>
    <w:rsid w:val="07820BCE"/>
    <w:rsid w:val="078F8642"/>
    <w:rsid w:val="079D6A2C"/>
    <w:rsid w:val="07A809BA"/>
    <w:rsid w:val="07C3CCA8"/>
    <w:rsid w:val="07F852C6"/>
    <w:rsid w:val="082A6FB4"/>
    <w:rsid w:val="084A7B01"/>
    <w:rsid w:val="0875BAA7"/>
    <w:rsid w:val="088D218C"/>
    <w:rsid w:val="089D98F4"/>
    <w:rsid w:val="08A3EC09"/>
    <w:rsid w:val="08BA72A2"/>
    <w:rsid w:val="08DDADDD"/>
    <w:rsid w:val="090B9B3B"/>
    <w:rsid w:val="0921EED6"/>
    <w:rsid w:val="09299067"/>
    <w:rsid w:val="0963AA47"/>
    <w:rsid w:val="097D2678"/>
    <w:rsid w:val="098A32CB"/>
    <w:rsid w:val="09C4DF4F"/>
    <w:rsid w:val="09EAA786"/>
    <w:rsid w:val="0A2EE63A"/>
    <w:rsid w:val="0A35D7A1"/>
    <w:rsid w:val="0A505840"/>
    <w:rsid w:val="0A977B4C"/>
    <w:rsid w:val="0AB1B098"/>
    <w:rsid w:val="0B4DA7E3"/>
    <w:rsid w:val="0B7E05F2"/>
    <w:rsid w:val="0BD539B6"/>
    <w:rsid w:val="0BEF1F07"/>
    <w:rsid w:val="0C023159"/>
    <w:rsid w:val="0C2C3A7E"/>
    <w:rsid w:val="0C35FEE0"/>
    <w:rsid w:val="0C517D4B"/>
    <w:rsid w:val="0C6AF841"/>
    <w:rsid w:val="0C8731A1"/>
    <w:rsid w:val="0C8B2F72"/>
    <w:rsid w:val="0C9965E6"/>
    <w:rsid w:val="0CA6B2F2"/>
    <w:rsid w:val="0CCE1636"/>
    <w:rsid w:val="0D1A7BFA"/>
    <w:rsid w:val="0D48C17B"/>
    <w:rsid w:val="0D80B610"/>
    <w:rsid w:val="0D8CC6E3"/>
    <w:rsid w:val="0DA050A5"/>
    <w:rsid w:val="0DB11F00"/>
    <w:rsid w:val="0DB76685"/>
    <w:rsid w:val="0DBDF24A"/>
    <w:rsid w:val="0E014B38"/>
    <w:rsid w:val="0E31FB05"/>
    <w:rsid w:val="0E4D85F9"/>
    <w:rsid w:val="0EACABFC"/>
    <w:rsid w:val="0EACF1A2"/>
    <w:rsid w:val="0EB76427"/>
    <w:rsid w:val="0F1EACF9"/>
    <w:rsid w:val="0F21252F"/>
    <w:rsid w:val="0F4B3FC3"/>
    <w:rsid w:val="0F543EDB"/>
    <w:rsid w:val="0F548699"/>
    <w:rsid w:val="0F5AADB7"/>
    <w:rsid w:val="0F61A4E1"/>
    <w:rsid w:val="0F7686D6"/>
    <w:rsid w:val="0FDF2B1D"/>
    <w:rsid w:val="101E844B"/>
    <w:rsid w:val="102E4FDB"/>
    <w:rsid w:val="10661A01"/>
    <w:rsid w:val="106B0456"/>
    <w:rsid w:val="108FE23F"/>
    <w:rsid w:val="10E02A50"/>
    <w:rsid w:val="111F031C"/>
    <w:rsid w:val="1125213F"/>
    <w:rsid w:val="113366BE"/>
    <w:rsid w:val="11482E25"/>
    <w:rsid w:val="116342F8"/>
    <w:rsid w:val="117AFB7E"/>
    <w:rsid w:val="1184DDBF"/>
    <w:rsid w:val="118F65D6"/>
    <w:rsid w:val="119EBE57"/>
    <w:rsid w:val="11ABCB49"/>
    <w:rsid w:val="11B1B484"/>
    <w:rsid w:val="11DF42F0"/>
    <w:rsid w:val="11EA86B1"/>
    <w:rsid w:val="121F9F8A"/>
    <w:rsid w:val="122567DB"/>
    <w:rsid w:val="1290589C"/>
    <w:rsid w:val="129A6DD5"/>
    <w:rsid w:val="12C4B003"/>
    <w:rsid w:val="12E3FE86"/>
    <w:rsid w:val="12E49D3D"/>
    <w:rsid w:val="13083461"/>
    <w:rsid w:val="130DC30C"/>
    <w:rsid w:val="1320FF2F"/>
    <w:rsid w:val="1321FDD3"/>
    <w:rsid w:val="133BAB55"/>
    <w:rsid w:val="13486F90"/>
    <w:rsid w:val="13A8FDCF"/>
    <w:rsid w:val="13B4EA00"/>
    <w:rsid w:val="13B56469"/>
    <w:rsid w:val="13F57AB1"/>
    <w:rsid w:val="141EB0E6"/>
    <w:rsid w:val="1427E868"/>
    <w:rsid w:val="145BF7B8"/>
    <w:rsid w:val="14A2A301"/>
    <w:rsid w:val="14E04844"/>
    <w:rsid w:val="150FD5AC"/>
    <w:rsid w:val="151C3326"/>
    <w:rsid w:val="151E29A2"/>
    <w:rsid w:val="1558EB18"/>
    <w:rsid w:val="155D089D"/>
    <w:rsid w:val="15709CC2"/>
    <w:rsid w:val="15A7F8CD"/>
    <w:rsid w:val="15C5095E"/>
    <w:rsid w:val="15D13E33"/>
    <w:rsid w:val="15E098F5"/>
    <w:rsid w:val="15F8F7AF"/>
    <w:rsid w:val="15FA46BC"/>
    <w:rsid w:val="16460D54"/>
    <w:rsid w:val="169E1AF5"/>
    <w:rsid w:val="16ABA60D"/>
    <w:rsid w:val="16EC8AC2"/>
    <w:rsid w:val="1709B36C"/>
    <w:rsid w:val="173CF775"/>
    <w:rsid w:val="17838C93"/>
    <w:rsid w:val="1788ABFF"/>
    <w:rsid w:val="178A1072"/>
    <w:rsid w:val="179ADC7A"/>
    <w:rsid w:val="17BA6FD9"/>
    <w:rsid w:val="17C62AF0"/>
    <w:rsid w:val="17C99D70"/>
    <w:rsid w:val="17CBAAB0"/>
    <w:rsid w:val="17FF4ECC"/>
    <w:rsid w:val="180F841E"/>
    <w:rsid w:val="1824CA58"/>
    <w:rsid w:val="182E2C53"/>
    <w:rsid w:val="183669D6"/>
    <w:rsid w:val="1882633F"/>
    <w:rsid w:val="188DF8A4"/>
    <w:rsid w:val="190560C6"/>
    <w:rsid w:val="19120E7F"/>
    <w:rsid w:val="1922225E"/>
    <w:rsid w:val="1925E0D3"/>
    <w:rsid w:val="192E1C8D"/>
    <w:rsid w:val="19334BDB"/>
    <w:rsid w:val="1933F187"/>
    <w:rsid w:val="1951CD76"/>
    <w:rsid w:val="19713D79"/>
    <w:rsid w:val="19A38818"/>
    <w:rsid w:val="19B1C342"/>
    <w:rsid w:val="19D24730"/>
    <w:rsid w:val="19D54669"/>
    <w:rsid w:val="19EADC2F"/>
    <w:rsid w:val="1A040F24"/>
    <w:rsid w:val="1A242B84"/>
    <w:rsid w:val="1A4E62E8"/>
    <w:rsid w:val="1A6D3116"/>
    <w:rsid w:val="1A7400BF"/>
    <w:rsid w:val="1A8CEED5"/>
    <w:rsid w:val="1AB6998B"/>
    <w:rsid w:val="1ABB923F"/>
    <w:rsid w:val="1AC18CE4"/>
    <w:rsid w:val="1AC92EF0"/>
    <w:rsid w:val="1B385CB2"/>
    <w:rsid w:val="1B40759E"/>
    <w:rsid w:val="1B5FDF8A"/>
    <w:rsid w:val="1B88BC5C"/>
    <w:rsid w:val="1B8A5D0F"/>
    <w:rsid w:val="1B92C7FB"/>
    <w:rsid w:val="1B9E6CB1"/>
    <w:rsid w:val="1BB8706A"/>
    <w:rsid w:val="1BB897A8"/>
    <w:rsid w:val="1BC3C18C"/>
    <w:rsid w:val="1BF80C46"/>
    <w:rsid w:val="1BFD3488"/>
    <w:rsid w:val="1C171520"/>
    <w:rsid w:val="1C7E38C1"/>
    <w:rsid w:val="1C8192C0"/>
    <w:rsid w:val="1C84F7AE"/>
    <w:rsid w:val="1D070327"/>
    <w:rsid w:val="1D2538FD"/>
    <w:rsid w:val="1D7AA175"/>
    <w:rsid w:val="1DAC01B2"/>
    <w:rsid w:val="1DE0DA97"/>
    <w:rsid w:val="1E092F18"/>
    <w:rsid w:val="1E0EAA84"/>
    <w:rsid w:val="1E2F6EBF"/>
    <w:rsid w:val="1EC4C4CE"/>
    <w:rsid w:val="1EE1FD83"/>
    <w:rsid w:val="1F319694"/>
    <w:rsid w:val="1F3B2F39"/>
    <w:rsid w:val="1F78BA2E"/>
    <w:rsid w:val="1F7D5CE2"/>
    <w:rsid w:val="1F8F0362"/>
    <w:rsid w:val="1FBA0DC1"/>
    <w:rsid w:val="1FBB69C8"/>
    <w:rsid w:val="1FCAABC2"/>
    <w:rsid w:val="1FDF942C"/>
    <w:rsid w:val="1FFD92F9"/>
    <w:rsid w:val="20081E64"/>
    <w:rsid w:val="200F6FE0"/>
    <w:rsid w:val="20953E43"/>
    <w:rsid w:val="209E0770"/>
    <w:rsid w:val="20B5DF1F"/>
    <w:rsid w:val="20D04104"/>
    <w:rsid w:val="20DD588E"/>
    <w:rsid w:val="20E277FA"/>
    <w:rsid w:val="211BD624"/>
    <w:rsid w:val="213F036C"/>
    <w:rsid w:val="215E1B44"/>
    <w:rsid w:val="2168C7F5"/>
    <w:rsid w:val="2201FAD3"/>
    <w:rsid w:val="220701AD"/>
    <w:rsid w:val="2262218E"/>
    <w:rsid w:val="2268DF9F"/>
    <w:rsid w:val="22A27F19"/>
    <w:rsid w:val="22A7BA08"/>
    <w:rsid w:val="22BDEDAC"/>
    <w:rsid w:val="22DDF3C8"/>
    <w:rsid w:val="22F46D6E"/>
    <w:rsid w:val="2367A244"/>
    <w:rsid w:val="2372B78D"/>
    <w:rsid w:val="23769F18"/>
    <w:rsid w:val="239019CB"/>
    <w:rsid w:val="2392AFE2"/>
    <w:rsid w:val="23C61205"/>
    <w:rsid w:val="23E9F5CE"/>
    <w:rsid w:val="23ED0A27"/>
    <w:rsid w:val="242C7C08"/>
    <w:rsid w:val="24C158C2"/>
    <w:rsid w:val="24D421D2"/>
    <w:rsid w:val="24EA04DF"/>
    <w:rsid w:val="24FCC19B"/>
    <w:rsid w:val="251CA6F3"/>
    <w:rsid w:val="25282B86"/>
    <w:rsid w:val="25646BA1"/>
    <w:rsid w:val="25B96BF8"/>
    <w:rsid w:val="25C486C2"/>
    <w:rsid w:val="25D208C3"/>
    <w:rsid w:val="25EDFB53"/>
    <w:rsid w:val="25FE3390"/>
    <w:rsid w:val="2619BC69"/>
    <w:rsid w:val="263CE29E"/>
    <w:rsid w:val="2647D0DB"/>
    <w:rsid w:val="2653D459"/>
    <w:rsid w:val="265AA11E"/>
    <w:rsid w:val="265B99A6"/>
    <w:rsid w:val="2676F7AA"/>
    <w:rsid w:val="26866CB8"/>
    <w:rsid w:val="269DB84F"/>
    <w:rsid w:val="26A8353C"/>
    <w:rsid w:val="26E54A1B"/>
    <w:rsid w:val="272BBDD7"/>
    <w:rsid w:val="27533396"/>
    <w:rsid w:val="27542102"/>
    <w:rsid w:val="27860D0E"/>
    <w:rsid w:val="27950BC3"/>
    <w:rsid w:val="27B88EA3"/>
    <w:rsid w:val="27CFFC2B"/>
    <w:rsid w:val="27E2E6A3"/>
    <w:rsid w:val="27F40BEE"/>
    <w:rsid w:val="2808E32E"/>
    <w:rsid w:val="28105217"/>
    <w:rsid w:val="283533BE"/>
    <w:rsid w:val="283DB342"/>
    <w:rsid w:val="2857FCA6"/>
    <w:rsid w:val="285C030A"/>
    <w:rsid w:val="285D1B73"/>
    <w:rsid w:val="2869F992"/>
    <w:rsid w:val="288CFC9B"/>
    <w:rsid w:val="28B36E58"/>
    <w:rsid w:val="28C32B3D"/>
    <w:rsid w:val="28CC0655"/>
    <w:rsid w:val="28E505DC"/>
    <w:rsid w:val="2900C887"/>
    <w:rsid w:val="291A764E"/>
    <w:rsid w:val="298567BF"/>
    <w:rsid w:val="2991B568"/>
    <w:rsid w:val="29C8AADA"/>
    <w:rsid w:val="29F05880"/>
    <w:rsid w:val="29F1FB68"/>
    <w:rsid w:val="2A04FC08"/>
    <w:rsid w:val="2A4B014C"/>
    <w:rsid w:val="2A828FA0"/>
    <w:rsid w:val="2AA0578E"/>
    <w:rsid w:val="2AD75D25"/>
    <w:rsid w:val="2B17115C"/>
    <w:rsid w:val="2B309A46"/>
    <w:rsid w:val="2B645A78"/>
    <w:rsid w:val="2B6C3C6B"/>
    <w:rsid w:val="2B6EE1F0"/>
    <w:rsid w:val="2B70FB4D"/>
    <w:rsid w:val="2B7427CD"/>
    <w:rsid w:val="2B87E84C"/>
    <w:rsid w:val="2B8938E1"/>
    <w:rsid w:val="2BF8C07D"/>
    <w:rsid w:val="2C03A717"/>
    <w:rsid w:val="2C4D8C9F"/>
    <w:rsid w:val="2C850C76"/>
    <w:rsid w:val="2C8A4590"/>
    <w:rsid w:val="2CB2C72F"/>
    <w:rsid w:val="2CB6DDCC"/>
    <w:rsid w:val="2CBD0881"/>
    <w:rsid w:val="2CC5E2FC"/>
    <w:rsid w:val="2D130284"/>
    <w:rsid w:val="2D18CCBF"/>
    <w:rsid w:val="2D250942"/>
    <w:rsid w:val="2D2C2DFE"/>
    <w:rsid w:val="2D2D1E60"/>
    <w:rsid w:val="2D41FA9A"/>
    <w:rsid w:val="2D7B9F2C"/>
    <w:rsid w:val="2D99ADE9"/>
    <w:rsid w:val="2D9CE725"/>
    <w:rsid w:val="2DC330A9"/>
    <w:rsid w:val="2DC44E86"/>
    <w:rsid w:val="2DC5F330"/>
    <w:rsid w:val="2DE2DB76"/>
    <w:rsid w:val="2DF88669"/>
    <w:rsid w:val="2E038BCA"/>
    <w:rsid w:val="2E1BFD5C"/>
    <w:rsid w:val="2E29BDB9"/>
    <w:rsid w:val="2E5741F7"/>
    <w:rsid w:val="2E683B08"/>
    <w:rsid w:val="2E7B1C0A"/>
    <w:rsid w:val="2E7FD9C7"/>
    <w:rsid w:val="2E8B4C48"/>
    <w:rsid w:val="2EBA4D9B"/>
    <w:rsid w:val="2EFE9B04"/>
    <w:rsid w:val="2F04BFB0"/>
    <w:rsid w:val="2F076429"/>
    <w:rsid w:val="2F7E5085"/>
    <w:rsid w:val="2FACCF90"/>
    <w:rsid w:val="305CAA04"/>
    <w:rsid w:val="306D2979"/>
    <w:rsid w:val="30D0B733"/>
    <w:rsid w:val="31100851"/>
    <w:rsid w:val="315B05AC"/>
    <w:rsid w:val="3186B36D"/>
    <w:rsid w:val="318E6129"/>
    <w:rsid w:val="31B8710C"/>
    <w:rsid w:val="31CE071C"/>
    <w:rsid w:val="31E4038A"/>
    <w:rsid w:val="31FAA531"/>
    <w:rsid w:val="3203AFB2"/>
    <w:rsid w:val="3206F272"/>
    <w:rsid w:val="3207E138"/>
    <w:rsid w:val="3208F9DA"/>
    <w:rsid w:val="3231837B"/>
    <w:rsid w:val="323F04EB"/>
    <w:rsid w:val="3262BDC4"/>
    <w:rsid w:val="32AD9F1A"/>
    <w:rsid w:val="32E84106"/>
    <w:rsid w:val="32FB1BCE"/>
    <w:rsid w:val="32FC162B"/>
    <w:rsid w:val="332EF6E7"/>
    <w:rsid w:val="3337F15C"/>
    <w:rsid w:val="333F14DC"/>
    <w:rsid w:val="335785C7"/>
    <w:rsid w:val="33A8733C"/>
    <w:rsid w:val="33BABD86"/>
    <w:rsid w:val="33DAD54C"/>
    <w:rsid w:val="33E42C82"/>
    <w:rsid w:val="33E6E49B"/>
    <w:rsid w:val="33ED4968"/>
    <w:rsid w:val="33EE14F9"/>
    <w:rsid w:val="33FB7DD4"/>
    <w:rsid w:val="3417D087"/>
    <w:rsid w:val="348DC49D"/>
    <w:rsid w:val="348F3275"/>
    <w:rsid w:val="348F6D25"/>
    <w:rsid w:val="34B98305"/>
    <w:rsid w:val="350716FA"/>
    <w:rsid w:val="35372C13"/>
    <w:rsid w:val="354FAA64"/>
    <w:rsid w:val="35506583"/>
    <w:rsid w:val="3567628E"/>
    <w:rsid w:val="35824A20"/>
    <w:rsid w:val="35958F43"/>
    <w:rsid w:val="35ADFEC6"/>
    <w:rsid w:val="35C527B2"/>
    <w:rsid w:val="35DEC586"/>
    <w:rsid w:val="35F69B76"/>
    <w:rsid w:val="35FE235A"/>
    <w:rsid w:val="36058ABE"/>
    <w:rsid w:val="362994FE"/>
    <w:rsid w:val="363CA092"/>
    <w:rsid w:val="3640BD64"/>
    <w:rsid w:val="3653CFB6"/>
    <w:rsid w:val="369564EE"/>
    <w:rsid w:val="36CB5493"/>
    <w:rsid w:val="36D9B856"/>
    <w:rsid w:val="3707BB26"/>
    <w:rsid w:val="37521A7D"/>
    <w:rsid w:val="37585E9F"/>
    <w:rsid w:val="37613520"/>
    <w:rsid w:val="376E21B7"/>
    <w:rsid w:val="37CC3505"/>
    <w:rsid w:val="37DAFE1E"/>
    <w:rsid w:val="3804F7C0"/>
    <w:rsid w:val="380965CB"/>
    <w:rsid w:val="38231EC6"/>
    <w:rsid w:val="38255F05"/>
    <w:rsid w:val="38293E6E"/>
    <w:rsid w:val="38314199"/>
    <w:rsid w:val="3851DFCC"/>
    <w:rsid w:val="3872431E"/>
    <w:rsid w:val="38AA5098"/>
    <w:rsid w:val="38E3D4A8"/>
    <w:rsid w:val="390C5E02"/>
    <w:rsid w:val="3932CFBF"/>
    <w:rsid w:val="394C5CC3"/>
    <w:rsid w:val="398DA61F"/>
    <w:rsid w:val="399DDDEC"/>
    <w:rsid w:val="39A5362C"/>
    <w:rsid w:val="39C6A266"/>
    <w:rsid w:val="39D58D51"/>
    <w:rsid w:val="39D65BB4"/>
    <w:rsid w:val="39F9CD81"/>
    <w:rsid w:val="3A3639F2"/>
    <w:rsid w:val="3A3E9D32"/>
    <w:rsid w:val="3A4C1A02"/>
    <w:rsid w:val="3A737715"/>
    <w:rsid w:val="3A839421"/>
    <w:rsid w:val="3A923F42"/>
    <w:rsid w:val="3A932A4E"/>
    <w:rsid w:val="3AC537E8"/>
    <w:rsid w:val="3AD676B2"/>
    <w:rsid w:val="3AD73631"/>
    <w:rsid w:val="3ADCBDF1"/>
    <w:rsid w:val="3AECD1BE"/>
    <w:rsid w:val="3AFAB525"/>
    <w:rsid w:val="3B12148B"/>
    <w:rsid w:val="3B5E5CCF"/>
    <w:rsid w:val="3B73AE99"/>
    <w:rsid w:val="3BA748F3"/>
    <w:rsid w:val="3BC600F6"/>
    <w:rsid w:val="3BEF1E73"/>
    <w:rsid w:val="3BFD7AB9"/>
    <w:rsid w:val="3C16ADAE"/>
    <w:rsid w:val="3C3C93C9"/>
    <w:rsid w:val="3C46F321"/>
    <w:rsid w:val="3C87DF92"/>
    <w:rsid w:val="3CF16907"/>
    <w:rsid w:val="3D24F4AF"/>
    <w:rsid w:val="3D481182"/>
    <w:rsid w:val="3D531428"/>
    <w:rsid w:val="3D663250"/>
    <w:rsid w:val="3D853CA9"/>
    <w:rsid w:val="3D99C903"/>
    <w:rsid w:val="3D99E292"/>
    <w:rsid w:val="3DC7B4F5"/>
    <w:rsid w:val="3DE76402"/>
    <w:rsid w:val="3E003516"/>
    <w:rsid w:val="3E1B44F7"/>
    <w:rsid w:val="3E25D303"/>
    <w:rsid w:val="3E338205"/>
    <w:rsid w:val="3E83BFC1"/>
    <w:rsid w:val="3E8788FF"/>
    <w:rsid w:val="3EA0831D"/>
    <w:rsid w:val="3EAAB7E3"/>
    <w:rsid w:val="3ED7E80F"/>
    <w:rsid w:val="3EF42B21"/>
    <w:rsid w:val="3EF51C77"/>
    <w:rsid w:val="3EFA47B9"/>
    <w:rsid w:val="3F0CD96E"/>
    <w:rsid w:val="3F1036DA"/>
    <w:rsid w:val="3F13F580"/>
    <w:rsid w:val="3F7051FB"/>
    <w:rsid w:val="3F74348B"/>
    <w:rsid w:val="3FAEF5FC"/>
    <w:rsid w:val="3FE2D56A"/>
    <w:rsid w:val="4006209D"/>
    <w:rsid w:val="4018A595"/>
    <w:rsid w:val="40687112"/>
    <w:rsid w:val="40966BAE"/>
    <w:rsid w:val="40A656D2"/>
    <w:rsid w:val="40C96E90"/>
    <w:rsid w:val="40F0AA96"/>
    <w:rsid w:val="41122425"/>
    <w:rsid w:val="41505864"/>
    <w:rsid w:val="4175FA55"/>
    <w:rsid w:val="418DCB89"/>
    <w:rsid w:val="419848C5"/>
    <w:rsid w:val="41E04DD3"/>
    <w:rsid w:val="421D7AE3"/>
    <w:rsid w:val="421E77FD"/>
    <w:rsid w:val="422CBD39"/>
    <w:rsid w:val="42390759"/>
    <w:rsid w:val="423C0058"/>
    <w:rsid w:val="42493EDD"/>
    <w:rsid w:val="426B8D4D"/>
    <w:rsid w:val="42798075"/>
    <w:rsid w:val="42BE48A4"/>
    <w:rsid w:val="42F05D81"/>
    <w:rsid w:val="43204D90"/>
    <w:rsid w:val="43467B77"/>
    <w:rsid w:val="4397C0A2"/>
    <w:rsid w:val="43A79AB3"/>
    <w:rsid w:val="43FC6AB8"/>
    <w:rsid w:val="441B33CE"/>
    <w:rsid w:val="44261045"/>
    <w:rsid w:val="44719865"/>
    <w:rsid w:val="4478F21F"/>
    <w:rsid w:val="447C520F"/>
    <w:rsid w:val="4491ED9C"/>
    <w:rsid w:val="44B1835A"/>
    <w:rsid w:val="44B1A1BE"/>
    <w:rsid w:val="44D5EEDE"/>
    <w:rsid w:val="44EF128B"/>
    <w:rsid w:val="44F88B85"/>
    <w:rsid w:val="45202700"/>
    <w:rsid w:val="452294FB"/>
    <w:rsid w:val="45509724"/>
    <w:rsid w:val="45642C68"/>
    <w:rsid w:val="457B4EC3"/>
    <w:rsid w:val="457E496E"/>
    <w:rsid w:val="458053BA"/>
    <w:rsid w:val="45AE7499"/>
    <w:rsid w:val="45B68D7A"/>
    <w:rsid w:val="45C44E8A"/>
    <w:rsid w:val="45C46F4D"/>
    <w:rsid w:val="45E78D86"/>
    <w:rsid w:val="4601AB87"/>
    <w:rsid w:val="463009CF"/>
    <w:rsid w:val="4633ED82"/>
    <w:rsid w:val="46364692"/>
    <w:rsid w:val="463EC6FE"/>
    <w:rsid w:val="4666CC52"/>
    <w:rsid w:val="46726CBC"/>
    <w:rsid w:val="46891AC2"/>
    <w:rsid w:val="46926CA5"/>
    <w:rsid w:val="46B9F7AD"/>
    <w:rsid w:val="46C6F4EF"/>
    <w:rsid w:val="46DCAAC4"/>
    <w:rsid w:val="46E22FD2"/>
    <w:rsid w:val="46E8AC43"/>
    <w:rsid w:val="46F67BAC"/>
    <w:rsid w:val="47047E42"/>
    <w:rsid w:val="4742259E"/>
    <w:rsid w:val="477E920F"/>
    <w:rsid w:val="47CE7598"/>
    <w:rsid w:val="47D09987"/>
    <w:rsid w:val="48060EF6"/>
    <w:rsid w:val="4814A1D3"/>
    <w:rsid w:val="482DA1F7"/>
    <w:rsid w:val="483D0553"/>
    <w:rsid w:val="484ED7A2"/>
    <w:rsid w:val="484F4E57"/>
    <w:rsid w:val="48BDD0DD"/>
    <w:rsid w:val="49003B6F"/>
    <w:rsid w:val="490E8AE9"/>
    <w:rsid w:val="491286F8"/>
    <w:rsid w:val="491870F0"/>
    <w:rsid w:val="49204953"/>
    <w:rsid w:val="4930D959"/>
    <w:rsid w:val="496A3B42"/>
    <w:rsid w:val="49AD7244"/>
    <w:rsid w:val="49C0E34B"/>
    <w:rsid w:val="49CCFE2D"/>
    <w:rsid w:val="49F8F0CE"/>
    <w:rsid w:val="4A2B8CFB"/>
    <w:rsid w:val="4A584CD1"/>
    <w:rsid w:val="4A5C7BB1"/>
    <w:rsid w:val="4A807E7B"/>
    <w:rsid w:val="4AB3DC67"/>
    <w:rsid w:val="4AC44D38"/>
    <w:rsid w:val="4AFC36F2"/>
    <w:rsid w:val="4B1348BE"/>
    <w:rsid w:val="4BAE1911"/>
    <w:rsid w:val="4BBB4CDB"/>
    <w:rsid w:val="4BE085B9"/>
    <w:rsid w:val="4C0FCECA"/>
    <w:rsid w:val="4C10CA66"/>
    <w:rsid w:val="4C3223B5"/>
    <w:rsid w:val="4C4A5A8B"/>
    <w:rsid w:val="4C53DC6F"/>
    <w:rsid w:val="4C6C8C55"/>
    <w:rsid w:val="4C973FC7"/>
    <w:rsid w:val="4CA40AAA"/>
    <w:rsid w:val="4CA57F6A"/>
    <w:rsid w:val="4CF22640"/>
    <w:rsid w:val="4CFEB7F7"/>
    <w:rsid w:val="4D1D9F13"/>
    <w:rsid w:val="4D5461C3"/>
    <w:rsid w:val="4D632DBD"/>
    <w:rsid w:val="4D775D66"/>
    <w:rsid w:val="4D986475"/>
    <w:rsid w:val="4D9E7FE7"/>
    <w:rsid w:val="4DBA2474"/>
    <w:rsid w:val="4DCD954E"/>
    <w:rsid w:val="4DE1B828"/>
    <w:rsid w:val="4DE7E5C1"/>
    <w:rsid w:val="4E057552"/>
    <w:rsid w:val="4E40DE49"/>
    <w:rsid w:val="4E477BA2"/>
    <w:rsid w:val="4E7275F2"/>
    <w:rsid w:val="4E97A769"/>
    <w:rsid w:val="4EAB17E7"/>
    <w:rsid w:val="4EB11931"/>
    <w:rsid w:val="4EB67B29"/>
    <w:rsid w:val="4ECEFD20"/>
    <w:rsid w:val="4EE14689"/>
    <w:rsid w:val="4F034961"/>
    <w:rsid w:val="4F11940C"/>
    <w:rsid w:val="4F161BEC"/>
    <w:rsid w:val="4F20776A"/>
    <w:rsid w:val="4F525057"/>
    <w:rsid w:val="4F6D4D68"/>
    <w:rsid w:val="4F7AEE4D"/>
    <w:rsid w:val="4FA145B3"/>
    <w:rsid w:val="4FDAFD69"/>
    <w:rsid w:val="4FDFB4B4"/>
    <w:rsid w:val="4FF1DFB7"/>
    <w:rsid w:val="4FF410C6"/>
    <w:rsid w:val="502396C1"/>
    <w:rsid w:val="5055D7EC"/>
    <w:rsid w:val="508ED394"/>
    <w:rsid w:val="5097A019"/>
    <w:rsid w:val="50B4FFAD"/>
    <w:rsid w:val="50BA1CBC"/>
    <w:rsid w:val="50DF6084"/>
    <w:rsid w:val="50EA0B7C"/>
    <w:rsid w:val="511D9B23"/>
    <w:rsid w:val="513D1614"/>
    <w:rsid w:val="514244E1"/>
    <w:rsid w:val="5158B164"/>
    <w:rsid w:val="515B5B7C"/>
    <w:rsid w:val="5162A13B"/>
    <w:rsid w:val="51674ECE"/>
    <w:rsid w:val="5197E05B"/>
    <w:rsid w:val="519A2B4D"/>
    <w:rsid w:val="51BBBF96"/>
    <w:rsid w:val="51BD22BE"/>
    <w:rsid w:val="51E055B8"/>
    <w:rsid w:val="5211F348"/>
    <w:rsid w:val="522F498A"/>
    <w:rsid w:val="52737630"/>
    <w:rsid w:val="52C6C1BE"/>
    <w:rsid w:val="52CC0104"/>
    <w:rsid w:val="52E699D4"/>
    <w:rsid w:val="52FE719C"/>
    <w:rsid w:val="530CA6A7"/>
    <w:rsid w:val="53260606"/>
    <w:rsid w:val="53405636"/>
    <w:rsid w:val="534DD5B6"/>
    <w:rsid w:val="536599F9"/>
    <w:rsid w:val="53962F26"/>
    <w:rsid w:val="53AA3996"/>
    <w:rsid w:val="53AE06EE"/>
    <w:rsid w:val="53C03438"/>
    <w:rsid w:val="53C70715"/>
    <w:rsid w:val="53CC160A"/>
    <w:rsid w:val="53CFD4B0"/>
    <w:rsid w:val="5416492C"/>
    <w:rsid w:val="54410D09"/>
    <w:rsid w:val="5448AEF5"/>
    <w:rsid w:val="544E1E75"/>
    <w:rsid w:val="547991BF"/>
    <w:rsid w:val="548473DC"/>
    <w:rsid w:val="549E5E73"/>
    <w:rsid w:val="54AE9293"/>
    <w:rsid w:val="54E07730"/>
    <w:rsid w:val="54E8FB33"/>
    <w:rsid w:val="554E17E4"/>
    <w:rsid w:val="55745E97"/>
    <w:rsid w:val="557C6DD4"/>
    <w:rsid w:val="5598F57C"/>
    <w:rsid w:val="55A08F61"/>
    <w:rsid w:val="560CCCAB"/>
    <w:rsid w:val="560FA284"/>
    <w:rsid w:val="56108737"/>
    <w:rsid w:val="5635B598"/>
    <w:rsid w:val="5655A303"/>
    <w:rsid w:val="56704870"/>
    <w:rsid w:val="56746C19"/>
    <w:rsid w:val="56B3E3B7"/>
    <w:rsid w:val="56FA8943"/>
    <w:rsid w:val="57174ECB"/>
    <w:rsid w:val="57298CF4"/>
    <w:rsid w:val="573C5FC2"/>
    <w:rsid w:val="57928ACA"/>
    <w:rsid w:val="57A4CEB9"/>
    <w:rsid w:val="57CACED6"/>
    <w:rsid w:val="57E6A38F"/>
    <w:rsid w:val="58468A0A"/>
    <w:rsid w:val="5855296E"/>
    <w:rsid w:val="5858CA75"/>
    <w:rsid w:val="58722B7F"/>
    <w:rsid w:val="587CF4D9"/>
    <w:rsid w:val="589C91D5"/>
    <w:rsid w:val="58A27B8A"/>
    <w:rsid w:val="58E21C22"/>
    <w:rsid w:val="58F97799"/>
    <w:rsid w:val="59173DB9"/>
    <w:rsid w:val="593B681D"/>
    <w:rsid w:val="59574380"/>
    <w:rsid w:val="595BCF62"/>
    <w:rsid w:val="59A12B97"/>
    <w:rsid w:val="59A5E5BD"/>
    <w:rsid w:val="59F9DB61"/>
    <w:rsid w:val="59FFEEDC"/>
    <w:rsid w:val="5A0961DE"/>
    <w:rsid w:val="5A0EACA5"/>
    <w:rsid w:val="5A2F7930"/>
    <w:rsid w:val="5A3CB811"/>
    <w:rsid w:val="5A5B9707"/>
    <w:rsid w:val="5A6F7A0F"/>
    <w:rsid w:val="5A737F93"/>
    <w:rsid w:val="5AD1358A"/>
    <w:rsid w:val="5AD1B370"/>
    <w:rsid w:val="5AF1111A"/>
    <w:rsid w:val="5B29580A"/>
    <w:rsid w:val="5B2A1045"/>
    <w:rsid w:val="5B431069"/>
    <w:rsid w:val="5B4D6CE2"/>
    <w:rsid w:val="5B7CBCB1"/>
    <w:rsid w:val="5B7E45F9"/>
    <w:rsid w:val="5B8CCA30"/>
    <w:rsid w:val="5B8F301A"/>
    <w:rsid w:val="5BA20B11"/>
    <w:rsid w:val="5BA3C302"/>
    <w:rsid w:val="5BB6A56A"/>
    <w:rsid w:val="5BDCAE03"/>
    <w:rsid w:val="5BE7FB86"/>
    <w:rsid w:val="5C0C448A"/>
    <w:rsid w:val="5C0EC682"/>
    <w:rsid w:val="5C201E25"/>
    <w:rsid w:val="5C24F675"/>
    <w:rsid w:val="5C4DE1BD"/>
    <w:rsid w:val="5C5A4529"/>
    <w:rsid w:val="5C5E7409"/>
    <w:rsid w:val="5C789F9D"/>
    <w:rsid w:val="5C7EBEA8"/>
    <w:rsid w:val="5C97FCAA"/>
    <w:rsid w:val="5C9E72CA"/>
    <w:rsid w:val="5CD7F05E"/>
    <w:rsid w:val="5CE4CE16"/>
    <w:rsid w:val="5CE9D852"/>
    <w:rsid w:val="5D18B86D"/>
    <w:rsid w:val="5D28C1D7"/>
    <w:rsid w:val="5D843327"/>
    <w:rsid w:val="5D884FF9"/>
    <w:rsid w:val="5D90E60A"/>
    <w:rsid w:val="5DAD0F9E"/>
    <w:rsid w:val="5DE12383"/>
    <w:rsid w:val="5DE985F0"/>
    <w:rsid w:val="5DF26C89"/>
    <w:rsid w:val="5E88341B"/>
    <w:rsid w:val="5EB585E8"/>
    <w:rsid w:val="5EBA5C58"/>
    <w:rsid w:val="5ECA00A6"/>
    <w:rsid w:val="5EDA95E4"/>
    <w:rsid w:val="5F25BA6C"/>
    <w:rsid w:val="5F73F92C"/>
    <w:rsid w:val="5F834810"/>
    <w:rsid w:val="5FB14ED1"/>
    <w:rsid w:val="60028011"/>
    <w:rsid w:val="604BA5E0"/>
    <w:rsid w:val="6073B5CC"/>
    <w:rsid w:val="60E67443"/>
    <w:rsid w:val="60F21FB7"/>
    <w:rsid w:val="61395AB5"/>
    <w:rsid w:val="61466A98"/>
    <w:rsid w:val="616F5437"/>
    <w:rsid w:val="6196CF09"/>
    <w:rsid w:val="61B42925"/>
    <w:rsid w:val="61EF8E27"/>
    <w:rsid w:val="61F52448"/>
    <w:rsid w:val="620F1CCD"/>
    <w:rsid w:val="620F4249"/>
    <w:rsid w:val="624298BF"/>
    <w:rsid w:val="624F2047"/>
    <w:rsid w:val="625B6F4A"/>
    <w:rsid w:val="62683A2D"/>
    <w:rsid w:val="6269B402"/>
    <w:rsid w:val="62764A3F"/>
    <w:rsid w:val="628D8B71"/>
    <w:rsid w:val="62A91EE2"/>
    <w:rsid w:val="62CE5E18"/>
    <w:rsid w:val="62E38A66"/>
    <w:rsid w:val="62E74053"/>
    <w:rsid w:val="62FB2353"/>
    <w:rsid w:val="630B2619"/>
    <w:rsid w:val="63283CF2"/>
    <w:rsid w:val="6349095D"/>
    <w:rsid w:val="635A1033"/>
    <w:rsid w:val="636857DD"/>
    <w:rsid w:val="63A38AC6"/>
    <w:rsid w:val="63B4BBEB"/>
    <w:rsid w:val="63D91E59"/>
    <w:rsid w:val="64316467"/>
    <w:rsid w:val="643D63C8"/>
    <w:rsid w:val="645AE822"/>
    <w:rsid w:val="648880DA"/>
    <w:rsid w:val="64B016EF"/>
    <w:rsid w:val="64C062FC"/>
    <w:rsid w:val="64C08878"/>
    <w:rsid w:val="64C2BD12"/>
    <w:rsid w:val="64DAE2E7"/>
    <w:rsid w:val="65156410"/>
    <w:rsid w:val="653EE6F3"/>
    <w:rsid w:val="655BEDDE"/>
    <w:rsid w:val="6584D015"/>
    <w:rsid w:val="65CD34C8"/>
    <w:rsid w:val="65DF5B8A"/>
    <w:rsid w:val="65E8A898"/>
    <w:rsid w:val="6601D0F5"/>
    <w:rsid w:val="662472F9"/>
    <w:rsid w:val="663BAE93"/>
    <w:rsid w:val="663ED644"/>
    <w:rsid w:val="66473723"/>
    <w:rsid w:val="664A8D08"/>
    <w:rsid w:val="664BC012"/>
    <w:rsid w:val="66521906"/>
    <w:rsid w:val="665D9261"/>
    <w:rsid w:val="665F4097"/>
    <w:rsid w:val="6676551C"/>
    <w:rsid w:val="66769C33"/>
    <w:rsid w:val="6683C03A"/>
    <w:rsid w:val="6684041E"/>
    <w:rsid w:val="6698917E"/>
    <w:rsid w:val="66AB6DE0"/>
    <w:rsid w:val="66B32750"/>
    <w:rsid w:val="66DA7A5A"/>
    <w:rsid w:val="66EA5839"/>
    <w:rsid w:val="66F5212B"/>
    <w:rsid w:val="66F581DA"/>
    <w:rsid w:val="67024789"/>
    <w:rsid w:val="670EF8F6"/>
    <w:rsid w:val="671344D6"/>
    <w:rsid w:val="6725AA46"/>
    <w:rsid w:val="6737B9D9"/>
    <w:rsid w:val="67431496"/>
    <w:rsid w:val="67540273"/>
    <w:rsid w:val="67690529"/>
    <w:rsid w:val="6777D14D"/>
    <w:rsid w:val="6778905F"/>
    <w:rsid w:val="677DED34"/>
    <w:rsid w:val="67C11323"/>
    <w:rsid w:val="67CF43D1"/>
    <w:rsid w:val="67DD7051"/>
    <w:rsid w:val="67F34222"/>
    <w:rsid w:val="680CD340"/>
    <w:rsid w:val="681CB725"/>
    <w:rsid w:val="6869F572"/>
    <w:rsid w:val="68BFCD29"/>
    <w:rsid w:val="68D82BDC"/>
    <w:rsid w:val="68DE4783"/>
    <w:rsid w:val="6908A381"/>
    <w:rsid w:val="69168554"/>
    <w:rsid w:val="691F800C"/>
    <w:rsid w:val="6932872A"/>
    <w:rsid w:val="693B6545"/>
    <w:rsid w:val="693DD26D"/>
    <w:rsid w:val="6953C18E"/>
    <w:rsid w:val="69C90A0F"/>
    <w:rsid w:val="69D5A123"/>
    <w:rsid w:val="6A43FF27"/>
    <w:rsid w:val="6A526CDF"/>
    <w:rsid w:val="6A834995"/>
    <w:rsid w:val="6A8C59B2"/>
    <w:rsid w:val="6A9D4121"/>
    <w:rsid w:val="6AA60779"/>
    <w:rsid w:val="6AC8CC9E"/>
    <w:rsid w:val="6AC9EEDD"/>
    <w:rsid w:val="6ACE578B"/>
    <w:rsid w:val="6AF62F0A"/>
    <w:rsid w:val="6B04D5CE"/>
    <w:rsid w:val="6B5A4422"/>
    <w:rsid w:val="6BF02A4A"/>
    <w:rsid w:val="6BFAEBA1"/>
    <w:rsid w:val="6BFDDE05"/>
    <w:rsid w:val="6C546B65"/>
    <w:rsid w:val="6C605D0C"/>
    <w:rsid w:val="6C88C025"/>
    <w:rsid w:val="6CAB27C8"/>
    <w:rsid w:val="6CCC6E43"/>
    <w:rsid w:val="6CDDD570"/>
    <w:rsid w:val="6CE830EE"/>
    <w:rsid w:val="6CEA6B27"/>
    <w:rsid w:val="6CFF884B"/>
    <w:rsid w:val="6D0A7147"/>
    <w:rsid w:val="6D439B4F"/>
    <w:rsid w:val="6D7AC48D"/>
    <w:rsid w:val="6DEA2A4B"/>
    <w:rsid w:val="6DF3BF0F"/>
    <w:rsid w:val="6E1958F1"/>
    <w:rsid w:val="6E4B589C"/>
    <w:rsid w:val="6E553E60"/>
    <w:rsid w:val="6E59B541"/>
    <w:rsid w:val="6E622319"/>
    <w:rsid w:val="6E64A1BC"/>
    <w:rsid w:val="6E7088EA"/>
    <w:rsid w:val="6E859582"/>
    <w:rsid w:val="6EC64376"/>
    <w:rsid w:val="6F113265"/>
    <w:rsid w:val="6F401120"/>
    <w:rsid w:val="6F41DFD8"/>
    <w:rsid w:val="6F857344"/>
    <w:rsid w:val="6FA689EE"/>
    <w:rsid w:val="6FB67FD5"/>
    <w:rsid w:val="6FBEC28B"/>
    <w:rsid w:val="6FCFE7CB"/>
    <w:rsid w:val="6FD846F1"/>
    <w:rsid w:val="6FF5FFA7"/>
    <w:rsid w:val="7009699D"/>
    <w:rsid w:val="7038468E"/>
    <w:rsid w:val="70638F17"/>
    <w:rsid w:val="706CD6E8"/>
    <w:rsid w:val="707212FA"/>
    <w:rsid w:val="70962776"/>
    <w:rsid w:val="709B2DCB"/>
    <w:rsid w:val="70CC9ADE"/>
    <w:rsid w:val="70DC4261"/>
    <w:rsid w:val="70F99860"/>
    <w:rsid w:val="7112BF25"/>
    <w:rsid w:val="712899B3"/>
    <w:rsid w:val="712B4A2C"/>
    <w:rsid w:val="712B5FD1"/>
    <w:rsid w:val="71374A6B"/>
    <w:rsid w:val="717F2F0B"/>
    <w:rsid w:val="719691D2"/>
    <w:rsid w:val="71A1B709"/>
    <w:rsid w:val="71F68166"/>
    <w:rsid w:val="723D65FB"/>
    <w:rsid w:val="724BB0E8"/>
    <w:rsid w:val="7251AB9D"/>
    <w:rsid w:val="72673C4F"/>
    <w:rsid w:val="726831F3"/>
    <w:rsid w:val="728EA3B0"/>
    <w:rsid w:val="72B57A14"/>
    <w:rsid w:val="72D93206"/>
    <w:rsid w:val="72EDF0F1"/>
    <w:rsid w:val="7322493E"/>
    <w:rsid w:val="73B646A3"/>
    <w:rsid w:val="73BFB3F0"/>
    <w:rsid w:val="73ECE4E2"/>
    <w:rsid w:val="7431768B"/>
    <w:rsid w:val="744208D7"/>
    <w:rsid w:val="7485068D"/>
    <w:rsid w:val="748DBD61"/>
    <w:rsid w:val="74A1C2D2"/>
    <w:rsid w:val="74A63BB2"/>
    <w:rsid w:val="74BFA3A2"/>
    <w:rsid w:val="74D458B7"/>
    <w:rsid w:val="74E453CE"/>
    <w:rsid w:val="753835A8"/>
    <w:rsid w:val="75492FC7"/>
    <w:rsid w:val="758453AB"/>
    <w:rsid w:val="75BA7C15"/>
    <w:rsid w:val="75D1063C"/>
    <w:rsid w:val="7620F482"/>
    <w:rsid w:val="76613A56"/>
    <w:rsid w:val="767E465A"/>
    <w:rsid w:val="76D71B85"/>
    <w:rsid w:val="76DEF73D"/>
    <w:rsid w:val="76F77E6E"/>
    <w:rsid w:val="773F0390"/>
    <w:rsid w:val="7748BD01"/>
    <w:rsid w:val="77816353"/>
    <w:rsid w:val="77B0A189"/>
    <w:rsid w:val="77C03B37"/>
    <w:rsid w:val="77C0A9D9"/>
    <w:rsid w:val="77C4C6AB"/>
    <w:rsid w:val="77ECAAF9"/>
    <w:rsid w:val="77F0A292"/>
    <w:rsid w:val="77F28E76"/>
    <w:rsid w:val="7842AEF0"/>
    <w:rsid w:val="78B30073"/>
    <w:rsid w:val="78DC64A4"/>
    <w:rsid w:val="78EEFEAD"/>
    <w:rsid w:val="790B6165"/>
    <w:rsid w:val="79313D4B"/>
    <w:rsid w:val="795F8101"/>
    <w:rsid w:val="79616155"/>
    <w:rsid w:val="799165F8"/>
    <w:rsid w:val="7996F4E8"/>
    <w:rsid w:val="79D322F5"/>
    <w:rsid w:val="79F2D717"/>
    <w:rsid w:val="7A2CBFCD"/>
    <w:rsid w:val="7A3C6DE7"/>
    <w:rsid w:val="7A5E7199"/>
    <w:rsid w:val="7A700AB7"/>
    <w:rsid w:val="7A805DC3"/>
    <w:rsid w:val="7AB9D4D9"/>
    <w:rsid w:val="7B0EE342"/>
    <w:rsid w:val="7B0FE44A"/>
    <w:rsid w:val="7B1E24E0"/>
    <w:rsid w:val="7B42CD16"/>
    <w:rsid w:val="7B4DB35D"/>
    <w:rsid w:val="7B54F44D"/>
    <w:rsid w:val="7B90418A"/>
    <w:rsid w:val="7B95A8F7"/>
    <w:rsid w:val="7BAFCD73"/>
    <w:rsid w:val="7BBCE4BA"/>
    <w:rsid w:val="7BDE2BBB"/>
    <w:rsid w:val="7BE940B2"/>
    <w:rsid w:val="7BEADE9E"/>
    <w:rsid w:val="7C1401CF"/>
    <w:rsid w:val="7CC31BF3"/>
    <w:rsid w:val="7CE00257"/>
    <w:rsid w:val="7CE4E972"/>
    <w:rsid w:val="7CF46037"/>
    <w:rsid w:val="7D060F6D"/>
    <w:rsid w:val="7D2A561B"/>
    <w:rsid w:val="7DBE29BD"/>
    <w:rsid w:val="7DCACB5B"/>
    <w:rsid w:val="7DCD6C56"/>
    <w:rsid w:val="7DF6468B"/>
    <w:rsid w:val="7E3321B5"/>
    <w:rsid w:val="7E34827B"/>
    <w:rsid w:val="7E61457B"/>
    <w:rsid w:val="7E882137"/>
    <w:rsid w:val="7E885DF3"/>
    <w:rsid w:val="7EC5EF91"/>
    <w:rsid w:val="7EE93A03"/>
    <w:rsid w:val="7F492181"/>
    <w:rsid w:val="7F7E410F"/>
    <w:rsid w:val="7F8BDDC0"/>
    <w:rsid w:val="7FB08A10"/>
    <w:rsid w:val="7FCEC285"/>
    <w:rsid w:val="7FDF91DE"/>
    <w:rsid w:val="7FF088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4ADA"/>
  <w15:chartTrackingRefBased/>
  <w15:docId w15:val="{1D657846-567D-40ED-A37A-A09A1CFA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90C"/>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6F3AE7"/>
    <w:pPr>
      <w:spacing w:before="240"/>
      <w:outlineLvl w:val="1"/>
    </w:pPr>
    <w:rPr>
      <w:b/>
      <w:i/>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90C"/>
    <w:rPr>
      <w:rFonts w:ascii="Segoe UI" w:eastAsia="Times New Roman" w:hAnsi="Segoe UI" w:cs="Segoe UI"/>
      <w:sz w:val="18"/>
      <w:szCs w:val="1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
    <w:basedOn w:val="Normal"/>
    <w:link w:val="ListParagraphChar"/>
    <w:uiPriority w:val="34"/>
    <w:qFormat/>
    <w:rsid w:val="0010590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10590C"/>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6F3AE7"/>
    <w:rPr>
      <w:rFonts w:ascii="Arial" w:eastAsia="Times New Roman" w:hAnsi="Arial" w:cs="Times New Roman"/>
      <w:b/>
      <w:i/>
      <w:kern w:val="28"/>
      <w:sz w:val="28"/>
      <w:szCs w:val="28"/>
    </w:rPr>
  </w:style>
  <w:style w:type="table" w:styleId="TableGrid">
    <w:name w:val="Table Grid"/>
    <w:basedOn w:val="TableNormal"/>
    <w:rsid w:val="006F3A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F3AE7"/>
    <w:rPr>
      <w:color w:val="0563C1" w:themeColor="hyperlink"/>
      <w:u w:val="single"/>
    </w:rPr>
  </w:style>
  <w:style w:type="paragraph" w:styleId="Header">
    <w:name w:val="header"/>
    <w:basedOn w:val="Normal"/>
    <w:link w:val="HeaderChar"/>
    <w:uiPriority w:val="99"/>
    <w:unhideWhenUsed/>
    <w:rsid w:val="006E5785"/>
    <w:pPr>
      <w:tabs>
        <w:tab w:val="center" w:pos="4513"/>
        <w:tab w:val="right" w:pos="9026"/>
      </w:tabs>
    </w:pPr>
  </w:style>
  <w:style w:type="character" w:customStyle="1" w:styleId="HeaderChar">
    <w:name w:val="Header Char"/>
    <w:basedOn w:val="DefaultParagraphFont"/>
    <w:link w:val="Header"/>
    <w:uiPriority w:val="99"/>
    <w:rsid w:val="006E5785"/>
    <w:rPr>
      <w:rFonts w:ascii="Arial" w:eastAsia="Times New Roman" w:hAnsi="Arial" w:cs="Times New Roman"/>
      <w:sz w:val="24"/>
      <w:szCs w:val="24"/>
    </w:rPr>
  </w:style>
  <w:style w:type="paragraph" w:styleId="Footer">
    <w:name w:val="footer"/>
    <w:basedOn w:val="Normal"/>
    <w:link w:val="FooterChar"/>
    <w:uiPriority w:val="99"/>
    <w:unhideWhenUsed/>
    <w:rsid w:val="006E5785"/>
    <w:pPr>
      <w:tabs>
        <w:tab w:val="center" w:pos="4513"/>
        <w:tab w:val="right" w:pos="9026"/>
      </w:tabs>
    </w:pPr>
  </w:style>
  <w:style w:type="character" w:customStyle="1" w:styleId="FooterChar">
    <w:name w:val="Footer Char"/>
    <w:basedOn w:val="DefaultParagraphFont"/>
    <w:link w:val="Footer"/>
    <w:uiPriority w:val="99"/>
    <w:rsid w:val="006E5785"/>
    <w:rPr>
      <w:rFonts w:ascii="Arial" w:eastAsia="Times New Roman" w:hAnsi="Arial" w:cs="Times New Roman"/>
      <w:sz w:val="24"/>
      <w:szCs w:val="24"/>
    </w:rPr>
  </w:style>
  <w:style w:type="character" w:styleId="UnresolvedMention">
    <w:name w:val="Unresolved Mention"/>
    <w:basedOn w:val="DefaultParagraphFont"/>
    <w:uiPriority w:val="99"/>
    <w:unhideWhenUsed/>
    <w:rsid w:val="00B308C2"/>
    <w:rPr>
      <w:color w:val="605E5C"/>
      <w:shd w:val="clear" w:color="auto" w:fill="E1DFDD"/>
    </w:rPr>
  </w:style>
  <w:style w:type="character" w:styleId="CommentReference">
    <w:name w:val="annotation reference"/>
    <w:basedOn w:val="DefaultParagraphFont"/>
    <w:uiPriority w:val="99"/>
    <w:unhideWhenUsed/>
    <w:rsid w:val="000F5ADB"/>
    <w:rPr>
      <w:sz w:val="16"/>
      <w:szCs w:val="16"/>
    </w:rPr>
  </w:style>
  <w:style w:type="paragraph" w:styleId="CommentText">
    <w:name w:val="annotation text"/>
    <w:basedOn w:val="Normal"/>
    <w:link w:val="CommentTextChar"/>
    <w:uiPriority w:val="99"/>
    <w:unhideWhenUsed/>
    <w:rsid w:val="000F5ADB"/>
    <w:rPr>
      <w:sz w:val="20"/>
      <w:szCs w:val="20"/>
    </w:rPr>
  </w:style>
  <w:style w:type="character" w:customStyle="1" w:styleId="CommentTextChar">
    <w:name w:val="Comment Text Char"/>
    <w:basedOn w:val="DefaultParagraphFont"/>
    <w:link w:val="CommentText"/>
    <w:uiPriority w:val="99"/>
    <w:rsid w:val="000F5AD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F5ADB"/>
    <w:rPr>
      <w:b/>
      <w:bCs/>
    </w:rPr>
  </w:style>
  <w:style w:type="character" w:customStyle="1" w:styleId="CommentSubjectChar">
    <w:name w:val="Comment Subject Char"/>
    <w:basedOn w:val="CommentTextChar"/>
    <w:link w:val="CommentSubject"/>
    <w:uiPriority w:val="99"/>
    <w:semiHidden/>
    <w:rsid w:val="000F5ADB"/>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1525D"/>
    <w:rPr>
      <w:color w:val="954F72" w:themeColor="followedHyperlink"/>
      <w:u w:val="single"/>
    </w:rPr>
  </w:style>
  <w:style w:type="paragraph" w:customStyle="1" w:styleId="Normal1">
    <w:name w:val="Normal1"/>
    <w:basedOn w:val="Normal"/>
    <w:uiPriority w:val="1"/>
    <w:rsid w:val="283533BE"/>
    <w:rPr>
      <w:rFonts w:eastAsia="Arial" w:cs="Arial"/>
      <w:color w:val="000000" w:themeColor="text1"/>
    </w:rPr>
  </w:style>
  <w:style w:type="character" w:customStyle="1" w:styleId="normaltextrun">
    <w:name w:val="normaltextrun"/>
    <w:basedOn w:val="DefaultParagraphFont"/>
    <w:uiPriority w:val="1"/>
    <w:rsid w:val="58A27B8A"/>
  </w:style>
  <w:style w:type="character" w:styleId="Mention">
    <w:name w:val="Mention"/>
    <w:basedOn w:val="DefaultParagraphFont"/>
    <w:uiPriority w:val="99"/>
    <w:unhideWhenUsed/>
    <w:rsid w:val="00A46F2D"/>
    <w:rPr>
      <w:color w:val="2B579A"/>
      <w:shd w:val="clear" w:color="auto" w:fill="E1DFDD"/>
    </w:rPr>
  </w:style>
  <w:style w:type="paragraph" w:styleId="FootnoteText">
    <w:name w:val="footnote text"/>
    <w:basedOn w:val="Normal"/>
    <w:link w:val="FootnoteTextChar"/>
    <w:uiPriority w:val="99"/>
    <w:semiHidden/>
    <w:unhideWhenUsed/>
    <w:rsid w:val="00B82C7E"/>
    <w:rPr>
      <w:sz w:val="20"/>
      <w:szCs w:val="20"/>
    </w:rPr>
  </w:style>
  <w:style w:type="character" w:customStyle="1" w:styleId="FootnoteTextChar">
    <w:name w:val="Footnote Text Char"/>
    <w:basedOn w:val="DefaultParagraphFont"/>
    <w:link w:val="FootnoteText"/>
    <w:uiPriority w:val="99"/>
    <w:semiHidden/>
    <w:rsid w:val="00B82C7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82C7E"/>
    <w:rPr>
      <w:vertAlign w:val="superscript"/>
    </w:rPr>
  </w:style>
  <w:style w:type="paragraph" w:styleId="Caption">
    <w:name w:val="caption"/>
    <w:basedOn w:val="Normal"/>
    <w:next w:val="Normal"/>
    <w:uiPriority w:val="35"/>
    <w:unhideWhenUsed/>
    <w:qFormat/>
    <w:rsid w:val="0049737C"/>
    <w:pPr>
      <w:spacing w:after="200"/>
    </w:pPr>
    <w:rPr>
      <w:i/>
      <w:iCs/>
      <w:color w:val="44546A" w:themeColor="text2"/>
      <w:sz w:val="18"/>
      <w:szCs w:val="18"/>
    </w:rPr>
  </w:style>
  <w:style w:type="paragraph" w:styleId="Revision">
    <w:name w:val="Revision"/>
    <w:hidden/>
    <w:uiPriority w:val="99"/>
    <w:semiHidden/>
    <w:rsid w:val="00F57BA3"/>
    <w:pPr>
      <w:spacing w:after="0" w:line="240" w:lineRule="auto"/>
    </w:pPr>
    <w:rPr>
      <w:rFonts w:ascii="Arial" w:eastAsia="Times New Roman" w:hAnsi="Arial" w:cs="Times New Roman"/>
      <w:sz w:val="24"/>
      <w:szCs w:val="24"/>
    </w:rPr>
  </w:style>
  <w:style w:type="character" w:customStyle="1" w:styleId="cf01">
    <w:name w:val="cf01"/>
    <w:basedOn w:val="DefaultParagraphFont"/>
    <w:rsid w:val="005671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76640">
      <w:bodyDiv w:val="1"/>
      <w:marLeft w:val="0"/>
      <w:marRight w:val="0"/>
      <w:marTop w:val="0"/>
      <w:marBottom w:val="0"/>
      <w:divBdr>
        <w:top w:val="none" w:sz="0" w:space="0" w:color="auto"/>
        <w:left w:val="none" w:sz="0" w:space="0" w:color="auto"/>
        <w:bottom w:val="none" w:sz="0" w:space="0" w:color="auto"/>
        <w:right w:val="none" w:sz="0" w:space="0" w:color="auto"/>
      </w:divBdr>
    </w:div>
    <w:div w:id="291249188">
      <w:bodyDiv w:val="1"/>
      <w:marLeft w:val="0"/>
      <w:marRight w:val="0"/>
      <w:marTop w:val="0"/>
      <w:marBottom w:val="0"/>
      <w:divBdr>
        <w:top w:val="none" w:sz="0" w:space="0" w:color="auto"/>
        <w:left w:val="none" w:sz="0" w:space="0" w:color="auto"/>
        <w:bottom w:val="none" w:sz="0" w:space="0" w:color="auto"/>
        <w:right w:val="none" w:sz="0" w:space="0" w:color="auto"/>
      </w:divBdr>
    </w:div>
    <w:div w:id="589234921">
      <w:bodyDiv w:val="1"/>
      <w:marLeft w:val="0"/>
      <w:marRight w:val="0"/>
      <w:marTop w:val="0"/>
      <w:marBottom w:val="0"/>
      <w:divBdr>
        <w:top w:val="none" w:sz="0" w:space="0" w:color="auto"/>
        <w:left w:val="none" w:sz="0" w:space="0" w:color="auto"/>
        <w:bottom w:val="none" w:sz="0" w:space="0" w:color="auto"/>
        <w:right w:val="none" w:sz="0" w:space="0" w:color="auto"/>
      </w:divBdr>
    </w:div>
    <w:div w:id="691415443">
      <w:bodyDiv w:val="1"/>
      <w:marLeft w:val="0"/>
      <w:marRight w:val="0"/>
      <w:marTop w:val="0"/>
      <w:marBottom w:val="0"/>
      <w:divBdr>
        <w:top w:val="none" w:sz="0" w:space="0" w:color="auto"/>
        <w:left w:val="none" w:sz="0" w:space="0" w:color="auto"/>
        <w:bottom w:val="none" w:sz="0" w:space="0" w:color="auto"/>
        <w:right w:val="none" w:sz="0" w:space="0" w:color="auto"/>
      </w:divBdr>
    </w:div>
    <w:div w:id="1000818571">
      <w:bodyDiv w:val="1"/>
      <w:marLeft w:val="0"/>
      <w:marRight w:val="0"/>
      <w:marTop w:val="0"/>
      <w:marBottom w:val="0"/>
      <w:divBdr>
        <w:top w:val="none" w:sz="0" w:space="0" w:color="auto"/>
        <w:left w:val="none" w:sz="0" w:space="0" w:color="auto"/>
        <w:bottom w:val="none" w:sz="0" w:space="0" w:color="auto"/>
        <w:right w:val="none" w:sz="0" w:space="0" w:color="auto"/>
      </w:divBdr>
    </w:div>
    <w:div w:id="1083185438">
      <w:bodyDiv w:val="1"/>
      <w:marLeft w:val="0"/>
      <w:marRight w:val="0"/>
      <w:marTop w:val="0"/>
      <w:marBottom w:val="0"/>
      <w:divBdr>
        <w:top w:val="none" w:sz="0" w:space="0" w:color="auto"/>
        <w:left w:val="none" w:sz="0" w:space="0" w:color="auto"/>
        <w:bottom w:val="none" w:sz="0" w:space="0" w:color="auto"/>
        <w:right w:val="none" w:sz="0" w:space="0" w:color="auto"/>
      </w:divBdr>
    </w:div>
    <w:div w:id="1132476999">
      <w:bodyDiv w:val="1"/>
      <w:marLeft w:val="0"/>
      <w:marRight w:val="0"/>
      <w:marTop w:val="0"/>
      <w:marBottom w:val="0"/>
      <w:divBdr>
        <w:top w:val="none" w:sz="0" w:space="0" w:color="auto"/>
        <w:left w:val="none" w:sz="0" w:space="0" w:color="auto"/>
        <w:bottom w:val="none" w:sz="0" w:space="0" w:color="auto"/>
        <w:right w:val="none" w:sz="0" w:space="0" w:color="auto"/>
      </w:divBdr>
    </w:div>
    <w:div w:id="1144545439">
      <w:bodyDiv w:val="1"/>
      <w:marLeft w:val="0"/>
      <w:marRight w:val="0"/>
      <w:marTop w:val="0"/>
      <w:marBottom w:val="0"/>
      <w:divBdr>
        <w:top w:val="none" w:sz="0" w:space="0" w:color="auto"/>
        <w:left w:val="none" w:sz="0" w:space="0" w:color="auto"/>
        <w:bottom w:val="none" w:sz="0" w:space="0" w:color="auto"/>
        <w:right w:val="none" w:sz="0" w:space="0" w:color="auto"/>
      </w:divBdr>
    </w:div>
    <w:div w:id="1161311887">
      <w:bodyDiv w:val="1"/>
      <w:marLeft w:val="0"/>
      <w:marRight w:val="0"/>
      <w:marTop w:val="0"/>
      <w:marBottom w:val="0"/>
      <w:divBdr>
        <w:top w:val="none" w:sz="0" w:space="0" w:color="auto"/>
        <w:left w:val="none" w:sz="0" w:space="0" w:color="auto"/>
        <w:bottom w:val="none" w:sz="0" w:space="0" w:color="auto"/>
        <w:right w:val="none" w:sz="0" w:space="0" w:color="auto"/>
      </w:divBdr>
    </w:div>
    <w:div w:id="1495802872">
      <w:bodyDiv w:val="1"/>
      <w:marLeft w:val="0"/>
      <w:marRight w:val="0"/>
      <w:marTop w:val="0"/>
      <w:marBottom w:val="0"/>
      <w:divBdr>
        <w:top w:val="none" w:sz="0" w:space="0" w:color="auto"/>
        <w:left w:val="none" w:sz="0" w:space="0" w:color="auto"/>
        <w:bottom w:val="none" w:sz="0" w:space="0" w:color="auto"/>
        <w:right w:val="none" w:sz="0" w:space="0" w:color="auto"/>
      </w:divBdr>
    </w:div>
    <w:div w:id="180179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ccd.int/publications/scientific-conceptual-framework-land-degradation-neutrality-report-science-policy" TargetMode="External"/><Relationship Id="rId18" Type="http://schemas.openxmlformats.org/officeDocument/2006/relationships/hyperlink" Target="https://ukc-word-edit.officeapps.live.com/we/wordeditorframe.aspx?ui=en%2DUS&amp;rs=en%2DGB&amp;wopisrc=https%3A%2F%2Fdefra.sharepoint.com%2Fteams%2FTeam569%2F_vti_bin%2Fwopi.ashx%2Ffiles%2F08f95cf184e7499a9082d815ebae7953&amp;wdpid=79591be0&amp;wdenableroaming=1&amp;mscc=1&amp;hid=005C72A0-C03D-5000-66EA-8D5FF191A4CF&amp;wdorigin=Other&amp;jsapi=1&amp;jsapiver=v1&amp;newsession=1&amp;corrid=f7db2652-df1d-435c-9dbb-c5a5c5583847&amp;usid=f7db2652-df1d-435c-9dbb-c5a5c5583847&amp;sftc=1&amp;cac=1&amp;mtf=1&amp;sfp=1&amp;instantedit=1&amp;wopicomplete=1&amp;wdredirectionreason=Unified_SingleFlush&amp;rct=Medium&amp;ctp=LeastProtected" TargetMode="External"/><Relationship Id="rId26" Type="http://schemas.openxmlformats.org/officeDocument/2006/relationships/image" Target="media/image2.png"/><Relationship Id="rId39" Type="http://schemas.openxmlformats.org/officeDocument/2006/relationships/theme" Target="theme/theme1.xml"/><Relationship Id="rId21" Type="http://schemas.openxmlformats.org/officeDocument/2006/relationships/hyperlink" Target="https://www.mirova.com/sites/default/files/2020-08/Guidance%20for%20project%20developers.pdf"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5" Type="http://schemas.openxmlformats.org/officeDocument/2006/relationships/chart" Target="charts/chart3.xm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mirova.com/sites/default/files/2020-08/LDN%20Initiative%20-Summary%20of%20ESG%20Policy.pdf"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2.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chart" Target="charts/chart1.xml"/><Relationship Id="rId28" Type="http://schemas.openxmlformats.org/officeDocument/2006/relationships/chart" Target="charts/chart4.xm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mirova.com/sites/default/files/2020-08/MNC-ESG-Policy.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ifc.org/wps/wcm/connect/c02c2e86-e6cd-4b55-95a2-b3395d204279/IFC_Performance_Standards.pdf?MOD=AJPERES&amp;CVID=kTjHBzk" TargetMode="External"/><Relationship Id="rId27" Type="http://schemas.openxmlformats.org/officeDocument/2006/relationships/image" Target="media/image3.png"/><Relationship Id="rId30" Type="http://schemas.openxmlformats.org/officeDocument/2006/relationships/chart" Target="charts/chart6.xm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https://defra.sharepoint.com/teams/Team2765/Integrating%20Nature%20Document%20Library/Projects/PO009%20-%20Land%20Degradation%20Neutrality%20(LDN)%20Fund/LDN%20quick%20facts%20and%20investment%20breakdow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efra-my.sharepoint.com/personal/hammaad_ashfaq_defra_gov_uk/Documents/LDN%20VfM%20Graph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efra-my.sharepoint.com/personal/hammaad_ashfaq_defra_gov_uk/Documents/LDN%20VfM%20Graphic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efra.sharepoint.com/teams/Team2765/Integrating%20Nature%20Document%20Library/Projects/PO009%20-%20Land%20Degradation%20Neutrality%20(LDN)%20Fund/LDN%20quick%20facts%20and%20investment%20breakdow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efra.sharepoint.com/teams/Team2765/Integrating%20Nature%20Document%20Library/Projects/PO009%20-%20Land%20Degradation%20Neutrality%20(LDN)%20Fund/LDN%20quick%20facts%20and%20investment%20breakdow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efra.sharepoint.com/teams/Team2765/Integrating%20Nature%20Document%20Library/Projects/PO009%20-%20Land%20Degradation%20Neutrality%20(LDN)%20Fund/LDN%20quick%20facts%20and%20investment%20breakdown.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Private and public finance leveraged by LDN Fund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'[LDN quick facts and investment breakdown.xlsx]Attribution tables'!$B$5</c:f>
              <c:strCache>
                <c:ptCount val="1"/>
                <c:pt idx="0">
                  <c:v> Private finance leveraged by the LDN Fund (cumulative $)</c:v>
                </c:pt>
              </c:strCache>
            </c:strRef>
          </c:tx>
          <c:spPr>
            <a:solidFill>
              <a:schemeClr val="accent1"/>
            </a:solidFill>
            <a:ln>
              <a:noFill/>
            </a:ln>
            <a:effectLst/>
          </c:spPr>
          <c:invertIfNegative val="0"/>
          <c:cat>
            <c:strRef>
              <c:f>'[1]Attribution tables'!$C$2:$F$2</c:f>
              <c:strCache>
                <c:ptCount val="3"/>
                <c:pt idx="0">
                  <c:v>Baseline (2019)</c:v>
                </c:pt>
                <c:pt idx="1">
                  <c:v>2020</c:v>
                </c:pt>
                <c:pt idx="2">
                  <c:v>2021</c:v>
                </c:pt>
              </c:strCache>
              <c:extLst/>
            </c:strRef>
          </c:cat>
          <c:val>
            <c:numRef>
              <c:f>'[1]Attribution tables'!$C$5:$F$5</c:f>
              <c:numCache>
                <c:formatCode>#,##0</c:formatCode>
                <c:ptCount val="3"/>
                <c:pt idx="0">
                  <c:v>48277434</c:v>
                </c:pt>
                <c:pt idx="1">
                  <c:v>102087434</c:v>
                </c:pt>
                <c:pt idx="2">
                  <c:v>128079834</c:v>
                </c:pt>
              </c:numCache>
              <c:extLst/>
            </c:numRef>
          </c:val>
          <c:extLst>
            <c:ext xmlns:c16="http://schemas.microsoft.com/office/drawing/2014/chart" uri="{C3380CC4-5D6E-409C-BE32-E72D297353CC}">
              <c16:uniqueId val="{00000000-F585-45C0-B328-B601AB2B0E67}"/>
            </c:ext>
          </c:extLst>
        </c:ser>
        <c:ser>
          <c:idx val="2"/>
          <c:order val="1"/>
          <c:tx>
            <c:strRef>
              <c:f>'[LDN quick facts and investment breakdown.xlsx]Attribution tables'!$B$7</c:f>
              <c:strCache>
                <c:ptCount val="1"/>
                <c:pt idx="0">
                  <c:v> Public finance leveraged by the LDN Fund (cumulative $)</c:v>
                </c:pt>
              </c:strCache>
            </c:strRef>
          </c:tx>
          <c:spPr>
            <a:solidFill>
              <a:schemeClr val="accent3"/>
            </a:solidFill>
            <a:ln>
              <a:noFill/>
            </a:ln>
            <a:effectLst/>
          </c:spPr>
          <c:invertIfNegative val="0"/>
          <c:cat>
            <c:strRef>
              <c:f>'[1]Attribution tables'!$C$2:$F$2</c:f>
              <c:strCache>
                <c:ptCount val="3"/>
                <c:pt idx="0">
                  <c:v>Baseline (2019)</c:v>
                </c:pt>
                <c:pt idx="1">
                  <c:v>2020</c:v>
                </c:pt>
                <c:pt idx="2">
                  <c:v>2021</c:v>
                </c:pt>
              </c:strCache>
              <c:extLst/>
            </c:strRef>
          </c:cat>
          <c:val>
            <c:numRef>
              <c:f>'[1]Attribution tables'!$C$7:$F$7</c:f>
              <c:numCache>
                <c:formatCode>#,##0</c:formatCode>
                <c:ptCount val="3"/>
                <c:pt idx="0">
                  <c:v>22682799</c:v>
                </c:pt>
                <c:pt idx="1">
                  <c:v>32433780</c:v>
                </c:pt>
                <c:pt idx="2">
                  <c:v>70891480</c:v>
                </c:pt>
              </c:numCache>
              <c:extLst/>
            </c:numRef>
          </c:val>
          <c:extLst>
            <c:ext xmlns:c16="http://schemas.microsoft.com/office/drawing/2014/chart" uri="{C3380CC4-5D6E-409C-BE32-E72D297353CC}">
              <c16:uniqueId val="{00000001-F585-45C0-B328-B601AB2B0E67}"/>
            </c:ext>
          </c:extLst>
        </c:ser>
        <c:ser>
          <c:idx val="1"/>
          <c:order val="2"/>
          <c:tx>
            <c:strRef>
              <c:f>'[LDN quick facts and investment breakdown.xlsx]Attribution tables'!$B$6</c:f>
              <c:strCache>
                <c:ptCount val="1"/>
                <c:pt idx="0">
                  <c:v>Co-investment in projects (cumulative $)</c:v>
                </c:pt>
              </c:strCache>
            </c:strRef>
          </c:tx>
          <c:spPr>
            <a:solidFill>
              <a:schemeClr val="accent2"/>
            </a:solidFill>
            <a:ln>
              <a:noFill/>
            </a:ln>
            <a:effectLst/>
          </c:spPr>
          <c:invertIfNegative val="0"/>
          <c:cat>
            <c:strRef>
              <c:f>'[1]Attribution tables'!$C$2:$F$2</c:f>
              <c:strCache>
                <c:ptCount val="3"/>
                <c:pt idx="0">
                  <c:v>Baseline (2019)</c:v>
                </c:pt>
                <c:pt idx="1">
                  <c:v>2020</c:v>
                </c:pt>
                <c:pt idx="2">
                  <c:v>2021</c:v>
                </c:pt>
              </c:strCache>
              <c:extLst/>
            </c:strRef>
          </c:cat>
          <c:val>
            <c:numRef>
              <c:f>'[1]Attribution tables'!$C$6:$F$6</c:f>
              <c:numCache>
                <c:formatCode>#,##0</c:formatCode>
                <c:ptCount val="3"/>
                <c:pt idx="0">
                  <c:v>5000000</c:v>
                </c:pt>
                <c:pt idx="1">
                  <c:v>67500000</c:v>
                </c:pt>
                <c:pt idx="2">
                  <c:v>87828283</c:v>
                </c:pt>
              </c:numCache>
              <c:extLst/>
            </c:numRef>
          </c:val>
          <c:extLst>
            <c:ext xmlns:c16="http://schemas.microsoft.com/office/drawing/2014/chart" uri="{C3380CC4-5D6E-409C-BE32-E72D297353CC}">
              <c16:uniqueId val="{00000002-F585-45C0-B328-B601AB2B0E67}"/>
            </c:ext>
          </c:extLst>
        </c:ser>
        <c:dLbls>
          <c:showLegendKey val="0"/>
          <c:showVal val="0"/>
          <c:showCatName val="0"/>
          <c:showSerName val="0"/>
          <c:showPercent val="0"/>
          <c:showBubbleSize val="0"/>
        </c:dLbls>
        <c:gapWidth val="150"/>
        <c:overlap val="100"/>
        <c:axId val="1606087088"/>
        <c:axId val="203594927"/>
      </c:barChart>
      <c:catAx>
        <c:axId val="160608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594927"/>
        <c:crosses val="autoZero"/>
        <c:auto val="1"/>
        <c:lblAlgn val="ctr"/>
        <c:lblOffset val="100"/>
        <c:noMultiLvlLbl val="0"/>
      </c:catAx>
      <c:valAx>
        <c:axId val="203594927"/>
        <c:scaling>
          <c:orientation val="minMax"/>
          <c:max val="3000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608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Sheet1!$AC$3</c:f>
              <c:strCache>
                <c:ptCount val="1"/>
                <c:pt idx="0">
                  <c:v>Tonnes of CO2e emissions avoided [KPI 6]</c:v>
                </c:pt>
              </c:strCache>
            </c:strRef>
          </c:tx>
          <c:spPr>
            <a:solidFill>
              <a:schemeClr val="accent1"/>
            </a:solidFill>
            <a:ln>
              <a:noFill/>
            </a:ln>
            <a:effectLst/>
          </c:spPr>
          <c:invertIfNegative val="0"/>
          <c:cat>
            <c:strRef>
              <c:f>Sheet1!$AB$4:$AB$6</c:f>
              <c:strCache>
                <c:ptCount val="3"/>
                <c:pt idx="0">
                  <c:v>2019 (BASELINE)</c:v>
                </c:pt>
                <c:pt idx="1">
                  <c:v>2020</c:v>
                </c:pt>
                <c:pt idx="2">
                  <c:v>2021</c:v>
                </c:pt>
              </c:strCache>
            </c:strRef>
          </c:cat>
          <c:val>
            <c:numRef>
              <c:f>Sheet1!$AC$4:$AC$6</c:f>
              <c:numCache>
                <c:formatCode>General</c:formatCode>
                <c:ptCount val="3"/>
                <c:pt idx="0">
                  <c:v>209448</c:v>
                </c:pt>
                <c:pt idx="1">
                  <c:v>418895</c:v>
                </c:pt>
                <c:pt idx="2">
                  <c:v>910868</c:v>
                </c:pt>
              </c:numCache>
            </c:numRef>
          </c:val>
          <c:extLst>
            <c:ext xmlns:c16="http://schemas.microsoft.com/office/drawing/2014/chart" uri="{C3380CC4-5D6E-409C-BE32-E72D297353CC}">
              <c16:uniqueId val="{00000000-9AC2-439A-B80E-664969DEFD9F}"/>
            </c:ext>
          </c:extLst>
        </c:ser>
        <c:dLbls>
          <c:showLegendKey val="0"/>
          <c:showVal val="0"/>
          <c:showCatName val="0"/>
          <c:showSerName val="0"/>
          <c:showPercent val="0"/>
          <c:showBubbleSize val="0"/>
        </c:dLbls>
        <c:gapWidth val="219"/>
        <c:overlap val="-27"/>
        <c:axId val="1784395280"/>
        <c:axId val="1784396528"/>
        <c:extLst>
          <c:ext xmlns:c15="http://schemas.microsoft.com/office/drawing/2012/chart" uri="{02D57815-91ED-43cb-92C2-25804820EDAC}">
            <c15:filteredBarSeries>
              <c15:ser>
                <c:idx val="1"/>
                <c:order val="1"/>
                <c:tx>
                  <c:strRef>
                    <c:extLst>
                      <c:ext uri="{02D57815-91ED-43cb-92C2-25804820EDAC}">
                        <c15:formulaRef>
                          <c15:sqref>Sheet1!$AD$3</c15:sqref>
                        </c15:formulaRef>
                      </c:ext>
                    </c:extLst>
                    <c:strCache>
                      <c:ptCount val="1"/>
                    </c:strCache>
                  </c:strRef>
                </c:tx>
                <c:spPr>
                  <a:solidFill>
                    <a:schemeClr val="accent2"/>
                  </a:solidFill>
                  <a:ln>
                    <a:noFill/>
                  </a:ln>
                  <a:effectLst/>
                </c:spPr>
                <c:invertIfNegative val="0"/>
                <c:cat>
                  <c:strRef>
                    <c:extLst>
                      <c:ext uri="{02D57815-91ED-43cb-92C2-25804820EDAC}">
                        <c15:formulaRef>
                          <c15:sqref>Sheet1!$AB$4:$AB$6</c15:sqref>
                        </c15:formulaRef>
                      </c:ext>
                    </c:extLst>
                    <c:strCache>
                      <c:ptCount val="3"/>
                      <c:pt idx="0">
                        <c:v>2019 (BASELINE)</c:v>
                      </c:pt>
                      <c:pt idx="1">
                        <c:v>2020</c:v>
                      </c:pt>
                      <c:pt idx="2">
                        <c:v>2021</c:v>
                      </c:pt>
                    </c:strCache>
                  </c:strRef>
                </c:cat>
                <c:val>
                  <c:numRef>
                    <c:extLst>
                      <c:ext uri="{02D57815-91ED-43cb-92C2-25804820EDAC}">
                        <c15:formulaRef>
                          <c15:sqref>Sheet1!$AD$4:$AD$6</c15:sqref>
                        </c15:formulaRef>
                      </c:ext>
                    </c:extLst>
                    <c:numCache>
                      <c:formatCode>General</c:formatCode>
                      <c:ptCount val="3"/>
                    </c:numCache>
                  </c:numRef>
                </c:val>
                <c:extLst>
                  <c:ext xmlns:c16="http://schemas.microsoft.com/office/drawing/2014/chart" uri="{C3380CC4-5D6E-409C-BE32-E72D297353CC}">
                    <c16:uniqueId val="{00000001-9AC2-439A-B80E-664969DEFD9F}"/>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Sheet1!$AE$3</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Sheet1!$AB$4:$AB$6</c15:sqref>
                        </c15:formulaRef>
                      </c:ext>
                    </c:extLst>
                    <c:strCache>
                      <c:ptCount val="3"/>
                      <c:pt idx="0">
                        <c:v>2019 (BASELINE)</c:v>
                      </c:pt>
                      <c:pt idx="1">
                        <c:v>2020</c:v>
                      </c:pt>
                      <c:pt idx="2">
                        <c:v>2021</c:v>
                      </c:pt>
                    </c:strCache>
                  </c:strRef>
                </c:cat>
                <c:val>
                  <c:numRef>
                    <c:extLst xmlns:c15="http://schemas.microsoft.com/office/drawing/2012/chart">
                      <c:ext xmlns:c15="http://schemas.microsoft.com/office/drawing/2012/chart" uri="{02D57815-91ED-43cb-92C2-25804820EDAC}">
                        <c15:formulaRef>
                          <c15:sqref>Sheet1!$AE$4:$AE$6</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2-9AC2-439A-B80E-664969DEFD9F}"/>
                  </c:ext>
                </c:extLst>
              </c15:ser>
            </c15:filteredBarSeries>
          </c:ext>
        </c:extLst>
      </c:barChart>
      <c:catAx>
        <c:axId val="17843952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4396528"/>
        <c:crosses val="autoZero"/>
        <c:auto val="1"/>
        <c:lblAlgn val="ctr"/>
        <c:lblOffset val="100"/>
        <c:noMultiLvlLbl val="0"/>
      </c:catAx>
      <c:valAx>
        <c:axId val="178439652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4395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Sheet1!$J$21</c:f>
              <c:strCache>
                <c:ptCount val="1"/>
                <c:pt idx="0">
                  <c:v>Area of land under sustainable management [KPI 17]</c:v>
                </c:pt>
              </c:strCache>
            </c:strRef>
          </c:tx>
          <c:spPr>
            <a:solidFill>
              <a:schemeClr val="accent2"/>
            </a:solidFill>
            <a:ln>
              <a:noFill/>
            </a:ln>
            <a:effectLst/>
          </c:spPr>
          <c:invertIfNegative val="0"/>
          <c:cat>
            <c:strRef>
              <c:f>Sheet1!$H$22:$H$24</c:f>
              <c:strCache>
                <c:ptCount val="3"/>
                <c:pt idx="0">
                  <c:v>2019 (BASELINE)</c:v>
                </c:pt>
                <c:pt idx="1">
                  <c:v>2020</c:v>
                </c:pt>
                <c:pt idx="2">
                  <c:v>2021</c:v>
                </c:pt>
              </c:strCache>
            </c:strRef>
          </c:cat>
          <c:val>
            <c:numRef>
              <c:f>Sheet1!$J$22:$J$24</c:f>
              <c:numCache>
                <c:formatCode>0</c:formatCode>
                <c:ptCount val="3"/>
                <c:pt idx="0">
                  <c:v>37406</c:v>
                </c:pt>
                <c:pt idx="1">
                  <c:v>40753</c:v>
                </c:pt>
                <c:pt idx="2">
                  <c:v>98155</c:v>
                </c:pt>
              </c:numCache>
            </c:numRef>
          </c:val>
          <c:extLst>
            <c:ext xmlns:c16="http://schemas.microsoft.com/office/drawing/2014/chart" uri="{C3380CC4-5D6E-409C-BE32-E72D297353CC}">
              <c16:uniqueId val="{00000000-6F22-4A9F-8556-96CFFCB17C31}"/>
            </c:ext>
          </c:extLst>
        </c:ser>
        <c:dLbls>
          <c:showLegendKey val="0"/>
          <c:showVal val="0"/>
          <c:showCatName val="0"/>
          <c:showSerName val="0"/>
          <c:showPercent val="0"/>
          <c:showBubbleSize val="0"/>
        </c:dLbls>
        <c:gapWidth val="219"/>
        <c:overlap val="-27"/>
        <c:axId val="342474336"/>
        <c:axId val="342475584"/>
        <c:extLst>
          <c:ext xmlns:c15="http://schemas.microsoft.com/office/drawing/2012/chart" uri="{02D57815-91ED-43cb-92C2-25804820EDAC}">
            <c15:filteredBarSeries>
              <c15:ser>
                <c:idx val="0"/>
                <c:order val="0"/>
                <c:tx>
                  <c:strRef>
                    <c:extLst>
                      <c:ext uri="{02D57815-91ED-43cb-92C2-25804820EDAC}">
                        <c15:formulaRef>
                          <c15:sqref>Sheet1!$I$21</c15:sqref>
                        </c15:formulaRef>
                      </c:ext>
                    </c:extLst>
                    <c:strCache>
                      <c:ptCount val="1"/>
                    </c:strCache>
                  </c:strRef>
                </c:tx>
                <c:spPr>
                  <a:solidFill>
                    <a:schemeClr val="accent1"/>
                  </a:solidFill>
                  <a:ln>
                    <a:noFill/>
                  </a:ln>
                  <a:effectLst/>
                </c:spPr>
                <c:invertIfNegative val="0"/>
                <c:cat>
                  <c:strRef>
                    <c:extLst>
                      <c:ext uri="{02D57815-91ED-43cb-92C2-25804820EDAC}">
                        <c15:formulaRef>
                          <c15:sqref>Sheet1!$H$22:$H$24</c15:sqref>
                        </c15:formulaRef>
                      </c:ext>
                    </c:extLst>
                    <c:strCache>
                      <c:ptCount val="3"/>
                      <c:pt idx="0">
                        <c:v>2019 (BASELINE)</c:v>
                      </c:pt>
                      <c:pt idx="1">
                        <c:v>2020</c:v>
                      </c:pt>
                      <c:pt idx="2">
                        <c:v>2021</c:v>
                      </c:pt>
                    </c:strCache>
                  </c:strRef>
                </c:cat>
                <c:val>
                  <c:numRef>
                    <c:extLst>
                      <c:ext uri="{02D57815-91ED-43cb-92C2-25804820EDAC}">
                        <c15:formulaRef>
                          <c15:sqref>Sheet1!$I$22:$I$24</c15:sqref>
                        </c15:formulaRef>
                      </c:ext>
                    </c:extLst>
                    <c:numCache>
                      <c:formatCode>General</c:formatCode>
                      <c:ptCount val="3"/>
                    </c:numCache>
                  </c:numRef>
                </c:val>
                <c:extLst>
                  <c:ext xmlns:c16="http://schemas.microsoft.com/office/drawing/2014/chart" uri="{C3380CC4-5D6E-409C-BE32-E72D297353CC}">
                    <c16:uniqueId val="{00000001-6F22-4A9F-8556-96CFFCB17C31}"/>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Sheet1!$K$21</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Sheet1!$H$22:$H$24</c15:sqref>
                        </c15:formulaRef>
                      </c:ext>
                    </c:extLst>
                    <c:strCache>
                      <c:ptCount val="3"/>
                      <c:pt idx="0">
                        <c:v>2019 (BASELINE)</c:v>
                      </c:pt>
                      <c:pt idx="1">
                        <c:v>2020</c:v>
                      </c:pt>
                      <c:pt idx="2">
                        <c:v>2021</c:v>
                      </c:pt>
                    </c:strCache>
                  </c:strRef>
                </c:cat>
                <c:val>
                  <c:numRef>
                    <c:extLst xmlns:c15="http://schemas.microsoft.com/office/drawing/2012/chart">
                      <c:ext xmlns:c15="http://schemas.microsoft.com/office/drawing/2012/chart" uri="{02D57815-91ED-43cb-92C2-25804820EDAC}">
                        <c15:formulaRef>
                          <c15:sqref>Sheet1!$K$22:$K$24</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2-6F22-4A9F-8556-96CFFCB17C31}"/>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Sheet1!$L$21</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Sheet1!$H$22:$H$24</c15:sqref>
                        </c15:formulaRef>
                      </c:ext>
                    </c:extLst>
                    <c:strCache>
                      <c:ptCount val="3"/>
                      <c:pt idx="0">
                        <c:v>2019 (BASELINE)</c:v>
                      </c:pt>
                      <c:pt idx="1">
                        <c:v>2020</c:v>
                      </c:pt>
                      <c:pt idx="2">
                        <c:v>2021</c:v>
                      </c:pt>
                    </c:strCache>
                  </c:strRef>
                </c:cat>
                <c:val>
                  <c:numRef>
                    <c:extLst xmlns:c15="http://schemas.microsoft.com/office/drawing/2012/chart">
                      <c:ext xmlns:c15="http://schemas.microsoft.com/office/drawing/2012/chart" uri="{02D57815-91ED-43cb-92C2-25804820EDAC}">
                        <c15:formulaRef>
                          <c15:sqref>Sheet1!$L$22:$L$24</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3-6F22-4A9F-8556-96CFFCB17C31}"/>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Sheet1!$M$21</c15:sqref>
                        </c15:formulaRef>
                      </c:ext>
                    </c:extLst>
                    <c:strCache>
                      <c:ptCount val="1"/>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Sheet1!$H$22:$H$24</c15:sqref>
                        </c15:formulaRef>
                      </c:ext>
                    </c:extLst>
                    <c:strCache>
                      <c:ptCount val="3"/>
                      <c:pt idx="0">
                        <c:v>2019 (BASELINE)</c:v>
                      </c:pt>
                      <c:pt idx="1">
                        <c:v>2020</c:v>
                      </c:pt>
                      <c:pt idx="2">
                        <c:v>2021</c:v>
                      </c:pt>
                    </c:strCache>
                  </c:strRef>
                </c:cat>
                <c:val>
                  <c:numRef>
                    <c:extLst xmlns:c15="http://schemas.microsoft.com/office/drawing/2012/chart">
                      <c:ext xmlns:c15="http://schemas.microsoft.com/office/drawing/2012/chart" uri="{02D57815-91ED-43cb-92C2-25804820EDAC}">
                        <c15:formulaRef>
                          <c15:sqref>Sheet1!$M$22:$M$24</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4-6F22-4A9F-8556-96CFFCB17C31}"/>
                  </c:ext>
                </c:extLst>
              </c15:ser>
            </c15:filteredBarSeries>
          </c:ext>
        </c:extLst>
      </c:barChart>
      <c:catAx>
        <c:axId val="3424743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475584"/>
        <c:crosses val="autoZero"/>
        <c:auto val="1"/>
        <c:lblAlgn val="ctr"/>
        <c:lblOffset val="100"/>
        <c:noMultiLvlLbl val="0"/>
      </c:catAx>
      <c:valAx>
        <c:axId val="342475584"/>
        <c:scaling>
          <c:orientation val="minMax"/>
          <c:max val="100000"/>
        </c:scaling>
        <c:delete val="0"/>
        <c:axPos val="l"/>
        <c:majorGridlines>
          <c:spPr>
            <a:ln w="9525" cap="flat" cmpd="sng" algn="ctr">
              <a:noFill/>
              <a:round/>
            </a:ln>
            <a:effectLst/>
          </c:spPr>
        </c:majorGridlines>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474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Tonnes of CO2 emissions avoided (cumulative) – KPI 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'[1]Attribution tables'!$B$4</c:f>
              <c:strCache>
                <c:ptCount val="1"/>
                <c:pt idx="0">
                  <c:v>2.     Tonnes of CO2 emissions avoided (cumulative tonnes) – KPI 6</c:v>
                </c:pt>
              </c:strCache>
            </c:strRef>
          </c:tx>
          <c:spPr>
            <a:solidFill>
              <a:schemeClr val="accent1"/>
            </a:solidFill>
            <a:ln>
              <a:noFill/>
            </a:ln>
            <a:effectLst/>
          </c:spPr>
          <c:invertIfNegative val="0"/>
          <c:cat>
            <c:strRef>
              <c:f>'[1]Attribution tables'!$C$2:$F$2</c:f>
              <c:strCache>
                <c:ptCount val="3"/>
                <c:pt idx="0">
                  <c:v>Baseline (2019)</c:v>
                </c:pt>
                <c:pt idx="1">
                  <c:v>2020</c:v>
                </c:pt>
                <c:pt idx="2">
                  <c:v>2021</c:v>
                </c:pt>
              </c:strCache>
              <c:extLst/>
            </c:strRef>
          </c:cat>
          <c:val>
            <c:numRef>
              <c:f>'[1]Attribution tables'!$C$4:$F$4</c:f>
              <c:numCache>
                <c:formatCode>#,##0</c:formatCode>
                <c:ptCount val="3"/>
                <c:pt idx="0">
                  <c:v>0</c:v>
                </c:pt>
                <c:pt idx="1">
                  <c:v>144000</c:v>
                </c:pt>
                <c:pt idx="2">
                  <c:v>514000</c:v>
                </c:pt>
              </c:numCache>
              <c:extLst/>
            </c:numRef>
          </c:val>
          <c:extLst>
            <c:ext xmlns:c16="http://schemas.microsoft.com/office/drawing/2014/chart" uri="{C3380CC4-5D6E-409C-BE32-E72D297353CC}">
              <c16:uniqueId val="{00000000-893E-41AE-A315-E964EAEAC28B}"/>
            </c:ext>
          </c:extLst>
        </c:ser>
        <c:dLbls>
          <c:showLegendKey val="0"/>
          <c:showVal val="0"/>
          <c:showCatName val="0"/>
          <c:showSerName val="0"/>
          <c:showPercent val="0"/>
          <c:showBubbleSize val="0"/>
        </c:dLbls>
        <c:gapWidth val="219"/>
        <c:overlap val="-27"/>
        <c:axId val="1606082448"/>
        <c:axId val="184882223"/>
      </c:barChart>
      <c:catAx>
        <c:axId val="160608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882223"/>
        <c:crosses val="autoZero"/>
        <c:auto val="1"/>
        <c:lblAlgn val="ctr"/>
        <c:lblOffset val="100"/>
        <c:noMultiLvlLbl val="0"/>
      </c:catAx>
      <c:valAx>
        <c:axId val="1848822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60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Area of reforestation (cumulative hectares)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'[1]Attribution tables'!$B$3</c:f>
              <c:strCache>
                <c:ptCount val="1"/>
                <c:pt idx="0">
                  <c:v>1.     Area of reforestation (cumulative hectares)</c:v>
                </c:pt>
              </c:strCache>
            </c:strRef>
          </c:tx>
          <c:spPr>
            <a:solidFill>
              <a:schemeClr val="accent1"/>
            </a:solidFill>
            <a:ln>
              <a:noFill/>
            </a:ln>
            <a:effectLst/>
          </c:spPr>
          <c:invertIfNegative val="0"/>
          <c:cat>
            <c:strRef>
              <c:f>'[1]Attribution tables'!$C$2:$F$2</c:f>
              <c:strCache>
                <c:ptCount val="3"/>
                <c:pt idx="0">
                  <c:v>Baseline (2019)</c:v>
                </c:pt>
                <c:pt idx="1">
                  <c:v>2020</c:v>
                </c:pt>
                <c:pt idx="2">
                  <c:v>2021</c:v>
                </c:pt>
              </c:strCache>
              <c:extLst/>
            </c:strRef>
          </c:cat>
          <c:val>
            <c:numRef>
              <c:f>'[1]Attribution tables'!$C$3:$F$3</c:f>
              <c:numCache>
                <c:formatCode>#,##0</c:formatCode>
                <c:ptCount val="3"/>
                <c:pt idx="0">
                  <c:v>28795</c:v>
                </c:pt>
                <c:pt idx="1">
                  <c:v>32507</c:v>
                </c:pt>
                <c:pt idx="2">
                  <c:v>45509</c:v>
                </c:pt>
              </c:numCache>
              <c:extLst/>
            </c:numRef>
          </c:val>
          <c:extLst>
            <c:ext xmlns:c16="http://schemas.microsoft.com/office/drawing/2014/chart" uri="{C3380CC4-5D6E-409C-BE32-E72D297353CC}">
              <c16:uniqueId val="{00000000-DB14-4F69-81E0-376C7A918968}"/>
            </c:ext>
          </c:extLst>
        </c:ser>
        <c:dLbls>
          <c:showLegendKey val="0"/>
          <c:showVal val="0"/>
          <c:showCatName val="0"/>
          <c:showSerName val="0"/>
          <c:showPercent val="0"/>
          <c:showBubbleSize val="0"/>
        </c:dLbls>
        <c:gapWidth val="219"/>
        <c:overlap val="-27"/>
        <c:axId val="216696511"/>
        <c:axId val="383682815"/>
      </c:barChart>
      <c:catAx>
        <c:axId val="216696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682815"/>
        <c:crosses val="autoZero"/>
        <c:auto val="1"/>
        <c:lblAlgn val="ctr"/>
        <c:lblOffset val="100"/>
        <c:noMultiLvlLbl val="0"/>
      </c:catAx>
      <c:valAx>
        <c:axId val="3836828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66965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Land contributing towards Land Degradation Neutrality (cumulative ha) - KPI 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'[1]Attribution tables'!$B$8</c:f>
              <c:strCache>
                <c:ptCount val="1"/>
                <c:pt idx="0">
                  <c:v>5.     Land contributing towards Land Degradation Neutrality (cumulative ha)</c:v>
                </c:pt>
              </c:strCache>
            </c:strRef>
          </c:tx>
          <c:spPr>
            <a:solidFill>
              <a:schemeClr val="accent1"/>
            </a:solidFill>
            <a:ln>
              <a:noFill/>
            </a:ln>
            <a:effectLst/>
          </c:spPr>
          <c:invertIfNegative val="0"/>
          <c:cat>
            <c:strRef>
              <c:f>'[1]Attribution tables'!$C$2:$F$2</c:f>
              <c:strCache>
                <c:ptCount val="3"/>
                <c:pt idx="0">
                  <c:v>Baseline (2019)</c:v>
                </c:pt>
                <c:pt idx="1">
                  <c:v>2020</c:v>
                </c:pt>
                <c:pt idx="2">
                  <c:v>2021</c:v>
                </c:pt>
              </c:strCache>
              <c:extLst/>
            </c:strRef>
          </c:cat>
          <c:val>
            <c:numRef>
              <c:f>'[1]Attribution tables'!$C$8:$F$8</c:f>
              <c:numCache>
                <c:formatCode>#,##0</c:formatCode>
                <c:ptCount val="3"/>
                <c:pt idx="0">
                  <c:v>37406</c:v>
                </c:pt>
                <c:pt idx="1">
                  <c:v>40753</c:v>
                </c:pt>
                <c:pt idx="2">
                  <c:v>98155</c:v>
                </c:pt>
              </c:numCache>
              <c:extLst/>
            </c:numRef>
          </c:val>
          <c:extLst>
            <c:ext xmlns:c16="http://schemas.microsoft.com/office/drawing/2014/chart" uri="{C3380CC4-5D6E-409C-BE32-E72D297353CC}">
              <c16:uniqueId val="{00000000-28FA-4FBA-B290-3672FB73F55C}"/>
            </c:ext>
          </c:extLst>
        </c:ser>
        <c:dLbls>
          <c:showLegendKey val="0"/>
          <c:showVal val="0"/>
          <c:showCatName val="0"/>
          <c:showSerName val="0"/>
          <c:showPercent val="0"/>
          <c:showBubbleSize val="0"/>
        </c:dLbls>
        <c:gapWidth val="219"/>
        <c:overlap val="-27"/>
        <c:axId val="372579279"/>
        <c:axId val="126474575"/>
      </c:barChart>
      <c:catAx>
        <c:axId val="372579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474575"/>
        <c:crosses val="autoZero"/>
        <c:auto val="1"/>
        <c:lblAlgn val="ctr"/>
        <c:lblOffset val="100"/>
        <c:noMultiLvlLbl val="0"/>
      </c:catAx>
      <c:valAx>
        <c:axId val="12647457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792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F88C51DAF897B458237A9C1200953D8" ma:contentTypeVersion="23" ma:contentTypeDescription="Create a new document." ma:contentTypeScope="" ma:versionID="9adfb4e62156e9562f34492fa824d286">
  <xsd:schema xmlns:xsd="http://www.w3.org/2001/XMLSchema" xmlns:xs="http://www.w3.org/2001/XMLSchema" xmlns:p="http://schemas.microsoft.com/office/2006/metadata/properties" xmlns:ns1="http://schemas.microsoft.com/sharepoint/v3" xmlns:ns2="662745e8-e224-48e8-a2e3-254862b8c2f5" xmlns:ns3="cd3c523b-aa8f-4804-a23e-31cb3efad401" xmlns:ns4="c2a29bdd-637a-4f4b-b2b1-1338f72c8a40" targetNamespace="http://schemas.microsoft.com/office/2006/metadata/properties" ma:root="true" ma:fieldsID="d3db6100861d5dc625ad90419a5236ad" ns1:_="" ns2:_="" ns3:_="" ns4:_="">
    <xsd:import namespace="http://schemas.microsoft.com/sharepoint/v3"/>
    <xsd:import namespace="662745e8-e224-48e8-a2e3-254862b8c2f5"/>
    <xsd:import namespace="cd3c523b-aa8f-4804-a23e-31cb3efad401"/>
    <xsd:import namespace="c2a29bdd-637a-4f4b-b2b1-1338f72c8a4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dc0afb-fb50-45c9-b93d-3cf984feeaef}" ma:internalName="TaxCatchAll" ma:showField="CatchAllData"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dc0afb-fb50-45c9-b93d-3cf984feeaef}" ma:internalName="TaxCatchAllLabel" ma:readOnly="true" ma:showField="CatchAllDataLabel"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International Nature Climate and Development Division INCD" ma:internalName="Team">
      <xsd:simpleType>
        <xsd:restriction base="dms:Text"/>
      </xsd:simpleType>
    </xsd:element>
    <xsd:element name="Topic" ma:index="20" nillable="true" ma:displayName="Topic" ma:default="Integrating Natur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3c523b-aa8f-4804-a23e-31cb3efad40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Location" ma:index="41" nillable="true" ma:displayName="Location" ma:description="" ma:indexed="true" ma:internalName="MediaServiceLocation"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29bdd-637a-4f4b-b2b1-1338f72c8a40"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62745e8-e224-48e8-a2e3-254862b8c2f5">
      <Value>6</Value>
      <Value>11</Value>
      <Value>10</Value>
      <Value>8</Value>
      <Value>7</Value>
    </TaxCatchAll>
    <lcf76f155ced4ddcb4097134ff3c332f xmlns="cd3c523b-aa8f-4804-a23e-31cb3efad401">
      <Terms xmlns="http://schemas.microsoft.com/office/infopath/2007/PartnerControls"/>
    </lcf76f155ced4ddcb4097134ff3c332f>
    <MediaLengthInSeconds xmlns="cd3c523b-aa8f-4804-a23e-31cb3efad401"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Integrating Nature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International Nature Climate and Development Division INCD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D750C4EC-399E-4331-9E39-19C25B1B2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cd3c523b-aa8f-4804-a23e-31cb3efad401"/>
    <ds:schemaRef ds:uri="c2a29bdd-637a-4f4b-b2b1-1338f72c8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04289-EC0D-477D-8595-4FC73966F031}">
  <ds:schemaRefs>
    <ds:schemaRef ds:uri="http://schemas.openxmlformats.org/officeDocument/2006/bibliography"/>
  </ds:schemaRefs>
</ds:datastoreItem>
</file>

<file path=customXml/itemProps3.xml><?xml version="1.0" encoding="utf-8"?>
<ds:datastoreItem xmlns:ds="http://schemas.openxmlformats.org/officeDocument/2006/customXml" ds:itemID="{D6C31793-AE3E-4B42-9F05-5A619E9D4D7E}">
  <ds:schemaRefs>
    <ds:schemaRef ds:uri="http://schemas.microsoft.com/sharepoint/v3/contenttype/forms"/>
  </ds:schemaRefs>
</ds:datastoreItem>
</file>

<file path=customXml/itemProps4.xml><?xml version="1.0" encoding="utf-8"?>
<ds:datastoreItem xmlns:ds="http://schemas.openxmlformats.org/officeDocument/2006/customXml" ds:itemID="{CA9E4CF3-84AA-4B72-84CD-D888B2E21F4E}">
  <ds:schemaRefs>
    <ds:schemaRef ds:uri="http://schemas.microsoft.com/office/2006/metadata/properties"/>
    <ds:schemaRef ds:uri="http://schemas.microsoft.com/office/infopath/2007/PartnerControls"/>
    <ds:schemaRef ds:uri="http://schemas.microsoft.com/sharepoint/v3"/>
    <ds:schemaRef ds:uri="662745e8-e224-48e8-a2e3-254862b8c2f5"/>
    <ds:schemaRef ds:uri="cd3c523b-aa8f-4804-a23e-31cb3efad401"/>
  </ds:schemaRefs>
</ds:datastoreItem>
</file>

<file path=customXml/itemProps5.xml><?xml version="1.0" encoding="utf-8"?>
<ds:datastoreItem xmlns:ds="http://schemas.openxmlformats.org/officeDocument/2006/customXml" ds:itemID="{8E780B63-B862-472D-987A-E8AEAFDC6C0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6815</Words>
  <Characters>38846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Annual Review Template</vt:lpstr>
    </vt:vector>
  </TitlesOfParts>
  <Company/>
  <LinksUpToDate>false</LinksUpToDate>
  <CharactersWithSpaces>45570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Template</dc:title>
  <dc:subject>Annual Review Template</dc:subject>
  <dc:creator>William Norman</dc:creator>
  <cp:keywords/>
  <dc:description>from April 2020</dc:description>
  <cp:lastModifiedBy>Joe Dennis</cp:lastModifiedBy>
  <cp:revision>2</cp:revision>
  <dcterms:created xsi:type="dcterms:W3CDTF">2024-06-25T08:42:00Z</dcterms:created>
  <dcterms:modified xsi:type="dcterms:W3CDTF">2024-06-25T08:42:00Z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c996da-17fa-4fc5-8989-2758fb4cf86b_Enabled">
    <vt:lpwstr>true</vt:lpwstr>
  </property>
  <property fmtid="{D5CDD505-2E9C-101B-9397-08002B2CF9AE}" pid="3" name="MSIP_Label_e4c996da-17fa-4fc5-8989-2758fb4cf86b_SetDate">
    <vt:lpwstr>2020-03-30T16:49:07Z</vt:lpwstr>
  </property>
  <property fmtid="{D5CDD505-2E9C-101B-9397-08002B2CF9AE}" pid="4" name="MSIP_Label_e4c996da-17fa-4fc5-8989-2758fb4cf86b_Method">
    <vt:lpwstr>Privileged</vt:lpwstr>
  </property>
  <property fmtid="{D5CDD505-2E9C-101B-9397-08002B2CF9AE}" pid="5" name="MSIP_Label_e4c996da-17fa-4fc5-8989-2758fb4cf86b_Name">
    <vt:lpwstr>OFFICIAL</vt:lpwstr>
  </property>
  <property fmtid="{D5CDD505-2E9C-101B-9397-08002B2CF9AE}" pid="6" name="MSIP_Label_e4c996da-17fa-4fc5-8989-2758fb4cf86b_SiteId">
    <vt:lpwstr>cdf709af-1a18-4c74-bd93-6d14a64d73b3</vt:lpwstr>
  </property>
  <property fmtid="{D5CDD505-2E9C-101B-9397-08002B2CF9AE}" pid="7" name="MSIP_Label_e4c996da-17fa-4fc5-8989-2758fb4cf86b_ActionId">
    <vt:lpwstr>919708a4-416e-499e-8edc-0000a189eb48</vt:lpwstr>
  </property>
  <property fmtid="{D5CDD505-2E9C-101B-9397-08002B2CF9AE}" pid="8" name="MSIP_Label_e4c996da-17fa-4fc5-8989-2758fb4cf86b_ContentBits">
    <vt:lpwstr>1</vt:lpwstr>
  </property>
  <property fmtid="{D5CDD505-2E9C-101B-9397-08002B2CF9AE}" pid="9" name="ContentTypeId">
    <vt:lpwstr>0x010100A5BF1C78D9F64B679A5EBDE1C6598EBC01007F88C51DAF897B458237A9C1200953D8</vt:lpwstr>
  </property>
  <property fmtid="{D5CDD505-2E9C-101B-9397-08002B2CF9AE}" pid="10" name="Business Document Type">
    <vt:lpwstr>Annual review</vt:lpwstr>
  </property>
  <property fmtid="{D5CDD505-2E9C-101B-9397-08002B2CF9AE}" pid="11" name="InformationType">
    <vt:lpwstr/>
  </property>
  <property fmtid="{D5CDD505-2E9C-101B-9397-08002B2CF9AE}" pid="12" name="Distribution">
    <vt:lpwstr>11;#Internal Defra Group|0867f7b3-e76e-40ca-bb1f-5ba341a49230</vt:lpwstr>
  </property>
  <property fmtid="{D5CDD505-2E9C-101B-9397-08002B2CF9AE}" pid="13" name="SecurityClassification">
    <vt:lpwstr/>
  </property>
  <property fmtid="{D5CDD505-2E9C-101B-9397-08002B2CF9AE}" pid="14" name="HOCopyrightLevel">
    <vt:lpwstr>7;#Crown|69589897-2828-4761-976e-717fd8e631c9</vt:lpwstr>
  </property>
  <property fmtid="{D5CDD505-2E9C-101B-9397-08002B2CF9AE}" pid="15" name="HOGovernmentSecurityClassification">
    <vt:lpwstr>6;#Official|14c80daa-741b-422c-9722-f71693c9ede4</vt:lpwstr>
  </property>
  <property fmtid="{D5CDD505-2E9C-101B-9397-08002B2CF9AE}" pid="16" name="HOSiteType">
    <vt:lpwstr>10;#Team|ff0485df-0575-416f-802f-e999165821b7</vt:lpwstr>
  </property>
  <property fmtid="{D5CDD505-2E9C-101B-9397-08002B2CF9AE}" pid="17" name="OrganisationalUnit">
    <vt:lpwstr>8;#Core Defra|026223dd-2e56-4615-868d-7c5bfd566810</vt:lpwstr>
  </property>
  <property fmtid="{D5CDD505-2E9C-101B-9397-08002B2CF9AE}" pid="18" name="Directorate">
    <vt:lpwstr/>
  </property>
  <property fmtid="{D5CDD505-2E9C-101B-9397-08002B2CF9AE}" pid="19" name="MediaServiceImageTags">
    <vt:lpwstr/>
  </property>
  <property fmtid="{D5CDD505-2E9C-101B-9397-08002B2CF9AE}" pid="20" name="lcf76f155ced4ddcb4097134ff3c332f">
    <vt:lpwstr/>
  </property>
  <property fmtid="{D5CDD505-2E9C-101B-9397-08002B2CF9AE}" pid="21" name="HOFrom">
    <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vti_imgdate">
    <vt:lpwstr/>
  </property>
  <property fmtid="{D5CDD505-2E9C-101B-9397-08002B2CF9AE}" pid="27" name="xd_Signature">
    <vt:bool>false</vt:bool>
  </property>
  <property fmtid="{D5CDD505-2E9C-101B-9397-08002B2CF9AE}" pid="28" name="HOSubject">
    <vt:lpwstr/>
  </property>
  <property fmtid="{D5CDD505-2E9C-101B-9397-08002B2CF9AE}" pid="29" name="wic_System_Copyright">
    <vt:lpwstr/>
  </property>
  <property fmtid="{D5CDD505-2E9C-101B-9397-08002B2CF9AE}" pid="30" name="HOCC">
    <vt:lpwstr/>
  </property>
  <property fmtid="{D5CDD505-2E9C-101B-9397-08002B2CF9AE}" pid="31" name="TriggerFlowInfo">
    <vt:lpwstr/>
  </property>
  <property fmtid="{D5CDD505-2E9C-101B-9397-08002B2CF9AE}" pid="32" name="HOTo">
    <vt:lpwstr/>
  </property>
  <property fmtid="{D5CDD505-2E9C-101B-9397-08002B2CF9AE}" pid="33" name="MSIP_Label_6e83a6fe-0b6e-4399-9d09-a1c8d8d5000c_Enabled">
    <vt:lpwstr>true</vt:lpwstr>
  </property>
  <property fmtid="{D5CDD505-2E9C-101B-9397-08002B2CF9AE}" pid="34" name="MSIP_Label_6e83a6fe-0b6e-4399-9d09-a1c8d8d5000c_SetDate">
    <vt:lpwstr>2023-05-31T09:38:18Z</vt:lpwstr>
  </property>
  <property fmtid="{D5CDD505-2E9C-101B-9397-08002B2CF9AE}" pid="35" name="MSIP_Label_6e83a6fe-0b6e-4399-9d09-a1c8d8d5000c_Method">
    <vt:lpwstr>Privileged</vt:lpwstr>
  </property>
  <property fmtid="{D5CDD505-2E9C-101B-9397-08002B2CF9AE}" pid="36" name="MSIP_Label_6e83a6fe-0b6e-4399-9d09-a1c8d8d5000c_Name">
    <vt:lpwstr>6e83a6fe-0b6e-4399-9d09-a1c8d8d5000c</vt:lpwstr>
  </property>
  <property fmtid="{D5CDD505-2E9C-101B-9397-08002B2CF9AE}" pid="37" name="MSIP_Label_6e83a6fe-0b6e-4399-9d09-a1c8d8d5000c_SiteId">
    <vt:lpwstr>d5bb6d35-8a82-4329-b49a-5030bd6497ab</vt:lpwstr>
  </property>
  <property fmtid="{D5CDD505-2E9C-101B-9397-08002B2CF9AE}" pid="38" name="MSIP_Label_6e83a6fe-0b6e-4399-9d09-a1c8d8d5000c_ActionId">
    <vt:lpwstr>8f925ce8-bd4e-4bc9-85e3-15a2579d1b19</vt:lpwstr>
  </property>
  <property fmtid="{D5CDD505-2E9C-101B-9397-08002B2CF9AE}" pid="39" name="MSIP_Label_6e83a6fe-0b6e-4399-9d09-a1c8d8d5000c_ContentBits">
    <vt:lpwstr>2</vt:lpwstr>
  </property>
</Properties>
</file>