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3AE" w14:textId="6EB3589C" w:rsidR="006F3AE7" w:rsidRPr="00442533" w:rsidRDefault="00F17CBE" w:rsidP="00442533">
      <w:pPr>
        <w:pStyle w:val="Heading2"/>
        <w:rPr>
          <w:i w:val="0"/>
          <w:sz w:val="27"/>
          <w:szCs w:val="27"/>
        </w:rPr>
      </w:pPr>
      <w:r w:rsidRPr="00442533">
        <w:rPr>
          <w:i w:val="0"/>
          <w:sz w:val="27"/>
          <w:szCs w:val="27"/>
        </w:rPr>
        <w:t xml:space="preserve">Land Degradation Neutrality Fund </w:t>
      </w:r>
      <w:r w:rsidR="006F3AE7" w:rsidRPr="00442533">
        <w:rPr>
          <w:i w:val="0"/>
          <w:sz w:val="27"/>
          <w:szCs w:val="27"/>
        </w:rPr>
        <w:t xml:space="preserve">Annual Review </w:t>
      </w:r>
      <w:r w:rsidRPr="00442533">
        <w:rPr>
          <w:i w:val="0"/>
          <w:sz w:val="27"/>
          <w:szCs w:val="27"/>
        </w:rPr>
        <w:t>–</w:t>
      </w:r>
      <w:r w:rsidR="006F3AE7" w:rsidRPr="00442533">
        <w:rPr>
          <w:i w:val="0"/>
          <w:sz w:val="27"/>
          <w:szCs w:val="27"/>
        </w:rPr>
        <w:t xml:space="preserve"> 202</w:t>
      </w:r>
      <w:r w:rsidR="00D21653" w:rsidRPr="00442533">
        <w:rPr>
          <w:i w:val="0"/>
          <w:sz w:val="27"/>
          <w:szCs w:val="27"/>
        </w:rPr>
        <w:t>4</w:t>
      </w:r>
      <w:r w:rsidRPr="00442533">
        <w:rPr>
          <w:i w:val="0"/>
          <w:sz w:val="27"/>
          <w:szCs w:val="27"/>
        </w:rPr>
        <w:t xml:space="preserve"> Performance</w:t>
      </w:r>
    </w:p>
    <w:p w14:paraId="4F1FFEFD" w14:textId="77777777" w:rsidR="006F3AE7" w:rsidRPr="00F70DBE" w:rsidRDefault="006F3AE7" w:rsidP="006110D9">
      <w:pPr>
        <w:jc w:val="both"/>
        <w:rPr>
          <w:b/>
          <w:sz w:val="22"/>
          <w:szCs w:val="22"/>
        </w:rPr>
      </w:pPr>
    </w:p>
    <w:tbl>
      <w:tblPr>
        <w:tblStyle w:val="TableGrid"/>
        <w:tblW w:w="0" w:type="auto"/>
        <w:tblLook w:val="04A0" w:firstRow="1" w:lastRow="0" w:firstColumn="1" w:lastColumn="0" w:noHBand="0" w:noVBand="1"/>
      </w:tblPr>
      <w:tblGrid>
        <w:gridCol w:w="3964"/>
        <w:gridCol w:w="2410"/>
        <w:gridCol w:w="2642"/>
      </w:tblGrid>
      <w:tr w:rsidR="006F3AE7" w:rsidRPr="00F70DBE" w14:paraId="47F4281E" w14:textId="77777777" w:rsidTr="00EC4E49">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19861584" w14:textId="732BFC1B" w:rsidR="006F3AE7" w:rsidRPr="00CC6489" w:rsidRDefault="006F3AE7" w:rsidP="00B001DB">
            <w:pPr>
              <w:rPr>
                <w:b/>
                <w:sz w:val="20"/>
                <w:szCs w:val="22"/>
              </w:rPr>
            </w:pPr>
            <w:r w:rsidRPr="00CC6489">
              <w:rPr>
                <w:b/>
                <w:sz w:val="20"/>
                <w:szCs w:val="22"/>
              </w:rPr>
              <w:t xml:space="preserve">Title:  </w:t>
            </w:r>
            <w:r w:rsidR="000B2B57">
              <w:rPr>
                <w:b/>
                <w:sz w:val="20"/>
                <w:szCs w:val="22"/>
              </w:rPr>
              <w:t>The Land Degradation Neutrality (LDN) Fund</w:t>
            </w:r>
          </w:p>
        </w:tc>
      </w:tr>
      <w:tr w:rsidR="006F3AE7" w:rsidRPr="00F70DBE" w14:paraId="0D529975" w14:textId="77777777" w:rsidTr="00EC4E49">
        <w:trPr>
          <w:trHeight w:val="413"/>
        </w:trPr>
        <w:tc>
          <w:tcPr>
            <w:tcW w:w="6374" w:type="dxa"/>
            <w:gridSpan w:val="2"/>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7CB3E574" w14:textId="20F634FA" w:rsidR="006F3AE7" w:rsidRPr="00CC6489" w:rsidRDefault="006F3AE7" w:rsidP="00B001DB">
            <w:pPr>
              <w:rPr>
                <w:b/>
                <w:sz w:val="20"/>
                <w:szCs w:val="22"/>
              </w:rPr>
            </w:pPr>
            <w:r w:rsidRPr="00CC6489">
              <w:rPr>
                <w:b/>
                <w:sz w:val="20"/>
                <w:szCs w:val="22"/>
              </w:rPr>
              <w:t xml:space="preserve">Programme Value £ (full life): </w:t>
            </w:r>
            <w:r w:rsidR="000B2B57">
              <w:rPr>
                <w:b/>
                <w:sz w:val="20"/>
                <w:szCs w:val="22"/>
              </w:rPr>
              <w:t>£10m GBP</w:t>
            </w:r>
            <w:r w:rsidR="00BB03E1">
              <w:rPr>
                <w:b/>
                <w:sz w:val="20"/>
                <w:szCs w:val="22"/>
              </w:rPr>
              <w:t xml:space="preserve"> ($13.2m USD)</w:t>
            </w:r>
          </w:p>
        </w:tc>
        <w:tc>
          <w:tcPr>
            <w:tcW w:w="2642" w:type="dxa"/>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1C769C30" w14:textId="2B88E20E" w:rsidR="006F3AE7" w:rsidRPr="00CC6489" w:rsidRDefault="006F3AE7" w:rsidP="00B001DB">
            <w:pPr>
              <w:rPr>
                <w:b/>
                <w:bCs/>
                <w:sz w:val="20"/>
                <w:szCs w:val="20"/>
              </w:rPr>
            </w:pPr>
            <w:r w:rsidRPr="372CE9A3">
              <w:rPr>
                <w:b/>
                <w:bCs/>
                <w:sz w:val="20"/>
                <w:szCs w:val="20"/>
              </w:rPr>
              <w:t xml:space="preserve">Review </w:t>
            </w:r>
            <w:r w:rsidR="002816BC" w:rsidRPr="372CE9A3">
              <w:rPr>
                <w:b/>
                <w:bCs/>
                <w:sz w:val="20"/>
                <w:szCs w:val="20"/>
              </w:rPr>
              <w:t>d</w:t>
            </w:r>
            <w:r w:rsidRPr="372CE9A3">
              <w:rPr>
                <w:b/>
                <w:bCs/>
                <w:sz w:val="20"/>
                <w:szCs w:val="20"/>
              </w:rPr>
              <w:t xml:space="preserve">ate: </w:t>
            </w:r>
            <w:r w:rsidR="000B02B8" w:rsidRPr="00F26B17">
              <w:rPr>
                <w:sz w:val="20"/>
                <w:szCs w:val="20"/>
              </w:rPr>
              <w:t>J</w:t>
            </w:r>
            <w:r w:rsidR="00B001DB">
              <w:rPr>
                <w:sz w:val="20"/>
                <w:szCs w:val="20"/>
              </w:rPr>
              <w:t>an-Dec 2024</w:t>
            </w:r>
          </w:p>
        </w:tc>
      </w:tr>
      <w:tr w:rsidR="006F3AE7" w:rsidRPr="00F70DBE" w14:paraId="7BCDC10B" w14:textId="77777777" w:rsidTr="00EC4E49">
        <w:trPr>
          <w:trHeight w:val="300"/>
        </w:trPr>
        <w:tc>
          <w:tcPr>
            <w:tcW w:w="3964" w:type="dxa"/>
            <w:tcBorders>
              <w:top w:val="dotted" w:sz="2" w:space="0" w:color="000000" w:themeColor="text1"/>
              <w:left w:val="single" w:sz="4" w:space="0" w:color="auto"/>
              <w:bottom w:val="single" w:sz="4" w:space="0" w:color="auto"/>
              <w:right w:val="dotted" w:sz="2" w:space="0" w:color="000000" w:themeColor="text1"/>
            </w:tcBorders>
          </w:tcPr>
          <w:p w14:paraId="34D5E3F0" w14:textId="77777777" w:rsidR="006F3AE7" w:rsidRPr="00CC6489" w:rsidRDefault="006F3AE7" w:rsidP="00B001DB">
            <w:pPr>
              <w:rPr>
                <w:b/>
                <w:sz w:val="20"/>
                <w:szCs w:val="22"/>
              </w:rPr>
            </w:pPr>
            <w:r w:rsidRPr="00CC6489">
              <w:rPr>
                <w:b/>
                <w:sz w:val="20"/>
                <w:szCs w:val="22"/>
              </w:rPr>
              <w:t xml:space="preserve">Programme Code: </w:t>
            </w:r>
            <w:r w:rsidRPr="00CC6489">
              <w:rPr>
                <w:sz w:val="20"/>
                <w:szCs w:val="22"/>
              </w:rPr>
              <w:t>[</w:t>
            </w:r>
            <w:r w:rsidRPr="00CC6489">
              <w:rPr>
                <w:rFonts w:cs="Arial"/>
                <w:sz w:val="20"/>
                <w:szCs w:val="20"/>
              </w:rPr>
              <w:t>AMP ID#]</w:t>
            </w:r>
          </w:p>
          <w:p w14:paraId="0C963E24" w14:textId="77777777" w:rsidR="006F3AE7" w:rsidRPr="00CC6489" w:rsidRDefault="006F3AE7" w:rsidP="00B001DB">
            <w:pPr>
              <w:rPr>
                <w:b/>
                <w:sz w:val="20"/>
                <w:szCs w:val="22"/>
              </w:rPr>
            </w:pPr>
          </w:p>
        </w:tc>
        <w:tc>
          <w:tcPr>
            <w:tcW w:w="2410"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7ADA9748" w14:textId="4BFB1014" w:rsidR="006F3AE7" w:rsidRPr="00CC6489" w:rsidRDefault="002816BC" w:rsidP="00B001DB">
            <w:pPr>
              <w:rPr>
                <w:b/>
                <w:sz w:val="20"/>
                <w:szCs w:val="22"/>
              </w:rPr>
            </w:pPr>
            <w:r>
              <w:rPr>
                <w:b/>
                <w:sz w:val="20"/>
                <w:szCs w:val="22"/>
              </w:rPr>
              <w:t>AMP start d</w:t>
            </w:r>
            <w:r w:rsidR="006F3AE7" w:rsidRPr="00CC6489">
              <w:rPr>
                <w:b/>
                <w:sz w:val="20"/>
                <w:szCs w:val="22"/>
              </w:rPr>
              <w:t>ate:</w:t>
            </w:r>
            <w:r w:rsidR="006F3AE7" w:rsidRPr="00CC6489">
              <w:rPr>
                <w:sz w:val="20"/>
              </w:rPr>
              <w:t xml:space="preserve"> </w:t>
            </w:r>
            <w:r w:rsidR="000B2B57">
              <w:rPr>
                <w:sz w:val="20"/>
              </w:rPr>
              <w:t>December 2019</w:t>
            </w:r>
          </w:p>
        </w:tc>
        <w:tc>
          <w:tcPr>
            <w:tcW w:w="2642" w:type="dxa"/>
            <w:tcBorders>
              <w:top w:val="dotted" w:sz="2" w:space="0" w:color="000000" w:themeColor="text1"/>
              <w:left w:val="dotted" w:sz="2" w:space="0" w:color="000000" w:themeColor="text1"/>
              <w:bottom w:val="single" w:sz="4" w:space="0" w:color="auto"/>
              <w:right w:val="single" w:sz="4" w:space="0" w:color="auto"/>
            </w:tcBorders>
            <w:hideMark/>
          </w:tcPr>
          <w:p w14:paraId="2EEAABCE" w14:textId="3D7F9B0B" w:rsidR="006F3AE7" w:rsidRPr="00CC6489" w:rsidRDefault="002816BC" w:rsidP="00B001DB">
            <w:pPr>
              <w:rPr>
                <w:b/>
                <w:sz w:val="20"/>
                <w:szCs w:val="22"/>
              </w:rPr>
            </w:pPr>
            <w:r>
              <w:rPr>
                <w:b/>
                <w:sz w:val="20"/>
                <w:szCs w:val="22"/>
              </w:rPr>
              <w:t>AMP end d</w:t>
            </w:r>
            <w:r w:rsidR="006F3AE7" w:rsidRPr="00CC6489">
              <w:rPr>
                <w:b/>
                <w:sz w:val="20"/>
                <w:szCs w:val="22"/>
              </w:rPr>
              <w:t>ate:</w:t>
            </w:r>
            <w:r w:rsidR="006F3AE7" w:rsidRPr="00CC6489">
              <w:rPr>
                <w:sz w:val="20"/>
              </w:rPr>
              <w:t xml:space="preserve"> </w:t>
            </w:r>
            <w:r w:rsidR="007D6609">
              <w:rPr>
                <w:sz w:val="20"/>
              </w:rPr>
              <w:t>2033</w:t>
            </w:r>
          </w:p>
        </w:tc>
      </w:tr>
    </w:tbl>
    <w:p w14:paraId="1F73C094" w14:textId="77777777" w:rsidR="006F3AE7" w:rsidRPr="00F70DBE" w:rsidRDefault="006F3AE7" w:rsidP="006110D9">
      <w:pPr>
        <w:jc w:val="both"/>
        <w:rPr>
          <w:b/>
          <w:sz w:val="22"/>
          <w:szCs w:val="22"/>
        </w:rPr>
      </w:pPr>
    </w:p>
    <w:p w14:paraId="36AFB1BA" w14:textId="77777777" w:rsidR="006F3AE7" w:rsidRPr="00CC6489" w:rsidRDefault="006F3AE7" w:rsidP="006110D9">
      <w:pPr>
        <w:jc w:val="both"/>
        <w:rPr>
          <w:b/>
          <w:sz w:val="22"/>
          <w:szCs w:val="22"/>
        </w:rPr>
      </w:pPr>
      <w:r w:rsidRPr="00CC6489">
        <w:rPr>
          <w:b/>
          <w:sz w:val="22"/>
          <w:szCs w:val="22"/>
        </w:rPr>
        <w:t xml:space="preserve">Summary of Programme Performance </w:t>
      </w:r>
    </w:p>
    <w:tbl>
      <w:tblPr>
        <w:tblStyle w:val="TableGrid"/>
        <w:tblW w:w="0" w:type="auto"/>
        <w:tblLayout w:type="fixed"/>
        <w:tblLook w:val="04A0" w:firstRow="1" w:lastRow="0" w:firstColumn="1" w:lastColumn="0" w:noHBand="0" w:noVBand="1"/>
      </w:tblPr>
      <w:tblGrid>
        <w:gridCol w:w="2210"/>
        <w:gridCol w:w="1181"/>
        <w:gridCol w:w="1181"/>
        <w:gridCol w:w="1033"/>
        <w:gridCol w:w="1181"/>
        <w:gridCol w:w="1147"/>
      </w:tblGrid>
      <w:tr w:rsidR="004811EE" w:rsidRPr="00CC6489" w14:paraId="3FAAC49F" w14:textId="77777777" w:rsidTr="00EC4E49">
        <w:trPr>
          <w:trHeight w:val="233"/>
        </w:trPr>
        <w:tc>
          <w:tcPr>
            <w:tcW w:w="22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4811EE" w:rsidRPr="00CC6489" w:rsidRDefault="004811EE" w:rsidP="006110D9">
            <w:pPr>
              <w:jc w:val="both"/>
              <w:rPr>
                <w:sz w:val="20"/>
                <w:szCs w:val="22"/>
              </w:rPr>
            </w:pPr>
            <w:r w:rsidRPr="00CC6489">
              <w:rPr>
                <w:sz w:val="20"/>
                <w:szCs w:val="22"/>
              </w:rPr>
              <w:t>Year</w:t>
            </w:r>
          </w:p>
        </w:tc>
        <w:tc>
          <w:tcPr>
            <w:tcW w:w="1181" w:type="dxa"/>
            <w:tcBorders>
              <w:top w:val="single" w:sz="4" w:space="0" w:color="auto"/>
              <w:left w:val="single" w:sz="4" w:space="0" w:color="auto"/>
              <w:bottom w:val="single" w:sz="4" w:space="0" w:color="auto"/>
              <w:right w:val="single" w:sz="4" w:space="0" w:color="auto"/>
            </w:tcBorders>
          </w:tcPr>
          <w:p w14:paraId="3789EC80" w14:textId="753D789C" w:rsidR="004811EE" w:rsidRPr="00CC6489" w:rsidRDefault="004811EE" w:rsidP="006110D9">
            <w:pPr>
              <w:jc w:val="both"/>
              <w:rPr>
                <w:b/>
                <w:sz w:val="20"/>
                <w:szCs w:val="22"/>
              </w:rPr>
            </w:pPr>
            <w:r>
              <w:rPr>
                <w:b/>
                <w:sz w:val="20"/>
                <w:szCs w:val="22"/>
              </w:rPr>
              <w:t>2020</w:t>
            </w:r>
          </w:p>
        </w:tc>
        <w:tc>
          <w:tcPr>
            <w:tcW w:w="1181" w:type="dxa"/>
            <w:tcBorders>
              <w:top w:val="single" w:sz="4" w:space="0" w:color="auto"/>
              <w:left w:val="single" w:sz="4" w:space="0" w:color="auto"/>
              <w:bottom w:val="single" w:sz="4" w:space="0" w:color="auto"/>
              <w:right w:val="single" w:sz="4" w:space="0" w:color="auto"/>
            </w:tcBorders>
          </w:tcPr>
          <w:p w14:paraId="4142BE6C" w14:textId="43687FAD" w:rsidR="004811EE" w:rsidRPr="00CC6489" w:rsidRDefault="004811EE" w:rsidP="006110D9">
            <w:pPr>
              <w:jc w:val="both"/>
              <w:rPr>
                <w:b/>
                <w:sz w:val="20"/>
                <w:szCs w:val="22"/>
              </w:rPr>
            </w:pPr>
            <w:r>
              <w:rPr>
                <w:b/>
                <w:sz w:val="20"/>
                <w:szCs w:val="22"/>
              </w:rPr>
              <w:t>2021</w:t>
            </w:r>
          </w:p>
        </w:tc>
        <w:tc>
          <w:tcPr>
            <w:tcW w:w="1033" w:type="dxa"/>
            <w:tcBorders>
              <w:top w:val="single" w:sz="4" w:space="0" w:color="auto"/>
              <w:left w:val="single" w:sz="4" w:space="0" w:color="auto"/>
              <w:bottom w:val="single" w:sz="4" w:space="0" w:color="auto"/>
              <w:right w:val="single" w:sz="4" w:space="0" w:color="auto"/>
            </w:tcBorders>
          </w:tcPr>
          <w:p w14:paraId="388FF97F" w14:textId="6BC7AFAC" w:rsidR="004811EE" w:rsidRPr="00CC6489" w:rsidRDefault="004811EE" w:rsidP="006110D9">
            <w:pPr>
              <w:jc w:val="both"/>
              <w:rPr>
                <w:b/>
                <w:sz w:val="20"/>
                <w:szCs w:val="22"/>
              </w:rPr>
            </w:pPr>
            <w:r>
              <w:rPr>
                <w:b/>
                <w:sz w:val="20"/>
                <w:szCs w:val="22"/>
              </w:rPr>
              <w:t>2022</w:t>
            </w:r>
          </w:p>
        </w:tc>
        <w:tc>
          <w:tcPr>
            <w:tcW w:w="1181" w:type="dxa"/>
            <w:tcBorders>
              <w:top w:val="single" w:sz="4" w:space="0" w:color="auto"/>
              <w:left w:val="single" w:sz="4" w:space="0" w:color="auto"/>
              <w:bottom w:val="single" w:sz="4" w:space="0" w:color="auto"/>
              <w:right w:val="single" w:sz="4" w:space="0" w:color="auto"/>
            </w:tcBorders>
          </w:tcPr>
          <w:p w14:paraId="066342D3" w14:textId="6B46DA5C" w:rsidR="004811EE" w:rsidRPr="00CC6489" w:rsidRDefault="004811EE" w:rsidP="006110D9">
            <w:pPr>
              <w:jc w:val="both"/>
              <w:rPr>
                <w:b/>
                <w:bCs/>
                <w:sz w:val="20"/>
                <w:szCs w:val="20"/>
              </w:rPr>
            </w:pPr>
            <w:r w:rsidRPr="372CE9A3">
              <w:rPr>
                <w:b/>
                <w:bCs/>
                <w:sz w:val="20"/>
                <w:szCs w:val="20"/>
              </w:rPr>
              <w:t>2023</w:t>
            </w:r>
          </w:p>
        </w:tc>
        <w:tc>
          <w:tcPr>
            <w:tcW w:w="1147" w:type="dxa"/>
            <w:tcBorders>
              <w:top w:val="single" w:sz="4" w:space="0" w:color="auto"/>
              <w:left w:val="single" w:sz="4" w:space="0" w:color="auto"/>
              <w:bottom w:val="single" w:sz="4" w:space="0" w:color="auto"/>
              <w:right w:val="single" w:sz="4" w:space="0" w:color="auto"/>
            </w:tcBorders>
          </w:tcPr>
          <w:p w14:paraId="17932494" w14:textId="739A53DC" w:rsidR="004811EE" w:rsidRPr="00CC6489" w:rsidRDefault="004811EE" w:rsidP="006110D9">
            <w:pPr>
              <w:jc w:val="both"/>
              <w:rPr>
                <w:b/>
                <w:sz w:val="20"/>
                <w:szCs w:val="22"/>
              </w:rPr>
            </w:pPr>
            <w:r>
              <w:rPr>
                <w:b/>
                <w:sz w:val="20"/>
                <w:szCs w:val="22"/>
              </w:rPr>
              <w:t>2024</w:t>
            </w:r>
          </w:p>
        </w:tc>
      </w:tr>
      <w:tr w:rsidR="004811EE" w:rsidRPr="00CC6489" w14:paraId="07C3274D" w14:textId="77777777" w:rsidTr="00EC4E49">
        <w:trPr>
          <w:trHeight w:val="233"/>
        </w:trPr>
        <w:tc>
          <w:tcPr>
            <w:tcW w:w="22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4811EE" w:rsidRPr="00CC6489" w:rsidRDefault="004811EE" w:rsidP="006110D9">
            <w:pPr>
              <w:jc w:val="both"/>
              <w:rPr>
                <w:sz w:val="20"/>
                <w:szCs w:val="22"/>
              </w:rPr>
            </w:pPr>
            <w:r w:rsidRPr="00CC6489">
              <w:rPr>
                <w:sz w:val="20"/>
                <w:szCs w:val="22"/>
              </w:rPr>
              <w:t>Overall Output Score</w:t>
            </w:r>
          </w:p>
        </w:tc>
        <w:tc>
          <w:tcPr>
            <w:tcW w:w="1181" w:type="dxa"/>
            <w:tcBorders>
              <w:top w:val="single" w:sz="4" w:space="0" w:color="auto"/>
              <w:left w:val="single" w:sz="4" w:space="0" w:color="auto"/>
              <w:bottom w:val="single" w:sz="4" w:space="0" w:color="auto"/>
              <w:right w:val="single" w:sz="4" w:space="0" w:color="auto"/>
            </w:tcBorders>
          </w:tcPr>
          <w:p w14:paraId="32E739E6" w14:textId="03EF3088" w:rsidR="004811EE" w:rsidRPr="00CC6489" w:rsidRDefault="004811EE" w:rsidP="006110D9">
            <w:pPr>
              <w:jc w:val="both"/>
              <w:rPr>
                <w:b/>
                <w:sz w:val="20"/>
                <w:szCs w:val="22"/>
              </w:rPr>
            </w:pPr>
            <w:r>
              <w:rPr>
                <w:b/>
                <w:sz w:val="20"/>
                <w:szCs w:val="22"/>
              </w:rPr>
              <w:t>A</w:t>
            </w:r>
          </w:p>
        </w:tc>
        <w:tc>
          <w:tcPr>
            <w:tcW w:w="1181" w:type="dxa"/>
            <w:tcBorders>
              <w:top w:val="single" w:sz="4" w:space="0" w:color="auto"/>
              <w:left w:val="single" w:sz="4" w:space="0" w:color="auto"/>
              <w:bottom w:val="single" w:sz="4" w:space="0" w:color="auto"/>
              <w:right w:val="single" w:sz="4" w:space="0" w:color="auto"/>
            </w:tcBorders>
          </w:tcPr>
          <w:p w14:paraId="6BA4EC77" w14:textId="453C11D5" w:rsidR="004811EE" w:rsidRPr="00CC6489" w:rsidRDefault="004811EE" w:rsidP="006110D9">
            <w:pPr>
              <w:jc w:val="both"/>
              <w:rPr>
                <w:b/>
                <w:sz w:val="20"/>
                <w:szCs w:val="22"/>
              </w:rPr>
            </w:pPr>
            <w:r>
              <w:rPr>
                <w:b/>
                <w:sz w:val="20"/>
                <w:szCs w:val="22"/>
              </w:rPr>
              <w:t>A</w:t>
            </w:r>
          </w:p>
        </w:tc>
        <w:tc>
          <w:tcPr>
            <w:tcW w:w="1033" w:type="dxa"/>
            <w:tcBorders>
              <w:top w:val="single" w:sz="4" w:space="0" w:color="auto"/>
              <w:left w:val="single" w:sz="4" w:space="0" w:color="auto"/>
              <w:bottom w:val="single" w:sz="4" w:space="0" w:color="auto"/>
              <w:right w:val="single" w:sz="4" w:space="0" w:color="auto"/>
            </w:tcBorders>
          </w:tcPr>
          <w:p w14:paraId="31108F1C" w14:textId="55367316" w:rsidR="004811EE" w:rsidRPr="00CC6489" w:rsidRDefault="004811EE" w:rsidP="006110D9">
            <w:pPr>
              <w:jc w:val="both"/>
              <w:rPr>
                <w:b/>
                <w:bCs/>
                <w:sz w:val="20"/>
                <w:szCs w:val="20"/>
              </w:rPr>
            </w:pPr>
            <w:r>
              <w:rPr>
                <w:b/>
                <w:bCs/>
                <w:sz w:val="20"/>
                <w:szCs w:val="20"/>
              </w:rPr>
              <w:t>A</w:t>
            </w:r>
          </w:p>
        </w:tc>
        <w:tc>
          <w:tcPr>
            <w:tcW w:w="1181" w:type="dxa"/>
            <w:tcBorders>
              <w:top w:val="single" w:sz="4" w:space="0" w:color="auto"/>
              <w:left w:val="single" w:sz="4" w:space="0" w:color="auto"/>
              <w:bottom w:val="single" w:sz="4" w:space="0" w:color="auto"/>
              <w:right w:val="single" w:sz="4" w:space="0" w:color="auto"/>
            </w:tcBorders>
          </w:tcPr>
          <w:p w14:paraId="634F0501" w14:textId="381E3CE1" w:rsidR="004811EE" w:rsidRPr="00CC6489" w:rsidRDefault="004811EE" w:rsidP="006110D9">
            <w:pPr>
              <w:jc w:val="both"/>
              <w:rPr>
                <w:b/>
                <w:bCs/>
                <w:sz w:val="20"/>
                <w:szCs w:val="20"/>
              </w:rPr>
            </w:pPr>
            <w:r>
              <w:rPr>
                <w:b/>
                <w:bCs/>
                <w:sz w:val="20"/>
                <w:szCs w:val="20"/>
              </w:rPr>
              <w:t>A</w:t>
            </w:r>
          </w:p>
        </w:tc>
        <w:tc>
          <w:tcPr>
            <w:tcW w:w="1147" w:type="dxa"/>
            <w:tcBorders>
              <w:top w:val="single" w:sz="4" w:space="0" w:color="auto"/>
              <w:left w:val="single" w:sz="4" w:space="0" w:color="auto"/>
              <w:bottom w:val="single" w:sz="4" w:space="0" w:color="auto"/>
              <w:right w:val="single" w:sz="4" w:space="0" w:color="auto"/>
            </w:tcBorders>
          </w:tcPr>
          <w:p w14:paraId="695E147B" w14:textId="61CA57FD" w:rsidR="004811EE" w:rsidRPr="00CC6489" w:rsidRDefault="004811EE" w:rsidP="006110D9">
            <w:pPr>
              <w:jc w:val="both"/>
              <w:rPr>
                <w:b/>
                <w:sz w:val="20"/>
                <w:szCs w:val="22"/>
              </w:rPr>
            </w:pPr>
            <w:r>
              <w:rPr>
                <w:b/>
                <w:sz w:val="20"/>
                <w:szCs w:val="22"/>
              </w:rPr>
              <w:t>A</w:t>
            </w:r>
          </w:p>
        </w:tc>
      </w:tr>
      <w:tr w:rsidR="004811EE" w:rsidRPr="00CC6489" w14:paraId="29305AB3" w14:textId="77777777" w:rsidTr="00EC4E49">
        <w:trPr>
          <w:trHeight w:val="320"/>
        </w:trPr>
        <w:tc>
          <w:tcPr>
            <w:tcW w:w="22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4811EE" w:rsidRPr="00CC6489" w:rsidRDefault="004811EE" w:rsidP="006110D9">
            <w:pPr>
              <w:jc w:val="both"/>
              <w:rPr>
                <w:sz w:val="20"/>
                <w:szCs w:val="22"/>
              </w:rPr>
            </w:pPr>
            <w:r w:rsidRPr="00CC6489">
              <w:rPr>
                <w:sz w:val="20"/>
                <w:szCs w:val="22"/>
              </w:rPr>
              <w:t>Risk Rating</w:t>
            </w:r>
            <w:r w:rsidRPr="00CC6489">
              <w:rPr>
                <w:sz w:val="22"/>
              </w:rPr>
              <w:t xml:space="preserve"> </w:t>
            </w:r>
          </w:p>
        </w:tc>
        <w:tc>
          <w:tcPr>
            <w:tcW w:w="1181" w:type="dxa"/>
            <w:tcBorders>
              <w:top w:val="single" w:sz="4" w:space="0" w:color="auto"/>
              <w:left w:val="single" w:sz="4" w:space="0" w:color="auto"/>
              <w:bottom w:val="single" w:sz="4" w:space="0" w:color="auto"/>
              <w:right w:val="single" w:sz="4" w:space="0" w:color="auto"/>
            </w:tcBorders>
          </w:tcPr>
          <w:p w14:paraId="51830F80" w14:textId="75B99A5C" w:rsidR="004811EE" w:rsidRPr="00CC6489" w:rsidRDefault="006A0E10" w:rsidP="006110D9">
            <w:pPr>
              <w:jc w:val="both"/>
              <w:rPr>
                <w:b/>
                <w:sz w:val="20"/>
                <w:szCs w:val="22"/>
              </w:rPr>
            </w:pPr>
            <w:r>
              <w:rPr>
                <w:b/>
                <w:sz w:val="20"/>
                <w:szCs w:val="22"/>
              </w:rPr>
              <w:t>Medium</w:t>
            </w:r>
          </w:p>
        </w:tc>
        <w:tc>
          <w:tcPr>
            <w:tcW w:w="1181" w:type="dxa"/>
            <w:tcBorders>
              <w:top w:val="single" w:sz="4" w:space="0" w:color="auto"/>
              <w:left w:val="single" w:sz="4" w:space="0" w:color="auto"/>
              <w:bottom w:val="single" w:sz="4" w:space="0" w:color="auto"/>
              <w:right w:val="single" w:sz="4" w:space="0" w:color="auto"/>
            </w:tcBorders>
          </w:tcPr>
          <w:p w14:paraId="2BF67D24" w14:textId="1AABBDDA" w:rsidR="004811EE" w:rsidRPr="00CC6489" w:rsidRDefault="006A0E10" w:rsidP="006110D9">
            <w:pPr>
              <w:jc w:val="both"/>
              <w:rPr>
                <w:b/>
                <w:sz w:val="20"/>
                <w:szCs w:val="22"/>
              </w:rPr>
            </w:pPr>
            <w:r>
              <w:rPr>
                <w:b/>
                <w:sz w:val="20"/>
                <w:szCs w:val="22"/>
              </w:rPr>
              <w:t>Medium</w:t>
            </w:r>
          </w:p>
        </w:tc>
        <w:tc>
          <w:tcPr>
            <w:tcW w:w="1033" w:type="dxa"/>
            <w:tcBorders>
              <w:top w:val="single" w:sz="4" w:space="0" w:color="auto"/>
              <w:left w:val="single" w:sz="4" w:space="0" w:color="auto"/>
              <w:bottom w:val="single" w:sz="4" w:space="0" w:color="auto"/>
              <w:right w:val="single" w:sz="4" w:space="0" w:color="auto"/>
            </w:tcBorders>
          </w:tcPr>
          <w:p w14:paraId="2A2B872D" w14:textId="34BC4B67" w:rsidR="004811EE" w:rsidRPr="00CC6489" w:rsidRDefault="004811EE" w:rsidP="006110D9">
            <w:pPr>
              <w:jc w:val="both"/>
              <w:rPr>
                <w:b/>
                <w:sz w:val="20"/>
                <w:szCs w:val="22"/>
              </w:rPr>
            </w:pPr>
            <w:r>
              <w:rPr>
                <w:b/>
                <w:sz w:val="20"/>
                <w:szCs w:val="22"/>
              </w:rPr>
              <w:t>Low</w:t>
            </w:r>
          </w:p>
        </w:tc>
        <w:tc>
          <w:tcPr>
            <w:tcW w:w="1181" w:type="dxa"/>
            <w:tcBorders>
              <w:top w:val="single" w:sz="4" w:space="0" w:color="auto"/>
              <w:left w:val="single" w:sz="4" w:space="0" w:color="auto"/>
              <w:bottom w:val="single" w:sz="4" w:space="0" w:color="auto"/>
              <w:right w:val="single" w:sz="4" w:space="0" w:color="auto"/>
            </w:tcBorders>
          </w:tcPr>
          <w:p w14:paraId="62ED8C8E" w14:textId="4372E427" w:rsidR="004811EE" w:rsidRPr="00CC6489" w:rsidRDefault="006A0E10" w:rsidP="006110D9">
            <w:pPr>
              <w:jc w:val="both"/>
              <w:rPr>
                <w:b/>
                <w:bCs/>
                <w:sz w:val="20"/>
                <w:szCs w:val="20"/>
              </w:rPr>
            </w:pPr>
            <w:r>
              <w:rPr>
                <w:b/>
                <w:sz w:val="20"/>
                <w:szCs w:val="22"/>
              </w:rPr>
              <w:t>Medium</w:t>
            </w:r>
          </w:p>
        </w:tc>
        <w:tc>
          <w:tcPr>
            <w:tcW w:w="1147" w:type="dxa"/>
            <w:tcBorders>
              <w:top w:val="single" w:sz="4" w:space="0" w:color="auto"/>
              <w:left w:val="single" w:sz="4" w:space="0" w:color="auto"/>
              <w:bottom w:val="single" w:sz="4" w:space="0" w:color="auto"/>
              <w:right w:val="single" w:sz="4" w:space="0" w:color="auto"/>
            </w:tcBorders>
          </w:tcPr>
          <w:p w14:paraId="0DA33296" w14:textId="7E258647" w:rsidR="004811EE" w:rsidRPr="00CC6489" w:rsidRDefault="006A0E10" w:rsidP="006110D9">
            <w:pPr>
              <w:jc w:val="both"/>
              <w:rPr>
                <w:b/>
                <w:sz w:val="20"/>
                <w:szCs w:val="22"/>
              </w:rPr>
            </w:pPr>
            <w:r>
              <w:rPr>
                <w:b/>
                <w:sz w:val="20"/>
                <w:szCs w:val="22"/>
              </w:rPr>
              <w:t>Medium</w:t>
            </w:r>
          </w:p>
        </w:tc>
      </w:tr>
    </w:tbl>
    <w:p w14:paraId="3F14494A" w14:textId="77777777" w:rsidR="006F3AE7" w:rsidRDefault="006F3AE7" w:rsidP="006110D9">
      <w:pPr>
        <w:jc w:val="both"/>
        <w:rPr>
          <w:b/>
          <w:sz w:val="22"/>
          <w:szCs w:val="22"/>
        </w:rPr>
      </w:pPr>
    </w:p>
    <w:tbl>
      <w:tblPr>
        <w:tblStyle w:val="TableGrid"/>
        <w:tblW w:w="0" w:type="auto"/>
        <w:tblInd w:w="-5" w:type="dxa"/>
        <w:tblLook w:val="04A0" w:firstRow="1" w:lastRow="0" w:firstColumn="1" w:lastColumn="0" w:noHBand="0" w:noVBand="1"/>
      </w:tblPr>
      <w:tblGrid>
        <w:gridCol w:w="3969"/>
        <w:gridCol w:w="5052"/>
      </w:tblGrid>
      <w:tr w:rsidR="001214AB" w:rsidRPr="00F70DBE" w14:paraId="5ED04B8A" w14:textId="77777777" w:rsidTr="00EC4E49">
        <w:trPr>
          <w:trHeight w:val="355"/>
        </w:trPr>
        <w:tc>
          <w:tcPr>
            <w:tcW w:w="3969" w:type="dxa"/>
            <w:shd w:val="clear" w:color="auto" w:fill="B4C6E7" w:themeFill="accent1" w:themeFillTint="66"/>
            <w:hideMark/>
          </w:tcPr>
          <w:p w14:paraId="084C6192" w14:textId="77777777" w:rsidR="006F3AE7" w:rsidRPr="00F70DBE" w:rsidRDefault="006F3AE7" w:rsidP="006110D9">
            <w:pPr>
              <w:jc w:val="both"/>
              <w:rPr>
                <w:rFonts w:cs="Arial"/>
                <w:sz w:val="20"/>
                <w:szCs w:val="20"/>
              </w:rPr>
            </w:pPr>
            <w:proofErr w:type="spellStart"/>
            <w:r w:rsidRPr="3565349E">
              <w:rPr>
                <w:rFonts w:cs="Arial"/>
                <w:sz w:val="20"/>
                <w:szCs w:val="20"/>
              </w:rPr>
              <w:t>DevTracker</w:t>
            </w:r>
            <w:proofErr w:type="spellEnd"/>
            <w:r w:rsidRPr="3565349E">
              <w:rPr>
                <w:rFonts w:cs="Arial"/>
                <w:sz w:val="20"/>
                <w:szCs w:val="20"/>
              </w:rPr>
              <w:t xml:space="preserve"> Link to Business Case: </w:t>
            </w:r>
          </w:p>
        </w:tc>
        <w:tc>
          <w:tcPr>
            <w:tcW w:w="5052" w:type="dxa"/>
          </w:tcPr>
          <w:p w14:paraId="7547CEAA" w14:textId="30C36D8F" w:rsidR="006F3AE7" w:rsidRPr="00F70DBE" w:rsidRDefault="00210B00" w:rsidP="006110D9">
            <w:pPr>
              <w:jc w:val="both"/>
              <w:rPr>
                <w:rFonts w:cs="Arial"/>
                <w:b/>
                <w:sz w:val="22"/>
                <w:szCs w:val="22"/>
              </w:rPr>
            </w:pPr>
            <w:hyperlink r:id="rId12" w:history="1">
              <w:r w:rsidRPr="00210B00">
                <w:rPr>
                  <w:rStyle w:val="Hyperlink"/>
                  <w:rFonts w:cs="Arial"/>
                  <w:b/>
                  <w:sz w:val="22"/>
                  <w:szCs w:val="22"/>
                  <w:lang w:eastAsia="en-US"/>
                </w:rPr>
                <w:t>Business Case</w:t>
              </w:r>
            </w:hyperlink>
          </w:p>
        </w:tc>
      </w:tr>
      <w:tr w:rsidR="001214AB" w:rsidRPr="00F70DBE" w14:paraId="1BE27F98" w14:textId="77777777" w:rsidTr="00EC4E49">
        <w:trPr>
          <w:trHeight w:val="403"/>
        </w:trPr>
        <w:tc>
          <w:tcPr>
            <w:tcW w:w="3969" w:type="dxa"/>
            <w:shd w:val="clear" w:color="auto" w:fill="B4C6E7" w:themeFill="accent1" w:themeFillTint="66"/>
            <w:hideMark/>
          </w:tcPr>
          <w:p w14:paraId="77EEC9AB" w14:textId="21B976EE" w:rsidR="006F3AE7" w:rsidRPr="00F70DBE" w:rsidRDefault="006F3AE7" w:rsidP="006110D9">
            <w:pPr>
              <w:jc w:val="both"/>
              <w:rPr>
                <w:rFonts w:cs="Arial"/>
                <w:bCs/>
                <w:i/>
                <w:sz w:val="20"/>
                <w:szCs w:val="20"/>
              </w:rPr>
            </w:pPr>
            <w:proofErr w:type="spellStart"/>
            <w:r w:rsidRPr="00F70DBE">
              <w:rPr>
                <w:rFonts w:cs="Arial"/>
                <w:bCs/>
                <w:sz w:val="20"/>
                <w:szCs w:val="20"/>
              </w:rPr>
              <w:t>DevTracker</w:t>
            </w:r>
            <w:proofErr w:type="spellEnd"/>
            <w:r w:rsidRPr="00F70DBE">
              <w:rPr>
                <w:rFonts w:cs="Arial"/>
                <w:bCs/>
                <w:sz w:val="20"/>
                <w:szCs w:val="20"/>
              </w:rPr>
              <w:t xml:space="preserve"> Link to </w:t>
            </w:r>
            <w:r>
              <w:rPr>
                <w:rFonts w:cs="Arial"/>
                <w:bCs/>
                <w:sz w:val="20"/>
                <w:szCs w:val="20"/>
              </w:rPr>
              <w:t>results framework</w:t>
            </w:r>
            <w:r w:rsidRPr="00F70DBE">
              <w:rPr>
                <w:rFonts w:cs="Arial"/>
                <w:bCs/>
                <w:sz w:val="20"/>
                <w:szCs w:val="20"/>
              </w:rPr>
              <w:t xml:space="preserve">: </w:t>
            </w:r>
          </w:p>
        </w:tc>
        <w:tc>
          <w:tcPr>
            <w:tcW w:w="5052" w:type="dxa"/>
          </w:tcPr>
          <w:p w14:paraId="1EBB8B7A" w14:textId="4F5BF338" w:rsidR="006F3AE7" w:rsidRPr="00F70DBE" w:rsidRDefault="001A418B" w:rsidP="006110D9">
            <w:pPr>
              <w:jc w:val="both"/>
              <w:rPr>
                <w:rFonts w:cs="Arial"/>
                <w:b/>
                <w:sz w:val="22"/>
                <w:szCs w:val="22"/>
              </w:rPr>
            </w:pPr>
            <w:hyperlink r:id="rId13" w:history="1">
              <w:r w:rsidRPr="001A418B">
                <w:rPr>
                  <w:rStyle w:val="Hyperlink"/>
                  <w:rFonts w:cs="Arial"/>
                  <w:b/>
                  <w:sz w:val="22"/>
                  <w:szCs w:val="22"/>
                  <w:lang w:eastAsia="en-US"/>
                </w:rPr>
                <w:t>LogFrame (2023)</w:t>
              </w:r>
            </w:hyperlink>
          </w:p>
        </w:tc>
      </w:tr>
    </w:tbl>
    <w:p w14:paraId="57506ECC" w14:textId="49B3460A" w:rsidR="003507A1" w:rsidRDefault="003507A1" w:rsidP="006110D9">
      <w:pPr>
        <w:jc w:val="both"/>
        <w:rPr>
          <w:sz w:val="20"/>
          <w:szCs w:val="22"/>
        </w:rPr>
      </w:pPr>
    </w:p>
    <w:p w14:paraId="22403C63" w14:textId="77777777" w:rsidR="003507A1" w:rsidRDefault="003507A1" w:rsidP="006110D9">
      <w:pPr>
        <w:jc w:val="both"/>
        <w:rPr>
          <w:sz w:val="20"/>
          <w:szCs w:val="22"/>
        </w:rPr>
      </w:pPr>
    </w:p>
    <w:p w14:paraId="2FEBAAA9" w14:textId="6DEE9116" w:rsidR="006F3AE7" w:rsidRPr="00CE0979" w:rsidRDefault="006F3AE7" w:rsidP="006110D9">
      <w:pPr>
        <w:pBdr>
          <w:top w:val="single" w:sz="4" w:space="1" w:color="auto"/>
          <w:left w:val="single" w:sz="4" w:space="4" w:color="auto"/>
          <w:bottom w:val="single" w:sz="4" w:space="1" w:color="auto"/>
          <w:right w:val="single" w:sz="4" w:space="4" w:color="auto"/>
        </w:pBdr>
        <w:shd w:val="clear" w:color="auto" w:fill="D9E2F3" w:themeFill="accent1" w:themeFillTint="33"/>
        <w:jc w:val="both"/>
      </w:pPr>
      <w:r w:rsidRPr="00F70DBE">
        <w:rPr>
          <w:b/>
          <w:sz w:val="28"/>
        </w:rPr>
        <w:t xml:space="preserve">A. </w:t>
      </w:r>
      <w:r>
        <w:rPr>
          <w:b/>
          <w:sz w:val="28"/>
        </w:rPr>
        <w:t>SUMMARY AND OVERVIEW</w:t>
      </w:r>
    </w:p>
    <w:p w14:paraId="7EFEDAB3" w14:textId="77777777" w:rsidR="006F3AE7" w:rsidRDefault="006F3AE7" w:rsidP="006110D9">
      <w:pPr>
        <w:jc w:val="both"/>
        <w:rPr>
          <w:b/>
          <w:sz w:val="22"/>
          <w:szCs w:val="22"/>
        </w:rPr>
      </w:pPr>
    </w:p>
    <w:p w14:paraId="121905E8" w14:textId="1DD5D5BC" w:rsidR="006F3AE7" w:rsidRPr="000F5F51" w:rsidRDefault="006F3AE7" w:rsidP="006110D9">
      <w:pPr>
        <w:jc w:val="both"/>
        <w:rPr>
          <w:rFonts w:cs="Arial"/>
          <w:sz w:val="22"/>
          <w:szCs w:val="22"/>
        </w:rPr>
      </w:pPr>
      <w:r w:rsidRPr="000F5F51">
        <w:rPr>
          <w:rFonts w:cs="Arial"/>
          <w:b/>
          <w:sz w:val="22"/>
          <w:szCs w:val="22"/>
        </w:rPr>
        <w:t>Description of programme</w:t>
      </w:r>
    </w:p>
    <w:p w14:paraId="650458F1" w14:textId="77777777" w:rsidR="006F3AE7" w:rsidRPr="000F5F51" w:rsidRDefault="006F3AE7" w:rsidP="006110D9">
      <w:pPr>
        <w:jc w:val="both"/>
        <w:rPr>
          <w:rFonts w:cs="Arial"/>
          <w:b/>
          <w:sz w:val="22"/>
          <w:szCs w:val="22"/>
        </w:rPr>
      </w:pPr>
    </w:p>
    <w:p w14:paraId="72D4F036" w14:textId="310E93E8" w:rsidR="006F3AE7" w:rsidRPr="000F5F51" w:rsidRDefault="000B2B57" w:rsidP="006110D9">
      <w:pPr>
        <w:jc w:val="both"/>
        <w:rPr>
          <w:rFonts w:cs="Arial"/>
          <w:sz w:val="22"/>
          <w:szCs w:val="22"/>
        </w:rPr>
      </w:pPr>
      <w:r w:rsidRPr="3565349E">
        <w:rPr>
          <w:rFonts w:cs="Arial"/>
          <w:sz w:val="22"/>
          <w:szCs w:val="22"/>
        </w:rPr>
        <w:t xml:space="preserve">The Land Degradation Neutrality Fund </w:t>
      </w:r>
      <w:r w:rsidR="00EE52F7" w:rsidRPr="3565349E">
        <w:rPr>
          <w:rFonts w:cs="Arial"/>
          <w:sz w:val="22"/>
          <w:szCs w:val="22"/>
        </w:rPr>
        <w:t>(LDN)</w:t>
      </w:r>
      <w:r w:rsidR="00EE52F7">
        <w:rPr>
          <w:rFonts w:cs="Arial"/>
          <w:sz w:val="22"/>
          <w:szCs w:val="22"/>
        </w:rPr>
        <w:t xml:space="preserve"> </w:t>
      </w:r>
      <w:r w:rsidR="00CB5173" w:rsidRPr="3565349E">
        <w:rPr>
          <w:rFonts w:cs="Arial"/>
          <w:sz w:val="22"/>
          <w:szCs w:val="22"/>
        </w:rPr>
        <w:t>brings</w:t>
      </w:r>
      <w:r w:rsidRPr="3565349E">
        <w:rPr>
          <w:rFonts w:cs="Arial"/>
          <w:sz w:val="22"/>
          <w:szCs w:val="22"/>
        </w:rPr>
        <w:t xml:space="preserve"> together public and private investors to fund triple bottom line </w:t>
      </w:r>
      <w:r w:rsidR="00C90797">
        <w:rPr>
          <w:rFonts w:cs="Arial"/>
          <w:sz w:val="22"/>
          <w:szCs w:val="22"/>
        </w:rPr>
        <w:t>(</w:t>
      </w:r>
      <w:r w:rsidR="00EC17F6">
        <w:rPr>
          <w:rFonts w:cs="Arial"/>
          <w:sz w:val="22"/>
          <w:szCs w:val="22"/>
        </w:rPr>
        <w:t xml:space="preserve">people, planet, profit) </w:t>
      </w:r>
      <w:r w:rsidRPr="3565349E">
        <w:rPr>
          <w:rFonts w:cs="Arial"/>
          <w:sz w:val="22"/>
          <w:szCs w:val="22"/>
        </w:rPr>
        <w:t xml:space="preserve">projects that contribute to land degradation neutrality, a major global challenge that was </w:t>
      </w:r>
      <w:r w:rsidR="00DD1B30">
        <w:rPr>
          <w:rFonts w:cs="Arial"/>
          <w:sz w:val="22"/>
          <w:szCs w:val="22"/>
        </w:rPr>
        <w:t>added to</w:t>
      </w:r>
      <w:r w:rsidRPr="3565349E">
        <w:rPr>
          <w:rFonts w:cs="Arial"/>
          <w:sz w:val="22"/>
          <w:szCs w:val="22"/>
        </w:rPr>
        <w:t xml:space="preserve"> the United Nations Sustainable Development Goals</w:t>
      </w:r>
      <w:r w:rsidR="0088387E" w:rsidRPr="3565349E">
        <w:rPr>
          <w:rFonts w:cs="Arial"/>
          <w:sz w:val="22"/>
          <w:szCs w:val="22"/>
        </w:rPr>
        <w:t xml:space="preserve"> (SDGs)</w:t>
      </w:r>
      <w:r w:rsidRPr="3565349E">
        <w:rPr>
          <w:rFonts w:cs="Arial"/>
          <w:sz w:val="22"/>
          <w:szCs w:val="22"/>
        </w:rPr>
        <w:t xml:space="preserve"> in September 2015.</w:t>
      </w:r>
      <w:r w:rsidR="002C5785" w:rsidRPr="3565349E">
        <w:rPr>
          <w:rFonts w:cs="Arial"/>
          <w:sz w:val="22"/>
          <w:szCs w:val="22"/>
        </w:rPr>
        <w:t xml:space="preserve"> The LDN </w:t>
      </w:r>
      <w:r w:rsidR="00A46F2D" w:rsidRPr="3565349E">
        <w:rPr>
          <w:rFonts w:cs="Arial"/>
          <w:sz w:val="22"/>
          <w:szCs w:val="22"/>
        </w:rPr>
        <w:t>F</w:t>
      </w:r>
      <w:r w:rsidR="002C5785" w:rsidRPr="3565349E">
        <w:rPr>
          <w:rFonts w:cs="Arial"/>
          <w:sz w:val="22"/>
          <w:szCs w:val="22"/>
        </w:rPr>
        <w:t>und was initiated at UNCCD COP 13 in China in 2017</w:t>
      </w:r>
      <w:r w:rsidR="00ED6D16" w:rsidRPr="3565349E">
        <w:rPr>
          <w:rFonts w:cs="Arial"/>
          <w:sz w:val="22"/>
          <w:szCs w:val="22"/>
        </w:rPr>
        <w:t xml:space="preserve"> and began operations in 2018</w:t>
      </w:r>
      <w:r w:rsidR="002C5785" w:rsidRPr="3565349E">
        <w:rPr>
          <w:rFonts w:cs="Arial"/>
          <w:sz w:val="22"/>
          <w:szCs w:val="22"/>
        </w:rPr>
        <w:t xml:space="preserve"> for a limited period of 15 years.</w:t>
      </w:r>
    </w:p>
    <w:p w14:paraId="702F5368" w14:textId="77777777" w:rsidR="002C5785" w:rsidRPr="000F5F51" w:rsidRDefault="002C5785" w:rsidP="006110D9">
      <w:pPr>
        <w:jc w:val="both"/>
        <w:rPr>
          <w:rFonts w:cs="Arial"/>
          <w:sz w:val="22"/>
          <w:szCs w:val="22"/>
        </w:rPr>
      </w:pPr>
    </w:p>
    <w:p w14:paraId="6E103F93" w14:textId="2877CA55" w:rsidR="006F3AE7" w:rsidRPr="000F5F51" w:rsidRDefault="002C5785" w:rsidP="006110D9">
      <w:pPr>
        <w:jc w:val="both"/>
        <w:rPr>
          <w:rFonts w:cs="Arial"/>
          <w:sz w:val="22"/>
          <w:szCs w:val="22"/>
        </w:rPr>
      </w:pPr>
      <w:r w:rsidRPr="000F5F51">
        <w:rPr>
          <w:rFonts w:cs="Arial"/>
          <w:sz w:val="22"/>
          <w:szCs w:val="22"/>
        </w:rPr>
        <w:t>The Fund focuse</w:t>
      </w:r>
      <w:r w:rsidR="00216699" w:rsidRPr="000F5F51">
        <w:rPr>
          <w:rFonts w:cs="Arial"/>
          <w:sz w:val="22"/>
          <w:szCs w:val="22"/>
        </w:rPr>
        <w:t>s</w:t>
      </w:r>
      <w:r w:rsidRPr="000F5F51">
        <w:rPr>
          <w:rFonts w:cs="Arial"/>
          <w:sz w:val="22"/>
          <w:szCs w:val="22"/>
        </w:rPr>
        <w:t xml:space="preserve"> on supporting land rehabilitation and sustainable land use projects worldwide by providing financing opportunities that comply with high environmental and social standards, demonstrate additionality, and promise sustainable financial returns. The Fund does this through mobilising investment into large</w:t>
      </w:r>
      <w:r w:rsidR="00523080">
        <w:rPr>
          <w:rFonts w:cs="Arial"/>
          <w:sz w:val="22"/>
          <w:szCs w:val="22"/>
        </w:rPr>
        <w:t>-</w:t>
      </w:r>
      <w:r w:rsidRPr="000F5F51">
        <w:rPr>
          <w:rFonts w:cs="Arial"/>
          <w:sz w:val="22"/>
          <w:szCs w:val="22"/>
        </w:rPr>
        <w:t>scale profit</w:t>
      </w:r>
      <w:r w:rsidR="00D16B60">
        <w:rPr>
          <w:rFonts w:cs="Arial"/>
          <w:sz w:val="22"/>
          <w:szCs w:val="22"/>
        </w:rPr>
        <w:t>-</w:t>
      </w:r>
      <w:r w:rsidRPr="000F5F51">
        <w:rPr>
          <w:rFonts w:cs="Arial"/>
          <w:sz w:val="22"/>
          <w:szCs w:val="22"/>
        </w:rPr>
        <w:t>generating sustainable land management projects.</w:t>
      </w:r>
      <w:r w:rsidR="008F011A">
        <w:rPr>
          <w:rFonts w:cs="Arial"/>
          <w:sz w:val="22"/>
          <w:szCs w:val="22"/>
        </w:rPr>
        <w:t xml:space="preserve"> </w:t>
      </w:r>
      <w:r w:rsidR="008F011A" w:rsidRPr="00454063">
        <w:rPr>
          <w:rFonts w:cs="Arial"/>
          <w:sz w:val="22"/>
          <w:szCs w:val="22"/>
        </w:rPr>
        <w:t xml:space="preserve">Many of the projects </w:t>
      </w:r>
      <w:r w:rsidR="00402398" w:rsidRPr="00454063">
        <w:rPr>
          <w:rFonts w:cs="Arial"/>
          <w:sz w:val="22"/>
          <w:szCs w:val="22"/>
        </w:rPr>
        <w:t>use a smallholder model which embeds sustainable practices among hundreds of thousands of land users</w:t>
      </w:r>
      <w:r w:rsidR="004324E3" w:rsidRPr="00454063">
        <w:rPr>
          <w:rFonts w:cs="Arial"/>
          <w:sz w:val="22"/>
          <w:szCs w:val="22"/>
        </w:rPr>
        <w:t xml:space="preserve"> and can spill out into their wider communities, in</w:t>
      </w:r>
      <w:r w:rsidR="002A3502" w:rsidRPr="00454063">
        <w:rPr>
          <w:rFonts w:cs="Arial"/>
          <w:sz w:val="22"/>
          <w:szCs w:val="22"/>
        </w:rPr>
        <w:t xml:space="preserve">creasing take-up and </w:t>
      </w:r>
      <w:r w:rsidR="001C1824" w:rsidRPr="00454063">
        <w:rPr>
          <w:rFonts w:cs="Arial"/>
          <w:sz w:val="22"/>
          <w:szCs w:val="22"/>
        </w:rPr>
        <w:t>contributing to systemic change in targeted areas.</w:t>
      </w:r>
      <w:r w:rsidR="000718E7" w:rsidRPr="00454063">
        <w:rPr>
          <w:rFonts w:cs="Arial"/>
          <w:sz w:val="22"/>
          <w:szCs w:val="22"/>
        </w:rPr>
        <w:t xml:space="preserve"> By providing funding </w:t>
      </w:r>
      <w:r w:rsidR="008604F2" w:rsidRPr="00454063">
        <w:rPr>
          <w:rFonts w:cs="Arial"/>
          <w:sz w:val="22"/>
          <w:szCs w:val="22"/>
        </w:rPr>
        <w:t xml:space="preserve">and business planning support </w:t>
      </w:r>
      <w:r w:rsidR="000718E7" w:rsidRPr="00454063">
        <w:rPr>
          <w:rFonts w:cs="Arial"/>
          <w:sz w:val="22"/>
          <w:szCs w:val="22"/>
        </w:rPr>
        <w:t xml:space="preserve">at </w:t>
      </w:r>
      <w:r w:rsidR="00C020BA" w:rsidRPr="00454063">
        <w:rPr>
          <w:rFonts w:cs="Arial"/>
          <w:sz w:val="22"/>
          <w:szCs w:val="22"/>
        </w:rPr>
        <w:t xml:space="preserve">a critical mid-point in investees’ development, LDN helps </w:t>
      </w:r>
      <w:r w:rsidR="008C268D" w:rsidRPr="00454063">
        <w:rPr>
          <w:rFonts w:cs="Arial"/>
          <w:sz w:val="22"/>
          <w:szCs w:val="22"/>
        </w:rPr>
        <w:t xml:space="preserve">support a pipeline of sustainable projects </w:t>
      </w:r>
      <w:r w:rsidR="004F0367" w:rsidRPr="00454063">
        <w:rPr>
          <w:rFonts w:cs="Arial"/>
          <w:sz w:val="22"/>
          <w:szCs w:val="22"/>
        </w:rPr>
        <w:t xml:space="preserve">move towards </w:t>
      </w:r>
      <w:r w:rsidR="004677BC" w:rsidRPr="00454063">
        <w:rPr>
          <w:rFonts w:cs="Arial"/>
          <w:sz w:val="22"/>
          <w:szCs w:val="22"/>
        </w:rPr>
        <w:t>the size and stability needed to make them</w:t>
      </w:r>
      <w:r w:rsidR="004F0367" w:rsidRPr="00454063">
        <w:rPr>
          <w:rFonts w:cs="Arial"/>
          <w:sz w:val="22"/>
          <w:szCs w:val="22"/>
        </w:rPr>
        <w:t xml:space="preserve"> eligible for</w:t>
      </w:r>
      <w:r w:rsidR="008604F2" w:rsidRPr="00454063">
        <w:rPr>
          <w:rFonts w:cs="Arial"/>
          <w:sz w:val="22"/>
          <w:szCs w:val="22"/>
        </w:rPr>
        <w:t xml:space="preserve"> fully commercial loans.</w:t>
      </w:r>
    </w:p>
    <w:p w14:paraId="37D56357" w14:textId="487A175A" w:rsidR="04883426" w:rsidRPr="000F5F51" w:rsidRDefault="04883426" w:rsidP="006110D9">
      <w:pPr>
        <w:jc w:val="both"/>
        <w:rPr>
          <w:rFonts w:cs="Arial"/>
          <w:sz w:val="22"/>
          <w:szCs w:val="22"/>
        </w:rPr>
      </w:pPr>
    </w:p>
    <w:p w14:paraId="17A9A246" w14:textId="76BB1FCF" w:rsidR="630B2619" w:rsidRPr="000F5F51" w:rsidRDefault="00514469" w:rsidP="006110D9">
      <w:pPr>
        <w:jc w:val="both"/>
        <w:rPr>
          <w:rFonts w:cs="Arial"/>
          <w:sz w:val="22"/>
          <w:szCs w:val="22"/>
        </w:rPr>
      </w:pPr>
      <w:r w:rsidRPr="03F8A8A1">
        <w:rPr>
          <w:rFonts w:cs="Arial"/>
          <w:sz w:val="22"/>
          <w:szCs w:val="22"/>
        </w:rPr>
        <w:t xml:space="preserve">The Fund Manager is Mirova, and </w:t>
      </w:r>
      <w:r w:rsidR="00252263">
        <w:rPr>
          <w:rFonts w:cs="Arial"/>
          <w:sz w:val="22"/>
          <w:szCs w:val="22"/>
        </w:rPr>
        <w:t xml:space="preserve">other investors include the governments or development agencies of Canada, Luxembourg and France, </w:t>
      </w:r>
      <w:r w:rsidR="00AA70F0">
        <w:rPr>
          <w:rFonts w:cs="Arial"/>
          <w:sz w:val="22"/>
          <w:szCs w:val="22"/>
        </w:rPr>
        <w:t>with 61.5% from</w:t>
      </w:r>
      <w:r w:rsidR="00252263">
        <w:rPr>
          <w:rFonts w:cs="Arial"/>
          <w:sz w:val="22"/>
          <w:szCs w:val="22"/>
        </w:rPr>
        <w:t xml:space="preserve"> private investors</w:t>
      </w:r>
      <w:r w:rsidR="00CB4955">
        <w:rPr>
          <w:rFonts w:cs="Arial"/>
          <w:sz w:val="22"/>
          <w:szCs w:val="22"/>
        </w:rPr>
        <w:t xml:space="preserve"> including banks, insurers and other large corporations</w:t>
      </w:r>
      <w:r w:rsidR="00AC47BB">
        <w:rPr>
          <w:rFonts w:cs="Arial"/>
          <w:sz w:val="22"/>
          <w:szCs w:val="22"/>
        </w:rPr>
        <w:t>, mostly based in France</w:t>
      </w:r>
      <w:r w:rsidR="00CB4955">
        <w:rPr>
          <w:rFonts w:cs="Arial"/>
          <w:sz w:val="22"/>
          <w:szCs w:val="22"/>
        </w:rPr>
        <w:t>.</w:t>
      </w:r>
      <w:r w:rsidR="00FF4581">
        <w:rPr>
          <w:rFonts w:cs="Arial"/>
          <w:sz w:val="22"/>
          <w:szCs w:val="22"/>
        </w:rPr>
        <w:t xml:space="preserve"> </w:t>
      </w:r>
      <w:r w:rsidR="00FF4581" w:rsidRPr="36BF80A6">
        <w:rPr>
          <w:rFonts w:eastAsia="Arial" w:cs="Arial"/>
          <w:sz w:val="22"/>
          <w:szCs w:val="22"/>
        </w:rPr>
        <w:t xml:space="preserve">As a Junior </w:t>
      </w:r>
      <w:r w:rsidR="00FF4581">
        <w:rPr>
          <w:rFonts w:eastAsia="Arial" w:cs="Arial"/>
          <w:sz w:val="22"/>
          <w:szCs w:val="22"/>
        </w:rPr>
        <w:t>investor</w:t>
      </w:r>
      <w:r w:rsidR="00FF4581" w:rsidRPr="36BF80A6">
        <w:rPr>
          <w:rFonts w:eastAsia="Arial" w:cs="Arial"/>
          <w:sz w:val="22"/>
          <w:szCs w:val="22"/>
        </w:rPr>
        <w:t>, Defra’s investment was aimed at encouraging private investment by taking a smaller share of any profit and being first in line to lose money in the event of portfolio losses, thereby improving returns and reducing risk for private investors.</w:t>
      </w:r>
      <w:r w:rsidR="002118DA">
        <w:rPr>
          <w:rFonts w:eastAsia="Arial" w:cs="Arial"/>
          <w:sz w:val="22"/>
          <w:szCs w:val="22"/>
        </w:rPr>
        <w:t xml:space="preserve"> 21% of the final Fund size ($208 million) was Junior capital</w:t>
      </w:r>
      <w:r w:rsidR="00490BA1">
        <w:rPr>
          <w:rFonts w:eastAsia="Arial" w:cs="Arial"/>
          <w:sz w:val="22"/>
          <w:szCs w:val="22"/>
        </w:rPr>
        <w:t xml:space="preserve"> compared to a theor</w:t>
      </w:r>
      <w:r w:rsidR="00665BD9">
        <w:rPr>
          <w:rFonts w:eastAsia="Arial" w:cs="Arial"/>
          <w:sz w:val="22"/>
          <w:szCs w:val="22"/>
        </w:rPr>
        <w:t>etical minimum level of 20%</w:t>
      </w:r>
      <w:r w:rsidR="002118DA">
        <w:rPr>
          <w:rFonts w:eastAsia="Arial" w:cs="Arial"/>
          <w:sz w:val="22"/>
          <w:szCs w:val="22"/>
        </w:rPr>
        <w:t xml:space="preserve">, meaning </w:t>
      </w:r>
      <w:r w:rsidR="00490BA1">
        <w:rPr>
          <w:rFonts w:eastAsia="Arial" w:cs="Arial"/>
          <w:sz w:val="22"/>
          <w:szCs w:val="22"/>
        </w:rPr>
        <w:t>Defra’s investment was almost fully leveraged in terms of senior investment.</w:t>
      </w:r>
    </w:p>
    <w:p w14:paraId="39E54464" w14:textId="77777777" w:rsidR="008168EA" w:rsidRPr="000F5F51" w:rsidRDefault="008168EA" w:rsidP="006110D9">
      <w:pPr>
        <w:jc w:val="both"/>
        <w:rPr>
          <w:rFonts w:cs="Arial"/>
          <w:sz w:val="22"/>
          <w:szCs w:val="22"/>
          <w:lang w:eastAsia="en-GB"/>
        </w:rPr>
      </w:pPr>
    </w:p>
    <w:p w14:paraId="44474A36" w14:textId="14AD15D4" w:rsidR="00B7669D" w:rsidRPr="000F5F51" w:rsidRDefault="00B7669D" w:rsidP="006110D9">
      <w:pPr>
        <w:jc w:val="both"/>
        <w:rPr>
          <w:rFonts w:cs="Arial"/>
          <w:sz w:val="22"/>
          <w:szCs w:val="22"/>
        </w:rPr>
      </w:pPr>
      <w:r w:rsidRPr="000F5F51">
        <w:rPr>
          <w:rFonts w:cs="Arial"/>
          <w:sz w:val="22"/>
          <w:szCs w:val="22"/>
        </w:rPr>
        <w:t xml:space="preserve">LDN </w:t>
      </w:r>
      <w:r w:rsidR="00AC47BB">
        <w:rPr>
          <w:rFonts w:cs="Arial"/>
          <w:sz w:val="22"/>
          <w:szCs w:val="22"/>
        </w:rPr>
        <w:t>has</w:t>
      </w:r>
      <w:r w:rsidRPr="000F5F51">
        <w:rPr>
          <w:rFonts w:cs="Arial"/>
          <w:sz w:val="22"/>
          <w:szCs w:val="22"/>
        </w:rPr>
        <w:t xml:space="preserve"> invested in the following </w:t>
      </w:r>
      <w:r w:rsidR="00C709D4" w:rsidRPr="000F5F51">
        <w:rPr>
          <w:rFonts w:cs="Arial"/>
          <w:sz w:val="22"/>
          <w:szCs w:val="22"/>
        </w:rPr>
        <w:t>t</w:t>
      </w:r>
      <w:r w:rsidR="00C709D4">
        <w:rPr>
          <w:rFonts w:cs="Arial"/>
          <w:sz w:val="22"/>
          <w:szCs w:val="22"/>
        </w:rPr>
        <w:t>hirteen</w:t>
      </w:r>
      <w:r w:rsidR="00C709D4" w:rsidRPr="000F5F51">
        <w:rPr>
          <w:rFonts w:cs="Arial"/>
          <w:sz w:val="22"/>
          <w:szCs w:val="22"/>
        </w:rPr>
        <w:t xml:space="preserve"> </w:t>
      </w:r>
      <w:r w:rsidRPr="000F5F51">
        <w:rPr>
          <w:rFonts w:cs="Arial"/>
          <w:sz w:val="22"/>
          <w:szCs w:val="22"/>
        </w:rPr>
        <w:t>projects</w:t>
      </w:r>
      <w:r w:rsidR="00E56F9B">
        <w:rPr>
          <w:rFonts w:cs="Arial"/>
          <w:sz w:val="22"/>
          <w:szCs w:val="22"/>
        </w:rPr>
        <w:t xml:space="preserve"> (* indicates projects using a smallholder model in sourcing materials)</w:t>
      </w:r>
      <w:r w:rsidRPr="000F5F51">
        <w:rPr>
          <w:rFonts w:cs="Arial"/>
          <w:sz w:val="22"/>
          <w:szCs w:val="22"/>
        </w:rPr>
        <w:t>:</w:t>
      </w:r>
    </w:p>
    <w:p w14:paraId="75DBC1FC" w14:textId="0AADD6A3" w:rsidR="00B7669D" w:rsidRPr="000F5F51" w:rsidRDefault="00B7669D" w:rsidP="006110D9">
      <w:pPr>
        <w:jc w:val="both"/>
        <w:rPr>
          <w:rFonts w:cs="Arial"/>
          <w:sz w:val="22"/>
          <w:szCs w:val="22"/>
        </w:rPr>
      </w:pPr>
    </w:p>
    <w:p w14:paraId="4A0FE8E1" w14:textId="578D39A3" w:rsidR="00B7669D" w:rsidRPr="000F5F51" w:rsidRDefault="00181260" w:rsidP="006110D9">
      <w:pPr>
        <w:pStyle w:val="ListParagraph"/>
        <w:numPr>
          <w:ilvl w:val="0"/>
          <w:numId w:val="13"/>
        </w:numPr>
        <w:jc w:val="both"/>
        <w:rPr>
          <w:rFonts w:cs="Arial"/>
          <w:sz w:val="22"/>
          <w:szCs w:val="22"/>
        </w:rPr>
      </w:pPr>
      <w:r>
        <w:rPr>
          <w:rFonts w:cs="Arial"/>
          <w:sz w:val="22"/>
          <w:szCs w:val="22"/>
        </w:rPr>
        <w:t>*</w:t>
      </w:r>
      <w:r w:rsidR="00B7669D" w:rsidRPr="03F8A8A1">
        <w:rPr>
          <w:rFonts w:cs="Arial"/>
          <w:sz w:val="22"/>
          <w:szCs w:val="22"/>
        </w:rPr>
        <w:t xml:space="preserve">Mountain </w:t>
      </w:r>
      <w:r w:rsidR="00931D25" w:rsidRPr="03F8A8A1">
        <w:rPr>
          <w:rFonts w:cs="Arial"/>
          <w:sz w:val="22"/>
          <w:szCs w:val="22"/>
        </w:rPr>
        <w:t>H</w:t>
      </w:r>
      <w:r w:rsidR="00B7669D" w:rsidRPr="03F8A8A1">
        <w:rPr>
          <w:rFonts w:cs="Arial"/>
          <w:sz w:val="22"/>
          <w:szCs w:val="22"/>
        </w:rPr>
        <w:t>azelnuts (Bhutan;</w:t>
      </w:r>
      <w:r w:rsidR="4ADA4D1D" w:rsidRPr="03F8A8A1">
        <w:rPr>
          <w:rFonts w:cs="Arial"/>
          <w:sz w:val="22"/>
          <w:szCs w:val="22"/>
        </w:rPr>
        <w:t xml:space="preserve"> key product:</w:t>
      </w:r>
      <w:r w:rsidR="00B7669D" w:rsidRPr="03F8A8A1">
        <w:rPr>
          <w:rFonts w:cs="Arial"/>
          <w:sz w:val="22"/>
          <w:szCs w:val="22"/>
        </w:rPr>
        <w:t xml:space="preserve"> hazelnuts)</w:t>
      </w:r>
    </w:p>
    <w:p w14:paraId="6FFC0D8B" w14:textId="7F0CEE5C" w:rsidR="00B7669D" w:rsidRPr="000F5F51" w:rsidRDefault="003653D3" w:rsidP="006110D9">
      <w:pPr>
        <w:pStyle w:val="ListParagraph"/>
        <w:numPr>
          <w:ilvl w:val="0"/>
          <w:numId w:val="13"/>
        </w:numPr>
        <w:jc w:val="both"/>
        <w:rPr>
          <w:rFonts w:cs="Arial"/>
          <w:sz w:val="22"/>
          <w:szCs w:val="22"/>
        </w:rPr>
      </w:pPr>
      <w:r>
        <w:rPr>
          <w:rFonts w:cs="Arial"/>
          <w:sz w:val="22"/>
          <w:szCs w:val="22"/>
        </w:rPr>
        <w:t>*</w:t>
      </w:r>
      <w:proofErr w:type="spellStart"/>
      <w:r w:rsidR="00B7669D" w:rsidRPr="03F8A8A1">
        <w:rPr>
          <w:rFonts w:cs="Arial"/>
          <w:sz w:val="22"/>
          <w:szCs w:val="22"/>
        </w:rPr>
        <w:t>Urapi</w:t>
      </w:r>
      <w:proofErr w:type="spellEnd"/>
      <w:r w:rsidR="00B7669D" w:rsidRPr="03F8A8A1">
        <w:rPr>
          <w:rFonts w:cs="Arial"/>
          <w:sz w:val="22"/>
          <w:szCs w:val="22"/>
        </w:rPr>
        <w:t xml:space="preserve"> Sustainable Land Use (Peru and Colombia;</w:t>
      </w:r>
      <w:r w:rsidR="2F35390A" w:rsidRPr="03F8A8A1">
        <w:rPr>
          <w:rFonts w:cs="Arial"/>
          <w:sz w:val="22"/>
          <w:szCs w:val="22"/>
        </w:rPr>
        <w:t xml:space="preserve"> key product:</w:t>
      </w:r>
      <w:r w:rsidR="00B7669D" w:rsidRPr="03F8A8A1">
        <w:rPr>
          <w:rFonts w:cs="Arial"/>
          <w:sz w:val="22"/>
          <w:szCs w:val="22"/>
        </w:rPr>
        <w:t xml:space="preserve"> coffee, cocoa, nuts)</w:t>
      </w:r>
    </w:p>
    <w:p w14:paraId="59DE8378" w14:textId="5478DDF0" w:rsidR="00B7669D" w:rsidRPr="000F5F51" w:rsidRDefault="00B7669D" w:rsidP="006110D9">
      <w:pPr>
        <w:pStyle w:val="ListParagraph"/>
        <w:numPr>
          <w:ilvl w:val="0"/>
          <w:numId w:val="13"/>
        </w:numPr>
        <w:jc w:val="both"/>
        <w:rPr>
          <w:rFonts w:cs="Arial"/>
          <w:sz w:val="22"/>
          <w:szCs w:val="22"/>
        </w:rPr>
      </w:pPr>
      <w:r w:rsidRPr="03F8A8A1">
        <w:rPr>
          <w:rFonts w:cs="Arial"/>
          <w:sz w:val="22"/>
          <w:szCs w:val="22"/>
        </w:rPr>
        <w:t>Miro Forestry (Ghana and Sierra Leone;</w:t>
      </w:r>
      <w:r w:rsidR="22D1E42C" w:rsidRPr="03F8A8A1">
        <w:rPr>
          <w:rFonts w:cs="Arial"/>
          <w:sz w:val="22"/>
          <w:szCs w:val="22"/>
        </w:rPr>
        <w:t xml:space="preserve"> key product:</w:t>
      </w:r>
      <w:r w:rsidRPr="03F8A8A1">
        <w:rPr>
          <w:rFonts w:cs="Arial"/>
          <w:sz w:val="22"/>
          <w:szCs w:val="22"/>
        </w:rPr>
        <w:t xml:space="preserve"> timber)</w:t>
      </w:r>
    </w:p>
    <w:p w14:paraId="0C543E56" w14:textId="075B6062" w:rsidR="00B7669D" w:rsidRPr="000F5F51" w:rsidRDefault="00181260" w:rsidP="006110D9">
      <w:pPr>
        <w:pStyle w:val="ListParagraph"/>
        <w:numPr>
          <w:ilvl w:val="0"/>
          <w:numId w:val="13"/>
        </w:numPr>
        <w:jc w:val="both"/>
        <w:rPr>
          <w:rFonts w:cs="Arial"/>
          <w:sz w:val="22"/>
          <w:szCs w:val="22"/>
        </w:rPr>
      </w:pPr>
      <w:r>
        <w:rPr>
          <w:rFonts w:cs="Arial"/>
          <w:sz w:val="22"/>
          <w:szCs w:val="22"/>
        </w:rPr>
        <w:t>*</w:t>
      </w:r>
      <w:r w:rsidR="00B7669D" w:rsidRPr="03F8A8A1">
        <w:rPr>
          <w:rFonts w:cs="Arial"/>
          <w:sz w:val="22"/>
          <w:szCs w:val="22"/>
        </w:rPr>
        <w:t>Komaza (Kenya;</w:t>
      </w:r>
      <w:r w:rsidR="7BB99E1D" w:rsidRPr="03F8A8A1">
        <w:rPr>
          <w:rFonts w:cs="Arial"/>
          <w:sz w:val="22"/>
          <w:szCs w:val="22"/>
        </w:rPr>
        <w:t xml:space="preserve"> key product:</w:t>
      </w:r>
      <w:r w:rsidR="00B7669D" w:rsidRPr="03F8A8A1">
        <w:rPr>
          <w:rFonts w:cs="Arial"/>
          <w:sz w:val="22"/>
          <w:szCs w:val="22"/>
        </w:rPr>
        <w:t xml:space="preserve"> timber)</w:t>
      </w:r>
    </w:p>
    <w:p w14:paraId="6D5D85E5" w14:textId="6B9165E1" w:rsidR="00B7669D" w:rsidRPr="00523607" w:rsidRDefault="00B7669D" w:rsidP="006110D9">
      <w:pPr>
        <w:pStyle w:val="ListParagraph"/>
        <w:numPr>
          <w:ilvl w:val="0"/>
          <w:numId w:val="13"/>
        </w:numPr>
        <w:jc w:val="both"/>
        <w:rPr>
          <w:rFonts w:cs="Arial"/>
          <w:sz w:val="22"/>
          <w:szCs w:val="22"/>
          <w:lang w:val="es-AR"/>
        </w:rPr>
      </w:pPr>
      <w:r w:rsidRPr="00523607">
        <w:rPr>
          <w:rFonts w:cs="Arial"/>
          <w:sz w:val="22"/>
          <w:szCs w:val="22"/>
          <w:lang w:val="es-AR"/>
        </w:rPr>
        <w:lastRenderedPageBreak/>
        <w:t>Cacao Oro</w:t>
      </w:r>
      <w:r w:rsidR="00753663" w:rsidRPr="00523607">
        <w:rPr>
          <w:rFonts w:cs="Arial"/>
          <w:sz w:val="22"/>
          <w:szCs w:val="22"/>
          <w:lang w:val="es-AR"/>
        </w:rPr>
        <w:t xml:space="preserve"> (Nicaragua;</w:t>
      </w:r>
      <w:r w:rsidR="4C0B34E8" w:rsidRPr="00523607">
        <w:rPr>
          <w:rFonts w:cs="Arial"/>
          <w:sz w:val="22"/>
          <w:szCs w:val="22"/>
          <w:lang w:val="es-AR"/>
        </w:rPr>
        <w:t xml:space="preserve"> </w:t>
      </w:r>
      <w:proofErr w:type="spellStart"/>
      <w:r w:rsidR="4C0B34E8" w:rsidRPr="00523607">
        <w:rPr>
          <w:rFonts w:cs="Arial"/>
          <w:sz w:val="22"/>
          <w:szCs w:val="22"/>
          <w:lang w:val="es-AR"/>
        </w:rPr>
        <w:t>key</w:t>
      </w:r>
      <w:proofErr w:type="spellEnd"/>
      <w:r w:rsidR="4C0B34E8" w:rsidRPr="00523607">
        <w:rPr>
          <w:rFonts w:cs="Arial"/>
          <w:sz w:val="22"/>
          <w:szCs w:val="22"/>
          <w:lang w:val="es-AR"/>
        </w:rPr>
        <w:t xml:space="preserve"> </w:t>
      </w:r>
      <w:proofErr w:type="spellStart"/>
      <w:r w:rsidR="4C0B34E8" w:rsidRPr="00523607">
        <w:rPr>
          <w:rFonts w:cs="Arial"/>
          <w:sz w:val="22"/>
          <w:szCs w:val="22"/>
          <w:lang w:val="es-AR"/>
        </w:rPr>
        <w:t>product</w:t>
      </w:r>
      <w:proofErr w:type="spellEnd"/>
      <w:r w:rsidR="4C0B34E8" w:rsidRPr="00523607">
        <w:rPr>
          <w:rFonts w:cs="Arial"/>
          <w:sz w:val="22"/>
          <w:szCs w:val="22"/>
          <w:lang w:val="es-AR"/>
        </w:rPr>
        <w:t>:</w:t>
      </w:r>
      <w:r w:rsidR="00753663" w:rsidRPr="00523607">
        <w:rPr>
          <w:rFonts w:cs="Arial"/>
          <w:sz w:val="22"/>
          <w:szCs w:val="22"/>
          <w:lang w:val="es-AR"/>
        </w:rPr>
        <w:t xml:space="preserve"> cocoa)</w:t>
      </w:r>
    </w:p>
    <w:p w14:paraId="6701664F" w14:textId="50475527" w:rsidR="00753663" w:rsidRPr="000F5F51" w:rsidRDefault="00753663" w:rsidP="006110D9">
      <w:pPr>
        <w:pStyle w:val="ListParagraph"/>
        <w:numPr>
          <w:ilvl w:val="0"/>
          <w:numId w:val="13"/>
        </w:numPr>
        <w:jc w:val="both"/>
        <w:rPr>
          <w:rFonts w:cs="Arial"/>
          <w:sz w:val="22"/>
          <w:szCs w:val="22"/>
        </w:rPr>
      </w:pPr>
      <w:proofErr w:type="spellStart"/>
      <w:r w:rsidRPr="03F8A8A1">
        <w:rPr>
          <w:rFonts w:cs="Arial"/>
          <w:sz w:val="22"/>
          <w:szCs w:val="22"/>
        </w:rPr>
        <w:t>Burapha</w:t>
      </w:r>
      <w:proofErr w:type="spellEnd"/>
      <w:r w:rsidRPr="03F8A8A1">
        <w:rPr>
          <w:rFonts w:cs="Arial"/>
          <w:sz w:val="22"/>
          <w:szCs w:val="22"/>
        </w:rPr>
        <w:t xml:space="preserve"> (Laos;</w:t>
      </w:r>
      <w:r w:rsidR="10381CD6" w:rsidRPr="03F8A8A1">
        <w:rPr>
          <w:rFonts w:cs="Arial"/>
          <w:sz w:val="22"/>
          <w:szCs w:val="22"/>
        </w:rPr>
        <w:t xml:space="preserve"> key product:</w:t>
      </w:r>
      <w:r w:rsidRPr="03F8A8A1">
        <w:rPr>
          <w:rFonts w:cs="Arial"/>
          <w:sz w:val="22"/>
          <w:szCs w:val="22"/>
        </w:rPr>
        <w:t xml:space="preserve"> timber)</w:t>
      </w:r>
    </w:p>
    <w:p w14:paraId="0B417384" w14:textId="4A009BBB" w:rsidR="00753663" w:rsidRPr="000F5F51" w:rsidRDefault="00753663" w:rsidP="006110D9">
      <w:pPr>
        <w:pStyle w:val="ListParagraph"/>
        <w:numPr>
          <w:ilvl w:val="0"/>
          <w:numId w:val="17"/>
        </w:numPr>
        <w:jc w:val="both"/>
        <w:rPr>
          <w:rFonts w:cs="Arial"/>
          <w:sz w:val="22"/>
          <w:szCs w:val="22"/>
        </w:rPr>
      </w:pPr>
      <w:r w:rsidRPr="03F8A8A1">
        <w:rPr>
          <w:rFonts w:cs="Arial"/>
          <w:sz w:val="22"/>
          <w:szCs w:val="22"/>
        </w:rPr>
        <w:t>Atlas Fruits (Morocco</w:t>
      </w:r>
      <w:r w:rsidR="564BFC48" w:rsidRPr="03F8A8A1">
        <w:rPr>
          <w:rFonts w:cs="Arial"/>
          <w:sz w:val="22"/>
          <w:szCs w:val="22"/>
        </w:rPr>
        <w:t>; key product:</w:t>
      </w:r>
      <w:r w:rsidRPr="03F8A8A1">
        <w:rPr>
          <w:rFonts w:cs="Arial"/>
          <w:sz w:val="22"/>
          <w:szCs w:val="22"/>
        </w:rPr>
        <w:t xml:space="preserve"> citrus)</w:t>
      </w:r>
    </w:p>
    <w:p w14:paraId="3A0D30FA" w14:textId="22EF4A8C" w:rsidR="00753663" w:rsidRPr="000F5F51" w:rsidRDefault="00753663" w:rsidP="006110D9">
      <w:pPr>
        <w:pStyle w:val="ListParagraph"/>
        <w:numPr>
          <w:ilvl w:val="0"/>
          <w:numId w:val="17"/>
        </w:numPr>
        <w:jc w:val="both"/>
        <w:rPr>
          <w:rFonts w:cs="Arial"/>
          <w:sz w:val="22"/>
          <w:szCs w:val="22"/>
        </w:rPr>
      </w:pPr>
      <w:r w:rsidRPr="03F8A8A1">
        <w:rPr>
          <w:rFonts w:cs="Arial"/>
          <w:sz w:val="22"/>
          <w:szCs w:val="22"/>
        </w:rPr>
        <w:t xml:space="preserve">Aloe </w:t>
      </w:r>
      <w:proofErr w:type="spellStart"/>
      <w:r w:rsidRPr="03F8A8A1">
        <w:rPr>
          <w:rFonts w:cs="Arial"/>
          <w:sz w:val="22"/>
          <w:szCs w:val="22"/>
        </w:rPr>
        <w:t>Agroforestal</w:t>
      </w:r>
      <w:proofErr w:type="spellEnd"/>
      <w:r w:rsidRPr="03F8A8A1">
        <w:rPr>
          <w:rFonts w:cs="Arial"/>
          <w:sz w:val="22"/>
          <w:szCs w:val="22"/>
        </w:rPr>
        <w:t xml:space="preserve"> (Brazil</w:t>
      </w:r>
      <w:r w:rsidR="32A56700" w:rsidRPr="03F8A8A1">
        <w:rPr>
          <w:rFonts w:cs="Arial"/>
          <w:sz w:val="22"/>
          <w:szCs w:val="22"/>
        </w:rPr>
        <w:t>; key product:</w:t>
      </w:r>
      <w:r w:rsidRPr="03F8A8A1">
        <w:rPr>
          <w:rFonts w:cs="Arial"/>
          <w:sz w:val="22"/>
          <w:szCs w:val="22"/>
        </w:rPr>
        <w:t xml:space="preserve"> timber)</w:t>
      </w:r>
    </w:p>
    <w:p w14:paraId="0238DE52" w14:textId="75A2F344" w:rsidR="00753663" w:rsidRPr="000F5F51" w:rsidRDefault="00181260" w:rsidP="006110D9">
      <w:pPr>
        <w:pStyle w:val="ListParagraph"/>
        <w:numPr>
          <w:ilvl w:val="0"/>
          <w:numId w:val="18"/>
        </w:numPr>
        <w:jc w:val="both"/>
        <w:rPr>
          <w:rFonts w:cs="Arial"/>
          <w:sz w:val="22"/>
          <w:szCs w:val="22"/>
        </w:rPr>
      </w:pPr>
      <w:r>
        <w:rPr>
          <w:rFonts w:cs="Arial"/>
          <w:sz w:val="22"/>
          <w:szCs w:val="22"/>
        </w:rPr>
        <w:t>*</w:t>
      </w:r>
      <w:r w:rsidR="0077690E" w:rsidRPr="03F8A8A1">
        <w:rPr>
          <w:rFonts w:cs="Arial"/>
          <w:sz w:val="22"/>
          <w:szCs w:val="22"/>
        </w:rPr>
        <w:t xml:space="preserve">Kennemer </w:t>
      </w:r>
      <w:r w:rsidR="00753663" w:rsidRPr="03F8A8A1">
        <w:rPr>
          <w:rFonts w:cs="Arial"/>
          <w:sz w:val="22"/>
          <w:szCs w:val="22"/>
        </w:rPr>
        <w:t>(Philippines</w:t>
      </w:r>
      <w:r w:rsidR="0077690E" w:rsidRPr="03F8A8A1">
        <w:rPr>
          <w:rFonts w:cs="Arial"/>
          <w:sz w:val="22"/>
          <w:szCs w:val="22"/>
        </w:rPr>
        <w:t>;</w:t>
      </w:r>
      <w:r w:rsidR="0D4CED07" w:rsidRPr="03F8A8A1">
        <w:rPr>
          <w:rFonts w:cs="Arial"/>
          <w:sz w:val="22"/>
          <w:szCs w:val="22"/>
        </w:rPr>
        <w:t xml:space="preserve"> key product:</w:t>
      </w:r>
      <w:r w:rsidR="0077690E" w:rsidRPr="03F8A8A1">
        <w:rPr>
          <w:rFonts w:cs="Arial"/>
          <w:sz w:val="22"/>
          <w:szCs w:val="22"/>
        </w:rPr>
        <w:t xml:space="preserve"> cocoa, bananas</w:t>
      </w:r>
      <w:r w:rsidR="00753663" w:rsidRPr="03F8A8A1">
        <w:rPr>
          <w:rFonts w:cs="Arial"/>
          <w:sz w:val="22"/>
          <w:szCs w:val="22"/>
        </w:rPr>
        <w:t>)</w:t>
      </w:r>
    </w:p>
    <w:p w14:paraId="4487DF38" w14:textId="20B25CE8" w:rsidR="00753663" w:rsidRDefault="00181260" w:rsidP="006110D9">
      <w:pPr>
        <w:pStyle w:val="ListParagraph"/>
        <w:numPr>
          <w:ilvl w:val="0"/>
          <w:numId w:val="18"/>
        </w:numPr>
        <w:jc w:val="both"/>
        <w:rPr>
          <w:rFonts w:cs="Arial"/>
          <w:sz w:val="22"/>
          <w:szCs w:val="22"/>
        </w:rPr>
      </w:pPr>
      <w:r>
        <w:rPr>
          <w:rFonts w:cs="Arial"/>
          <w:sz w:val="22"/>
          <w:szCs w:val="22"/>
        </w:rPr>
        <w:t>*</w:t>
      </w:r>
      <w:proofErr w:type="spellStart"/>
      <w:r w:rsidR="0077690E" w:rsidRPr="4947B28A">
        <w:rPr>
          <w:rFonts w:cs="Arial"/>
          <w:sz w:val="22"/>
          <w:szCs w:val="22"/>
        </w:rPr>
        <w:t>Aqre</w:t>
      </w:r>
      <w:proofErr w:type="spellEnd"/>
      <w:r w:rsidR="0077690E" w:rsidRPr="4947B28A">
        <w:rPr>
          <w:rFonts w:cs="Arial"/>
          <w:sz w:val="22"/>
          <w:szCs w:val="22"/>
        </w:rPr>
        <w:t xml:space="preserve"> Group</w:t>
      </w:r>
      <w:r w:rsidR="00753663" w:rsidRPr="4947B28A">
        <w:rPr>
          <w:rFonts w:cs="Arial"/>
          <w:sz w:val="22"/>
          <w:szCs w:val="22"/>
        </w:rPr>
        <w:t xml:space="preserve"> (Madagascar</w:t>
      </w:r>
      <w:r w:rsidR="0077690E" w:rsidRPr="4947B28A">
        <w:rPr>
          <w:rFonts w:cs="Arial"/>
          <w:sz w:val="22"/>
          <w:szCs w:val="22"/>
        </w:rPr>
        <w:t xml:space="preserve">; </w:t>
      </w:r>
      <w:r w:rsidR="60C17F72" w:rsidRPr="4947B28A">
        <w:rPr>
          <w:rFonts w:cs="Arial"/>
          <w:sz w:val="22"/>
          <w:szCs w:val="22"/>
        </w:rPr>
        <w:t xml:space="preserve">key product: </w:t>
      </w:r>
      <w:r w:rsidR="0077690E" w:rsidRPr="4947B28A">
        <w:rPr>
          <w:rFonts w:cs="Arial"/>
          <w:sz w:val="22"/>
          <w:szCs w:val="22"/>
        </w:rPr>
        <w:t>Quinine, Artemisinin</w:t>
      </w:r>
      <w:r w:rsidR="00753663" w:rsidRPr="4947B28A">
        <w:rPr>
          <w:rFonts w:cs="Arial"/>
          <w:sz w:val="22"/>
          <w:szCs w:val="22"/>
        </w:rPr>
        <w:t>)</w:t>
      </w:r>
    </w:p>
    <w:p w14:paraId="62A2F353" w14:textId="28F3BC83" w:rsidR="00C709D4" w:rsidRDefault="007C29BE" w:rsidP="006110D9">
      <w:pPr>
        <w:pStyle w:val="ListParagraph"/>
        <w:numPr>
          <w:ilvl w:val="0"/>
          <w:numId w:val="18"/>
        </w:numPr>
        <w:jc w:val="both"/>
        <w:rPr>
          <w:rFonts w:cs="Arial"/>
          <w:sz w:val="22"/>
          <w:szCs w:val="22"/>
        </w:rPr>
      </w:pPr>
      <w:r>
        <w:rPr>
          <w:rFonts w:cs="Arial"/>
          <w:sz w:val="22"/>
          <w:szCs w:val="22"/>
        </w:rPr>
        <w:t>*</w:t>
      </w:r>
      <w:r w:rsidR="00C709D4">
        <w:rPr>
          <w:rFonts w:cs="Arial"/>
          <w:sz w:val="22"/>
          <w:szCs w:val="22"/>
        </w:rPr>
        <w:t xml:space="preserve">Pamoja (Kenya and Tanzania; key product: </w:t>
      </w:r>
      <w:r w:rsidR="00796DF1">
        <w:rPr>
          <w:rFonts w:cs="Arial"/>
          <w:sz w:val="22"/>
          <w:szCs w:val="22"/>
        </w:rPr>
        <w:t>macadamia nuts)</w:t>
      </w:r>
    </w:p>
    <w:p w14:paraId="6755C5D0" w14:textId="2E9C63E7" w:rsidR="00796DF1" w:rsidRDefault="00E53067" w:rsidP="006110D9">
      <w:pPr>
        <w:pStyle w:val="ListParagraph"/>
        <w:numPr>
          <w:ilvl w:val="0"/>
          <w:numId w:val="18"/>
        </w:numPr>
        <w:jc w:val="both"/>
        <w:rPr>
          <w:rFonts w:cs="Arial"/>
          <w:sz w:val="22"/>
          <w:szCs w:val="22"/>
        </w:rPr>
      </w:pPr>
      <w:r>
        <w:rPr>
          <w:rFonts w:cs="Arial"/>
          <w:sz w:val="22"/>
          <w:szCs w:val="22"/>
        </w:rPr>
        <w:t>*</w:t>
      </w:r>
      <w:r w:rsidR="00796DF1">
        <w:rPr>
          <w:rFonts w:cs="Arial"/>
          <w:sz w:val="22"/>
          <w:szCs w:val="22"/>
        </w:rPr>
        <w:t xml:space="preserve">Koa Impact (Ghana; key product: </w:t>
      </w:r>
      <w:r w:rsidR="00F6206D">
        <w:rPr>
          <w:rFonts w:cs="Arial"/>
          <w:sz w:val="22"/>
          <w:szCs w:val="22"/>
        </w:rPr>
        <w:t>cocoa pulp)</w:t>
      </w:r>
    </w:p>
    <w:p w14:paraId="19B3640D" w14:textId="78BD8732" w:rsidR="00F6206D" w:rsidRPr="000F5F51" w:rsidRDefault="00F6206D" w:rsidP="006110D9">
      <w:pPr>
        <w:pStyle w:val="ListParagraph"/>
        <w:numPr>
          <w:ilvl w:val="0"/>
          <w:numId w:val="18"/>
        </w:numPr>
        <w:jc w:val="both"/>
        <w:rPr>
          <w:rFonts w:cs="Arial"/>
          <w:sz w:val="22"/>
          <w:szCs w:val="22"/>
        </w:rPr>
      </w:pPr>
      <w:proofErr w:type="spellStart"/>
      <w:r>
        <w:rPr>
          <w:rFonts w:cs="Arial"/>
          <w:sz w:val="22"/>
          <w:szCs w:val="22"/>
        </w:rPr>
        <w:t>Terrasos</w:t>
      </w:r>
      <w:proofErr w:type="spellEnd"/>
      <w:r>
        <w:rPr>
          <w:rFonts w:cs="Arial"/>
          <w:sz w:val="22"/>
          <w:szCs w:val="22"/>
        </w:rPr>
        <w:t xml:space="preserve"> (Colombia</w:t>
      </w:r>
      <w:r w:rsidR="00D71991">
        <w:rPr>
          <w:rFonts w:cs="Arial"/>
          <w:sz w:val="22"/>
          <w:szCs w:val="22"/>
        </w:rPr>
        <w:t>; key product: biodiversity credits)</w:t>
      </w:r>
    </w:p>
    <w:p w14:paraId="162502A6" w14:textId="5E28F060" w:rsidR="00FC7538" w:rsidRPr="00C35093" w:rsidRDefault="00C35093" w:rsidP="006110D9">
      <w:pPr>
        <w:jc w:val="both"/>
        <w:rPr>
          <w:rFonts w:cs="Arial"/>
          <w:sz w:val="22"/>
          <w:szCs w:val="22"/>
        </w:rPr>
      </w:pPr>
      <w:r w:rsidRPr="466ACAE9">
        <w:rPr>
          <w:rFonts w:cs="Arial"/>
          <w:sz w:val="22"/>
          <w:szCs w:val="22"/>
        </w:rPr>
        <w:t>LDN</w:t>
      </w:r>
      <w:r w:rsidR="00A16691" w:rsidRPr="466ACAE9">
        <w:rPr>
          <w:rFonts w:cs="Arial"/>
          <w:sz w:val="22"/>
          <w:szCs w:val="22"/>
        </w:rPr>
        <w:t xml:space="preserve">’s portfolio was completed in 2023, so no new projects are being invested in, though both planned and </w:t>
      </w:r>
      <w:r w:rsidR="00795A29" w:rsidRPr="466ACAE9">
        <w:rPr>
          <w:rFonts w:cs="Arial"/>
          <w:sz w:val="22"/>
          <w:szCs w:val="22"/>
        </w:rPr>
        <w:t>new</w:t>
      </w:r>
      <w:r w:rsidR="00A16691" w:rsidRPr="466ACAE9">
        <w:rPr>
          <w:rFonts w:cs="Arial"/>
          <w:sz w:val="22"/>
          <w:szCs w:val="22"/>
        </w:rPr>
        <w:t xml:space="preserve"> </w:t>
      </w:r>
      <w:r w:rsidR="00285CC9" w:rsidRPr="466ACAE9">
        <w:rPr>
          <w:rFonts w:cs="Arial"/>
          <w:sz w:val="22"/>
          <w:szCs w:val="22"/>
        </w:rPr>
        <w:t xml:space="preserve">follow-up </w:t>
      </w:r>
      <w:r w:rsidR="00795A29" w:rsidRPr="466ACAE9">
        <w:rPr>
          <w:rFonts w:cs="Arial"/>
          <w:sz w:val="22"/>
          <w:szCs w:val="22"/>
        </w:rPr>
        <w:t>contributions to existing projects continued in 2024.</w:t>
      </w:r>
      <w:r w:rsidR="009F30D2" w:rsidRPr="466ACAE9">
        <w:rPr>
          <w:rFonts w:cs="Arial"/>
          <w:sz w:val="22"/>
          <w:szCs w:val="22"/>
        </w:rPr>
        <w:t xml:space="preserve"> LDN also operates an independent don</w:t>
      </w:r>
      <w:r w:rsidR="004E1B14" w:rsidRPr="466ACAE9">
        <w:rPr>
          <w:rFonts w:cs="Arial"/>
          <w:sz w:val="22"/>
          <w:szCs w:val="22"/>
        </w:rPr>
        <w:t>or</w:t>
      </w:r>
      <w:r w:rsidR="009F30D2" w:rsidRPr="466ACAE9">
        <w:rPr>
          <w:rFonts w:cs="Arial"/>
          <w:sz w:val="22"/>
          <w:szCs w:val="22"/>
        </w:rPr>
        <w:t xml:space="preserve">-funded Technical Assistance Facility (TAF) which </w:t>
      </w:r>
      <w:r w:rsidR="004E1B14" w:rsidRPr="466ACAE9">
        <w:rPr>
          <w:rFonts w:cs="Arial"/>
          <w:sz w:val="22"/>
          <w:szCs w:val="22"/>
        </w:rPr>
        <w:t>increases the impact of investments (but to which Defra has not contributed</w:t>
      </w:r>
      <w:r w:rsidR="00EA3D6E">
        <w:rPr>
          <w:rFonts w:cs="Arial"/>
          <w:sz w:val="22"/>
          <w:szCs w:val="22"/>
        </w:rPr>
        <w:t xml:space="preserve"> to date</w:t>
      </w:r>
      <w:r w:rsidR="004E1B14" w:rsidRPr="466ACAE9">
        <w:rPr>
          <w:rFonts w:cs="Arial"/>
          <w:sz w:val="22"/>
          <w:szCs w:val="22"/>
        </w:rPr>
        <w:t>).</w:t>
      </w:r>
    </w:p>
    <w:p w14:paraId="490DE644" w14:textId="77777777" w:rsidR="00C35093" w:rsidRPr="000F5F51" w:rsidRDefault="00C35093" w:rsidP="006110D9">
      <w:pPr>
        <w:jc w:val="both"/>
        <w:rPr>
          <w:rFonts w:cs="Arial"/>
          <w:b/>
          <w:bCs/>
          <w:sz w:val="22"/>
          <w:szCs w:val="22"/>
        </w:rPr>
      </w:pPr>
    </w:p>
    <w:p w14:paraId="69294281" w14:textId="7DF6D8B3" w:rsidR="006F3AE7" w:rsidRPr="000F5F51" w:rsidRDefault="25B96BF8" w:rsidP="006110D9">
      <w:pPr>
        <w:jc w:val="both"/>
        <w:rPr>
          <w:rFonts w:cs="Arial"/>
          <w:sz w:val="22"/>
          <w:szCs w:val="22"/>
        </w:rPr>
      </w:pPr>
      <w:r w:rsidRPr="000F5F51">
        <w:rPr>
          <w:rFonts w:cs="Arial"/>
          <w:b/>
          <w:bCs/>
          <w:sz w:val="22"/>
          <w:szCs w:val="22"/>
        </w:rPr>
        <w:t>Summary supporting narrative for the overall score in this review</w:t>
      </w:r>
    </w:p>
    <w:p w14:paraId="0F22678A" w14:textId="59A97289" w:rsidR="006553B5" w:rsidRPr="000F5F51" w:rsidRDefault="006553B5" w:rsidP="006110D9">
      <w:pPr>
        <w:jc w:val="both"/>
        <w:rPr>
          <w:rFonts w:cs="Arial"/>
          <w:sz w:val="22"/>
          <w:szCs w:val="22"/>
        </w:rPr>
      </w:pPr>
    </w:p>
    <w:p w14:paraId="46FE8E96" w14:textId="14DF1F89" w:rsidR="000F5F51" w:rsidRDefault="0063205A" w:rsidP="006110D9">
      <w:pPr>
        <w:spacing w:before="40" w:after="40"/>
        <w:jc w:val="both"/>
        <w:rPr>
          <w:rFonts w:cs="Arial"/>
          <w:sz w:val="22"/>
          <w:szCs w:val="22"/>
        </w:rPr>
      </w:pPr>
      <w:r>
        <w:rPr>
          <w:rFonts w:cs="Arial"/>
          <w:sz w:val="22"/>
          <w:szCs w:val="22"/>
        </w:rPr>
        <w:t xml:space="preserve">The overall score for the Annual Review, based on Output </w:t>
      </w:r>
      <w:r w:rsidR="00DA74E9">
        <w:rPr>
          <w:rFonts w:cs="Arial"/>
          <w:sz w:val="22"/>
          <w:szCs w:val="22"/>
        </w:rPr>
        <w:t xml:space="preserve">indicators, is an A, </w:t>
      </w:r>
      <w:r w:rsidR="00C37C7F">
        <w:rPr>
          <w:rFonts w:cs="Arial"/>
          <w:sz w:val="22"/>
          <w:szCs w:val="22"/>
        </w:rPr>
        <w:t xml:space="preserve">with individual scores improving since </w:t>
      </w:r>
      <w:r w:rsidR="00DA74E9">
        <w:rPr>
          <w:rFonts w:cs="Arial"/>
          <w:sz w:val="22"/>
          <w:szCs w:val="22"/>
        </w:rPr>
        <w:t>2023</w:t>
      </w:r>
      <w:r w:rsidR="00E91734">
        <w:rPr>
          <w:rFonts w:cs="Arial"/>
          <w:sz w:val="22"/>
          <w:szCs w:val="22"/>
        </w:rPr>
        <w:t xml:space="preserve">, but still with room for improvement. The programme scores very highly on poverty and gender </w:t>
      </w:r>
      <w:proofErr w:type="gramStart"/>
      <w:r w:rsidR="00E91734">
        <w:rPr>
          <w:rFonts w:cs="Arial"/>
          <w:sz w:val="22"/>
          <w:szCs w:val="22"/>
        </w:rPr>
        <w:t>ou</w:t>
      </w:r>
      <w:r w:rsidR="00436027">
        <w:rPr>
          <w:rFonts w:cs="Arial"/>
          <w:sz w:val="22"/>
          <w:szCs w:val="22"/>
        </w:rPr>
        <w:t>t</w:t>
      </w:r>
      <w:r w:rsidR="00E91734">
        <w:rPr>
          <w:rFonts w:cs="Arial"/>
          <w:sz w:val="22"/>
          <w:szCs w:val="22"/>
        </w:rPr>
        <w:t>puts, but</w:t>
      </w:r>
      <w:proofErr w:type="gramEnd"/>
      <w:r w:rsidR="00E91734">
        <w:rPr>
          <w:rFonts w:cs="Arial"/>
          <w:sz w:val="22"/>
          <w:szCs w:val="22"/>
        </w:rPr>
        <w:t xml:space="preserve"> has been hampered in progress on climate and nature targets by </w:t>
      </w:r>
      <w:r w:rsidR="00436027">
        <w:rPr>
          <w:rFonts w:cs="Arial"/>
          <w:sz w:val="22"/>
          <w:szCs w:val="22"/>
        </w:rPr>
        <w:t>the</w:t>
      </w:r>
      <w:r w:rsidR="00EA3D6E">
        <w:rPr>
          <w:rFonts w:cs="Arial"/>
          <w:sz w:val="22"/>
          <w:szCs w:val="22"/>
        </w:rPr>
        <w:t xml:space="preserve"> continued</w:t>
      </w:r>
      <w:r w:rsidR="00436027">
        <w:rPr>
          <w:rFonts w:cs="Arial"/>
          <w:sz w:val="22"/>
          <w:szCs w:val="22"/>
        </w:rPr>
        <w:t xml:space="preserve"> economic fall-out of COVID-19, prompting a more cautious investment approach that may mean some targets need reassessing for 2025 to keep them </w:t>
      </w:r>
      <w:r w:rsidR="008C7F3E">
        <w:rPr>
          <w:rFonts w:cs="Arial"/>
          <w:sz w:val="22"/>
          <w:szCs w:val="22"/>
        </w:rPr>
        <w:t>constructive</w:t>
      </w:r>
      <w:r w:rsidR="00436027">
        <w:rPr>
          <w:rFonts w:cs="Arial"/>
          <w:sz w:val="22"/>
          <w:szCs w:val="22"/>
        </w:rPr>
        <w:t>.</w:t>
      </w:r>
      <w:r w:rsidR="00AE616E">
        <w:rPr>
          <w:rFonts w:cs="Arial"/>
          <w:sz w:val="22"/>
          <w:szCs w:val="22"/>
        </w:rPr>
        <w:t xml:space="preserve"> Mirova continues to be a </w:t>
      </w:r>
      <w:r w:rsidR="00334046">
        <w:rPr>
          <w:rFonts w:cs="Arial"/>
          <w:sz w:val="22"/>
          <w:szCs w:val="22"/>
        </w:rPr>
        <w:t xml:space="preserve">very </w:t>
      </w:r>
      <w:r w:rsidR="00AE616E">
        <w:rPr>
          <w:rFonts w:cs="Arial"/>
          <w:sz w:val="22"/>
          <w:szCs w:val="22"/>
        </w:rPr>
        <w:t>good and responsive partner, and in 2024 Defra allocate</w:t>
      </w:r>
      <w:r w:rsidR="00334046">
        <w:rPr>
          <w:rFonts w:cs="Arial"/>
          <w:sz w:val="22"/>
          <w:szCs w:val="22"/>
        </w:rPr>
        <w:t>d</w:t>
      </w:r>
      <w:r w:rsidR="00AE616E">
        <w:rPr>
          <w:rFonts w:cs="Arial"/>
          <w:sz w:val="22"/>
          <w:szCs w:val="22"/>
        </w:rPr>
        <w:t xml:space="preserve"> a further £10 million </w:t>
      </w:r>
      <w:r w:rsidR="00334046">
        <w:rPr>
          <w:rFonts w:cs="Arial"/>
          <w:sz w:val="22"/>
          <w:szCs w:val="22"/>
        </w:rPr>
        <w:t xml:space="preserve">of ODA and International Climate Finance </w:t>
      </w:r>
      <w:r w:rsidR="00AE616E">
        <w:rPr>
          <w:rFonts w:cs="Arial"/>
          <w:sz w:val="22"/>
          <w:szCs w:val="22"/>
        </w:rPr>
        <w:t>to invest in LDN’s successor Fund, Mirova Sustainable Land Use Fund</w:t>
      </w:r>
      <w:r w:rsidR="00334046">
        <w:rPr>
          <w:rFonts w:cs="Arial"/>
          <w:sz w:val="22"/>
          <w:szCs w:val="22"/>
        </w:rPr>
        <w:t xml:space="preserve"> 2, which went ahead in July 2025.</w:t>
      </w:r>
    </w:p>
    <w:p w14:paraId="5A653C79" w14:textId="77777777" w:rsidR="00AB2BB7" w:rsidRPr="00AD3E2A" w:rsidRDefault="00AB2BB7" w:rsidP="006110D9">
      <w:pPr>
        <w:spacing w:before="40" w:after="40"/>
        <w:jc w:val="both"/>
        <w:rPr>
          <w:rFonts w:cs="Arial"/>
          <w:color w:val="FF0000"/>
          <w:sz w:val="22"/>
          <w:szCs w:val="22"/>
        </w:rPr>
      </w:pPr>
    </w:p>
    <w:p w14:paraId="2EB0F2F3" w14:textId="64216ACE" w:rsidR="000F5F51" w:rsidRPr="00AD3E2A" w:rsidRDefault="000F5F51" w:rsidP="006110D9">
      <w:pPr>
        <w:tabs>
          <w:tab w:val="left" w:pos="6915"/>
          <w:tab w:val="left" w:pos="9495"/>
        </w:tabs>
        <w:jc w:val="both"/>
        <w:rPr>
          <w:rFonts w:cs="Arial"/>
          <w:b/>
          <w:bCs/>
          <w:color w:val="000000" w:themeColor="text1"/>
          <w:sz w:val="22"/>
          <w:szCs w:val="22"/>
        </w:rPr>
      </w:pPr>
      <w:r w:rsidRPr="47248147">
        <w:rPr>
          <w:rFonts w:cs="Arial"/>
          <w:b/>
          <w:bCs/>
          <w:color w:val="000000" w:themeColor="text1"/>
          <w:sz w:val="22"/>
          <w:szCs w:val="22"/>
        </w:rPr>
        <w:t>Progress on</w:t>
      </w:r>
      <w:r w:rsidR="007E5AFC" w:rsidRPr="47248147">
        <w:rPr>
          <w:rFonts w:cs="Arial"/>
          <w:b/>
          <w:bCs/>
          <w:color w:val="000000" w:themeColor="text1"/>
          <w:sz w:val="22"/>
          <w:szCs w:val="22"/>
        </w:rPr>
        <w:t xml:space="preserve"> </w:t>
      </w:r>
      <w:r w:rsidR="00AB2BB7">
        <w:rPr>
          <w:rFonts w:cs="Arial"/>
          <w:b/>
          <w:bCs/>
          <w:color w:val="000000" w:themeColor="text1"/>
          <w:sz w:val="22"/>
          <w:szCs w:val="22"/>
        </w:rPr>
        <w:t>ongoing</w:t>
      </w:r>
      <w:r w:rsidRPr="47248147">
        <w:rPr>
          <w:rFonts w:cs="Arial"/>
          <w:b/>
          <w:bCs/>
          <w:color w:val="000000" w:themeColor="text1"/>
          <w:sz w:val="22"/>
          <w:szCs w:val="22"/>
        </w:rPr>
        <w:t xml:space="preserve"> recommendations from previous AR: </w:t>
      </w:r>
    </w:p>
    <w:p w14:paraId="68393B40" w14:textId="17E851CA" w:rsidR="0287FA13" w:rsidRPr="00AB2BB7" w:rsidRDefault="0287FA13" w:rsidP="006110D9">
      <w:pPr>
        <w:tabs>
          <w:tab w:val="left" w:pos="6915"/>
          <w:tab w:val="left" w:pos="9495"/>
        </w:tabs>
        <w:jc w:val="both"/>
        <w:rPr>
          <w:color w:val="000000" w:themeColor="text1"/>
          <w:sz w:val="22"/>
          <w:szCs w:val="22"/>
          <w:lang w:val="en-US"/>
        </w:rPr>
      </w:pPr>
    </w:p>
    <w:p w14:paraId="27FBB017" w14:textId="7395DDCF" w:rsidR="00596659" w:rsidRDefault="00596659" w:rsidP="006110D9">
      <w:pPr>
        <w:pStyle w:val="ListParagraph"/>
        <w:numPr>
          <w:ilvl w:val="0"/>
          <w:numId w:val="34"/>
        </w:numPr>
        <w:tabs>
          <w:tab w:val="left" w:pos="6915"/>
          <w:tab w:val="left" w:pos="9495"/>
        </w:tabs>
        <w:jc w:val="both"/>
        <w:rPr>
          <w:color w:val="000000" w:themeColor="text1"/>
          <w:sz w:val="22"/>
          <w:szCs w:val="22"/>
        </w:rPr>
      </w:pPr>
      <w:r w:rsidRPr="055BFE74">
        <w:rPr>
          <w:color w:val="000000" w:themeColor="text1"/>
          <w:sz w:val="22"/>
          <w:szCs w:val="22"/>
        </w:rPr>
        <w:t xml:space="preserve">In 2024’s annual review, reporting should begin on the </w:t>
      </w:r>
      <w:proofErr w:type="spellStart"/>
      <w:r w:rsidRPr="055BFE74">
        <w:rPr>
          <w:color w:val="000000" w:themeColor="text1"/>
          <w:sz w:val="22"/>
          <w:szCs w:val="22"/>
        </w:rPr>
        <w:t>logframe’s</w:t>
      </w:r>
      <w:proofErr w:type="spellEnd"/>
      <w:r w:rsidRPr="055BFE74">
        <w:rPr>
          <w:color w:val="000000" w:themeColor="text1"/>
          <w:sz w:val="22"/>
          <w:szCs w:val="22"/>
        </w:rPr>
        <w:t xml:space="preserve"> Impact Indicators. </w:t>
      </w:r>
    </w:p>
    <w:p w14:paraId="3D5DAC5F" w14:textId="6EA6D3A8" w:rsidR="00CD6869" w:rsidRPr="00CC109C" w:rsidRDefault="00CD6869" w:rsidP="006110D9">
      <w:pPr>
        <w:pStyle w:val="ListParagraph"/>
        <w:numPr>
          <w:ilvl w:val="1"/>
          <w:numId w:val="34"/>
        </w:numPr>
        <w:tabs>
          <w:tab w:val="left" w:pos="6915"/>
          <w:tab w:val="left" w:pos="9495"/>
        </w:tabs>
        <w:jc w:val="both"/>
        <w:rPr>
          <w:i/>
          <w:iCs/>
          <w:color w:val="000000" w:themeColor="text1"/>
          <w:sz w:val="22"/>
          <w:szCs w:val="22"/>
        </w:rPr>
      </w:pPr>
      <w:r w:rsidRPr="00CC109C">
        <w:rPr>
          <w:i/>
          <w:iCs/>
          <w:color w:val="000000" w:themeColor="text1"/>
          <w:sz w:val="22"/>
          <w:szCs w:val="22"/>
        </w:rPr>
        <w:t xml:space="preserve">All impact indicators are now being reported on, with an improved </w:t>
      </w:r>
      <w:r w:rsidR="006B2B0A" w:rsidRPr="00CC109C">
        <w:rPr>
          <w:i/>
          <w:iCs/>
          <w:color w:val="000000" w:themeColor="text1"/>
          <w:sz w:val="22"/>
          <w:szCs w:val="22"/>
        </w:rPr>
        <w:t>score</w:t>
      </w:r>
      <w:r w:rsidRPr="00CC109C">
        <w:rPr>
          <w:i/>
          <w:iCs/>
          <w:color w:val="000000" w:themeColor="text1"/>
          <w:sz w:val="22"/>
          <w:szCs w:val="22"/>
        </w:rPr>
        <w:t xml:space="preserve"> for KPI15 (transformational change) and narrative </w:t>
      </w:r>
      <w:r w:rsidR="006B2B0A" w:rsidRPr="00CC109C">
        <w:rPr>
          <w:i/>
          <w:iCs/>
          <w:color w:val="000000" w:themeColor="text1"/>
          <w:sz w:val="22"/>
          <w:szCs w:val="22"/>
        </w:rPr>
        <w:t>results for the others.</w:t>
      </w:r>
    </w:p>
    <w:p w14:paraId="7D9F31DA" w14:textId="77777777" w:rsidR="00596659" w:rsidRPr="0012697C" w:rsidRDefault="00596659" w:rsidP="006110D9">
      <w:pPr>
        <w:pStyle w:val="ListParagraph"/>
        <w:tabs>
          <w:tab w:val="left" w:pos="6915"/>
          <w:tab w:val="left" w:pos="9495"/>
        </w:tabs>
        <w:ind w:left="502"/>
        <w:jc w:val="both"/>
        <w:rPr>
          <w:color w:val="000000" w:themeColor="text1"/>
          <w:sz w:val="22"/>
          <w:szCs w:val="22"/>
        </w:rPr>
      </w:pPr>
      <w:r>
        <w:rPr>
          <w:color w:val="000000" w:themeColor="text1"/>
          <w:sz w:val="22"/>
          <w:szCs w:val="22"/>
        </w:rPr>
        <w:t xml:space="preserve"> </w:t>
      </w:r>
    </w:p>
    <w:p w14:paraId="5F486DAE" w14:textId="62A9D2AB" w:rsidR="00596659" w:rsidRDefault="00596659" w:rsidP="006110D9">
      <w:pPr>
        <w:pStyle w:val="ListParagraph"/>
        <w:numPr>
          <w:ilvl w:val="0"/>
          <w:numId w:val="34"/>
        </w:numPr>
        <w:tabs>
          <w:tab w:val="left" w:pos="6915"/>
          <w:tab w:val="left" w:pos="9495"/>
        </w:tabs>
        <w:jc w:val="both"/>
        <w:rPr>
          <w:color w:val="000000" w:themeColor="text1"/>
          <w:sz w:val="22"/>
          <w:szCs w:val="22"/>
        </w:rPr>
      </w:pPr>
      <w:r>
        <w:rPr>
          <w:color w:val="000000" w:themeColor="text1"/>
          <w:sz w:val="22"/>
          <w:szCs w:val="22"/>
        </w:rPr>
        <w:t>Defra should work with Mirova to plug any gaps in monitoring, particularly for biodiversity</w:t>
      </w:r>
      <w:r w:rsidRPr="443E94B4">
        <w:rPr>
          <w:color w:val="000000" w:themeColor="text1"/>
          <w:sz w:val="22"/>
          <w:szCs w:val="22"/>
        </w:rPr>
        <w:t>.</w:t>
      </w:r>
    </w:p>
    <w:p w14:paraId="18F4E41A" w14:textId="272E4026" w:rsidR="006B2B0A" w:rsidRPr="00CC109C" w:rsidRDefault="006D5FFC" w:rsidP="006110D9">
      <w:pPr>
        <w:pStyle w:val="ListParagraph"/>
        <w:numPr>
          <w:ilvl w:val="1"/>
          <w:numId w:val="34"/>
        </w:numPr>
        <w:tabs>
          <w:tab w:val="left" w:pos="6915"/>
          <w:tab w:val="left" w:pos="9495"/>
        </w:tabs>
        <w:jc w:val="both"/>
        <w:rPr>
          <w:color w:val="000000" w:themeColor="text1"/>
          <w:sz w:val="22"/>
          <w:szCs w:val="22"/>
        </w:rPr>
      </w:pPr>
      <w:r w:rsidRPr="00CC109C">
        <w:rPr>
          <w:i/>
          <w:color w:val="000000" w:themeColor="text1"/>
          <w:sz w:val="22"/>
          <w:szCs w:val="22"/>
        </w:rPr>
        <w:t>Defra has engaged with Mirova on a</w:t>
      </w:r>
      <w:r w:rsidR="000426CF">
        <w:rPr>
          <w:i/>
          <w:color w:val="000000" w:themeColor="text1"/>
          <w:sz w:val="22"/>
          <w:szCs w:val="22"/>
        </w:rPr>
        <w:t>n ongoing</w:t>
      </w:r>
      <w:r w:rsidRPr="00CC109C">
        <w:rPr>
          <w:i/>
          <w:color w:val="000000" w:themeColor="text1"/>
          <w:sz w:val="22"/>
          <w:szCs w:val="22"/>
        </w:rPr>
        <w:t xml:space="preserve"> project to </w:t>
      </w:r>
      <w:r w:rsidR="005E3EBD" w:rsidRPr="00CC109C">
        <w:rPr>
          <w:i/>
          <w:color w:val="000000" w:themeColor="text1"/>
          <w:sz w:val="22"/>
          <w:szCs w:val="22"/>
        </w:rPr>
        <w:t>understand consideration and reporting of biodiversity in blended-finance funds</w:t>
      </w:r>
      <w:r w:rsidR="00CC109C" w:rsidRPr="00CC109C">
        <w:rPr>
          <w:i/>
          <w:color w:val="000000" w:themeColor="text1"/>
          <w:sz w:val="22"/>
          <w:szCs w:val="22"/>
        </w:rPr>
        <w:t>.</w:t>
      </w:r>
      <w:r w:rsidR="00FC323B">
        <w:rPr>
          <w:i/>
          <w:color w:val="000000" w:themeColor="text1"/>
          <w:sz w:val="22"/>
          <w:szCs w:val="22"/>
        </w:rPr>
        <w:t xml:space="preserve"> Mirova reported that they are continuing to actively </w:t>
      </w:r>
      <w:r w:rsidR="00455BAA">
        <w:rPr>
          <w:i/>
          <w:color w:val="000000" w:themeColor="text1"/>
          <w:sz w:val="22"/>
          <w:szCs w:val="22"/>
        </w:rPr>
        <w:t>work towards more accurate attribution and measurement, with spatial data the most valuable in</w:t>
      </w:r>
      <w:r w:rsidR="00544C98">
        <w:rPr>
          <w:i/>
          <w:color w:val="000000" w:themeColor="text1"/>
          <w:sz w:val="22"/>
          <w:szCs w:val="22"/>
        </w:rPr>
        <w:t xml:space="preserve">put for assessing impact. LDN </w:t>
      </w:r>
      <w:r w:rsidR="003A6AC4">
        <w:rPr>
          <w:i/>
          <w:color w:val="000000" w:themeColor="text1"/>
          <w:sz w:val="22"/>
          <w:szCs w:val="22"/>
        </w:rPr>
        <w:t>assesses project sites and a c. 20km buffer around to compare change on and off site</w:t>
      </w:r>
      <w:r w:rsidR="001A5274">
        <w:rPr>
          <w:i/>
          <w:color w:val="000000" w:themeColor="text1"/>
          <w:sz w:val="22"/>
          <w:szCs w:val="22"/>
        </w:rPr>
        <w:t xml:space="preserve">, though </w:t>
      </w:r>
      <w:r w:rsidR="005C0557">
        <w:rPr>
          <w:i/>
          <w:color w:val="000000" w:themeColor="text1"/>
          <w:sz w:val="22"/>
          <w:szCs w:val="22"/>
        </w:rPr>
        <w:t xml:space="preserve">dispersed </w:t>
      </w:r>
      <w:r w:rsidR="001A5274">
        <w:rPr>
          <w:i/>
          <w:color w:val="000000" w:themeColor="text1"/>
          <w:sz w:val="22"/>
          <w:szCs w:val="22"/>
        </w:rPr>
        <w:t>smallholder-based projects rely on wider mapping and remote sensing.</w:t>
      </w:r>
      <w:r w:rsidR="009972CF">
        <w:rPr>
          <w:i/>
          <w:color w:val="000000" w:themeColor="text1"/>
          <w:sz w:val="22"/>
          <w:szCs w:val="22"/>
        </w:rPr>
        <w:t xml:space="preserve"> The Fund continues to consider further </w:t>
      </w:r>
      <w:proofErr w:type="gramStart"/>
      <w:r w:rsidR="009972CF">
        <w:rPr>
          <w:i/>
          <w:color w:val="000000" w:themeColor="text1"/>
          <w:sz w:val="22"/>
          <w:szCs w:val="22"/>
        </w:rPr>
        <w:t>improvements</w:t>
      </w:r>
      <w:r w:rsidR="00D42D35">
        <w:rPr>
          <w:i/>
          <w:color w:val="000000" w:themeColor="text1"/>
          <w:sz w:val="22"/>
          <w:szCs w:val="22"/>
        </w:rPr>
        <w:t>, and</w:t>
      </w:r>
      <w:proofErr w:type="gramEnd"/>
      <w:r w:rsidR="00D42D35">
        <w:rPr>
          <w:i/>
          <w:color w:val="000000" w:themeColor="text1"/>
          <w:sz w:val="22"/>
          <w:szCs w:val="22"/>
        </w:rPr>
        <w:t xml:space="preserve"> is testing a benchmarking system across the portfolio</w:t>
      </w:r>
      <w:r w:rsidR="001B34F0">
        <w:rPr>
          <w:i/>
          <w:color w:val="000000" w:themeColor="text1"/>
          <w:sz w:val="22"/>
          <w:szCs w:val="22"/>
        </w:rPr>
        <w:t xml:space="preserve"> to compare biodiversity data </w:t>
      </w:r>
      <w:r w:rsidR="00ED1099">
        <w:rPr>
          <w:i/>
          <w:color w:val="000000" w:themeColor="text1"/>
          <w:sz w:val="22"/>
          <w:szCs w:val="22"/>
        </w:rPr>
        <w:t>for similar</w:t>
      </w:r>
      <w:r w:rsidR="001B34F0">
        <w:rPr>
          <w:i/>
          <w:color w:val="000000" w:themeColor="text1"/>
          <w:sz w:val="22"/>
          <w:szCs w:val="22"/>
        </w:rPr>
        <w:t xml:space="preserve"> project</w:t>
      </w:r>
      <w:r w:rsidR="00ED1099">
        <w:rPr>
          <w:i/>
          <w:color w:val="000000" w:themeColor="text1"/>
          <w:sz w:val="22"/>
          <w:szCs w:val="22"/>
        </w:rPr>
        <w:t>s</w:t>
      </w:r>
      <w:r w:rsidR="001B34F0">
        <w:rPr>
          <w:i/>
          <w:color w:val="000000" w:themeColor="text1"/>
          <w:sz w:val="22"/>
          <w:szCs w:val="22"/>
        </w:rPr>
        <w:t>.</w:t>
      </w:r>
    </w:p>
    <w:p w14:paraId="78A4A538" w14:textId="77777777" w:rsidR="00596659" w:rsidRPr="00B67F63" w:rsidRDefault="00596659" w:rsidP="006110D9">
      <w:pPr>
        <w:pStyle w:val="ListParagraph"/>
        <w:jc w:val="both"/>
        <w:rPr>
          <w:color w:val="000000" w:themeColor="text1"/>
          <w:sz w:val="22"/>
          <w:szCs w:val="22"/>
        </w:rPr>
      </w:pPr>
    </w:p>
    <w:p w14:paraId="5F633C98" w14:textId="2F092688" w:rsidR="00596659" w:rsidRDefault="00596659" w:rsidP="006110D9">
      <w:pPr>
        <w:pStyle w:val="ListParagraph"/>
        <w:numPr>
          <w:ilvl w:val="0"/>
          <w:numId w:val="34"/>
        </w:numPr>
        <w:tabs>
          <w:tab w:val="left" w:pos="6915"/>
          <w:tab w:val="left" w:pos="9495"/>
        </w:tabs>
        <w:jc w:val="both"/>
        <w:rPr>
          <w:color w:val="000000" w:themeColor="text1"/>
          <w:sz w:val="22"/>
          <w:szCs w:val="22"/>
        </w:rPr>
      </w:pPr>
      <w:r>
        <w:rPr>
          <w:color w:val="000000" w:themeColor="text1"/>
          <w:sz w:val="22"/>
          <w:szCs w:val="22"/>
        </w:rPr>
        <w:t xml:space="preserve">By March 2025, </w:t>
      </w:r>
      <w:r w:rsidRPr="5A4C12E7">
        <w:rPr>
          <w:color w:val="000000" w:themeColor="text1"/>
          <w:sz w:val="22"/>
          <w:szCs w:val="22"/>
        </w:rPr>
        <w:t xml:space="preserve">Defra </w:t>
      </w:r>
      <w:r>
        <w:rPr>
          <w:color w:val="000000" w:themeColor="text1"/>
          <w:sz w:val="22"/>
          <w:szCs w:val="22"/>
        </w:rPr>
        <w:t>should</w:t>
      </w:r>
      <w:r w:rsidRPr="5A4C12E7">
        <w:rPr>
          <w:color w:val="000000" w:themeColor="text1"/>
          <w:sz w:val="22"/>
          <w:szCs w:val="22"/>
        </w:rPr>
        <w:t xml:space="preserve"> consider </w:t>
      </w:r>
      <w:r>
        <w:rPr>
          <w:color w:val="000000" w:themeColor="text1"/>
          <w:sz w:val="22"/>
          <w:szCs w:val="22"/>
        </w:rPr>
        <w:t>the benefits and optimum timing of an</w:t>
      </w:r>
      <w:r w:rsidRPr="5A4C12E7">
        <w:rPr>
          <w:color w:val="000000" w:themeColor="text1"/>
          <w:sz w:val="22"/>
          <w:szCs w:val="22"/>
        </w:rPr>
        <w:t xml:space="preserve"> external evaluation of the </w:t>
      </w:r>
      <w:proofErr w:type="gramStart"/>
      <w:r w:rsidRPr="5A4C12E7">
        <w:rPr>
          <w:color w:val="000000" w:themeColor="text1"/>
          <w:sz w:val="22"/>
          <w:szCs w:val="22"/>
        </w:rPr>
        <w:t>programme</w:t>
      </w:r>
      <w:r>
        <w:rPr>
          <w:color w:val="000000" w:themeColor="text1"/>
          <w:sz w:val="22"/>
          <w:szCs w:val="22"/>
        </w:rPr>
        <w:t>, and</w:t>
      </w:r>
      <w:proofErr w:type="gramEnd"/>
      <w:r>
        <w:rPr>
          <w:color w:val="000000" w:themeColor="text1"/>
          <w:sz w:val="22"/>
          <w:szCs w:val="22"/>
        </w:rPr>
        <w:t xml:space="preserve"> explore with Mirova the possibility of a Fund-commissioned review as part of their quality assurance</w:t>
      </w:r>
      <w:r w:rsidRPr="5A4C12E7">
        <w:rPr>
          <w:color w:val="000000" w:themeColor="text1"/>
          <w:sz w:val="22"/>
          <w:szCs w:val="22"/>
        </w:rPr>
        <w:t xml:space="preserve">. </w:t>
      </w:r>
      <w:r w:rsidRPr="0097585A">
        <w:rPr>
          <w:color w:val="000000" w:themeColor="text1"/>
          <w:sz w:val="22"/>
          <w:szCs w:val="22"/>
        </w:rPr>
        <w:t xml:space="preserve">Assumptions underpinning </w:t>
      </w:r>
      <w:r>
        <w:rPr>
          <w:color w:val="000000" w:themeColor="text1"/>
          <w:sz w:val="22"/>
          <w:szCs w:val="22"/>
        </w:rPr>
        <w:t>the programme’s Theory of Change and expected results</w:t>
      </w:r>
      <w:r w:rsidRPr="0097585A">
        <w:rPr>
          <w:color w:val="000000" w:themeColor="text1"/>
          <w:sz w:val="22"/>
          <w:szCs w:val="22"/>
        </w:rPr>
        <w:t xml:space="preserve"> to be tested during </w:t>
      </w:r>
      <w:r>
        <w:rPr>
          <w:color w:val="000000" w:themeColor="text1"/>
          <w:sz w:val="22"/>
          <w:szCs w:val="22"/>
        </w:rPr>
        <w:t>any</w:t>
      </w:r>
      <w:r w:rsidRPr="0097585A">
        <w:rPr>
          <w:color w:val="000000" w:themeColor="text1"/>
          <w:sz w:val="22"/>
          <w:szCs w:val="22"/>
        </w:rPr>
        <w:t xml:space="preserve"> evaluation.</w:t>
      </w:r>
    </w:p>
    <w:p w14:paraId="14FE64C2" w14:textId="57C1E8AB" w:rsidR="008259E5" w:rsidRPr="00AC7114" w:rsidRDefault="00F23197" w:rsidP="006110D9">
      <w:pPr>
        <w:pStyle w:val="ListParagraph"/>
        <w:numPr>
          <w:ilvl w:val="1"/>
          <w:numId w:val="34"/>
        </w:numPr>
        <w:tabs>
          <w:tab w:val="left" w:pos="6915"/>
          <w:tab w:val="left" w:pos="9495"/>
        </w:tabs>
        <w:jc w:val="both"/>
        <w:rPr>
          <w:i/>
          <w:iCs/>
          <w:color w:val="000000" w:themeColor="text1"/>
          <w:sz w:val="22"/>
          <w:szCs w:val="22"/>
        </w:rPr>
      </w:pPr>
      <w:r w:rsidRPr="00CC109C">
        <w:rPr>
          <w:i/>
          <w:iCs/>
          <w:color w:val="000000" w:themeColor="text1"/>
          <w:sz w:val="22"/>
          <w:szCs w:val="22"/>
        </w:rPr>
        <w:t xml:space="preserve">At the first </w:t>
      </w:r>
      <w:r w:rsidR="0029641F" w:rsidRPr="00CC109C">
        <w:rPr>
          <w:i/>
          <w:iCs/>
          <w:color w:val="000000" w:themeColor="text1"/>
          <w:sz w:val="22"/>
          <w:szCs w:val="22"/>
        </w:rPr>
        <w:t xml:space="preserve">2024 </w:t>
      </w:r>
      <w:r w:rsidRPr="00CC109C">
        <w:rPr>
          <w:i/>
          <w:iCs/>
          <w:color w:val="000000" w:themeColor="text1"/>
          <w:sz w:val="22"/>
          <w:szCs w:val="22"/>
        </w:rPr>
        <w:t xml:space="preserve">Annual Review meeting this was discussed with the Fund Managers. </w:t>
      </w:r>
      <w:r w:rsidR="0029641F" w:rsidRPr="00CC109C">
        <w:rPr>
          <w:i/>
          <w:iCs/>
          <w:color w:val="000000" w:themeColor="text1"/>
          <w:sz w:val="22"/>
          <w:szCs w:val="22"/>
        </w:rPr>
        <w:t xml:space="preserve">They are open to an external </w:t>
      </w:r>
      <w:proofErr w:type="gramStart"/>
      <w:r w:rsidR="0029641F" w:rsidRPr="00CC109C">
        <w:rPr>
          <w:i/>
          <w:iCs/>
          <w:color w:val="000000" w:themeColor="text1"/>
          <w:sz w:val="22"/>
          <w:szCs w:val="22"/>
        </w:rPr>
        <w:t>evaluation, and</w:t>
      </w:r>
      <w:proofErr w:type="gramEnd"/>
      <w:r w:rsidR="0029641F" w:rsidRPr="00CC109C">
        <w:rPr>
          <w:i/>
          <w:iCs/>
          <w:color w:val="000000" w:themeColor="text1"/>
          <w:sz w:val="22"/>
          <w:szCs w:val="22"/>
        </w:rPr>
        <w:t xml:space="preserve"> have built one into the second LDN Fund (MSLF2)</w:t>
      </w:r>
      <w:r w:rsidR="00875E51" w:rsidRPr="00CC109C">
        <w:rPr>
          <w:i/>
          <w:iCs/>
          <w:color w:val="000000" w:themeColor="text1"/>
          <w:sz w:val="22"/>
          <w:szCs w:val="22"/>
        </w:rPr>
        <w:t xml:space="preserve">. However, determining when </w:t>
      </w:r>
      <w:r w:rsidR="00C17563" w:rsidRPr="00CC109C">
        <w:rPr>
          <w:i/>
          <w:iCs/>
          <w:color w:val="000000" w:themeColor="text1"/>
          <w:sz w:val="22"/>
          <w:szCs w:val="22"/>
        </w:rPr>
        <w:t xml:space="preserve">to hold </w:t>
      </w:r>
      <w:r w:rsidR="00875E51" w:rsidRPr="00CC109C">
        <w:rPr>
          <w:i/>
          <w:iCs/>
          <w:color w:val="000000" w:themeColor="text1"/>
          <w:sz w:val="22"/>
          <w:szCs w:val="22"/>
        </w:rPr>
        <w:t xml:space="preserve">and who will </w:t>
      </w:r>
      <w:r w:rsidR="00C17563" w:rsidRPr="00CC109C">
        <w:rPr>
          <w:i/>
          <w:iCs/>
          <w:color w:val="000000" w:themeColor="text1"/>
          <w:sz w:val="22"/>
          <w:szCs w:val="22"/>
        </w:rPr>
        <w:t>provide funding for an evaluation of the first Fund</w:t>
      </w:r>
      <w:r w:rsidR="00875E51" w:rsidRPr="00CC109C">
        <w:rPr>
          <w:i/>
          <w:iCs/>
          <w:color w:val="000000" w:themeColor="text1"/>
          <w:sz w:val="22"/>
          <w:szCs w:val="22"/>
        </w:rPr>
        <w:t xml:space="preserve"> </w:t>
      </w:r>
      <w:r w:rsidR="00D264AA" w:rsidRPr="00CC109C">
        <w:rPr>
          <w:i/>
          <w:iCs/>
          <w:color w:val="000000" w:themeColor="text1"/>
          <w:sz w:val="22"/>
          <w:szCs w:val="22"/>
        </w:rPr>
        <w:t xml:space="preserve">requires further discussion and probably engagement with other investors (as Defra holds only 6% of shares in the Fund it might not be a proportionate use of Defra’s </w:t>
      </w:r>
      <w:r w:rsidR="00E26419" w:rsidRPr="00CC109C">
        <w:rPr>
          <w:i/>
          <w:iCs/>
          <w:color w:val="000000" w:themeColor="text1"/>
          <w:sz w:val="22"/>
          <w:szCs w:val="22"/>
        </w:rPr>
        <w:t xml:space="preserve">budget, especially as the Fund is fully committed, so </w:t>
      </w:r>
      <w:r w:rsidR="00F155D0" w:rsidRPr="00CC109C">
        <w:rPr>
          <w:i/>
          <w:iCs/>
          <w:color w:val="000000" w:themeColor="text1"/>
          <w:sz w:val="22"/>
          <w:szCs w:val="22"/>
        </w:rPr>
        <w:t xml:space="preserve">any </w:t>
      </w:r>
      <w:r w:rsidR="00E26419" w:rsidRPr="00CC109C">
        <w:rPr>
          <w:i/>
          <w:iCs/>
          <w:color w:val="000000" w:themeColor="text1"/>
          <w:sz w:val="22"/>
          <w:szCs w:val="22"/>
        </w:rPr>
        <w:t xml:space="preserve">results will not impact </w:t>
      </w:r>
      <w:r w:rsidR="00F155D0" w:rsidRPr="00CC109C">
        <w:rPr>
          <w:i/>
          <w:iCs/>
          <w:color w:val="000000" w:themeColor="text1"/>
          <w:sz w:val="22"/>
          <w:szCs w:val="22"/>
        </w:rPr>
        <w:t>the operation of LDN1</w:t>
      </w:r>
      <w:r w:rsidR="00E26419" w:rsidRPr="00CC109C">
        <w:rPr>
          <w:i/>
          <w:iCs/>
          <w:color w:val="000000" w:themeColor="text1"/>
          <w:sz w:val="22"/>
          <w:szCs w:val="22"/>
        </w:rPr>
        <w:t>).</w:t>
      </w:r>
    </w:p>
    <w:p w14:paraId="436E28CD" w14:textId="7D31F191" w:rsidR="008259E5" w:rsidRDefault="008259E5" w:rsidP="006110D9">
      <w:pPr>
        <w:jc w:val="both"/>
        <w:rPr>
          <w:rFonts w:eastAsia="Arial" w:cs="Arial"/>
          <w:color w:val="000000" w:themeColor="text1"/>
          <w:sz w:val="22"/>
          <w:szCs w:val="22"/>
        </w:rPr>
      </w:pPr>
      <w:r>
        <w:rPr>
          <w:rFonts w:eastAsia="Arial" w:cs="Arial"/>
          <w:b/>
          <w:bCs/>
          <w:color w:val="000000" w:themeColor="text1"/>
          <w:sz w:val="22"/>
          <w:szCs w:val="22"/>
        </w:rPr>
        <w:t>GE</w:t>
      </w:r>
      <w:r w:rsidR="00517942">
        <w:rPr>
          <w:rFonts w:eastAsia="Arial" w:cs="Arial"/>
          <w:b/>
          <w:bCs/>
          <w:color w:val="000000" w:themeColor="text1"/>
          <w:sz w:val="22"/>
          <w:szCs w:val="22"/>
        </w:rPr>
        <w:t>D</w:t>
      </w:r>
      <w:r>
        <w:rPr>
          <w:rFonts w:eastAsia="Arial" w:cs="Arial"/>
          <w:b/>
          <w:bCs/>
          <w:color w:val="000000" w:themeColor="text1"/>
          <w:sz w:val="22"/>
          <w:szCs w:val="22"/>
        </w:rPr>
        <w:t>SI</w:t>
      </w:r>
      <w:r w:rsidR="006C316E">
        <w:rPr>
          <w:rFonts w:eastAsia="Arial" w:cs="Arial"/>
          <w:b/>
          <w:bCs/>
          <w:color w:val="000000" w:themeColor="text1"/>
          <w:sz w:val="22"/>
          <w:szCs w:val="22"/>
        </w:rPr>
        <w:t xml:space="preserve"> update</w:t>
      </w:r>
      <w:r>
        <w:rPr>
          <w:rFonts w:eastAsia="Arial" w:cs="Arial"/>
          <w:b/>
          <w:bCs/>
          <w:color w:val="000000" w:themeColor="text1"/>
          <w:sz w:val="22"/>
          <w:szCs w:val="22"/>
        </w:rPr>
        <w:t xml:space="preserve"> </w:t>
      </w:r>
    </w:p>
    <w:p w14:paraId="4037095E" w14:textId="77777777" w:rsidR="001378F6" w:rsidRDefault="001378F6" w:rsidP="006110D9">
      <w:pPr>
        <w:jc w:val="both"/>
        <w:rPr>
          <w:rFonts w:eastAsia="Arial" w:cs="Arial"/>
          <w:sz w:val="22"/>
          <w:szCs w:val="22"/>
        </w:rPr>
      </w:pPr>
    </w:p>
    <w:p w14:paraId="742019EF" w14:textId="4A1BBD38" w:rsidR="008259E5" w:rsidRPr="0094213E" w:rsidRDefault="009F559A" w:rsidP="006110D9">
      <w:pPr>
        <w:pStyle w:val="ListParagraph"/>
        <w:numPr>
          <w:ilvl w:val="0"/>
          <w:numId w:val="38"/>
        </w:numPr>
        <w:jc w:val="both"/>
        <w:rPr>
          <w:rFonts w:eastAsia="Arial" w:cs="Arial"/>
          <w:color w:val="000000" w:themeColor="text1"/>
          <w:sz w:val="22"/>
          <w:szCs w:val="22"/>
        </w:rPr>
      </w:pPr>
      <w:r w:rsidRPr="0094213E">
        <w:rPr>
          <w:rFonts w:eastAsia="Arial" w:cs="Arial"/>
          <w:sz w:val="22"/>
          <w:szCs w:val="22"/>
        </w:rPr>
        <w:lastRenderedPageBreak/>
        <w:t xml:space="preserve">Mirova is a member of the </w:t>
      </w:r>
      <w:hyperlink r:id="rId14" w:history="1">
        <w:r w:rsidR="00621394" w:rsidRPr="00621394">
          <w:rPr>
            <w:rStyle w:val="Hyperlink"/>
            <w:rFonts w:eastAsia="Arial" w:cs="Arial"/>
            <w:sz w:val="22"/>
            <w:szCs w:val="22"/>
          </w:rPr>
          <w:t>2X Challenge</w:t>
        </w:r>
      </w:hyperlink>
      <w:r w:rsidR="00621394">
        <w:rPr>
          <w:rFonts w:eastAsia="Arial" w:cs="Arial"/>
          <w:sz w:val="22"/>
          <w:szCs w:val="22"/>
        </w:rPr>
        <w:t xml:space="preserve"> </w:t>
      </w:r>
      <w:r w:rsidRPr="0094213E">
        <w:rPr>
          <w:rFonts w:eastAsia="Arial" w:cs="Arial"/>
          <w:sz w:val="22"/>
          <w:szCs w:val="22"/>
        </w:rPr>
        <w:t>for gender equality</w:t>
      </w:r>
      <w:r w:rsidR="0094213E" w:rsidRPr="0094213E">
        <w:rPr>
          <w:rFonts w:eastAsia="Arial" w:cs="Arial"/>
          <w:sz w:val="22"/>
          <w:szCs w:val="22"/>
        </w:rPr>
        <w:t>.</w:t>
      </w:r>
    </w:p>
    <w:p w14:paraId="6F3A2217" w14:textId="12B90ACF" w:rsidR="0094213E" w:rsidRPr="0094213E" w:rsidRDefault="001331A5" w:rsidP="006110D9">
      <w:pPr>
        <w:pStyle w:val="ListParagraph"/>
        <w:numPr>
          <w:ilvl w:val="0"/>
          <w:numId w:val="38"/>
        </w:numPr>
        <w:jc w:val="both"/>
        <w:rPr>
          <w:rFonts w:eastAsia="Arial" w:cs="Arial"/>
          <w:color w:val="000000" w:themeColor="text1"/>
          <w:sz w:val="22"/>
          <w:szCs w:val="22"/>
        </w:rPr>
      </w:pPr>
      <w:r w:rsidRPr="38384C1F">
        <w:rPr>
          <w:rFonts w:eastAsia="Arial" w:cs="Arial"/>
          <w:sz w:val="22"/>
          <w:szCs w:val="22"/>
        </w:rPr>
        <w:t xml:space="preserve">7 </w:t>
      </w:r>
      <w:r w:rsidR="0094213E">
        <w:rPr>
          <w:rFonts w:eastAsia="Arial" w:cs="Arial"/>
          <w:sz w:val="22"/>
          <w:szCs w:val="22"/>
        </w:rPr>
        <w:t xml:space="preserve">of LDN’s </w:t>
      </w:r>
      <w:r w:rsidR="506E3C7E" w:rsidRPr="38384C1F">
        <w:rPr>
          <w:rFonts w:eastAsia="Arial" w:cs="Arial"/>
          <w:sz w:val="22"/>
          <w:szCs w:val="22"/>
        </w:rPr>
        <w:t xml:space="preserve">13 </w:t>
      </w:r>
      <w:r w:rsidR="0094213E">
        <w:rPr>
          <w:rFonts w:eastAsia="Arial" w:cs="Arial"/>
          <w:sz w:val="22"/>
          <w:szCs w:val="22"/>
        </w:rPr>
        <w:t>projects meet 2X criteria (7 in 2023).</w:t>
      </w:r>
    </w:p>
    <w:p w14:paraId="5223EB76" w14:textId="52946B52" w:rsidR="0094213E" w:rsidRPr="00DD7AD2" w:rsidRDefault="0094213E" w:rsidP="006110D9">
      <w:pPr>
        <w:pStyle w:val="ListParagraph"/>
        <w:numPr>
          <w:ilvl w:val="0"/>
          <w:numId w:val="38"/>
        </w:numPr>
        <w:jc w:val="both"/>
        <w:rPr>
          <w:rFonts w:eastAsia="Arial" w:cs="Arial"/>
          <w:color w:val="000000" w:themeColor="text1"/>
          <w:sz w:val="22"/>
          <w:szCs w:val="22"/>
        </w:rPr>
      </w:pPr>
      <w:r>
        <w:rPr>
          <w:rFonts w:eastAsia="Arial" w:cs="Arial"/>
          <w:sz w:val="22"/>
          <w:szCs w:val="22"/>
        </w:rPr>
        <w:t xml:space="preserve">Of these, </w:t>
      </w:r>
      <w:r w:rsidR="004337F5">
        <w:rPr>
          <w:rFonts w:eastAsia="Arial" w:cs="Arial"/>
          <w:sz w:val="22"/>
          <w:szCs w:val="22"/>
        </w:rPr>
        <w:t>two were founded by women, two meet employment criteria, and the rest qualify on leadership criteria</w:t>
      </w:r>
      <w:r w:rsidR="00DD7AD2">
        <w:rPr>
          <w:rFonts w:eastAsia="Arial" w:cs="Arial"/>
          <w:sz w:val="22"/>
          <w:szCs w:val="22"/>
        </w:rPr>
        <w:t xml:space="preserve"> (</w:t>
      </w:r>
      <w:proofErr w:type="spellStart"/>
      <w:r w:rsidR="00DD7AD2">
        <w:rPr>
          <w:rFonts w:eastAsia="Arial" w:cs="Arial"/>
          <w:sz w:val="22"/>
          <w:szCs w:val="22"/>
        </w:rPr>
        <w:t>Urapi</w:t>
      </w:r>
      <w:proofErr w:type="spellEnd"/>
      <w:r w:rsidR="00DD7AD2">
        <w:rPr>
          <w:rFonts w:eastAsia="Arial" w:cs="Arial"/>
          <w:sz w:val="22"/>
          <w:szCs w:val="22"/>
        </w:rPr>
        <w:t xml:space="preserve"> meets both employment and leadership criteria)</w:t>
      </w:r>
    </w:p>
    <w:p w14:paraId="17FEEE7C" w14:textId="4EC62061" w:rsidR="00DD7AD2" w:rsidRPr="00376593" w:rsidRDefault="00DD7AD2" w:rsidP="006110D9">
      <w:pPr>
        <w:pStyle w:val="ListParagraph"/>
        <w:numPr>
          <w:ilvl w:val="0"/>
          <w:numId w:val="38"/>
        </w:numPr>
        <w:jc w:val="both"/>
        <w:rPr>
          <w:rFonts w:eastAsia="Arial" w:cs="Arial"/>
          <w:color w:val="000000" w:themeColor="text1"/>
          <w:sz w:val="22"/>
          <w:szCs w:val="22"/>
        </w:rPr>
      </w:pPr>
      <w:r>
        <w:rPr>
          <w:rFonts w:eastAsia="Arial" w:cs="Arial"/>
          <w:sz w:val="22"/>
          <w:szCs w:val="22"/>
        </w:rPr>
        <w:t xml:space="preserve">55% of </w:t>
      </w:r>
      <w:r w:rsidR="00267EE2">
        <w:rPr>
          <w:rFonts w:eastAsia="Arial" w:cs="Arial"/>
          <w:sz w:val="22"/>
          <w:szCs w:val="22"/>
        </w:rPr>
        <w:t>employees and smallholders benefitting from projects were women in 2024</w:t>
      </w:r>
      <w:r w:rsidR="007012DD">
        <w:rPr>
          <w:rFonts w:eastAsia="Arial" w:cs="Arial"/>
          <w:sz w:val="22"/>
          <w:szCs w:val="22"/>
        </w:rPr>
        <w:t>,</w:t>
      </w:r>
      <w:r w:rsidR="00267EE2">
        <w:rPr>
          <w:rFonts w:eastAsia="Arial" w:cs="Arial"/>
          <w:sz w:val="22"/>
          <w:szCs w:val="22"/>
        </w:rPr>
        <w:t xml:space="preserve"> up from 53% in 2023 and 43% in </w:t>
      </w:r>
      <w:r w:rsidR="007012DD">
        <w:rPr>
          <w:rFonts w:eastAsia="Arial" w:cs="Arial"/>
          <w:sz w:val="22"/>
          <w:szCs w:val="22"/>
        </w:rPr>
        <w:t>2022.</w:t>
      </w:r>
    </w:p>
    <w:p w14:paraId="068B720B" w14:textId="09C09AD5" w:rsidR="00376593" w:rsidRPr="007012DD" w:rsidRDefault="00376593" w:rsidP="006110D9">
      <w:pPr>
        <w:pStyle w:val="ListParagraph"/>
        <w:numPr>
          <w:ilvl w:val="0"/>
          <w:numId w:val="38"/>
        </w:numPr>
        <w:jc w:val="both"/>
        <w:rPr>
          <w:rFonts w:eastAsia="Arial" w:cs="Arial"/>
          <w:color w:val="000000" w:themeColor="text1"/>
          <w:sz w:val="22"/>
          <w:szCs w:val="22"/>
        </w:rPr>
      </w:pPr>
      <w:r>
        <w:rPr>
          <w:rFonts w:eastAsia="Arial" w:cs="Arial"/>
          <w:sz w:val="22"/>
          <w:szCs w:val="22"/>
        </w:rPr>
        <w:t>Most projects have received technical assistance to help develop Gender Action Plans.</w:t>
      </w:r>
    </w:p>
    <w:p w14:paraId="3896F145" w14:textId="070B23EA" w:rsidR="007922DC" w:rsidRPr="0094213E" w:rsidRDefault="007922DC" w:rsidP="007922DC">
      <w:pPr>
        <w:pStyle w:val="ListParagraph"/>
        <w:numPr>
          <w:ilvl w:val="0"/>
          <w:numId w:val="38"/>
        </w:numPr>
        <w:jc w:val="both"/>
        <w:rPr>
          <w:rFonts w:eastAsia="Arial" w:cs="Arial"/>
          <w:color w:val="000000" w:themeColor="text1"/>
          <w:sz w:val="22"/>
          <w:szCs w:val="22"/>
        </w:rPr>
      </w:pPr>
      <w:r w:rsidRPr="69ADEAAA">
        <w:rPr>
          <w:rFonts w:eastAsia="Arial" w:cs="Arial"/>
          <w:sz w:val="22"/>
          <w:szCs w:val="22"/>
        </w:rPr>
        <w:t>Mirova also p</w:t>
      </w:r>
      <w:r>
        <w:rPr>
          <w:rFonts w:eastAsia="Arial" w:cs="Arial"/>
          <w:sz w:val="22"/>
          <w:szCs w:val="22"/>
        </w:rPr>
        <w:t>roduc</w:t>
      </w:r>
      <w:r w:rsidRPr="69ADEAAA">
        <w:rPr>
          <w:rFonts w:eastAsia="Arial" w:cs="Arial"/>
          <w:sz w:val="22"/>
          <w:szCs w:val="22"/>
        </w:rPr>
        <w:t xml:space="preserve">ed (through Sattva Consulting) a </w:t>
      </w:r>
      <w:hyperlink r:id="rId15" w:history="1">
        <w:r w:rsidRPr="005A2AA9">
          <w:rPr>
            <w:rStyle w:val="Hyperlink"/>
            <w:rFonts w:eastAsia="Arial" w:cs="Arial"/>
            <w:sz w:val="22"/>
            <w:szCs w:val="22"/>
          </w:rPr>
          <w:t>review of the impact of LDN’s and the TAF’s approach to gender equality</w:t>
        </w:r>
      </w:hyperlink>
      <w:r w:rsidRPr="69ADEAAA">
        <w:rPr>
          <w:rFonts w:eastAsia="Arial" w:cs="Arial"/>
          <w:sz w:val="22"/>
          <w:szCs w:val="22"/>
        </w:rPr>
        <w:t>, including numerous case studies.</w:t>
      </w:r>
    </w:p>
    <w:p w14:paraId="0456E2C5" w14:textId="3EAAD084" w:rsidR="007012DD" w:rsidRPr="003F7C24" w:rsidRDefault="007012DD" w:rsidP="006110D9">
      <w:pPr>
        <w:pStyle w:val="ListParagraph"/>
        <w:numPr>
          <w:ilvl w:val="0"/>
          <w:numId w:val="38"/>
        </w:numPr>
        <w:jc w:val="both"/>
        <w:rPr>
          <w:rFonts w:eastAsia="Arial" w:cs="Arial"/>
          <w:color w:val="000000" w:themeColor="text1"/>
          <w:sz w:val="22"/>
          <w:szCs w:val="22"/>
        </w:rPr>
      </w:pPr>
      <w:r>
        <w:rPr>
          <w:rFonts w:eastAsia="Arial" w:cs="Arial"/>
          <w:sz w:val="22"/>
          <w:szCs w:val="22"/>
        </w:rPr>
        <w:t xml:space="preserve">In 2024 Defra carried out a review of LDN and </w:t>
      </w:r>
      <w:proofErr w:type="spellStart"/>
      <w:r>
        <w:rPr>
          <w:rFonts w:eastAsia="Arial" w:cs="Arial"/>
          <w:sz w:val="22"/>
          <w:szCs w:val="22"/>
        </w:rPr>
        <w:t>Mirova’s</w:t>
      </w:r>
      <w:proofErr w:type="spellEnd"/>
      <w:r>
        <w:rPr>
          <w:rFonts w:eastAsia="Arial" w:cs="Arial"/>
          <w:sz w:val="22"/>
          <w:szCs w:val="22"/>
        </w:rPr>
        <w:t xml:space="preserve"> wider GE</w:t>
      </w:r>
      <w:r w:rsidR="005A5C57">
        <w:rPr>
          <w:rFonts w:eastAsia="Arial" w:cs="Arial"/>
          <w:sz w:val="22"/>
          <w:szCs w:val="22"/>
        </w:rPr>
        <w:t>D</w:t>
      </w:r>
      <w:r>
        <w:rPr>
          <w:rFonts w:eastAsia="Arial" w:cs="Arial"/>
          <w:sz w:val="22"/>
          <w:szCs w:val="22"/>
        </w:rPr>
        <w:t>SI</w:t>
      </w:r>
      <w:r w:rsidR="00DE01E3">
        <w:rPr>
          <w:rFonts w:eastAsia="Arial" w:cs="Arial"/>
          <w:sz w:val="22"/>
          <w:szCs w:val="22"/>
        </w:rPr>
        <w:t xml:space="preserve"> policies and activities and assessed that the programme </w:t>
      </w:r>
      <w:r w:rsidR="00DA40B8">
        <w:rPr>
          <w:rFonts w:eastAsia="Arial" w:cs="Arial"/>
          <w:sz w:val="22"/>
          <w:szCs w:val="22"/>
        </w:rPr>
        <w:t>is</w:t>
      </w:r>
      <w:r w:rsidR="00DE01E3">
        <w:rPr>
          <w:rFonts w:eastAsia="Arial" w:cs="Arial"/>
          <w:sz w:val="22"/>
          <w:szCs w:val="22"/>
        </w:rPr>
        <w:t xml:space="preserve"> ‘GE</w:t>
      </w:r>
      <w:r w:rsidR="005A5C57">
        <w:rPr>
          <w:rFonts w:eastAsia="Arial" w:cs="Arial"/>
          <w:sz w:val="22"/>
          <w:szCs w:val="22"/>
        </w:rPr>
        <w:t>D</w:t>
      </w:r>
      <w:r w:rsidR="00DE01E3">
        <w:rPr>
          <w:rFonts w:eastAsia="Arial" w:cs="Arial"/>
          <w:sz w:val="22"/>
          <w:szCs w:val="22"/>
        </w:rPr>
        <w:t>SI Sensitive’</w:t>
      </w:r>
      <w:r w:rsidR="00CF01AC">
        <w:rPr>
          <w:rFonts w:eastAsia="Arial" w:cs="Arial"/>
          <w:sz w:val="22"/>
          <w:szCs w:val="22"/>
        </w:rPr>
        <w:t xml:space="preserve">, </w:t>
      </w:r>
      <w:r w:rsidR="003E1876">
        <w:rPr>
          <w:rFonts w:eastAsia="Arial" w:cs="Arial"/>
          <w:sz w:val="22"/>
          <w:szCs w:val="22"/>
        </w:rPr>
        <w:t>based on the Fund’s</w:t>
      </w:r>
      <w:r w:rsidR="00CF01AC">
        <w:rPr>
          <w:rFonts w:eastAsia="Arial" w:cs="Arial"/>
          <w:sz w:val="22"/>
          <w:szCs w:val="22"/>
        </w:rPr>
        <w:t xml:space="preserve"> solid approaches to community engagement</w:t>
      </w:r>
      <w:r w:rsidR="003E1876">
        <w:rPr>
          <w:rFonts w:eastAsia="Arial" w:cs="Arial"/>
          <w:sz w:val="22"/>
          <w:szCs w:val="22"/>
        </w:rPr>
        <w:t xml:space="preserve"> and land tenure</w:t>
      </w:r>
      <w:r w:rsidR="00CF01AC">
        <w:rPr>
          <w:rFonts w:eastAsia="Arial" w:cs="Arial"/>
          <w:sz w:val="22"/>
          <w:szCs w:val="22"/>
        </w:rPr>
        <w:t>, gender equality, safeguarding</w:t>
      </w:r>
      <w:r w:rsidR="005819D7">
        <w:rPr>
          <w:rFonts w:eastAsia="Arial" w:cs="Arial"/>
          <w:sz w:val="22"/>
          <w:szCs w:val="22"/>
        </w:rPr>
        <w:t>,</w:t>
      </w:r>
      <w:r w:rsidR="00CF01AC">
        <w:rPr>
          <w:rFonts w:eastAsia="Arial" w:cs="Arial"/>
          <w:sz w:val="22"/>
          <w:szCs w:val="22"/>
        </w:rPr>
        <w:t xml:space="preserve"> and </w:t>
      </w:r>
      <w:proofErr w:type="gramStart"/>
      <w:r w:rsidR="00CF01AC">
        <w:rPr>
          <w:rFonts w:eastAsia="Arial" w:cs="Arial"/>
          <w:sz w:val="22"/>
          <w:szCs w:val="22"/>
        </w:rPr>
        <w:t>whistle-blowing</w:t>
      </w:r>
      <w:proofErr w:type="gramEnd"/>
      <w:r w:rsidR="00CF01AC">
        <w:rPr>
          <w:rFonts w:eastAsia="Arial" w:cs="Arial"/>
          <w:sz w:val="22"/>
          <w:szCs w:val="22"/>
        </w:rPr>
        <w:t>, amongs</w:t>
      </w:r>
      <w:r w:rsidR="005819D7">
        <w:rPr>
          <w:rFonts w:eastAsia="Arial" w:cs="Arial"/>
          <w:sz w:val="22"/>
          <w:szCs w:val="22"/>
        </w:rPr>
        <w:t>t others.</w:t>
      </w:r>
    </w:p>
    <w:p w14:paraId="7E227CA9" w14:textId="5C4DF0BB" w:rsidR="00F7082F" w:rsidRPr="007922DC" w:rsidRDefault="00D31449" w:rsidP="007922DC">
      <w:pPr>
        <w:pStyle w:val="ListParagraph"/>
        <w:numPr>
          <w:ilvl w:val="0"/>
          <w:numId w:val="38"/>
        </w:numPr>
        <w:jc w:val="both"/>
        <w:rPr>
          <w:rFonts w:eastAsia="Arial" w:cs="Arial"/>
          <w:color w:val="000000" w:themeColor="text1"/>
          <w:sz w:val="22"/>
          <w:szCs w:val="22"/>
        </w:rPr>
      </w:pPr>
      <w:r>
        <w:rPr>
          <w:rFonts w:eastAsia="Arial" w:cs="Arial"/>
          <w:sz w:val="22"/>
          <w:szCs w:val="22"/>
        </w:rPr>
        <w:t>The Fund is multilateral, s</w:t>
      </w:r>
      <w:r w:rsidR="00180BB2">
        <w:rPr>
          <w:rFonts w:eastAsia="Arial" w:cs="Arial"/>
          <w:sz w:val="22"/>
          <w:szCs w:val="22"/>
        </w:rPr>
        <w:t>o</w:t>
      </w:r>
      <w:r>
        <w:rPr>
          <w:rFonts w:eastAsia="Arial" w:cs="Arial"/>
          <w:sz w:val="22"/>
          <w:szCs w:val="22"/>
        </w:rPr>
        <w:t xml:space="preserve"> Defra does not maintain a Gender Action Plan for this </w:t>
      </w:r>
      <w:proofErr w:type="gramStart"/>
      <w:r>
        <w:rPr>
          <w:rFonts w:eastAsia="Arial" w:cs="Arial"/>
          <w:sz w:val="22"/>
          <w:szCs w:val="22"/>
        </w:rPr>
        <w:t>programme, but</w:t>
      </w:r>
      <w:proofErr w:type="gramEnd"/>
      <w:r>
        <w:rPr>
          <w:rFonts w:eastAsia="Arial" w:cs="Arial"/>
          <w:sz w:val="22"/>
          <w:szCs w:val="22"/>
        </w:rPr>
        <w:t xml:space="preserve"> instead </w:t>
      </w:r>
      <w:r w:rsidR="00180BB2">
        <w:rPr>
          <w:rFonts w:eastAsia="Arial" w:cs="Arial"/>
          <w:sz w:val="22"/>
          <w:szCs w:val="22"/>
        </w:rPr>
        <w:t xml:space="preserve">tracks GEDSI status to monitor for </w:t>
      </w:r>
      <w:r w:rsidR="00CD44D6">
        <w:rPr>
          <w:rFonts w:eastAsia="Arial" w:cs="Arial"/>
          <w:sz w:val="22"/>
          <w:szCs w:val="22"/>
        </w:rPr>
        <w:t>weaknesses or opportunities where Defra can make suggestions to the Fund.</w:t>
      </w:r>
    </w:p>
    <w:p w14:paraId="2912D893" w14:textId="12AF5931" w:rsidR="00F7082F" w:rsidRDefault="00F7082F" w:rsidP="006110D9">
      <w:pPr>
        <w:tabs>
          <w:tab w:val="left" w:pos="6915"/>
          <w:tab w:val="left" w:pos="9495"/>
        </w:tabs>
        <w:jc w:val="both"/>
        <w:rPr>
          <w:b/>
          <w:bCs/>
          <w:color w:val="000000" w:themeColor="text1"/>
          <w:sz w:val="22"/>
          <w:szCs w:val="22"/>
        </w:rPr>
      </w:pPr>
      <w:r>
        <w:rPr>
          <w:b/>
          <w:bCs/>
          <w:color w:val="000000" w:themeColor="text1"/>
          <w:sz w:val="22"/>
          <w:szCs w:val="22"/>
        </w:rPr>
        <w:t>Recommendations arising from this AR:</w:t>
      </w:r>
    </w:p>
    <w:p w14:paraId="0B098999" w14:textId="77777777" w:rsidR="00D714C2" w:rsidRDefault="00D714C2" w:rsidP="006110D9">
      <w:pPr>
        <w:tabs>
          <w:tab w:val="left" w:pos="6915"/>
          <w:tab w:val="left" w:pos="9495"/>
        </w:tabs>
        <w:jc w:val="both"/>
        <w:rPr>
          <w:b/>
          <w:bCs/>
          <w:color w:val="000000" w:themeColor="text1"/>
          <w:sz w:val="22"/>
          <w:szCs w:val="22"/>
        </w:rPr>
      </w:pPr>
    </w:p>
    <w:p w14:paraId="713862E9" w14:textId="7EB40A8F" w:rsidR="00F7082F" w:rsidRDefault="00D714C2" w:rsidP="006110D9">
      <w:pPr>
        <w:pStyle w:val="ListParagraph"/>
        <w:numPr>
          <w:ilvl w:val="0"/>
          <w:numId w:val="39"/>
        </w:numPr>
        <w:tabs>
          <w:tab w:val="left" w:pos="6915"/>
          <w:tab w:val="left" w:pos="9495"/>
        </w:tabs>
        <w:jc w:val="both"/>
        <w:rPr>
          <w:color w:val="000000" w:themeColor="text1"/>
          <w:sz w:val="22"/>
          <w:szCs w:val="22"/>
        </w:rPr>
      </w:pPr>
      <w:r w:rsidRPr="00D714C2">
        <w:rPr>
          <w:color w:val="000000" w:themeColor="text1"/>
          <w:sz w:val="22"/>
          <w:szCs w:val="22"/>
        </w:rPr>
        <w:t>We</w:t>
      </w:r>
      <w:r>
        <w:rPr>
          <w:color w:val="000000" w:themeColor="text1"/>
          <w:sz w:val="22"/>
          <w:szCs w:val="22"/>
        </w:rPr>
        <w:t xml:space="preserve"> should </w:t>
      </w:r>
      <w:r w:rsidR="00EF4FCB">
        <w:rPr>
          <w:color w:val="000000" w:themeColor="text1"/>
          <w:sz w:val="22"/>
          <w:szCs w:val="22"/>
        </w:rPr>
        <w:t xml:space="preserve">prepare </w:t>
      </w:r>
      <w:r w:rsidR="0078758F">
        <w:rPr>
          <w:color w:val="000000" w:themeColor="text1"/>
          <w:sz w:val="22"/>
          <w:szCs w:val="22"/>
        </w:rPr>
        <w:t>to combine reporting on LDN and SLF2 from 2026</w:t>
      </w:r>
      <w:r w:rsidR="00EF4FCB">
        <w:rPr>
          <w:color w:val="000000" w:themeColor="text1"/>
          <w:sz w:val="22"/>
          <w:szCs w:val="22"/>
        </w:rPr>
        <w:t xml:space="preserve"> onwards, including adjusting milestones</w:t>
      </w:r>
      <w:r w:rsidR="00C4556D">
        <w:rPr>
          <w:color w:val="000000" w:themeColor="text1"/>
          <w:sz w:val="22"/>
          <w:szCs w:val="22"/>
        </w:rPr>
        <w:t xml:space="preserve"> and</w:t>
      </w:r>
      <w:r w:rsidR="00EF4FCB">
        <w:rPr>
          <w:color w:val="000000" w:themeColor="text1"/>
          <w:sz w:val="22"/>
          <w:szCs w:val="22"/>
        </w:rPr>
        <w:t xml:space="preserve"> refreshing </w:t>
      </w:r>
      <w:r w:rsidR="00C4556D">
        <w:rPr>
          <w:color w:val="000000" w:themeColor="text1"/>
          <w:sz w:val="22"/>
          <w:szCs w:val="22"/>
        </w:rPr>
        <w:t xml:space="preserve">the </w:t>
      </w:r>
      <w:r w:rsidR="00EF4FCB">
        <w:rPr>
          <w:color w:val="000000" w:themeColor="text1"/>
          <w:sz w:val="22"/>
          <w:szCs w:val="22"/>
        </w:rPr>
        <w:t>indicator</w:t>
      </w:r>
      <w:r w:rsidR="00C4556D">
        <w:rPr>
          <w:color w:val="000000" w:themeColor="text1"/>
          <w:sz w:val="22"/>
          <w:szCs w:val="22"/>
        </w:rPr>
        <w:t xml:space="preserve"> list.</w:t>
      </w:r>
    </w:p>
    <w:p w14:paraId="1720B392" w14:textId="30034D95" w:rsidR="000867AE" w:rsidRDefault="00E04429" w:rsidP="006110D9">
      <w:pPr>
        <w:pStyle w:val="ListParagraph"/>
        <w:numPr>
          <w:ilvl w:val="0"/>
          <w:numId w:val="39"/>
        </w:numPr>
        <w:tabs>
          <w:tab w:val="left" w:pos="6915"/>
          <w:tab w:val="left" w:pos="9495"/>
        </w:tabs>
        <w:jc w:val="both"/>
        <w:rPr>
          <w:color w:val="000000" w:themeColor="text1"/>
          <w:sz w:val="22"/>
          <w:szCs w:val="22"/>
        </w:rPr>
      </w:pPr>
      <w:r>
        <w:rPr>
          <w:color w:val="000000" w:themeColor="text1"/>
          <w:sz w:val="22"/>
          <w:szCs w:val="22"/>
        </w:rPr>
        <w:t>We should use the new investment in SLF2 as an opportunity to strengthen GEDSI</w:t>
      </w:r>
      <w:r w:rsidR="005D536A">
        <w:rPr>
          <w:color w:val="000000" w:themeColor="text1"/>
          <w:sz w:val="22"/>
          <w:szCs w:val="22"/>
        </w:rPr>
        <w:t xml:space="preserve"> outcomes, </w:t>
      </w:r>
      <w:r w:rsidR="00BB4F4A">
        <w:rPr>
          <w:color w:val="000000" w:themeColor="text1"/>
          <w:sz w:val="22"/>
          <w:szCs w:val="22"/>
        </w:rPr>
        <w:t>ahead of a further GEDSI status review in 2027</w:t>
      </w:r>
      <w:r w:rsidR="00420F14">
        <w:rPr>
          <w:color w:val="000000" w:themeColor="text1"/>
          <w:sz w:val="22"/>
          <w:szCs w:val="22"/>
        </w:rPr>
        <w:t>.</w:t>
      </w:r>
    </w:p>
    <w:p w14:paraId="1567E3E7" w14:textId="4E06D3BD" w:rsidR="00A9546A" w:rsidRPr="00BB4F4A" w:rsidRDefault="00A9546A" w:rsidP="00BB4F4A">
      <w:pPr>
        <w:pStyle w:val="ListParagraph"/>
        <w:numPr>
          <w:ilvl w:val="0"/>
          <w:numId w:val="39"/>
        </w:numPr>
        <w:tabs>
          <w:tab w:val="left" w:pos="6915"/>
          <w:tab w:val="left" w:pos="9495"/>
        </w:tabs>
        <w:jc w:val="both"/>
        <w:rPr>
          <w:rFonts w:eastAsia="Arial" w:cs="Arial"/>
          <w:sz w:val="22"/>
          <w:szCs w:val="22"/>
        </w:rPr>
      </w:pPr>
      <w:r>
        <w:rPr>
          <w:rFonts w:eastAsia="Arial" w:cs="Arial"/>
          <w:sz w:val="22"/>
          <w:szCs w:val="22"/>
        </w:rPr>
        <w:t xml:space="preserve">Programme team to engage in more detail with </w:t>
      </w:r>
      <w:r w:rsidR="00BB4F4A">
        <w:rPr>
          <w:rFonts w:eastAsia="Arial" w:cs="Arial"/>
          <w:sz w:val="22"/>
          <w:szCs w:val="22"/>
        </w:rPr>
        <w:t>Mirova</w:t>
      </w:r>
      <w:r>
        <w:rPr>
          <w:rFonts w:eastAsia="Arial" w:cs="Arial"/>
          <w:sz w:val="22"/>
          <w:szCs w:val="22"/>
        </w:rPr>
        <w:t xml:space="preserve"> on their counter-fraud policies and monitoring to improve </w:t>
      </w:r>
      <w:r w:rsidR="00BB4F4A">
        <w:rPr>
          <w:rFonts w:eastAsia="Arial" w:cs="Arial"/>
          <w:sz w:val="22"/>
          <w:szCs w:val="22"/>
        </w:rPr>
        <w:t xml:space="preserve">our </w:t>
      </w:r>
      <w:r>
        <w:rPr>
          <w:rFonts w:eastAsia="Arial" w:cs="Arial"/>
          <w:sz w:val="22"/>
          <w:szCs w:val="22"/>
        </w:rPr>
        <w:t>assurance.</w:t>
      </w:r>
    </w:p>
    <w:p w14:paraId="110D0613" w14:textId="77777777" w:rsidR="0035028F" w:rsidRDefault="0035028F" w:rsidP="006110D9">
      <w:pPr>
        <w:tabs>
          <w:tab w:val="left" w:pos="6915"/>
          <w:tab w:val="left" w:pos="9495"/>
        </w:tabs>
        <w:jc w:val="both"/>
        <w:rPr>
          <w:b/>
          <w:bCs/>
          <w:color w:val="000000" w:themeColor="text1"/>
          <w:sz w:val="22"/>
          <w:szCs w:val="22"/>
        </w:rPr>
      </w:pPr>
    </w:p>
    <w:p w14:paraId="5E680A8C" w14:textId="3D2896D3" w:rsidR="002A173F" w:rsidRPr="0061029B" w:rsidRDefault="00F708FD" w:rsidP="006110D9">
      <w:pPr>
        <w:tabs>
          <w:tab w:val="left" w:pos="6915"/>
          <w:tab w:val="left" w:pos="9495"/>
        </w:tabs>
        <w:jc w:val="both"/>
        <w:rPr>
          <w:color w:val="000000" w:themeColor="text1"/>
          <w:sz w:val="22"/>
          <w:szCs w:val="22"/>
        </w:rPr>
      </w:pPr>
      <w:r w:rsidRPr="0061029B">
        <w:rPr>
          <w:b/>
          <w:bCs/>
          <w:color w:val="000000" w:themeColor="text1"/>
          <w:sz w:val="22"/>
          <w:szCs w:val="22"/>
        </w:rPr>
        <w:t xml:space="preserve">Project visit: </w:t>
      </w:r>
      <w:proofErr w:type="spellStart"/>
      <w:r w:rsidRPr="0061029B">
        <w:rPr>
          <w:b/>
          <w:bCs/>
          <w:color w:val="000000" w:themeColor="text1"/>
          <w:sz w:val="22"/>
          <w:szCs w:val="22"/>
        </w:rPr>
        <w:t>Urapi</w:t>
      </w:r>
      <w:proofErr w:type="spellEnd"/>
      <w:r w:rsidRPr="0061029B">
        <w:rPr>
          <w:b/>
          <w:bCs/>
          <w:color w:val="000000" w:themeColor="text1"/>
          <w:sz w:val="22"/>
          <w:szCs w:val="22"/>
        </w:rPr>
        <w:t>/Kuska</w:t>
      </w:r>
    </w:p>
    <w:p w14:paraId="222ADF65" w14:textId="77777777" w:rsidR="00340370" w:rsidRPr="0061029B" w:rsidRDefault="00340370" w:rsidP="006110D9">
      <w:pPr>
        <w:tabs>
          <w:tab w:val="left" w:pos="6915"/>
          <w:tab w:val="left" w:pos="9495"/>
        </w:tabs>
        <w:jc w:val="both"/>
        <w:rPr>
          <w:color w:val="000000" w:themeColor="text1"/>
          <w:sz w:val="22"/>
          <w:szCs w:val="22"/>
        </w:rPr>
      </w:pPr>
    </w:p>
    <w:p w14:paraId="71F81003" w14:textId="72DD12F2" w:rsidR="00340370" w:rsidRPr="0061029B" w:rsidRDefault="00FD0BA0" w:rsidP="006110D9">
      <w:pPr>
        <w:tabs>
          <w:tab w:val="left" w:pos="6915"/>
          <w:tab w:val="left" w:pos="9495"/>
        </w:tabs>
        <w:jc w:val="both"/>
        <w:rPr>
          <w:color w:val="000000" w:themeColor="text1"/>
          <w:sz w:val="22"/>
          <w:szCs w:val="22"/>
        </w:rPr>
      </w:pPr>
      <w:r w:rsidRPr="69ADEAAA">
        <w:rPr>
          <w:color w:val="000000" w:themeColor="text1"/>
          <w:sz w:val="22"/>
          <w:szCs w:val="22"/>
        </w:rPr>
        <w:t>In June 2025</w:t>
      </w:r>
      <w:r w:rsidR="001405E5">
        <w:rPr>
          <w:color w:val="000000" w:themeColor="text1"/>
          <w:sz w:val="22"/>
          <w:szCs w:val="22"/>
        </w:rPr>
        <w:t>,</w:t>
      </w:r>
      <w:r w:rsidR="00DF44CA" w:rsidRPr="69ADEAAA">
        <w:rPr>
          <w:color w:val="000000" w:themeColor="text1"/>
          <w:sz w:val="22"/>
          <w:szCs w:val="22"/>
        </w:rPr>
        <w:t xml:space="preserve"> </w:t>
      </w:r>
      <w:r w:rsidR="001405E5">
        <w:rPr>
          <w:color w:val="000000" w:themeColor="text1"/>
          <w:sz w:val="22"/>
          <w:szCs w:val="22"/>
        </w:rPr>
        <w:t xml:space="preserve">Defra staff </w:t>
      </w:r>
      <w:r w:rsidR="00E070EA">
        <w:rPr>
          <w:color w:val="000000" w:themeColor="text1"/>
          <w:sz w:val="22"/>
          <w:szCs w:val="22"/>
        </w:rPr>
        <w:t xml:space="preserve">– </w:t>
      </w:r>
      <w:r w:rsidR="00DF44CA" w:rsidRPr="69ADEAAA">
        <w:rPr>
          <w:color w:val="000000" w:themeColor="text1"/>
          <w:sz w:val="22"/>
          <w:szCs w:val="22"/>
        </w:rPr>
        <w:t xml:space="preserve">two members of the programme team </w:t>
      </w:r>
      <w:r w:rsidR="005A0377">
        <w:rPr>
          <w:color w:val="000000" w:themeColor="text1"/>
          <w:sz w:val="22"/>
          <w:szCs w:val="22"/>
        </w:rPr>
        <w:t>along with monitoring and GEDSI specialists</w:t>
      </w:r>
      <w:r w:rsidR="00DF44CA" w:rsidRPr="69ADEAAA">
        <w:rPr>
          <w:color w:val="000000" w:themeColor="text1"/>
          <w:sz w:val="22"/>
          <w:szCs w:val="22"/>
        </w:rPr>
        <w:t xml:space="preserve"> </w:t>
      </w:r>
      <w:r w:rsidR="00E070EA">
        <w:rPr>
          <w:color w:val="000000" w:themeColor="text1"/>
          <w:sz w:val="22"/>
          <w:szCs w:val="22"/>
        </w:rPr>
        <w:t xml:space="preserve">– </w:t>
      </w:r>
      <w:r w:rsidR="00DF44CA" w:rsidRPr="69ADEAAA">
        <w:rPr>
          <w:color w:val="000000" w:themeColor="text1"/>
          <w:sz w:val="22"/>
          <w:szCs w:val="22"/>
        </w:rPr>
        <w:t xml:space="preserve">visited </w:t>
      </w:r>
      <w:r w:rsidR="001D2D88" w:rsidRPr="69ADEAAA">
        <w:rPr>
          <w:color w:val="000000" w:themeColor="text1"/>
          <w:sz w:val="22"/>
          <w:szCs w:val="22"/>
        </w:rPr>
        <w:t xml:space="preserve">LDN’s </w:t>
      </w:r>
      <w:proofErr w:type="spellStart"/>
      <w:r w:rsidR="001D2D88" w:rsidRPr="69ADEAAA">
        <w:rPr>
          <w:color w:val="000000" w:themeColor="text1"/>
          <w:sz w:val="22"/>
          <w:szCs w:val="22"/>
        </w:rPr>
        <w:t>Urapi</w:t>
      </w:r>
      <w:proofErr w:type="spellEnd"/>
      <w:r w:rsidR="001D2D88" w:rsidRPr="69ADEAAA">
        <w:rPr>
          <w:color w:val="000000" w:themeColor="text1"/>
          <w:sz w:val="22"/>
          <w:szCs w:val="22"/>
        </w:rPr>
        <w:t xml:space="preserve"> Project at its newest investment site, Kuska, in Quillabamba (Peru).</w:t>
      </w:r>
    </w:p>
    <w:p w14:paraId="44F48D7A" w14:textId="77777777" w:rsidR="001407B5" w:rsidRPr="0061029B" w:rsidRDefault="001407B5" w:rsidP="006110D9">
      <w:pPr>
        <w:tabs>
          <w:tab w:val="left" w:pos="6915"/>
          <w:tab w:val="left" w:pos="9495"/>
        </w:tabs>
        <w:jc w:val="both"/>
        <w:rPr>
          <w:color w:val="000000" w:themeColor="text1"/>
          <w:sz w:val="22"/>
          <w:szCs w:val="22"/>
        </w:rPr>
      </w:pPr>
    </w:p>
    <w:p w14:paraId="41AD9A8B" w14:textId="1BA2A04E" w:rsidR="001407B5" w:rsidRPr="0061029B" w:rsidRDefault="001407B5" w:rsidP="006110D9">
      <w:pPr>
        <w:jc w:val="both"/>
        <w:rPr>
          <w:sz w:val="22"/>
          <w:szCs w:val="22"/>
        </w:rPr>
      </w:pPr>
      <w:r w:rsidRPr="0061029B">
        <w:rPr>
          <w:sz w:val="22"/>
          <w:szCs w:val="22"/>
        </w:rPr>
        <w:t xml:space="preserve">LDN’s first project, </w:t>
      </w:r>
      <w:proofErr w:type="spellStart"/>
      <w:r w:rsidRPr="0061029B">
        <w:rPr>
          <w:sz w:val="22"/>
          <w:szCs w:val="22"/>
        </w:rPr>
        <w:t>Urapi</w:t>
      </w:r>
      <w:proofErr w:type="spellEnd"/>
      <w:r w:rsidRPr="0061029B">
        <w:rPr>
          <w:sz w:val="22"/>
          <w:szCs w:val="22"/>
        </w:rPr>
        <w:t xml:space="preserve">, was designed by project developer ECOTIERRA, and aims to develop and implement agroforestry projects, and strengthen value chains through partnerships with cooperatives of small-scale producers, primarily through </w:t>
      </w:r>
      <w:r w:rsidR="00273D47" w:rsidRPr="0061029B">
        <w:rPr>
          <w:sz w:val="22"/>
          <w:szCs w:val="22"/>
        </w:rPr>
        <w:t xml:space="preserve">the </w:t>
      </w:r>
      <w:r w:rsidRPr="0061029B">
        <w:rPr>
          <w:sz w:val="22"/>
          <w:szCs w:val="22"/>
        </w:rPr>
        <w:t xml:space="preserve">umbrella </w:t>
      </w:r>
      <w:r w:rsidR="00273D47" w:rsidRPr="0061029B">
        <w:rPr>
          <w:sz w:val="22"/>
          <w:szCs w:val="22"/>
        </w:rPr>
        <w:t>co-operative COCLA</w:t>
      </w:r>
      <w:r w:rsidRPr="0061029B">
        <w:rPr>
          <w:sz w:val="22"/>
          <w:szCs w:val="22"/>
        </w:rPr>
        <w:t xml:space="preserve">. COCLA and </w:t>
      </w:r>
      <w:proofErr w:type="spellStart"/>
      <w:r w:rsidRPr="0061029B">
        <w:rPr>
          <w:sz w:val="22"/>
          <w:szCs w:val="22"/>
        </w:rPr>
        <w:t>Urapi</w:t>
      </w:r>
      <w:proofErr w:type="spellEnd"/>
      <w:r w:rsidRPr="0061029B">
        <w:rPr>
          <w:sz w:val="22"/>
          <w:szCs w:val="22"/>
        </w:rPr>
        <w:t xml:space="preserve">, in partnership, have built Kuska, with </w:t>
      </w:r>
      <w:proofErr w:type="spellStart"/>
      <w:r w:rsidRPr="0061029B">
        <w:rPr>
          <w:sz w:val="22"/>
          <w:szCs w:val="22"/>
        </w:rPr>
        <w:t>Urapi</w:t>
      </w:r>
      <w:proofErr w:type="spellEnd"/>
      <w:r w:rsidRPr="0061029B">
        <w:rPr>
          <w:sz w:val="22"/>
          <w:szCs w:val="22"/>
        </w:rPr>
        <w:t xml:space="preserve"> providing £10.8 million in investment.</w:t>
      </w:r>
    </w:p>
    <w:p w14:paraId="38860653" w14:textId="77777777" w:rsidR="00273D47" w:rsidRPr="0061029B" w:rsidRDefault="00273D47" w:rsidP="006110D9">
      <w:pPr>
        <w:jc w:val="both"/>
        <w:rPr>
          <w:sz w:val="22"/>
          <w:szCs w:val="22"/>
        </w:rPr>
      </w:pPr>
    </w:p>
    <w:p w14:paraId="3C0E953F" w14:textId="77777777" w:rsidR="001407B5" w:rsidRPr="0061029B" w:rsidRDefault="001407B5" w:rsidP="006110D9">
      <w:pPr>
        <w:jc w:val="both"/>
        <w:rPr>
          <w:sz w:val="22"/>
          <w:szCs w:val="22"/>
        </w:rPr>
      </w:pPr>
      <w:r w:rsidRPr="0061029B">
        <w:rPr>
          <w:sz w:val="22"/>
          <w:szCs w:val="22"/>
        </w:rPr>
        <w:t>The Kuska project aims to expand the reach and capacity of COCLA, which includes the building of a new mill to help producers create more value for their products. The primary goal of the Kuska Project is to strengthen COCLA’s position as a leader in developing sustainable coffee, cocoa, and honey value chains. COCLA and Kuska staff engage with farmer cooperatives, hire experts to provide technical advice, and issue microcredit loans to fund improvements for farmers.</w:t>
      </w:r>
    </w:p>
    <w:p w14:paraId="7544099C" w14:textId="77777777" w:rsidR="00974707" w:rsidRPr="0061029B" w:rsidRDefault="00974707" w:rsidP="006110D9">
      <w:pPr>
        <w:jc w:val="both"/>
        <w:rPr>
          <w:sz w:val="22"/>
          <w:szCs w:val="22"/>
        </w:rPr>
      </w:pPr>
    </w:p>
    <w:p w14:paraId="10CB4ADC" w14:textId="404A4140" w:rsidR="00974707" w:rsidRPr="0061029B" w:rsidRDefault="6FCFBCF8" w:rsidP="006110D9">
      <w:pPr>
        <w:jc w:val="both"/>
        <w:rPr>
          <w:i/>
          <w:iCs/>
          <w:sz w:val="22"/>
          <w:szCs w:val="22"/>
        </w:rPr>
      </w:pPr>
      <w:r w:rsidRPr="006C4370">
        <w:rPr>
          <w:b/>
          <w:bCs/>
          <w:i/>
          <w:iCs/>
          <w:sz w:val="22"/>
          <w:szCs w:val="22"/>
        </w:rPr>
        <w:t>Summary of visit’s finding</w:t>
      </w:r>
      <w:r w:rsidR="1D5AA08B" w:rsidRPr="006C4370">
        <w:rPr>
          <w:b/>
          <w:bCs/>
          <w:i/>
          <w:iCs/>
          <w:sz w:val="22"/>
          <w:szCs w:val="22"/>
        </w:rPr>
        <w:t>s</w:t>
      </w:r>
      <w:r w:rsidRPr="2F6976C1">
        <w:rPr>
          <w:b/>
          <w:bCs/>
          <w:i/>
          <w:iCs/>
          <w:sz w:val="22"/>
          <w:szCs w:val="22"/>
        </w:rPr>
        <w:t>:</w:t>
      </w:r>
      <w:r w:rsidR="00974707" w:rsidRPr="2F6976C1">
        <w:rPr>
          <w:i/>
          <w:iCs/>
          <w:sz w:val="22"/>
          <w:szCs w:val="22"/>
        </w:rPr>
        <w:t xml:space="preserve"> The Kuska project is a strong project delivering commercial returns for smallholder farmers with positive biodiversity effects. </w:t>
      </w:r>
      <w:r w:rsidR="00974707" w:rsidRPr="0061029B">
        <w:rPr>
          <w:i/>
          <w:iCs/>
          <w:sz w:val="22"/>
          <w:szCs w:val="22"/>
        </w:rPr>
        <w:t>The project's success stems from ECOTIERRA's contextual knowledge, a robust model combining loans and technical assistance with infrastructure improvement and carbon credits, and the strong demand and premiums for specialty coffee grown using organic, shade-grown methods.</w:t>
      </w:r>
      <w:r w:rsidR="00146BB4">
        <w:rPr>
          <w:i/>
          <w:iCs/>
          <w:sz w:val="22"/>
          <w:szCs w:val="22"/>
        </w:rPr>
        <w:t xml:space="preserve"> Additional v</w:t>
      </w:r>
      <w:r w:rsidR="00A10B50">
        <w:rPr>
          <w:i/>
          <w:iCs/>
          <w:sz w:val="22"/>
          <w:szCs w:val="22"/>
        </w:rPr>
        <w:t>a</w:t>
      </w:r>
      <w:r w:rsidR="00146BB4">
        <w:rPr>
          <w:i/>
          <w:iCs/>
          <w:sz w:val="22"/>
          <w:szCs w:val="22"/>
        </w:rPr>
        <w:t xml:space="preserve">lue chains like honey provide </w:t>
      </w:r>
      <w:r w:rsidR="00A10B50">
        <w:rPr>
          <w:i/>
          <w:iCs/>
          <w:sz w:val="22"/>
          <w:szCs w:val="22"/>
        </w:rPr>
        <w:t>extra income to women and younger adults within households.</w:t>
      </w:r>
    </w:p>
    <w:p w14:paraId="1E6B5547" w14:textId="77777777" w:rsidR="006529F4" w:rsidRPr="0061029B" w:rsidRDefault="006529F4" w:rsidP="006110D9">
      <w:pPr>
        <w:jc w:val="both"/>
        <w:rPr>
          <w:i/>
          <w:iCs/>
          <w:sz w:val="22"/>
          <w:szCs w:val="22"/>
        </w:rPr>
      </w:pPr>
    </w:p>
    <w:p w14:paraId="6203A539" w14:textId="4325BB2C" w:rsidR="00974707" w:rsidRPr="0061029B" w:rsidRDefault="00974707" w:rsidP="006110D9">
      <w:pPr>
        <w:jc w:val="both"/>
        <w:rPr>
          <w:i/>
          <w:iCs/>
          <w:sz w:val="22"/>
          <w:szCs w:val="22"/>
        </w:rPr>
      </w:pPr>
      <w:r w:rsidRPr="0061029B">
        <w:rPr>
          <w:i/>
          <w:iCs/>
          <w:sz w:val="22"/>
          <w:szCs w:val="22"/>
        </w:rPr>
        <w:t xml:space="preserve">ECOTIERRA employs a robust monitoring system, MINKA, tracking farmer-level data and income, with considerations for further future biodiversity monitoring. While social impact is a strong focus, it's currently less visible in monitoring. Local, embedded partners like COCLA are key – they foster strong relationships with producers, using microcredits for technical </w:t>
      </w:r>
      <w:r w:rsidRPr="0061029B">
        <w:rPr>
          <w:i/>
          <w:iCs/>
          <w:sz w:val="22"/>
          <w:szCs w:val="22"/>
        </w:rPr>
        <w:lastRenderedPageBreak/>
        <w:t xml:space="preserve">assistance, leading to evidence of improved biodiversity and reforestation. Investors like Mirova are evolving their monitoring frameworks to better address impact measurement gaps and apply lessons to future impact investment funds, such as SLF2 (which we are also investing in), which includes more </w:t>
      </w:r>
      <w:r w:rsidR="00D46A28" w:rsidRPr="5FDA1A38">
        <w:rPr>
          <w:i/>
          <w:iCs/>
          <w:sz w:val="22"/>
          <w:szCs w:val="22"/>
        </w:rPr>
        <w:t>accurate</w:t>
      </w:r>
      <w:r w:rsidRPr="0061029B">
        <w:rPr>
          <w:i/>
          <w:iCs/>
          <w:sz w:val="22"/>
          <w:szCs w:val="22"/>
        </w:rPr>
        <w:t xml:space="preserve"> </w:t>
      </w:r>
      <w:r w:rsidR="56DC28CB" w:rsidRPr="5FDA1A38">
        <w:rPr>
          <w:i/>
          <w:iCs/>
          <w:sz w:val="22"/>
          <w:szCs w:val="22"/>
        </w:rPr>
        <w:t xml:space="preserve">fundraising targets </w:t>
      </w:r>
      <w:r w:rsidRPr="0061029B">
        <w:rPr>
          <w:i/>
          <w:iCs/>
          <w:sz w:val="22"/>
          <w:szCs w:val="22"/>
        </w:rPr>
        <w:t>and stronger gender tracking.</w:t>
      </w:r>
    </w:p>
    <w:p w14:paraId="79DA2AEC" w14:textId="77777777" w:rsidR="001407B5" w:rsidRPr="00340370" w:rsidRDefault="001407B5" w:rsidP="006110D9">
      <w:pPr>
        <w:tabs>
          <w:tab w:val="left" w:pos="6915"/>
          <w:tab w:val="left" w:pos="9495"/>
        </w:tabs>
        <w:jc w:val="both"/>
        <w:rPr>
          <w:color w:val="000000" w:themeColor="text1"/>
          <w:sz w:val="22"/>
          <w:szCs w:val="22"/>
        </w:rPr>
      </w:pPr>
    </w:p>
    <w:p w14:paraId="61857C7D" w14:textId="77777777" w:rsidR="002A173F" w:rsidRPr="0035028F" w:rsidRDefault="002A173F" w:rsidP="006110D9">
      <w:pPr>
        <w:tabs>
          <w:tab w:val="left" w:pos="6915"/>
          <w:tab w:val="left" w:pos="9495"/>
        </w:tabs>
        <w:jc w:val="both"/>
        <w:rPr>
          <w:b/>
          <w:bCs/>
          <w:color w:val="000000" w:themeColor="text1"/>
          <w:sz w:val="22"/>
          <w:szCs w:val="22"/>
        </w:rPr>
      </w:pPr>
    </w:p>
    <w:p w14:paraId="5C759886" w14:textId="77777777" w:rsidR="000F5F51" w:rsidRPr="002055D4" w:rsidRDefault="000F5F51" w:rsidP="006110D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jc w:val="both"/>
        <w:rPr>
          <w:b w:val="0"/>
          <w:i w:val="0"/>
          <w:sz w:val="20"/>
          <w:szCs w:val="20"/>
        </w:rPr>
      </w:pPr>
      <w:r w:rsidRPr="60E67443">
        <w:rPr>
          <w:i w:val="0"/>
        </w:rPr>
        <w:t xml:space="preserve">B: THEORY OF CHANGE AND PROGRESS TOWARDS OUTCOMES </w:t>
      </w:r>
    </w:p>
    <w:p w14:paraId="26694025" w14:textId="68B1EADC" w:rsidR="000F5F51" w:rsidRPr="002055D4" w:rsidRDefault="00F6447B" w:rsidP="006110D9">
      <w:pPr>
        <w:jc w:val="both"/>
        <w:rPr>
          <w:rFonts w:cs="Arial"/>
          <w:b/>
          <w:color w:val="FF0000"/>
          <w:sz w:val="22"/>
          <w:szCs w:val="22"/>
        </w:rPr>
      </w:pPr>
      <w:r>
        <w:rPr>
          <w:noProof/>
        </w:rPr>
        <w:drawing>
          <wp:anchor distT="0" distB="0" distL="114300" distR="114300" simplePos="0" relativeHeight="251658241" behindDoc="0" locked="0" layoutInCell="1" allowOverlap="1" wp14:anchorId="1BC5E08B" wp14:editId="3377F097">
            <wp:simplePos x="0" y="0"/>
            <wp:positionH relativeFrom="margin">
              <wp:align>center</wp:align>
            </wp:positionH>
            <wp:positionV relativeFrom="paragraph">
              <wp:posOffset>0</wp:posOffset>
            </wp:positionV>
            <wp:extent cx="6686550" cy="3621405"/>
            <wp:effectExtent l="0" t="0" r="0" b="0"/>
            <wp:wrapTopAndBottom/>
            <wp:docPr id="1150592312" name="Image 115059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686550" cy="3621405"/>
                    </a:xfrm>
                    <a:prstGeom prst="rect">
                      <a:avLst/>
                    </a:prstGeom>
                  </pic:spPr>
                </pic:pic>
              </a:graphicData>
            </a:graphic>
            <wp14:sizeRelH relativeFrom="margin">
              <wp14:pctWidth>0</wp14:pctWidth>
            </wp14:sizeRelH>
            <wp14:sizeRelV relativeFrom="margin">
              <wp14:pctHeight>0</wp14:pctHeight>
            </wp14:sizeRelV>
          </wp:anchor>
        </w:drawing>
      </w:r>
    </w:p>
    <w:p w14:paraId="4835900F" w14:textId="5789D578" w:rsidR="000F5F51" w:rsidRPr="00AD3E2A" w:rsidRDefault="000F5F51" w:rsidP="006110D9">
      <w:pPr>
        <w:jc w:val="both"/>
        <w:rPr>
          <w:rFonts w:eastAsia="Arial" w:cs="Arial"/>
          <w:sz w:val="22"/>
          <w:szCs w:val="22"/>
        </w:rPr>
      </w:pPr>
      <w:r w:rsidRPr="7783E917">
        <w:rPr>
          <w:rFonts w:eastAsia="Arial" w:cs="Arial"/>
          <w:sz w:val="22"/>
          <w:szCs w:val="22"/>
        </w:rPr>
        <w:t>The fund’s Theory of Change considers the following levels:</w:t>
      </w:r>
    </w:p>
    <w:p w14:paraId="49E46504" w14:textId="77777777" w:rsidR="000F5F51" w:rsidRPr="00AD3E2A" w:rsidRDefault="000F5F51" w:rsidP="006110D9">
      <w:pPr>
        <w:jc w:val="both"/>
        <w:rPr>
          <w:rFonts w:eastAsia="Arial" w:cs="Arial"/>
          <w:sz w:val="22"/>
          <w:szCs w:val="22"/>
        </w:rPr>
      </w:pPr>
    </w:p>
    <w:p w14:paraId="1E9B1628" w14:textId="3D0BDEDF" w:rsidR="000F5F51" w:rsidRPr="00556C52" w:rsidRDefault="000F5F51" w:rsidP="006110D9">
      <w:pPr>
        <w:pStyle w:val="ListParagraph"/>
        <w:numPr>
          <w:ilvl w:val="0"/>
          <w:numId w:val="37"/>
        </w:numPr>
        <w:jc w:val="both"/>
        <w:rPr>
          <w:rFonts w:eastAsia="Arial" w:cs="Arial"/>
          <w:b/>
          <w:bCs/>
          <w:sz w:val="22"/>
          <w:szCs w:val="22"/>
        </w:rPr>
      </w:pPr>
      <w:r w:rsidRPr="00556C52">
        <w:rPr>
          <w:rFonts w:eastAsia="Arial" w:cs="Arial"/>
          <w:b/>
          <w:bCs/>
          <w:sz w:val="22"/>
          <w:szCs w:val="22"/>
        </w:rPr>
        <w:t>Final impact</w:t>
      </w:r>
      <w:r w:rsidR="00697E6B" w:rsidRPr="00556C52">
        <w:rPr>
          <w:rFonts w:eastAsia="Arial" w:cs="Arial"/>
          <w:b/>
          <w:bCs/>
          <w:sz w:val="22"/>
          <w:szCs w:val="22"/>
        </w:rPr>
        <w:t xml:space="preserve">: </w:t>
      </w:r>
      <w:r w:rsidRPr="00556C52">
        <w:rPr>
          <w:rFonts w:eastAsia="Arial" w:cs="Arial"/>
          <w:sz w:val="22"/>
          <w:szCs w:val="22"/>
        </w:rPr>
        <w:t>This level contains the ﬁnal impacts at environmental and socio-economic level that the fund aims to contribute to.</w:t>
      </w:r>
    </w:p>
    <w:p w14:paraId="31F97610" w14:textId="36914A95" w:rsidR="000F5F51" w:rsidRPr="00556C52" w:rsidRDefault="000F5F51" w:rsidP="006110D9">
      <w:pPr>
        <w:pStyle w:val="ListParagraph"/>
        <w:numPr>
          <w:ilvl w:val="0"/>
          <w:numId w:val="37"/>
        </w:numPr>
        <w:jc w:val="both"/>
        <w:rPr>
          <w:rFonts w:eastAsia="Arial" w:cs="Arial"/>
          <w:b/>
          <w:bCs/>
          <w:sz w:val="22"/>
          <w:szCs w:val="22"/>
        </w:rPr>
      </w:pPr>
      <w:r w:rsidRPr="00556C52">
        <w:rPr>
          <w:rFonts w:eastAsia="Arial" w:cs="Arial"/>
          <w:b/>
          <w:bCs/>
          <w:sz w:val="22"/>
          <w:szCs w:val="22"/>
        </w:rPr>
        <w:t>Outcomes</w:t>
      </w:r>
      <w:r w:rsidR="00697E6B" w:rsidRPr="00556C52">
        <w:rPr>
          <w:rFonts w:eastAsia="Arial" w:cs="Arial"/>
          <w:b/>
          <w:bCs/>
          <w:sz w:val="22"/>
          <w:szCs w:val="22"/>
        </w:rPr>
        <w:t xml:space="preserve">: </w:t>
      </w:r>
      <w:r w:rsidRPr="00556C52">
        <w:rPr>
          <w:rFonts w:eastAsia="Arial" w:cs="Arial"/>
          <w:sz w:val="22"/>
          <w:szCs w:val="22"/>
        </w:rPr>
        <w:t xml:space="preserve">This level includes </w:t>
      </w:r>
      <w:r w:rsidR="007E2D66" w:rsidRPr="00556C52">
        <w:rPr>
          <w:rFonts w:eastAsia="Arial" w:cs="Arial"/>
          <w:sz w:val="22"/>
          <w:szCs w:val="22"/>
        </w:rPr>
        <w:t xml:space="preserve">long-lasting </w:t>
      </w:r>
      <w:r w:rsidRPr="00556C52">
        <w:rPr>
          <w:rFonts w:eastAsia="Arial" w:cs="Arial"/>
          <w:sz w:val="22"/>
          <w:szCs w:val="22"/>
        </w:rPr>
        <w:t>changes</w:t>
      </w:r>
      <w:r w:rsidR="0013713E" w:rsidRPr="00556C52">
        <w:rPr>
          <w:rFonts w:eastAsia="Arial" w:cs="Arial"/>
          <w:sz w:val="22"/>
          <w:szCs w:val="22"/>
        </w:rPr>
        <w:t xml:space="preserve"> expected to be delivered by the fund.</w:t>
      </w:r>
    </w:p>
    <w:p w14:paraId="25D9A6FF" w14:textId="0DFFB992" w:rsidR="000F5F51" w:rsidRPr="00556C52" w:rsidRDefault="000F5F51" w:rsidP="006110D9">
      <w:pPr>
        <w:pStyle w:val="ListParagraph"/>
        <w:numPr>
          <w:ilvl w:val="0"/>
          <w:numId w:val="37"/>
        </w:numPr>
        <w:jc w:val="both"/>
        <w:rPr>
          <w:rFonts w:eastAsia="Arial" w:cs="Arial"/>
          <w:sz w:val="22"/>
          <w:szCs w:val="22"/>
        </w:rPr>
      </w:pPr>
      <w:r w:rsidRPr="00556C52">
        <w:rPr>
          <w:rFonts w:eastAsia="Arial" w:cs="Arial"/>
          <w:b/>
          <w:bCs/>
          <w:sz w:val="22"/>
          <w:szCs w:val="22"/>
        </w:rPr>
        <w:t>Outputs</w:t>
      </w:r>
      <w:r w:rsidR="00697E6B" w:rsidRPr="00556C52">
        <w:rPr>
          <w:rFonts w:eastAsia="Arial" w:cs="Arial"/>
          <w:b/>
          <w:bCs/>
          <w:sz w:val="22"/>
          <w:szCs w:val="22"/>
        </w:rPr>
        <w:t xml:space="preserve">: </w:t>
      </w:r>
      <w:r w:rsidRPr="00556C52">
        <w:rPr>
          <w:rFonts w:eastAsia="Arial" w:cs="Arial"/>
          <w:sz w:val="22"/>
          <w:szCs w:val="22"/>
        </w:rPr>
        <w:t>This level summari</w:t>
      </w:r>
      <w:r w:rsidR="5E823DC3" w:rsidRPr="00556C52">
        <w:rPr>
          <w:rFonts w:eastAsia="Arial" w:cs="Arial"/>
          <w:sz w:val="22"/>
          <w:szCs w:val="22"/>
        </w:rPr>
        <w:t>s</w:t>
      </w:r>
      <w:r w:rsidRPr="00556C52">
        <w:rPr>
          <w:rFonts w:eastAsia="Arial" w:cs="Arial"/>
          <w:sz w:val="22"/>
          <w:szCs w:val="22"/>
        </w:rPr>
        <w:t>es the tangible results that the fund’s activities produce</w:t>
      </w:r>
      <w:r w:rsidR="0013713E" w:rsidRPr="00556C52">
        <w:rPr>
          <w:rFonts w:eastAsia="Arial" w:cs="Arial"/>
          <w:sz w:val="22"/>
          <w:szCs w:val="22"/>
        </w:rPr>
        <w:t>.</w:t>
      </w:r>
    </w:p>
    <w:p w14:paraId="0D66529A" w14:textId="7FFE71B7" w:rsidR="000F5F51" w:rsidRPr="00556C52" w:rsidRDefault="000F5F51" w:rsidP="006110D9">
      <w:pPr>
        <w:pStyle w:val="ListParagraph"/>
        <w:numPr>
          <w:ilvl w:val="0"/>
          <w:numId w:val="37"/>
        </w:numPr>
        <w:jc w:val="both"/>
        <w:rPr>
          <w:rFonts w:eastAsia="Arial" w:cs="Arial"/>
          <w:sz w:val="22"/>
          <w:szCs w:val="22"/>
        </w:rPr>
      </w:pPr>
      <w:r w:rsidRPr="00556C52">
        <w:rPr>
          <w:rFonts w:eastAsia="Arial" w:cs="Arial"/>
          <w:b/>
          <w:bCs/>
          <w:sz w:val="22"/>
          <w:szCs w:val="22"/>
        </w:rPr>
        <w:t>Activities</w:t>
      </w:r>
      <w:r w:rsidR="00697E6B" w:rsidRPr="00556C52">
        <w:rPr>
          <w:rFonts w:eastAsia="Arial" w:cs="Arial"/>
          <w:b/>
          <w:bCs/>
          <w:sz w:val="22"/>
          <w:szCs w:val="22"/>
        </w:rPr>
        <w:t xml:space="preserve">: </w:t>
      </w:r>
      <w:r w:rsidRPr="00556C52">
        <w:rPr>
          <w:rFonts w:eastAsia="Arial" w:cs="Arial"/>
          <w:sz w:val="22"/>
          <w:szCs w:val="22"/>
        </w:rPr>
        <w:t>This level contains the fund’s activities</w:t>
      </w:r>
      <w:r w:rsidR="0013713E" w:rsidRPr="00556C52">
        <w:rPr>
          <w:rFonts w:eastAsia="Arial" w:cs="Arial"/>
          <w:sz w:val="22"/>
          <w:szCs w:val="22"/>
        </w:rPr>
        <w:t xml:space="preserve">. </w:t>
      </w:r>
      <w:r w:rsidRPr="00556C52">
        <w:rPr>
          <w:rFonts w:eastAsia="Arial" w:cs="Arial"/>
          <w:sz w:val="22"/>
          <w:szCs w:val="22"/>
        </w:rPr>
        <w:t>These processes are interlinked and reinforce each other to drive transformation and systemic change in the market.</w:t>
      </w:r>
    </w:p>
    <w:p w14:paraId="297B93AC" w14:textId="7988FE28" w:rsidR="000F5F51" w:rsidRDefault="000F5F51" w:rsidP="006110D9">
      <w:pPr>
        <w:jc w:val="both"/>
        <w:rPr>
          <w:rFonts w:eastAsia="Arial" w:cs="Arial"/>
          <w:sz w:val="22"/>
          <w:szCs w:val="22"/>
        </w:rPr>
      </w:pPr>
      <w:r w:rsidRPr="4EE900A2">
        <w:rPr>
          <w:rFonts w:eastAsia="Arial" w:cs="Arial"/>
          <w:sz w:val="22"/>
          <w:szCs w:val="22"/>
        </w:rPr>
        <w:t xml:space="preserve">Elements outlined in the Theory of Change </w:t>
      </w:r>
      <w:r w:rsidR="0093173F">
        <w:rPr>
          <w:rFonts w:eastAsia="Arial" w:cs="Arial"/>
          <w:sz w:val="22"/>
          <w:szCs w:val="22"/>
        </w:rPr>
        <w:t>are either</w:t>
      </w:r>
      <w:r w:rsidRPr="4EE900A2">
        <w:rPr>
          <w:rFonts w:eastAsia="Arial" w:cs="Arial"/>
          <w:sz w:val="22"/>
          <w:szCs w:val="22"/>
        </w:rPr>
        <w:t xml:space="preserve"> directly under the control of the </w:t>
      </w:r>
      <w:r w:rsidR="5D1B3AC9" w:rsidRPr="4EE900A2">
        <w:rPr>
          <w:rFonts w:eastAsia="Arial" w:cs="Arial"/>
          <w:sz w:val="22"/>
          <w:szCs w:val="22"/>
        </w:rPr>
        <w:t>F</w:t>
      </w:r>
      <w:r w:rsidRPr="4EE900A2">
        <w:rPr>
          <w:rFonts w:eastAsia="Arial" w:cs="Arial"/>
          <w:sz w:val="22"/>
          <w:szCs w:val="22"/>
        </w:rPr>
        <w:t xml:space="preserve">und (such as activities and outputs) or inﬂuenced by both the </w:t>
      </w:r>
      <w:r w:rsidR="4A28E326" w:rsidRPr="4EE900A2">
        <w:rPr>
          <w:rFonts w:eastAsia="Arial" w:cs="Arial"/>
          <w:sz w:val="22"/>
          <w:szCs w:val="22"/>
        </w:rPr>
        <w:t>F</w:t>
      </w:r>
      <w:r w:rsidRPr="4EE900A2">
        <w:rPr>
          <w:rFonts w:eastAsia="Arial" w:cs="Arial"/>
          <w:sz w:val="22"/>
          <w:szCs w:val="22"/>
        </w:rPr>
        <w:t xml:space="preserve">und and external factors (such as outcomes, ﬁnal impacts). Given the nature of the </w:t>
      </w:r>
      <w:r w:rsidR="796D1F66" w:rsidRPr="4EE900A2">
        <w:rPr>
          <w:rFonts w:eastAsia="Arial" w:cs="Arial"/>
          <w:sz w:val="22"/>
          <w:szCs w:val="22"/>
        </w:rPr>
        <w:t>F</w:t>
      </w:r>
      <w:r w:rsidRPr="4EE900A2">
        <w:rPr>
          <w:rFonts w:eastAsia="Arial" w:cs="Arial"/>
          <w:sz w:val="22"/>
          <w:szCs w:val="22"/>
        </w:rPr>
        <w:t xml:space="preserve">und’s work, the </w:t>
      </w:r>
      <w:r w:rsidR="2541C24A" w:rsidRPr="4EE900A2">
        <w:rPr>
          <w:rFonts w:eastAsia="Arial" w:cs="Arial"/>
          <w:sz w:val="22"/>
          <w:szCs w:val="22"/>
        </w:rPr>
        <w:t>F</w:t>
      </w:r>
      <w:r w:rsidRPr="4EE900A2">
        <w:rPr>
          <w:rFonts w:eastAsia="Arial" w:cs="Arial"/>
          <w:sz w:val="22"/>
          <w:szCs w:val="22"/>
        </w:rPr>
        <w:t xml:space="preserve">und does not attribute the absolute change happening at outcome and ﬁnal impact level solely to its contributions. Considering also the complex environments in which the </w:t>
      </w:r>
      <w:r w:rsidR="7076EA0E" w:rsidRPr="4EE900A2">
        <w:rPr>
          <w:rFonts w:eastAsia="Arial" w:cs="Arial"/>
          <w:sz w:val="22"/>
          <w:szCs w:val="22"/>
        </w:rPr>
        <w:t>F</w:t>
      </w:r>
      <w:r w:rsidRPr="4EE900A2">
        <w:rPr>
          <w:rFonts w:eastAsia="Arial" w:cs="Arial"/>
          <w:sz w:val="22"/>
          <w:szCs w:val="22"/>
        </w:rPr>
        <w:t xml:space="preserve">und’s investees and stakeholders operate, it may be possible to measure whether an intended outcome occurred, but it would be diﬃcult or inaccurate to attribute the change solely to the LDN Fund’s work. The </w:t>
      </w:r>
      <w:r w:rsidRPr="00EE31FA">
        <w:rPr>
          <w:rFonts w:eastAsia="Arial" w:cs="Arial"/>
          <w:sz w:val="22"/>
          <w:szCs w:val="22"/>
        </w:rPr>
        <w:t>Theory of Change, therefore, deﬁnes how the fund contributes to causing the observed outcomes and ﬁnal impacts.</w:t>
      </w:r>
      <w:r w:rsidR="008E0549">
        <w:rPr>
          <w:rFonts w:eastAsia="Arial" w:cs="Arial"/>
          <w:sz w:val="22"/>
          <w:szCs w:val="22"/>
        </w:rPr>
        <w:t xml:space="preserve"> The </w:t>
      </w:r>
      <w:proofErr w:type="gramStart"/>
      <w:r w:rsidR="008E0549">
        <w:rPr>
          <w:rFonts w:eastAsia="Arial" w:cs="Arial"/>
          <w:sz w:val="22"/>
          <w:szCs w:val="22"/>
        </w:rPr>
        <w:t>final results</w:t>
      </w:r>
      <w:proofErr w:type="gramEnd"/>
      <w:r w:rsidR="008E0549">
        <w:rPr>
          <w:rFonts w:eastAsia="Arial" w:cs="Arial"/>
          <w:sz w:val="22"/>
          <w:szCs w:val="22"/>
        </w:rPr>
        <w:t xml:space="preserve"> of the Fund, along with any </w:t>
      </w:r>
      <w:r w:rsidR="00305569">
        <w:rPr>
          <w:rFonts w:eastAsia="Arial" w:cs="Arial"/>
          <w:sz w:val="22"/>
          <w:szCs w:val="22"/>
        </w:rPr>
        <w:t>independent</w:t>
      </w:r>
      <w:r w:rsidR="008E0549">
        <w:rPr>
          <w:rFonts w:eastAsia="Arial" w:cs="Arial"/>
          <w:sz w:val="22"/>
          <w:szCs w:val="22"/>
        </w:rPr>
        <w:t xml:space="preserve"> review of the Fund</w:t>
      </w:r>
      <w:r w:rsidR="003360E8">
        <w:rPr>
          <w:rFonts w:eastAsia="Arial" w:cs="Arial"/>
          <w:sz w:val="22"/>
          <w:szCs w:val="22"/>
        </w:rPr>
        <w:t>’s success</w:t>
      </w:r>
      <w:r w:rsidR="00566D8B">
        <w:rPr>
          <w:rFonts w:eastAsia="Arial" w:cs="Arial"/>
          <w:sz w:val="22"/>
          <w:szCs w:val="22"/>
        </w:rPr>
        <w:t xml:space="preserve"> (see recommendations above)</w:t>
      </w:r>
      <w:r w:rsidR="003360E8">
        <w:rPr>
          <w:rFonts w:eastAsia="Arial" w:cs="Arial"/>
          <w:sz w:val="22"/>
          <w:szCs w:val="22"/>
        </w:rPr>
        <w:t xml:space="preserve">, will </w:t>
      </w:r>
      <w:r w:rsidR="00AA2E7E">
        <w:rPr>
          <w:rFonts w:eastAsia="Arial" w:cs="Arial"/>
          <w:sz w:val="22"/>
          <w:szCs w:val="22"/>
        </w:rPr>
        <w:t>help test th</w:t>
      </w:r>
      <w:r w:rsidR="000C1299">
        <w:rPr>
          <w:rFonts w:eastAsia="Arial" w:cs="Arial"/>
          <w:sz w:val="22"/>
          <w:szCs w:val="22"/>
        </w:rPr>
        <w:t xml:space="preserve">e </w:t>
      </w:r>
      <w:proofErr w:type="spellStart"/>
      <w:r w:rsidR="000C1299">
        <w:rPr>
          <w:rFonts w:eastAsia="Arial" w:cs="Arial"/>
          <w:sz w:val="22"/>
          <w:szCs w:val="22"/>
        </w:rPr>
        <w:t>ToC’s</w:t>
      </w:r>
      <w:proofErr w:type="spellEnd"/>
      <w:r w:rsidR="000C1299">
        <w:rPr>
          <w:rFonts w:eastAsia="Arial" w:cs="Arial"/>
          <w:sz w:val="22"/>
          <w:szCs w:val="22"/>
        </w:rPr>
        <w:t xml:space="preserve"> assumptions about </w:t>
      </w:r>
      <w:r w:rsidR="00113EC7">
        <w:rPr>
          <w:rFonts w:eastAsia="Arial" w:cs="Arial"/>
          <w:sz w:val="22"/>
          <w:szCs w:val="22"/>
        </w:rPr>
        <w:t>its impact.</w:t>
      </w:r>
      <w:r w:rsidR="003360E8">
        <w:rPr>
          <w:rFonts w:eastAsia="Arial" w:cs="Arial"/>
          <w:sz w:val="22"/>
          <w:szCs w:val="22"/>
        </w:rPr>
        <w:t xml:space="preserve"> </w:t>
      </w:r>
      <w:r w:rsidR="008E7E69">
        <w:rPr>
          <w:rFonts w:eastAsia="Arial" w:cs="Arial"/>
          <w:sz w:val="22"/>
          <w:szCs w:val="22"/>
        </w:rPr>
        <w:t>These assumptions are that</w:t>
      </w:r>
      <w:r w:rsidR="00694622">
        <w:rPr>
          <w:rFonts w:eastAsia="Arial" w:cs="Arial"/>
          <w:sz w:val="22"/>
          <w:szCs w:val="22"/>
        </w:rPr>
        <w:t>:</w:t>
      </w:r>
    </w:p>
    <w:p w14:paraId="5BE93005" w14:textId="77777777" w:rsidR="00694622" w:rsidRDefault="00694622" w:rsidP="006110D9">
      <w:pPr>
        <w:jc w:val="both"/>
        <w:rPr>
          <w:rFonts w:eastAsia="Arial" w:cs="Arial"/>
          <w:sz w:val="22"/>
          <w:szCs w:val="22"/>
        </w:rPr>
      </w:pPr>
    </w:p>
    <w:p w14:paraId="194A2190" w14:textId="76A093D5" w:rsidR="00694622" w:rsidRDefault="003F6C99" w:rsidP="006110D9">
      <w:pPr>
        <w:pStyle w:val="ListParagraph"/>
        <w:numPr>
          <w:ilvl w:val="0"/>
          <w:numId w:val="36"/>
        </w:numPr>
        <w:jc w:val="both"/>
        <w:rPr>
          <w:rFonts w:eastAsia="Arial" w:cs="Arial"/>
          <w:sz w:val="22"/>
          <w:szCs w:val="22"/>
        </w:rPr>
      </w:pPr>
      <w:r>
        <w:rPr>
          <w:rFonts w:eastAsia="Arial" w:cs="Arial"/>
          <w:sz w:val="22"/>
          <w:szCs w:val="22"/>
        </w:rPr>
        <w:t xml:space="preserve">Public investment has a catalytic effect for leveraging private </w:t>
      </w:r>
      <w:proofErr w:type="gramStart"/>
      <w:r>
        <w:rPr>
          <w:rFonts w:eastAsia="Arial" w:cs="Arial"/>
          <w:sz w:val="22"/>
          <w:szCs w:val="22"/>
        </w:rPr>
        <w:t>finance</w:t>
      </w:r>
      <w:r w:rsidR="001C5906">
        <w:rPr>
          <w:rFonts w:eastAsia="Arial" w:cs="Arial"/>
          <w:sz w:val="22"/>
          <w:szCs w:val="22"/>
        </w:rPr>
        <w:t>;</w:t>
      </w:r>
      <w:proofErr w:type="gramEnd"/>
    </w:p>
    <w:p w14:paraId="02897489" w14:textId="169F3292" w:rsidR="001C5906" w:rsidRDefault="001C5906" w:rsidP="006110D9">
      <w:pPr>
        <w:pStyle w:val="ListParagraph"/>
        <w:numPr>
          <w:ilvl w:val="0"/>
          <w:numId w:val="36"/>
        </w:numPr>
        <w:jc w:val="both"/>
        <w:rPr>
          <w:rFonts w:eastAsia="Arial" w:cs="Arial"/>
          <w:sz w:val="22"/>
          <w:szCs w:val="22"/>
        </w:rPr>
      </w:pPr>
      <w:r>
        <w:rPr>
          <w:rFonts w:eastAsia="Arial" w:cs="Arial"/>
          <w:sz w:val="22"/>
          <w:szCs w:val="22"/>
        </w:rPr>
        <w:t>Sustainable land management has a measurable impact on biodiversity net gain</w:t>
      </w:r>
      <w:r w:rsidR="00301EC1">
        <w:rPr>
          <w:rFonts w:eastAsia="Arial" w:cs="Arial"/>
          <w:sz w:val="22"/>
          <w:szCs w:val="22"/>
        </w:rPr>
        <w:t xml:space="preserve">, carbon sequestration and reversing land </w:t>
      </w:r>
      <w:proofErr w:type="gramStart"/>
      <w:r w:rsidR="00301EC1">
        <w:rPr>
          <w:rFonts w:eastAsia="Arial" w:cs="Arial"/>
          <w:sz w:val="22"/>
          <w:szCs w:val="22"/>
        </w:rPr>
        <w:t>degradation</w:t>
      </w:r>
      <w:r w:rsidR="00851B44">
        <w:rPr>
          <w:rFonts w:eastAsia="Arial" w:cs="Arial"/>
          <w:sz w:val="22"/>
          <w:szCs w:val="22"/>
        </w:rPr>
        <w:t>;</w:t>
      </w:r>
      <w:proofErr w:type="gramEnd"/>
    </w:p>
    <w:p w14:paraId="0FC73E04" w14:textId="7463D06B" w:rsidR="00301EC1" w:rsidRDefault="00980964" w:rsidP="006110D9">
      <w:pPr>
        <w:pStyle w:val="ListParagraph"/>
        <w:numPr>
          <w:ilvl w:val="0"/>
          <w:numId w:val="36"/>
        </w:numPr>
        <w:jc w:val="both"/>
        <w:rPr>
          <w:rFonts w:eastAsia="Arial" w:cs="Arial"/>
          <w:sz w:val="22"/>
          <w:szCs w:val="22"/>
        </w:rPr>
      </w:pPr>
      <w:r>
        <w:rPr>
          <w:rFonts w:eastAsia="Arial" w:cs="Arial"/>
          <w:sz w:val="22"/>
          <w:szCs w:val="22"/>
        </w:rPr>
        <w:t xml:space="preserve">Technical Assistance </w:t>
      </w:r>
      <w:r w:rsidR="00C9200A">
        <w:rPr>
          <w:rFonts w:eastAsia="Arial" w:cs="Arial"/>
          <w:sz w:val="22"/>
          <w:szCs w:val="22"/>
        </w:rPr>
        <w:t xml:space="preserve">improves commercial and ESG outcomes for </w:t>
      </w:r>
      <w:proofErr w:type="gramStart"/>
      <w:r w:rsidR="00C9200A">
        <w:rPr>
          <w:rFonts w:eastAsia="Arial" w:cs="Arial"/>
          <w:sz w:val="22"/>
          <w:szCs w:val="22"/>
        </w:rPr>
        <w:t>projects</w:t>
      </w:r>
      <w:r w:rsidR="00851B44">
        <w:rPr>
          <w:rFonts w:eastAsia="Arial" w:cs="Arial"/>
          <w:sz w:val="22"/>
          <w:szCs w:val="22"/>
        </w:rPr>
        <w:t>;</w:t>
      </w:r>
      <w:proofErr w:type="gramEnd"/>
    </w:p>
    <w:p w14:paraId="64450B00" w14:textId="343FA0B8" w:rsidR="00C9200A" w:rsidRPr="00556C52" w:rsidRDefault="00A95115" w:rsidP="006110D9">
      <w:pPr>
        <w:pStyle w:val="ListParagraph"/>
        <w:numPr>
          <w:ilvl w:val="0"/>
          <w:numId w:val="36"/>
        </w:numPr>
        <w:jc w:val="both"/>
        <w:rPr>
          <w:rFonts w:eastAsia="Arial" w:cs="Arial"/>
          <w:sz w:val="22"/>
          <w:szCs w:val="22"/>
        </w:rPr>
      </w:pPr>
      <w:r>
        <w:rPr>
          <w:rFonts w:eastAsia="Arial" w:cs="Arial"/>
          <w:sz w:val="22"/>
          <w:szCs w:val="22"/>
        </w:rPr>
        <w:lastRenderedPageBreak/>
        <w:t xml:space="preserve">Creation of jobs and improved livelihoods prevents degradation from being exported </w:t>
      </w:r>
      <w:r w:rsidRPr="00556C52">
        <w:rPr>
          <w:rFonts w:eastAsia="Arial" w:cs="Arial"/>
          <w:sz w:val="22"/>
          <w:szCs w:val="22"/>
        </w:rPr>
        <w:t xml:space="preserve">to other </w:t>
      </w:r>
      <w:proofErr w:type="gramStart"/>
      <w:r w:rsidRPr="00556C52">
        <w:rPr>
          <w:rFonts w:eastAsia="Arial" w:cs="Arial"/>
          <w:sz w:val="22"/>
          <w:szCs w:val="22"/>
        </w:rPr>
        <w:t>areas</w:t>
      </w:r>
      <w:r w:rsidR="00851B44" w:rsidRPr="00556C52">
        <w:rPr>
          <w:rFonts w:eastAsia="Arial" w:cs="Arial"/>
          <w:sz w:val="22"/>
          <w:szCs w:val="22"/>
        </w:rPr>
        <w:t>;</w:t>
      </w:r>
      <w:proofErr w:type="gramEnd"/>
    </w:p>
    <w:p w14:paraId="4ED9CDCF" w14:textId="15FC882E" w:rsidR="00D00581" w:rsidRPr="00D00581" w:rsidRDefault="00124EA2" w:rsidP="006110D9">
      <w:pPr>
        <w:pStyle w:val="ListParagraph"/>
        <w:numPr>
          <w:ilvl w:val="0"/>
          <w:numId w:val="36"/>
        </w:numPr>
        <w:jc w:val="both"/>
        <w:rPr>
          <w:sz w:val="22"/>
          <w:szCs w:val="22"/>
        </w:rPr>
      </w:pPr>
      <w:r w:rsidRPr="00556C52">
        <w:rPr>
          <w:rFonts w:eastAsia="Arial" w:cs="Arial"/>
          <w:sz w:val="22"/>
          <w:szCs w:val="22"/>
        </w:rPr>
        <w:t xml:space="preserve">Mosaic land use </w:t>
      </w:r>
      <w:r w:rsidR="00656C5B" w:rsidRPr="00556C52">
        <w:rPr>
          <w:rFonts w:eastAsia="Arial" w:cs="Arial"/>
          <w:sz w:val="22"/>
          <w:szCs w:val="22"/>
        </w:rPr>
        <w:t>can be</w:t>
      </w:r>
      <w:r w:rsidRPr="00556C52">
        <w:rPr>
          <w:rFonts w:eastAsia="Arial" w:cs="Arial"/>
          <w:sz w:val="22"/>
          <w:szCs w:val="22"/>
        </w:rPr>
        <w:t xml:space="preserve"> an effective way </w:t>
      </w:r>
      <w:r w:rsidR="00966328" w:rsidRPr="00556C52">
        <w:rPr>
          <w:rFonts w:eastAsia="Arial" w:cs="Arial"/>
          <w:sz w:val="22"/>
          <w:szCs w:val="22"/>
        </w:rPr>
        <w:t>for</w:t>
      </w:r>
      <w:r w:rsidR="00952DB4" w:rsidRPr="00556C52">
        <w:rPr>
          <w:rFonts w:eastAsia="Arial" w:cs="Arial"/>
          <w:sz w:val="22"/>
          <w:szCs w:val="22"/>
        </w:rPr>
        <w:t xml:space="preserve"> </w:t>
      </w:r>
      <w:r w:rsidR="007421BB" w:rsidRPr="00556C52">
        <w:rPr>
          <w:rFonts w:eastAsia="Arial" w:cs="Arial"/>
          <w:sz w:val="22"/>
          <w:szCs w:val="22"/>
        </w:rPr>
        <w:t>assumptions 2 and 4</w:t>
      </w:r>
      <w:r w:rsidR="00966328" w:rsidRPr="00556C52">
        <w:rPr>
          <w:rFonts w:eastAsia="Arial" w:cs="Arial"/>
          <w:sz w:val="22"/>
          <w:szCs w:val="22"/>
        </w:rPr>
        <w:t xml:space="preserve"> to complement each other</w:t>
      </w:r>
      <w:r w:rsidR="007421BB" w:rsidRPr="00556C52">
        <w:rPr>
          <w:rFonts w:eastAsia="Arial" w:cs="Arial"/>
          <w:sz w:val="22"/>
          <w:szCs w:val="22"/>
        </w:rPr>
        <w:t>.</w:t>
      </w:r>
    </w:p>
    <w:p w14:paraId="246DB513" w14:textId="7DA6D6E3" w:rsidR="00D00581" w:rsidRPr="00D00581" w:rsidRDefault="00D00581" w:rsidP="006110D9">
      <w:pPr>
        <w:spacing w:after="240"/>
        <w:jc w:val="both"/>
        <w:rPr>
          <w:rFonts w:cs="Arial"/>
          <w:b/>
          <w:bCs/>
          <w:sz w:val="22"/>
          <w:szCs w:val="22"/>
        </w:rPr>
      </w:pPr>
      <w:r>
        <w:rPr>
          <w:rFonts w:cs="Arial"/>
          <w:b/>
          <w:bCs/>
          <w:sz w:val="22"/>
          <w:szCs w:val="22"/>
        </w:rPr>
        <w:t>Impact indicators assessment</w:t>
      </w:r>
    </w:p>
    <w:p w14:paraId="70272A20" w14:textId="69346128" w:rsidR="000F5F51" w:rsidRPr="00AD3E2A" w:rsidRDefault="000F5F51" w:rsidP="006110D9">
      <w:pPr>
        <w:spacing w:after="240"/>
        <w:jc w:val="both"/>
        <w:rPr>
          <w:rFonts w:cs="Arial"/>
          <w:sz w:val="22"/>
          <w:szCs w:val="22"/>
          <w:highlight w:val="yellow"/>
        </w:rPr>
      </w:pPr>
      <w:r w:rsidRPr="00650285">
        <w:rPr>
          <w:rFonts w:cs="Arial"/>
          <w:sz w:val="22"/>
          <w:szCs w:val="22"/>
        </w:rPr>
        <w:t xml:space="preserve">The </w:t>
      </w:r>
      <w:r w:rsidR="00902E27" w:rsidRPr="00650285">
        <w:rPr>
          <w:rFonts w:cs="Arial"/>
          <w:sz w:val="22"/>
          <w:szCs w:val="22"/>
        </w:rPr>
        <w:t xml:space="preserve">following </w:t>
      </w:r>
      <w:r w:rsidRPr="00650285">
        <w:rPr>
          <w:rFonts w:cs="Arial"/>
          <w:sz w:val="22"/>
          <w:szCs w:val="22"/>
        </w:rPr>
        <w:t>four impact indicators have been selected for this programme.</w:t>
      </w:r>
      <w:r w:rsidRPr="00650285">
        <w:rPr>
          <w:sz w:val="22"/>
          <w:szCs w:val="22"/>
        </w:rPr>
        <w:t xml:space="preserve"> </w:t>
      </w:r>
      <w:r w:rsidRPr="00650285">
        <w:rPr>
          <w:rFonts w:cs="Arial"/>
          <w:sz w:val="22"/>
          <w:szCs w:val="22"/>
        </w:rPr>
        <w:t>Due to their longer-term</w:t>
      </w:r>
      <w:r w:rsidRPr="0B67412A">
        <w:rPr>
          <w:rFonts w:cs="Arial"/>
          <w:sz w:val="22"/>
          <w:szCs w:val="22"/>
        </w:rPr>
        <w:t xml:space="preserve"> </w:t>
      </w:r>
      <w:r w:rsidRPr="00F7082F">
        <w:rPr>
          <w:rFonts w:cs="Arial"/>
          <w:sz w:val="22"/>
          <w:szCs w:val="22"/>
        </w:rPr>
        <w:t xml:space="preserve">nature </w:t>
      </w:r>
      <w:r w:rsidR="0030453E">
        <w:rPr>
          <w:rFonts w:cs="Arial"/>
          <w:sz w:val="22"/>
          <w:szCs w:val="22"/>
        </w:rPr>
        <w:t>and wider scope</w:t>
      </w:r>
      <w:r w:rsidR="005D7154">
        <w:rPr>
          <w:rFonts w:cs="Arial"/>
          <w:sz w:val="22"/>
          <w:szCs w:val="22"/>
        </w:rPr>
        <w:t>,</w:t>
      </w:r>
      <w:r w:rsidR="00B176A0">
        <w:rPr>
          <w:rFonts w:cs="Arial"/>
          <w:sz w:val="22"/>
          <w:szCs w:val="22"/>
        </w:rPr>
        <w:t xml:space="preserve"> </w:t>
      </w:r>
      <w:r w:rsidR="000304F3">
        <w:rPr>
          <w:rFonts w:cs="Arial"/>
          <w:sz w:val="22"/>
          <w:szCs w:val="22"/>
        </w:rPr>
        <w:t xml:space="preserve">change is expected to be slow with </w:t>
      </w:r>
      <w:r w:rsidR="005D7154">
        <w:rPr>
          <w:rFonts w:cs="Arial"/>
          <w:sz w:val="22"/>
          <w:szCs w:val="22"/>
        </w:rPr>
        <w:t>many</w:t>
      </w:r>
      <w:r w:rsidR="000304F3">
        <w:rPr>
          <w:rFonts w:cs="Arial"/>
          <w:sz w:val="22"/>
          <w:szCs w:val="22"/>
        </w:rPr>
        <w:t xml:space="preserve"> uncertainties</w:t>
      </w:r>
      <w:r w:rsidR="005D7154">
        <w:rPr>
          <w:rFonts w:cs="Arial"/>
          <w:sz w:val="22"/>
          <w:szCs w:val="22"/>
        </w:rPr>
        <w:t xml:space="preserve"> </w:t>
      </w:r>
      <w:r w:rsidR="00FE2ED3">
        <w:rPr>
          <w:rFonts w:cs="Arial"/>
          <w:sz w:val="22"/>
          <w:szCs w:val="22"/>
        </w:rPr>
        <w:t>involved in linking the</w:t>
      </w:r>
      <w:r w:rsidR="005D7154">
        <w:rPr>
          <w:rFonts w:cs="Arial"/>
          <w:sz w:val="22"/>
          <w:szCs w:val="22"/>
        </w:rPr>
        <w:t xml:space="preserve"> impact of a single Fund </w:t>
      </w:r>
      <w:r w:rsidR="00FE2ED3">
        <w:rPr>
          <w:rFonts w:cs="Arial"/>
          <w:sz w:val="22"/>
          <w:szCs w:val="22"/>
        </w:rPr>
        <w:t>to</w:t>
      </w:r>
      <w:r w:rsidR="005D7154">
        <w:rPr>
          <w:rFonts w:cs="Arial"/>
          <w:sz w:val="22"/>
          <w:szCs w:val="22"/>
        </w:rPr>
        <w:t xml:space="preserve"> the global picture</w:t>
      </w:r>
      <w:r w:rsidR="00E06004">
        <w:rPr>
          <w:rFonts w:cs="Arial"/>
          <w:sz w:val="22"/>
          <w:szCs w:val="22"/>
        </w:rPr>
        <w:t>.</w:t>
      </w:r>
      <w:r w:rsidRPr="00F7082F">
        <w:rPr>
          <w:rFonts w:cs="Arial"/>
          <w:sz w:val="22"/>
          <w:szCs w:val="22"/>
        </w:rPr>
        <w:t xml:space="preserve"> </w:t>
      </w:r>
      <w:r w:rsidR="00E06004">
        <w:rPr>
          <w:rFonts w:cs="Arial"/>
          <w:sz w:val="22"/>
          <w:szCs w:val="22"/>
        </w:rPr>
        <w:t>2024 is the first year when all four indicators have been addressed in the annual review</w:t>
      </w:r>
      <w:r w:rsidRPr="00F7082F">
        <w:rPr>
          <w:rFonts w:cs="Arial"/>
          <w:sz w:val="22"/>
          <w:szCs w:val="22"/>
        </w:rPr>
        <w:t>:</w:t>
      </w:r>
    </w:p>
    <w:p w14:paraId="298800CB" w14:textId="774B851E" w:rsidR="000F5F51" w:rsidRPr="00FD66FE" w:rsidRDefault="000F5F51" w:rsidP="006110D9">
      <w:pPr>
        <w:pStyle w:val="ListParagraph"/>
        <w:numPr>
          <w:ilvl w:val="0"/>
          <w:numId w:val="9"/>
        </w:numPr>
        <w:jc w:val="both"/>
        <w:rPr>
          <w:rFonts w:cs="Arial"/>
          <w:sz w:val="22"/>
          <w:szCs w:val="22"/>
          <w:shd w:val="clear" w:color="auto" w:fill="FFFFFF"/>
        </w:rPr>
      </w:pPr>
      <w:r w:rsidRPr="00C778C3">
        <w:rPr>
          <w:rFonts w:cs="Arial"/>
          <w:b/>
          <w:bCs/>
          <w:sz w:val="22"/>
          <w:szCs w:val="22"/>
          <w:shd w:val="clear" w:color="auto" w:fill="FFFFFF"/>
        </w:rPr>
        <w:t>ICF KPI 15: transformational change</w:t>
      </w:r>
      <w:r w:rsidRPr="00AD3E2A">
        <w:rPr>
          <w:rFonts w:cs="Arial"/>
          <w:sz w:val="22"/>
          <w:szCs w:val="22"/>
          <w:shd w:val="clear" w:color="auto" w:fill="FFFFFF"/>
        </w:rPr>
        <w:t xml:space="preserve"> – </w:t>
      </w:r>
      <w:r w:rsidR="2DA031C3" w:rsidRPr="00AD3E2A">
        <w:rPr>
          <w:rFonts w:cs="Arial"/>
          <w:sz w:val="22"/>
          <w:szCs w:val="22"/>
          <w:shd w:val="clear" w:color="auto" w:fill="FFFFFF"/>
        </w:rPr>
        <w:t xml:space="preserve">scored </w:t>
      </w:r>
      <w:r w:rsidR="0026136A">
        <w:rPr>
          <w:rFonts w:cs="Arial"/>
          <w:sz w:val="22"/>
          <w:szCs w:val="22"/>
          <w:shd w:val="clear" w:color="auto" w:fill="FFFFFF"/>
        </w:rPr>
        <w:t>4</w:t>
      </w:r>
      <w:r w:rsidR="00517475">
        <w:rPr>
          <w:rFonts w:cs="Arial"/>
          <w:sz w:val="22"/>
          <w:szCs w:val="22"/>
          <w:shd w:val="clear" w:color="auto" w:fill="FFFFFF"/>
        </w:rPr>
        <w:t xml:space="preserve"> out of</w:t>
      </w:r>
      <w:r w:rsidR="00CA427E">
        <w:rPr>
          <w:rFonts w:cs="Arial"/>
          <w:sz w:val="22"/>
          <w:szCs w:val="22"/>
          <w:shd w:val="clear" w:color="auto" w:fill="FFFFFF"/>
        </w:rPr>
        <w:t xml:space="preserve"> </w:t>
      </w:r>
      <w:r w:rsidR="0026136A">
        <w:rPr>
          <w:rFonts w:cs="Arial"/>
          <w:sz w:val="22"/>
          <w:szCs w:val="22"/>
          <w:shd w:val="clear" w:color="auto" w:fill="FFFFFF"/>
        </w:rPr>
        <w:t>5</w:t>
      </w:r>
      <w:r w:rsidR="00CA427E">
        <w:rPr>
          <w:rFonts w:cs="Arial"/>
          <w:sz w:val="22"/>
          <w:szCs w:val="22"/>
          <w:shd w:val="clear" w:color="auto" w:fill="FFFFFF"/>
        </w:rPr>
        <w:t xml:space="preserve">, </w:t>
      </w:r>
      <w:r w:rsidR="4DBEC34C" w:rsidRPr="00AD3E2A">
        <w:rPr>
          <w:rFonts w:cs="Arial"/>
          <w:sz w:val="22"/>
          <w:szCs w:val="22"/>
          <w:shd w:val="clear" w:color="auto" w:fill="FFFFFF"/>
        </w:rPr>
        <w:t xml:space="preserve">which is defined as </w:t>
      </w:r>
      <w:r w:rsidR="00DF44E6">
        <w:rPr>
          <w:rFonts w:cs="Arial"/>
          <w:sz w:val="22"/>
          <w:szCs w:val="22"/>
          <w:shd w:val="clear" w:color="auto" w:fill="FFFFFF"/>
        </w:rPr>
        <w:t>‘</w:t>
      </w:r>
      <w:r w:rsidR="00C95055" w:rsidRPr="00C95055">
        <w:rPr>
          <w:rFonts w:cs="Arial"/>
          <w:sz w:val="22"/>
          <w:szCs w:val="22"/>
          <w:shd w:val="clear" w:color="auto" w:fill="FFFFFF"/>
        </w:rPr>
        <w:t>Partial evidence that suggests transformational change is likely</w:t>
      </w:r>
      <w:r w:rsidR="00DF44E6">
        <w:rPr>
          <w:rFonts w:cs="Arial"/>
          <w:sz w:val="22"/>
          <w:szCs w:val="22"/>
          <w:shd w:val="clear" w:color="auto" w:fill="FFFFFF"/>
        </w:rPr>
        <w:t>’</w:t>
      </w:r>
      <w:r w:rsidR="4DBEC34C" w:rsidRPr="00AD3E2A">
        <w:rPr>
          <w:rFonts w:cs="Arial"/>
          <w:sz w:val="22"/>
          <w:szCs w:val="22"/>
          <w:shd w:val="clear" w:color="auto" w:fill="FFFFFF"/>
        </w:rPr>
        <w:t xml:space="preserve">. </w:t>
      </w:r>
      <w:r w:rsidR="008B6536">
        <w:rPr>
          <w:rFonts w:cs="Arial"/>
          <w:sz w:val="22"/>
          <w:szCs w:val="22"/>
          <w:shd w:val="clear" w:color="auto" w:fill="FFFFFF"/>
        </w:rPr>
        <w:t>T</w:t>
      </w:r>
      <w:r w:rsidR="0023754F">
        <w:rPr>
          <w:rFonts w:cs="Arial"/>
          <w:sz w:val="22"/>
          <w:szCs w:val="22"/>
          <w:shd w:val="clear" w:color="auto" w:fill="FFFFFF"/>
        </w:rPr>
        <w:t xml:space="preserve">his score </w:t>
      </w:r>
      <w:r w:rsidR="0071370C">
        <w:rPr>
          <w:rFonts w:cs="Arial"/>
          <w:sz w:val="22"/>
          <w:szCs w:val="22"/>
          <w:shd w:val="clear" w:color="auto" w:fill="FFFFFF"/>
        </w:rPr>
        <w:t xml:space="preserve">increased from 2023 and </w:t>
      </w:r>
      <w:r w:rsidR="0023754F">
        <w:rPr>
          <w:rFonts w:cs="Arial"/>
          <w:sz w:val="22"/>
          <w:szCs w:val="22"/>
          <w:shd w:val="clear" w:color="auto" w:fill="FFFFFF"/>
        </w:rPr>
        <w:t xml:space="preserve">was driven by </w:t>
      </w:r>
      <w:r w:rsidR="00DF1CBB">
        <w:rPr>
          <w:rFonts w:cs="Arial"/>
          <w:sz w:val="22"/>
          <w:szCs w:val="22"/>
          <w:shd w:val="clear" w:color="auto" w:fill="FFFFFF"/>
        </w:rPr>
        <w:t>strong</w:t>
      </w:r>
      <w:r w:rsidR="0023754F">
        <w:rPr>
          <w:rFonts w:cs="Arial"/>
          <w:sz w:val="22"/>
          <w:szCs w:val="22"/>
          <w:shd w:val="clear" w:color="auto" w:fill="FFFFFF"/>
        </w:rPr>
        <w:t xml:space="preserve"> evidence for </w:t>
      </w:r>
      <w:r w:rsidR="00EE4618">
        <w:rPr>
          <w:rFonts w:cs="Arial"/>
          <w:sz w:val="22"/>
          <w:szCs w:val="22"/>
          <w:shd w:val="clear" w:color="auto" w:fill="FFFFFF"/>
        </w:rPr>
        <w:t>incentivising others to act (in the form of leveraged capital)</w:t>
      </w:r>
      <w:r w:rsidR="0023754F">
        <w:rPr>
          <w:rFonts w:cs="Arial"/>
          <w:sz w:val="22"/>
          <w:szCs w:val="22"/>
          <w:shd w:val="clear" w:color="auto" w:fill="FFFFFF"/>
        </w:rPr>
        <w:t xml:space="preserve"> </w:t>
      </w:r>
      <w:r w:rsidR="00EE4618">
        <w:rPr>
          <w:rFonts w:cs="Arial"/>
          <w:sz w:val="22"/>
          <w:szCs w:val="22"/>
          <w:shd w:val="clear" w:color="auto" w:fill="FFFFFF"/>
        </w:rPr>
        <w:t xml:space="preserve">and </w:t>
      </w:r>
      <w:r w:rsidR="00DF1CBB">
        <w:rPr>
          <w:rFonts w:cs="Arial"/>
          <w:sz w:val="22"/>
          <w:szCs w:val="22"/>
          <w:shd w:val="clear" w:color="auto" w:fill="FFFFFF"/>
        </w:rPr>
        <w:t>improvements in scalability and sustainability, particularly in</w:t>
      </w:r>
      <w:r w:rsidR="00AC5F63">
        <w:rPr>
          <w:rFonts w:cs="Arial"/>
          <w:sz w:val="22"/>
          <w:szCs w:val="22"/>
          <w:shd w:val="clear" w:color="auto" w:fill="FFFFFF"/>
        </w:rPr>
        <w:t xml:space="preserve"> the number of</w:t>
      </w:r>
      <w:r w:rsidR="00DF1CBB">
        <w:rPr>
          <w:rFonts w:cs="Arial"/>
          <w:sz w:val="22"/>
          <w:szCs w:val="22"/>
          <w:shd w:val="clear" w:color="auto" w:fill="FFFFFF"/>
        </w:rPr>
        <w:t xml:space="preserve"> livelihoods supported and a high percent</w:t>
      </w:r>
      <w:r w:rsidR="00AC5F63">
        <w:rPr>
          <w:rFonts w:cs="Arial"/>
          <w:sz w:val="22"/>
          <w:szCs w:val="22"/>
          <w:shd w:val="clear" w:color="auto" w:fill="FFFFFF"/>
        </w:rPr>
        <w:t>age of those being women</w:t>
      </w:r>
      <w:r w:rsidR="00FD66FE">
        <w:rPr>
          <w:rFonts w:cs="Arial"/>
          <w:sz w:val="22"/>
          <w:szCs w:val="22"/>
          <w:shd w:val="clear" w:color="auto" w:fill="FFFFFF"/>
        </w:rPr>
        <w:t>.</w:t>
      </w:r>
    </w:p>
    <w:p w14:paraId="61932643" w14:textId="1F80DDD4" w:rsidR="000F5F51" w:rsidRPr="00AD3E2A" w:rsidRDefault="000F5F51" w:rsidP="006110D9">
      <w:pPr>
        <w:pStyle w:val="ListParagraph"/>
        <w:numPr>
          <w:ilvl w:val="0"/>
          <w:numId w:val="9"/>
        </w:numPr>
        <w:jc w:val="both"/>
        <w:rPr>
          <w:rFonts w:cs="Arial"/>
          <w:b/>
          <w:bCs/>
          <w:sz w:val="22"/>
          <w:szCs w:val="22"/>
        </w:rPr>
      </w:pPr>
      <w:r w:rsidRPr="00C778C3">
        <w:rPr>
          <w:rFonts w:cs="Arial"/>
          <w:b/>
          <w:bCs/>
          <w:sz w:val="22"/>
          <w:szCs w:val="22"/>
          <w:shd w:val="clear" w:color="auto" w:fill="FFFFFF"/>
        </w:rPr>
        <w:t>Contribution to climate change, adaptation and relevant SDGs</w:t>
      </w:r>
      <w:r w:rsidR="002025E4" w:rsidRPr="00C778C3">
        <w:rPr>
          <w:rFonts w:cs="Arial"/>
          <w:b/>
          <w:bCs/>
          <w:sz w:val="22"/>
          <w:szCs w:val="22"/>
          <w:shd w:val="clear" w:color="auto" w:fill="FFFFFF"/>
        </w:rPr>
        <w:t>,</w:t>
      </w:r>
      <w:r w:rsidR="00DC4835" w:rsidRPr="00C778C3">
        <w:rPr>
          <w:rFonts w:cs="Arial"/>
          <w:b/>
          <w:bCs/>
          <w:sz w:val="22"/>
          <w:szCs w:val="22"/>
          <w:shd w:val="clear" w:color="auto" w:fill="FFFFFF"/>
        </w:rPr>
        <w:t xml:space="preserve"> including life on land, climate action, poverty, hunger, and gender equity</w:t>
      </w:r>
      <w:r w:rsidR="002025E4" w:rsidRPr="00C778C3">
        <w:rPr>
          <w:rFonts w:cs="Arial"/>
          <w:b/>
          <w:bCs/>
          <w:sz w:val="22"/>
          <w:szCs w:val="22"/>
          <w:shd w:val="clear" w:color="auto" w:fill="FFFFFF"/>
        </w:rPr>
        <w:t xml:space="preserve"> (</w:t>
      </w:r>
      <w:r w:rsidR="00C83AD8" w:rsidRPr="00C778C3">
        <w:rPr>
          <w:rFonts w:cs="Arial"/>
          <w:b/>
          <w:bCs/>
          <w:sz w:val="22"/>
          <w:szCs w:val="22"/>
          <w:shd w:val="clear" w:color="auto" w:fill="FFFFFF"/>
        </w:rPr>
        <w:t xml:space="preserve">SDGs </w:t>
      </w:r>
      <w:r w:rsidR="002025E4" w:rsidRPr="00C778C3">
        <w:rPr>
          <w:rFonts w:cs="Arial"/>
          <w:b/>
          <w:bCs/>
          <w:sz w:val="22"/>
          <w:szCs w:val="22"/>
          <w:shd w:val="clear" w:color="auto" w:fill="FFFFFF"/>
        </w:rPr>
        <w:t xml:space="preserve">1, </w:t>
      </w:r>
      <w:r w:rsidR="00C83AD8" w:rsidRPr="00C778C3">
        <w:rPr>
          <w:rFonts w:cs="Arial"/>
          <w:b/>
          <w:bCs/>
          <w:sz w:val="22"/>
          <w:szCs w:val="22"/>
          <w:shd w:val="clear" w:color="auto" w:fill="FFFFFF"/>
        </w:rPr>
        <w:t>2</w:t>
      </w:r>
      <w:r w:rsidR="002025E4" w:rsidRPr="00C778C3">
        <w:rPr>
          <w:rFonts w:cs="Arial"/>
          <w:b/>
          <w:bCs/>
          <w:sz w:val="22"/>
          <w:szCs w:val="22"/>
          <w:shd w:val="clear" w:color="auto" w:fill="FFFFFF"/>
        </w:rPr>
        <w:t xml:space="preserve">, </w:t>
      </w:r>
      <w:r w:rsidR="00C83AD8" w:rsidRPr="00C778C3">
        <w:rPr>
          <w:rFonts w:cs="Arial"/>
          <w:b/>
          <w:bCs/>
          <w:sz w:val="22"/>
          <w:szCs w:val="22"/>
          <w:shd w:val="clear" w:color="auto" w:fill="FFFFFF"/>
        </w:rPr>
        <w:t>5, 13, 15)</w:t>
      </w:r>
      <w:r w:rsidR="00DC4835" w:rsidRPr="00C778C3">
        <w:rPr>
          <w:rFonts w:cs="Arial"/>
          <w:b/>
          <w:bCs/>
          <w:sz w:val="22"/>
          <w:szCs w:val="22"/>
          <w:shd w:val="clear" w:color="auto" w:fill="FFFFFF"/>
        </w:rPr>
        <w:t>.</w:t>
      </w:r>
      <w:r w:rsidRPr="00AD3E2A">
        <w:rPr>
          <w:rFonts w:cs="Arial"/>
          <w:sz w:val="22"/>
          <w:szCs w:val="22"/>
          <w:shd w:val="clear" w:color="auto" w:fill="FFFFFF"/>
        </w:rPr>
        <w:t xml:space="preserve"> </w:t>
      </w:r>
      <w:r w:rsidR="00975197">
        <w:rPr>
          <w:rFonts w:cs="Arial"/>
          <w:sz w:val="22"/>
          <w:szCs w:val="22"/>
          <w:shd w:val="clear" w:color="auto" w:fill="FFFFFF"/>
        </w:rPr>
        <w:t xml:space="preserve">Every project in the LDN portfolio is </w:t>
      </w:r>
      <w:r w:rsidR="00B82BF2">
        <w:rPr>
          <w:rFonts w:cs="Arial"/>
          <w:sz w:val="22"/>
          <w:szCs w:val="22"/>
          <w:shd w:val="clear" w:color="auto" w:fill="FFFFFF"/>
        </w:rPr>
        <w:t>different, and so their climate impact and the contributions they make to SDGs</w:t>
      </w:r>
      <w:r w:rsidR="00712937">
        <w:rPr>
          <w:rFonts w:cs="Arial"/>
          <w:sz w:val="22"/>
          <w:szCs w:val="22"/>
          <w:shd w:val="clear" w:color="auto" w:fill="FFFFFF"/>
        </w:rPr>
        <w:t xml:space="preserve"> varies and takes different forms. </w:t>
      </w:r>
      <w:proofErr w:type="gramStart"/>
      <w:r w:rsidR="00712937">
        <w:rPr>
          <w:rFonts w:cs="Arial"/>
          <w:sz w:val="22"/>
          <w:szCs w:val="22"/>
          <w:shd w:val="clear" w:color="auto" w:fill="FFFFFF"/>
        </w:rPr>
        <w:t>Overall</w:t>
      </w:r>
      <w:proofErr w:type="gramEnd"/>
      <w:r w:rsidR="00712937">
        <w:rPr>
          <w:rFonts w:cs="Arial"/>
          <w:sz w:val="22"/>
          <w:szCs w:val="22"/>
          <w:shd w:val="clear" w:color="auto" w:fill="FFFFFF"/>
        </w:rPr>
        <w:t xml:space="preserve"> it is clear</w:t>
      </w:r>
      <w:r w:rsidR="00136665">
        <w:rPr>
          <w:rFonts w:cs="Arial"/>
          <w:sz w:val="22"/>
          <w:szCs w:val="22"/>
          <w:shd w:val="clear" w:color="auto" w:fill="FFFFFF"/>
        </w:rPr>
        <w:t xml:space="preserve"> from the </w:t>
      </w:r>
      <w:r w:rsidR="008B71F8">
        <w:rPr>
          <w:rFonts w:cs="Arial"/>
          <w:sz w:val="22"/>
          <w:szCs w:val="22"/>
          <w:shd w:val="clear" w:color="auto" w:fill="FFFFFF"/>
        </w:rPr>
        <w:t xml:space="preserve">relevant </w:t>
      </w:r>
      <w:r w:rsidR="00136665">
        <w:rPr>
          <w:rFonts w:cs="Arial"/>
          <w:sz w:val="22"/>
          <w:szCs w:val="22"/>
          <w:shd w:val="clear" w:color="auto" w:fill="FFFFFF"/>
        </w:rPr>
        <w:t>outcome and output indicators</w:t>
      </w:r>
      <w:r w:rsidR="00712937">
        <w:rPr>
          <w:rFonts w:cs="Arial"/>
          <w:sz w:val="22"/>
          <w:szCs w:val="22"/>
          <w:shd w:val="clear" w:color="auto" w:fill="FFFFFF"/>
        </w:rPr>
        <w:t xml:space="preserve"> that </w:t>
      </w:r>
      <w:r w:rsidR="00013D4F">
        <w:rPr>
          <w:rFonts w:cs="Arial"/>
          <w:sz w:val="22"/>
          <w:szCs w:val="22"/>
          <w:shd w:val="clear" w:color="auto" w:fill="FFFFFF"/>
        </w:rPr>
        <w:t xml:space="preserve">the Fund is contributing to the storage of significant volumes of CO2, is bringing sustainable </w:t>
      </w:r>
      <w:r w:rsidR="008B71F8">
        <w:rPr>
          <w:rFonts w:cs="Arial"/>
          <w:sz w:val="22"/>
          <w:szCs w:val="22"/>
          <w:shd w:val="clear" w:color="auto" w:fill="FFFFFF"/>
        </w:rPr>
        <w:t xml:space="preserve">land </w:t>
      </w:r>
      <w:r w:rsidR="00013D4F">
        <w:rPr>
          <w:rFonts w:cs="Arial"/>
          <w:sz w:val="22"/>
          <w:szCs w:val="22"/>
          <w:shd w:val="clear" w:color="auto" w:fill="FFFFFF"/>
        </w:rPr>
        <w:t xml:space="preserve">management to </w:t>
      </w:r>
      <w:r w:rsidR="00CD003F">
        <w:rPr>
          <w:rFonts w:cs="Arial"/>
          <w:sz w:val="22"/>
          <w:szCs w:val="22"/>
          <w:shd w:val="clear" w:color="auto" w:fill="FFFFFF"/>
        </w:rPr>
        <w:t>large areas of land (improving climate adaptation in the process</w:t>
      </w:r>
      <w:proofErr w:type="gramStart"/>
      <w:r w:rsidR="00373412">
        <w:rPr>
          <w:rFonts w:cs="Arial"/>
          <w:sz w:val="22"/>
          <w:szCs w:val="22"/>
          <w:shd w:val="clear" w:color="auto" w:fill="FFFFFF"/>
        </w:rPr>
        <w:t>)</w:t>
      </w:r>
      <w:r w:rsidR="00CD003F">
        <w:rPr>
          <w:rFonts w:cs="Arial"/>
          <w:sz w:val="22"/>
          <w:szCs w:val="22"/>
          <w:shd w:val="clear" w:color="auto" w:fill="FFFFFF"/>
        </w:rPr>
        <w:t>, and</w:t>
      </w:r>
      <w:proofErr w:type="gramEnd"/>
      <w:r w:rsidR="00CD003F">
        <w:rPr>
          <w:rFonts w:cs="Arial"/>
          <w:sz w:val="22"/>
          <w:szCs w:val="22"/>
          <w:shd w:val="clear" w:color="auto" w:fill="FFFFFF"/>
        </w:rPr>
        <w:t xml:space="preserve"> is reducing poverty and gender equality through </w:t>
      </w:r>
      <w:r w:rsidR="00C778C3">
        <w:rPr>
          <w:rFonts w:cs="Arial"/>
          <w:sz w:val="22"/>
          <w:szCs w:val="22"/>
          <w:shd w:val="clear" w:color="auto" w:fill="FFFFFF"/>
        </w:rPr>
        <w:t>job creation and improved livelihoods.</w:t>
      </w:r>
    </w:p>
    <w:p w14:paraId="652FD338" w14:textId="225A072D" w:rsidR="000F5F51" w:rsidRPr="00AD3E2A" w:rsidRDefault="000F5F51" w:rsidP="006110D9">
      <w:pPr>
        <w:pStyle w:val="ListParagraph"/>
        <w:numPr>
          <w:ilvl w:val="0"/>
          <w:numId w:val="9"/>
        </w:numPr>
        <w:jc w:val="both"/>
        <w:rPr>
          <w:rFonts w:cs="Arial"/>
          <w:b/>
          <w:bCs/>
          <w:sz w:val="22"/>
          <w:szCs w:val="22"/>
        </w:rPr>
      </w:pPr>
      <w:r w:rsidRPr="00446CFF">
        <w:rPr>
          <w:rFonts w:cs="Arial"/>
          <w:b/>
          <w:bCs/>
          <w:sz w:val="22"/>
          <w:szCs w:val="22"/>
          <w:shd w:val="clear" w:color="auto" w:fill="FFFFFF"/>
        </w:rPr>
        <w:t xml:space="preserve">Wider progress towards Land Degradation Neutrality – this will be </w:t>
      </w:r>
      <w:r w:rsidR="439D52F8" w:rsidRPr="00446CFF">
        <w:rPr>
          <w:rFonts w:cs="Arial"/>
          <w:b/>
          <w:bCs/>
          <w:sz w:val="22"/>
          <w:szCs w:val="22"/>
          <w:shd w:val="clear" w:color="auto" w:fill="FFFFFF"/>
        </w:rPr>
        <w:t xml:space="preserve">the </w:t>
      </w:r>
      <w:r w:rsidRPr="00446CFF">
        <w:rPr>
          <w:rFonts w:cs="Arial"/>
          <w:b/>
          <w:bCs/>
          <w:sz w:val="22"/>
          <w:szCs w:val="22"/>
          <w:shd w:val="clear" w:color="auto" w:fill="FFFFFF"/>
        </w:rPr>
        <w:t>difference between land degradation levels from Year 0 of project, measured in hectares.</w:t>
      </w:r>
      <w:r w:rsidR="36F0400A" w:rsidRPr="00AD3E2A">
        <w:rPr>
          <w:rFonts w:cs="Arial"/>
          <w:sz w:val="22"/>
          <w:szCs w:val="22"/>
          <w:shd w:val="clear" w:color="auto" w:fill="FFFFFF"/>
        </w:rPr>
        <w:t xml:space="preserve"> </w:t>
      </w:r>
      <w:r w:rsidR="36F0400A" w:rsidRPr="6CD4CDC1">
        <w:rPr>
          <w:rFonts w:cs="Arial"/>
          <w:sz w:val="22"/>
          <w:szCs w:val="22"/>
        </w:rPr>
        <w:t>Th</w:t>
      </w:r>
      <w:r w:rsidR="00446CFF">
        <w:rPr>
          <w:rFonts w:cs="Arial"/>
          <w:sz w:val="22"/>
          <w:szCs w:val="22"/>
        </w:rPr>
        <w:t>e are</w:t>
      </w:r>
      <w:r w:rsidR="00504A9E">
        <w:rPr>
          <w:rFonts w:cs="Arial"/>
          <w:sz w:val="22"/>
          <w:szCs w:val="22"/>
        </w:rPr>
        <w:t>a</w:t>
      </w:r>
      <w:r w:rsidR="00446CFF">
        <w:rPr>
          <w:rFonts w:cs="Arial"/>
          <w:sz w:val="22"/>
          <w:szCs w:val="22"/>
        </w:rPr>
        <w:t xml:space="preserve"> of land </w:t>
      </w:r>
      <w:r w:rsidR="00ED1E5F">
        <w:rPr>
          <w:rFonts w:cs="Arial"/>
          <w:sz w:val="22"/>
          <w:szCs w:val="22"/>
        </w:rPr>
        <w:t>under management/being restored has risen to 150,000 ha in 2024</w:t>
      </w:r>
      <w:r w:rsidR="00504A9E">
        <w:rPr>
          <w:rFonts w:cs="Arial"/>
          <w:sz w:val="22"/>
          <w:szCs w:val="22"/>
        </w:rPr>
        <w:t>, a significant result. However, this is 30,000 ha below the original target, and the ex</w:t>
      </w:r>
      <w:r w:rsidR="00984468">
        <w:rPr>
          <w:rFonts w:cs="Arial"/>
          <w:sz w:val="22"/>
          <w:szCs w:val="22"/>
        </w:rPr>
        <w:t xml:space="preserve">tent of restoration on that land is still unknown without </w:t>
      </w:r>
      <w:r w:rsidR="00495685">
        <w:rPr>
          <w:rFonts w:cs="Arial"/>
          <w:sz w:val="22"/>
          <w:szCs w:val="22"/>
        </w:rPr>
        <w:t xml:space="preserve">either advanced spatial monitoring </w:t>
      </w:r>
      <w:r w:rsidR="00215466">
        <w:rPr>
          <w:rFonts w:cs="Arial"/>
          <w:sz w:val="22"/>
          <w:szCs w:val="22"/>
        </w:rPr>
        <w:t>for detailed assessment of vegetation change</w:t>
      </w:r>
      <w:r w:rsidR="00390789">
        <w:rPr>
          <w:rFonts w:cs="Arial"/>
          <w:sz w:val="22"/>
          <w:szCs w:val="22"/>
        </w:rPr>
        <w:t>,</w:t>
      </w:r>
      <w:r w:rsidR="00215466">
        <w:rPr>
          <w:rFonts w:cs="Arial"/>
          <w:sz w:val="22"/>
          <w:szCs w:val="22"/>
        </w:rPr>
        <w:t xml:space="preserve"> </w:t>
      </w:r>
      <w:r w:rsidR="00390789">
        <w:rPr>
          <w:rFonts w:cs="Arial"/>
          <w:sz w:val="22"/>
          <w:szCs w:val="22"/>
        </w:rPr>
        <w:t>and/</w:t>
      </w:r>
      <w:r w:rsidR="00495685">
        <w:rPr>
          <w:rFonts w:cs="Arial"/>
          <w:sz w:val="22"/>
          <w:szCs w:val="22"/>
        </w:rPr>
        <w:t xml:space="preserve">or </w:t>
      </w:r>
      <w:r w:rsidR="00A8611D">
        <w:rPr>
          <w:rFonts w:cs="Arial"/>
          <w:sz w:val="22"/>
          <w:szCs w:val="22"/>
        </w:rPr>
        <w:t>on-the-ground</w:t>
      </w:r>
      <w:r w:rsidR="00984468">
        <w:rPr>
          <w:rFonts w:cs="Arial"/>
          <w:sz w:val="22"/>
          <w:szCs w:val="22"/>
        </w:rPr>
        <w:t xml:space="preserve"> testing of soils and biodiversity </w:t>
      </w:r>
      <w:r w:rsidR="00A8611D">
        <w:rPr>
          <w:rFonts w:cs="Arial"/>
          <w:sz w:val="22"/>
          <w:szCs w:val="22"/>
        </w:rPr>
        <w:t>monitoring</w:t>
      </w:r>
      <w:r w:rsidR="00FE0FF1">
        <w:rPr>
          <w:rFonts w:cs="Arial"/>
          <w:sz w:val="22"/>
          <w:szCs w:val="22"/>
        </w:rPr>
        <w:t>, and clear baselines from before the intervention began</w:t>
      </w:r>
      <w:r w:rsidR="00984468">
        <w:rPr>
          <w:rFonts w:cs="Arial"/>
          <w:sz w:val="22"/>
          <w:szCs w:val="22"/>
        </w:rPr>
        <w:t>.</w:t>
      </w:r>
      <w:r w:rsidR="00D505CA">
        <w:rPr>
          <w:rFonts w:cs="Arial"/>
          <w:sz w:val="22"/>
          <w:szCs w:val="22"/>
        </w:rPr>
        <w:t xml:space="preserve"> </w:t>
      </w:r>
      <w:r w:rsidR="00D505CA" w:rsidRPr="00377B54">
        <w:rPr>
          <w:rFonts w:cs="Arial"/>
          <w:sz w:val="22"/>
          <w:szCs w:val="22"/>
        </w:rPr>
        <w:t xml:space="preserve">Mirova </w:t>
      </w:r>
      <w:r w:rsidR="00CA01FE" w:rsidRPr="00377B54">
        <w:rPr>
          <w:rFonts w:cs="Arial"/>
          <w:sz w:val="22"/>
          <w:szCs w:val="22"/>
        </w:rPr>
        <w:t>carry out more detailed monitoring</w:t>
      </w:r>
      <w:r w:rsidR="00CB704C" w:rsidRPr="00377B54">
        <w:rPr>
          <w:rFonts w:cs="Arial"/>
          <w:sz w:val="22"/>
          <w:szCs w:val="22"/>
        </w:rPr>
        <w:t xml:space="preserve"> of restoration and climate benefits</w:t>
      </w:r>
      <w:r w:rsidR="00800E60" w:rsidRPr="00377B54">
        <w:rPr>
          <w:rFonts w:cs="Arial"/>
          <w:sz w:val="22"/>
          <w:szCs w:val="22"/>
        </w:rPr>
        <w:t xml:space="preserve"> for impact assurance, but this </w:t>
      </w:r>
      <w:proofErr w:type="gramStart"/>
      <w:r w:rsidR="00800E60" w:rsidRPr="00377B54">
        <w:rPr>
          <w:rFonts w:cs="Arial"/>
          <w:sz w:val="22"/>
          <w:szCs w:val="22"/>
        </w:rPr>
        <w:t>higher level</w:t>
      </w:r>
      <w:proofErr w:type="gramEnd"/>
      <w:r w:rsidR="00800E60" w:rsidRPr="00377B54">
        <w:rPr>
          <w:rFonts w:cs="Arial"/>
          <w:sz w:val="22"/>
          <w:szCs w:val="22"/>
        </w:rPr>
        <w:t xml:space="preserve"> monitoring is not currently made public.</w:t>
      </w:r>
    </w:p>
    <w:p w14:paraId="5BEE9C58" w14:textId="3CB4476E" w:rsidR="00036C9D" w:rsidRPr="0043137F" w:rsidRDefault="000F5F51" w:rsidP="006110D9">
      <w:pPr>
        <w:pStyle w:val="ListParagraph"/>
        <w:numPr>
          <w:ilvl w:val="0"/>
          <w:numId w:val="9"/>
        </w:numPr>
        <w:jc w:val="both"/>
        <w:rPr>
          <w:rFonts w:cs="Arial"/>
          <w:b/>
          <w:bCs/>
          <w:sz w:val="22"/>
          <w:szCs w:val="22"/>
        </w:rPr>
      </w:pPr>
      <w:r w:rsidRPr="00154C44">
        <w:rPr>
          <w:rFonts w:cs="Arial"/>
          <w:b/>
          <w:bCs/>
          <w:sz w:val="22"/>
          <w:szCs w:val="22"/>
          <w:shd w:val="clear" w:color="auto" w:fill="FFFFFF"/>
        </w:rPr>
        <w:t xml:space="preserve">Level of market-level private investment in </w:t>
      </w:r>
      <w:r w:rsidR="61027B23" w:rsidRPr="00154C44">
        <w:rPr>
          <w:rFonts w:cs="Arial"/>
          <w:b/>
          <w:bCs/>
          <w:sz w:val="22"/>
          <w:szCs w:val="22"/>
          <w:shd w:val="clear" w:color="auto" w:fill="FFFFFF"/>
        </w:rPr>
        <w:t>SLM</w:t>
      </w:r>
      <w:r w:rsidRPr="00154C44">
        <w:rPr>
          <w:rFonts w:cs="Arial"/>
          <w:b/>
          <w:bCs/>
          <w:sz w:val="22"/>
          <w:szCs w:val="22"/>
          <w:shd w:val="clear" w:color="auto" w:fill="FFFFFF"/>
        </w:rPr>
        <w:t xml:space="preserve"> – this will be a cumulative result, measured in </w:t>
      </w:r>
      <w:r w:rsidR="00BF00B1">
        <w:rPr>
          <w:rFonts w:cs="Arial"/>
          <w:b/>
          <w:bCs/>
          <w:sz w:val="22"/>
          <w:szCs w:val="22"/>
          <w:shd w:val="clear" w:color="auto" w:fill="FFFFFF"/>
        </w:rPr>
        <w:t>US dollars</w:t>
      </w:r>
      <w:r w:rsidRPr="00AD3E2A">
        <w:rPr>
          <w:rFonts w:cs="Arial"/>
          <w:sz w:val="22"/>
          <w:szCs w:val="22"/>
          <w:shd w:val="clear" w:color="auto" w:fill="FFFFFF"/>
        </w:rPr>
        <w:t>.</w:t>
      </w:r>
      <w:r w:rsidR="00BF00B1">
        <w:rPr>
          <w:rFonts w:cs="Arial"/>
          <w:sz w:val="22"/>
          <w:szCs w:val="22"/>
        </w:rPr>
        <w:t xml:space="preserve"> </w:t>
      </w:r>
      <w:r w:rsidR="00073DB9">
        <w:rPr>
          <w:rFonts w:cs="Arial"/>
          <w:sz w:val="22"/>
          <w:szCs w:val="22"/>
        </w:rPr>
        <w:t xml:space="preserve">The Fund has raised $128 million in private investment into the Fund, as well as </w:t>
      </w:r>
      <w:r w:rsidR="00834A9B">
        <w:rPr>
          <w:rFonts w:cs="Arial"/>
          <w:sz w:val="22"/>
          <w:szCs w:val="22"/>
        </w:rPr>
        <w:t>a further $216 million of co-investment in specific projects</w:t>
      </w:r>
      <w:r w:rsidR="00F46DD2">
        <w:rPr>
          <w:rFonts w:cs="Arial"/>
          <w:sz w:val="22"/>
          <w:szCs w:val="22"/>
        </w:rPr>
        <w:t xml:space="preserve">. Co-investment is </w:t>
      </w:r>
      <w:r w:rsidR="00C03404">
        <w:rPr>
          <w:rFonts w:cs="Arial"/>
          <w:sz w:val="22"/>
          <w:szCs w:val="22"/>
        </w:rPr>
        <w:t xml:space="preserve">when other Funds or investors invest directly </w:t>
      </w:r>
      <w:r w:rsidR="00787C33">
        <w:rPr>
          <w:rFonts w:cs="Arial"/>
          <w:sz w:val="22"/>
          <w:szCs w:val="22"/>
        </w:rPr>
        <w:t>into a project alongside LDN; part of LDN’s support role for the</w:t>
      </w:r>
      <w:r w:rsidR="002B2B3D">
        <w:rPr>
          <w:rFonts w:cs="Arial"/>
          <w:sz w:val="22"/>
          <w:szCs w:val="22"/>
        </w:rPr>
        <w:t>ir</w:t>
      </w:r>
      <w:r w:rsidR="00787C33">
        <w:rPr>
          <w:rFonts w:cs="Arial"/>
          <w:sz w:val="22"/>
          <w:szCs w:val="22"/>
        </w:rPr>
        <w:t xml:space="preserve"> projects is to help raise </w:t>
      </w:r>
      <w:r w:rsidR="002B2B3D">
        <w:rPr>
          <w:rFonts w:cs="Arial"/>
          <w:sz w:val="22"/>
          <w:szCs w:val="22"/>
        </w:rPr>
        <w:t xml:space="preserve">this type of </w:t>
      </w:r>
      <w:r w:rsidR="00787C33">
        <w:rPr>
          <w:rFonts w:cs="Arial"/>
          <w:sz w:val="22"/>
          <w:szCs w:val="22"/>
        </w:rPr>
        <w:t>co-investment</w:t>
      </w:r>
      <w:r w:rsidR="00277820">
        <w:rPr>
          <w:rFonts w:cs="Arial"/>
          <w:sz w:val="22"/>
          <w:szCs w:val="22"/>
        </w:rPr>
        <w:t xml:space="preserve">. </w:t>
      </w:r>
      <w:r w:rsidR="00DA1610">
        <w:rPr>
          <w:rFonts w:cs="Arial"/>
          <w:sz w:val="22"/>
          <w:szCs w:val="22"/>
        </w:rPr>
        <w:t xml:space="preserve">This represents a multiplying effect of </w:t>
      </w:r>
      <w:r w:rsidR="007A3908">
        <w:rPr>
          <w:rFonts w:cs="Arial"/>
          <w:sz w:val="22"/>
          <w:szCs w:val="22"/>
        </w:rPr>
        <w:t xml:space="preserve">over </w:t>
      </w:r>
      <w:r w:rsidR="00DB0DF1">
        <w:rPr>
          <w:rFonts w:cs="Arial"/>
          <w:sz w:val="22"/>
          <w:szCs w:val="22"/>
        </w:rPr>
        <w:t>4x for public investment</w:t>
      </w:r>
      <w:r w:rsidR="00F31181">
        <w:rPr>
          <w:rFonts w:cs="Arial"/>
          <w:sz w:val="22"/>
          <w:szCs w:val="22"/>
        </w:rPr>
        <w:t xml:space="preserve"> in the fund</w:t>
      </w:r>
      <w:r w:rsidR="00DB0DF1">
        <w:rPr>
          <w:rFonts w:cs="Arial"/>
          <w:sz w:val="22"/>
          <w:szCs w:val="22"/>
        </w:rPr>
        <w:t>, and 8x for junior investment</w:t>
      </w:r>
      <w:r w:rsidR="749AAC26" w:rsidRPr="6CD4CDC1">
        <w:rPr>
          <w:rFonts w:cs="Arial"/>
          <w:sz w:val="22"/>
          <w:szCs w:val="22"/>
        </w:rPr>
        <w:t>.</w:t>
      </w:r>
    </w:p>
    <w:p w14:paraId="2C7A631A" w14:textId="753332C9" w:rsidR="000F5F51" w:rsidRPr="00EF0AED" w:rsidRDefault="00E25C08" w:rsidP="006110D9">
      <w:pPr>
        <w:spacing w:after="120"/>
        <w:jc w:val="both"/>
        <w:rPr>
          <w:rFonts w:eastAsia="Calibri"/>
          <w:sz w:val="22"/>
          <w:szCs w:val="22"/>
        </w:rPr>
      </w:pPr>
      <w:r>
        <w:rPr>
          <w:rFonts w:eastAsia="Calibri"/>
          <w:b/>
          <w:bCs/>
          <w:sz w:val="22"/>
          <w:szCs w:val="22"/>
        </w:rPr>
        <w:t xml:space="preserve">Table 1: </w:t>
      </w:r>
      <w:r w:rsidR="000F5F51" w:rsidRPr="60E67443">
        <w:rPr>
          <w:rFonts w:eastAsia="Calibri"/>
          <w:b/>
          <w:bCs/>
          <w:sz w:val="22"/>
          <w:szCs w:val="22"/>
        </w:rPr>
        <w:t>Annual outcome assessment</w:t>
      </w:r>
    </w:p>
    <w:tbl>
      <w:tblPr>
        <w:tblStyle w:val="TableGrid"/>
        <w:tblW w:w="10002" w:type="dxa"/>
        <w:tblInd w:w="-572" w:type="dxa"/>
        <w:tblLayout w:type="fixed"/>
        <w:tblLook w:val="06A0" w:firstRow="1" w:lastRow="0" w:firstColumn="1" w:lastColumn="0" w:noHBand="1" w:noVBand="1"/>
      </w:tblPr>
      <w:tblGrid>
        <w:gridCol w:w="3432"/>
        <w:gridCol w:w="1386"/>
        <w:gridCol w:w="1458"/>
        <w:gridCol w:w="1409"/>
        <w:gridCol w:w="2317"/>
      </w:tblGrid>
      <w:tr w:rsidR="008E7CAF" w:rsidRPr="006565E7" w14:paraId="2CD60893" w14:textId="77777777" w:rsidTr="00EC4E49">
        <w:trPr>
          <w:trHeight w:val="118"/>
        </w:trPr>
        <w:tc>
          <w:tcPr>
            <w:tcW w:w="3432" w:type="dxa"/>
          </w:tcPr>
          <w:p w14:paraId="6A61B67C" w14:textId="77777777" w:rsidR="008E7CAF" w:rsidRPr="006565E7" w:rsidRDefault="008E7CAF" w:rsidP="000C1A3F">
            <w:pPr>
              <w:rPr>
                <w:rFonts w:cs="Arial"/>
                <w:b/>
                <w:bCs/>
                <w:sz w:val="20"/>
                <w:szCs w:val="20"/>
              </w:rPr>
            </w:pPr>
            <w:r w:rsidRPr="006565E7">
              <w:rPr>
                <w:rFonts w:cs="Arial"/>
                <w:b/>
                <w:bCs/>
                <w:sz w:val="20"/>
                <w:szCs w:val="20"/>
              </w:rPr>
              <w:t>Outcome Indicator</w:t>
            </w:r>
          </w:p>
          <w:p w14:paraId="6E38B742" w14:textId="6E4170F1" w:rsidR="007B3CD4" w:rsidRPr="006565E7" w:rsidRDefault="007B3CD4" w:rsidP="000C1A3F">
            <w:pPr>
              <w:rPr>
                <w:rFonts w:cs="Arial"/>
                <w:b/>
                <w:bCs/>
                <w:sz w:val="20"/>
                <w:szCs w:val="20"/>
              </w:rPr>
            </w:pPr>
            <w:r w:rsidRPr="006565E7">
              <w:rPr>
                <w:rFonts w:cs="Arial"/>
                <w:b/>
                <w:bCs/>
                <w:sz w:val="20"/>
                <w:szCs w:val="20"/>
              </w:rPr>
              <w:t>(all results are fund-level except Defra attribution)</w:t>
            </w:r>
          </w:p>
        </w:tc>
        <w:tc>
          <w:tcPr>
            <w:tcW w:w="1386" w:type="dxa"/>
          </w:tcPr>
          <w:p w14:paraId="55C7A0EE" w14:textId="26CC01B5" w:rsidR="008E7CAF" w:rsidRPr="006565E7" w:rsidRDefault="008E7CAF" w:rsidP="000C1A3F">
            <w:pPr>
              <w:rPr>
                <w:rFonts w:cs="Arial"/>
                <w:b/>
                <w:bCs/>
                <w:sz w:val="20"/>
                <w:szCs w:val="20"/>
              </w:rPr>
            </w:pPr>
            <w:r w:rsidRPr="006565E7">
              <w:rPr>
                <w:rFonts w:cs="Arial"/>
                <w:b/>
                <w:bCs/>
                <w:sz w:val="20"/>
                <w:szCs w:val="20"/>
              </w:rPr>
              <w:t>202</w:t>
            </w:r>
            <w:r w:rsidR="00660331" w:rsidRPr="006565E7">
              <w:rPr>
                <w:rFonts w:cs="Arial"/>
                <w:b/>
                <w:bCs/>
                <w:sz w:val="20"/>
                <w:szCs w:val="20"/>
              </w:rPr>
              <w:t>4 in-year</w:t>
            </w:r>
            <w:r w:rsidR="00D93913" w:rsidRPr="006565E7">
              <w:rPr>
                <w:rFonts w:cs="Arial"/>
                <w:b/>
                <w:bCs/>
                <w:sz w:val="20"/>
                <w:szCs w:val="20"/>
              </w:rPr>
              <w:t xml:space="preserve"> results</w:t>
            </w:r>
          </w:p>
        </w:tc>
        <w:tc>
          <w:tcPr>
            <w:tcW w:w="1458" w:type="dxa"/>
          </w:tcPr>
          <w:p w14:paraId="7D1D6D05" w14:textId="206130DA" w:rsidR="008E7CAF" w:rsidRPr="006565E7" w:rsidRDefault="008E7CAF" w:rsidP="000C1A3F">
            <w:pPr>
              <w:rPr>
                <w:rFonts w:cs="Arial"/>
                <w:b/>
                <w:bCs/>
                <w:sz w:val="20"/>
                <w:szCs w:val="20"/>
              </w:rPr>
            </w:pPr>
            <w:r w:rsidRPr="006565E7">
              <w:rPr>
                <w:rFonts w:cs="Arial"/>
                <w:b/>
                <w:bCs/>
                <w:sz w:val="20"/>
                <w:szCs w:val="20"/>
              </w:rPr>
              <w:t>202</w:t>
            </w:r>
            <w:r w:rsidR="00660331" w:rsidRPr="006565E7">
              <w:rPr>
                <w:rFonts w:cs="Arial"/>
                <w:b/>
                <w:bCs/>
                <w:sz w:val="20"/>
                <w:szCs w:val="20"/>
              </w:rPr>
              <w:t>4</w:t>
            </w:r>
            <w:r w:rsidRPr="006565E7">
              <w:rPr>
                <w:rFonts w:cs="Arial"/>
                <w:b/>
                <w:bCs/>
                <w:sz w:val="20"/>
                <w:szCs w:val="20"/>
              </w:rPr>
              <w:t xml:space="preserve"> targets</w:t>
            </w:r>
            <w:r w:rsidR="006D1F40" w:rsidRPr="006565E7">
              <w:rPr>
                <w:rFonts w:cs="Arial"/>
                <w:b/>
                <w:bCs/>
                <w:sz w:val="20"/>
                <w:szCs w:val="20"/>
              </w:rPr>
              <w:t xml:space="preserve"> (</w:t>
            </w:r>
            <w:r w:rsidR="00D93913" w:rsidRPr="006565E7">
              <w:rPr>
                <w:rFonts w:cs="Arial"/>
                <w:b/>
                <w:bCs/>
                <w:sz w:val="20"/>
                <w:szCs w:val="20"/>
              </w:rPr>
              <w:t>cumulative</w:t>
            </w:r>
            <w:r w:rsidR="006D1F40" w:rsidRPr="006565E7">
              <w:rPr>
                <w:rFonts w:cs="Arial"/>
                <w:b/>
                <w:bCs/>
                <w:sz w:val="20"/>
                <w:szCs w:val="20"/>
              </w:rPr>
              <w:t>)</w:t>
            </w:r>
          </w:p>
        </w:tc>
        <w:tc>
          <w:tcPr>
            <w:tcW w:w="1409" w:type="dxa"/>
          </w:tcPr>
          <w:p w14:paraId="5C23330E" w14:textId="64EBAAEC" w:rsidR="008E7CAF" w:rsidRPr="006565E7" w:rsidRDefault="008E7CAF" w:rsidP="000C1A3F">
            <w:pPr>
              <w:rPr>
                <w:rFonts w:cs="Arial"/>
                <w:b/>
                <w:bCs/>
                <w:sz w:val="20"/>
                <w:szCs w:val="20"/>
              </w:rPr>
            </w:pPr>
            <w:r w:rsidRPr="006565E7">
              <w:rPr>
                <w:rFonts w:cs="Arial"/>
                <w:b/>
                <w:bCs/>
                <w:sz w:val="20"/>
                <w:szCs w:val="20"/>
              </w:rPr>
              <w:t>202</w:t>
            </w:r>
            <w:r w:rsidR="006D1F40" w:rsidRPr="006565E7">
              <w:rPr>
                <w:rFonts w:cs="Arial"/>
                <w:b/>
                <w:bCs/>
                <w:sz w:val="20"/>
                <w:szCs w:val="20"/>
              </w:rPr>
              <w:t>4 results</w:t>
            </w:r>
            <w:r w:rsidRPr="006565E7">
              <w:rPr>
                <w:rFonts w:cs="Arial"/>
                <w:b/>
                <w:bCs/>
                <w:sz w:val="20"/>
                <w:szCs w:val="20"/>
              </w:rPr>
              <w:t xml:space="preserve"> (</w:t>
            </w:r>
            <w:r w:rsidR="00D93913" w:rsidRPr="006565E7">
              <w:rPr>
                <w:rFonts w:cs="Arial"/>
                <w:b/>
                <w:bCs/>
                <w:sz w:val="20"/>
                <w:szCs w:val="20"/>
              </w:rPr>
              <w:t>cumulative</w:t>
            </w:r>
            <w:r w:rsidRPr="006565E7">
              <w:rPr>
                <w:rFonts w:cs="Arial"/>
                <w:b/>
                <w:bCs/>
                <w:sz w:val="20"/>
                <w:szCs w:val="20"/>
              </w:rPr>
              <w:t>)</w:t>
            </w:r>
          </w:p>
        </w:tc>
        <w:tc>
          <w:tcPr>
            <w:tcW w:w="2317" w:type="dxa"/>
          </w:tcPr>
          <w:p w14:paraId="7809D8FB" w14:textId="2812872F" w:rsidR="008E7CAF" w:rsidRPr="006565E7" w:rsidRDefault="008E7CAF" w:rsidP="000C1A3F">
            <w:pPr>
              <w:rPr>
                <w:rFonts w:cs="Arial"/>
                <w:b/>
                <w:bCs/>
                <w:sz w:val="20"/>
                <w:szCs w:val="20"/>
              </w:rPr>
            </w:pPr>
            <w:r w:rsidRPr="006565E7">
              <w:rPr>
                <w:rFonts w:cs="Arial"/>
                <w:b/>
                <w:bCs/>
                <w:sz w:val="20"/>
                <w:szCs w:val="20"/>
              </w:rPr>
              <w:t>Defra attribution</w:t>
            </w:r>
            <w:r w:rsidR="00D93913" w:rsidRPr="006565E7">
              <w:rPr>
                <w:rFonts w:cs="Arial"/>
                <w:b/>
                <w:bCs/>
                <w:sz w:val="20"/>
                <w:szCs w:val="20"/>
              </w:rPr>
              <w:t xml:space="preserve"> (cumulative)</w:t>
            </w:r>
          </w:p>
        </w:tc>
      </w:tr>
      <w:tr w:rsidR="006C60A5" w:rsidRPr="006565E7" w14:paraId="47AE3480" w14:textId="77777777" w:rsidTr="00EC4E49">
        <w:trPr>
          <w:trHeight w:val="118"/>
        </w:trPr>
        <w:tc>
          <w:tcPr>
            <w:tcW w:w="3432" w:type="dxa"/>
            <w:vAlign w:val="center"/>
          </w:tcPr>
          <w:p w14:paraId="2A13BEC1" w14:textId="77880FD8" w:rsidR="008E7CAF" w:rsidRPr="006565E7" w:rsidRDefault="008E7CAF" w:rsidP="006110D9">
            <w:pPr>
              <w:jc w:val="both"/>
              <w:rPr>
                <w:rFonts w:eastAsiaTheme="minorEastAsia" w:cs="Arial"/>
                <w:sz w:val="20"/>
                <w:szCs w:val="20"/>
              </w:rPr>
            </w:pPr>
            <w:r w:rsidRPr="006565E7">
              <w:rPr>
                <w:rFonts w:cs="Arial"/>
                <w:sz w:val="20"/>
                <w:szCs w:val="20"/>
              </w:rPr>
              <w:t>1. Area of reforestation (ha)</w:t>
            </w:r>
          </w:p>
        </w:tc>
        <w:tc>
          <w:tcPr>
            <w:tcW w:w="1386" w:type="dxa"/>
            <w:vAlign w:val="center"/>
          </w:tcPr>
          <w:p w14:paraId="595F2EA7" w14:textId="7161F769" w:rsidR="008E7CAF" w:rsidRPr="006565E7" w:rsidRDefault="00473F57" w:rsidP="006110D9">
            <w:pPr>
              <w:jc w:val="both"/>
              <w:rPr>
                <w:rFonts w:cs="Arial"/>
                <w:sz w:val="20"/>
                <w:szCs w:val="20"/>
              </w:rPr>
            </w:pPr>
            <w:r w:rsidRPr="006565E7">
              <w:rPr>
                <w:rFonts w:cs="Arial"/>
                <w:sz w:val="20"/>
                <w:szCs w:val="20"/>
              </w:rPr>
              <w:t>9,768</w:t>
            </w:r>
          </w:p>
        </w:tc>
        <w:tc>
          <w:tcPr>
            <w:tcW w:w="1458" w:type="dxa"/>
            <w:vAlign w:val="center"/>
          </w:tcPr>
          <w:p w14:paraId="3A6FBA31" w14:textId="7C72958D" w:rsidR="008E7CAF" w:rsidRPr="006565E7" w:rsidRDefault="00E721A5" w:rsidP="006110D9">
            <w:pPr>
              <w:jc w:val="both"/>
              <w:rPr>
                <w:rFonts w:eastAsia="Arial" w:cs="Arial"/>
                <w:sz w:val="20"/>
                <w:szCs w:val="20"/>
              </w:rPr>
            </w:pPr>
            <w:r w:rsidRPr="006565E7">
              <w:rPr>
                <w:rFonts w:eastAsia="Arial" w:cs="Arial"/>
                <w:sz w:val="20"/>
                <w:szCs w:val="20"/>
              </w:rPr>
              <w:t>90,000</w:t>
            </w:r>
          </w:p>
        </w:tc>
        <w:tc>
          <w:tcPr>
            <w:tcW w:w="1409" w:type="dxa"/>
            <w:shd w:val="clear" w:color="auto" w:fill="FF5050"/>
            <w:vAlign w:val="center"/>
          </w:tcPr>
          <w:p w14:paraId="0602B03F" w14:textId="79C4BD10" w:rsidR="008E7CAF" w:rsidRPr="006565E7" w:rsidRDefault="00DB36D9" w:rsidP="006110D9">
            <w:pPr>
              <w:jc w:val="both"/>
              <w:rPr>
                <w:rFonts w:eastAsia="Arial" w:cs="Arial"/>
                <w:sz w:val="20"/>
                <w:szCs w:val="20"/>
              </w:rPr>
            </w:pPr>
            <w:r w:rsidRPr="006565E7">
              <w:rPr>
                <w:rFonts w:eastAsia="Arial" w:cs="Arial"/>
                <w:sz w:val="20"/>
                <w:szCs w:val="20"/>
              </w:rPr>
              <w:t>7</w:t>
            </w:r>
            <w:r w:rsidR="00180B57" w:rsidRPr="006565E7">
              <w:rPr>
                <w:rFonts w:eastAsia="Arial" w:cs="Arial"/>
                <w:sz w:val="20"/>
                <w:szCs w:val="20"/>
              </w:rPr>
              <w:t>5,560</w:t>
            </w:r>
          </w:p>
        </w:tc>
        <w:tc>
          <w:tcPr>
            <w:tcW w:w="2317" w:type="dxa"/>
            <w:shd w:val="clear" w:color="auto" w:fill="FFFFFF" w:themeFill="background1"/>
            <w:vAlign w:val="center"/>
          </w:tcPr>
          <w:p w14:paraId="5B8A7357" w14:textId="15A1B19F" w:rsidR="008E7CAF" w:rsidRPr="006565E7" w:rsidRDefault="008E7CAF" w:rsidP="006110D9">
            <w:pPr>
              <w:jc w:val="both"/>
              <w:rPr>
                <w:rFonts w:cs="Arial"/>
                <w:color w:val="000000"/>
                <w:sz w:val="20"/>
                <w:szCs w:val="20"/>
              </w:rPr>
            </w:pPr>
            <w:r w:rsidRPr="006565E7">
              <w:rPr>
                <w:rFonts w:cs="Arial"/>
                <w:color w:val="000000"/>
                <w:sz w:val="20"/>
                <w:szCs w:val="20"/>
              </w:rPr>
              <w:t xml:space="preserve">Direct: </w:t>
            </w:r>
            <w:r w:rsidR="005F1945" w:rsidRPr="006565E7">
              <w:rPr>
                <w:rFonts w:cs="Arial"/>
                <w:color w:val="000000"/>
                <w:sz w:val="20"/>
                <w:szCs w:val="20"/>
              </w:rPr>
              <w:t>5,738</w:t>
            </w:r>
          </w:p>
          <w:p w14:paraId="32B87629" w14:textId="54FACAAA" w:rsidR="008E7CAF" w:rsidRPr="006565E7" w:rsidRDefault="008E7CAF" w:rsidP="006110D9">
            <w:pPr>
              <w:jc w:val="both"/>
              <w:rPr>
                <w:rFonts w:eastAsia="Arial" w:cs="Arial"/>
                <w:color w:val="000000" w:themeColor="text1"/>
                <w:sz w:val="20"/>
                <w:szCs w:val="20"/>
              </w:rPr>
            </w:pPr>
            <w:r w:rsidRPr="006565E7">
              <w:rPr>
                <w:rFonts w:cs="Arial"/>
                <w:color w:val="000000"/>
                <w:sz w:val="20"/>
                <w:szCs w:val="20"/>
              </w:rPr>
              <w:t xml:space="preserve">Leveraged: </w:t>
            </w:r>
            <w:r w:rsidR="00A30B81" w:rsidRPr="006565E7">
              <w:rPr>
                <w:rFonts w:cs="Arial"/>
                <w:color w:val="000000"/>
                <w:sz w:val="20"/>
                <w:szCs w:val="20"/>
              </w:rPr>
              <w:t>4,097</w:t>
            </w:r>
          </w:p>
        </w:tc>
      </w:tr>
      <w:tr w:rsidR="006C60A5" w:rsidRPr="006565E7" w14:paraId="0FB8742B" w14:textId="77777777" w:rsidTr="00EC4E49">
        <w:trPr>
          <w:trHeight w:val="118"/>
        </w:trPr>
        <w:tc>
          <w:tcPr>
            <w:tcW w:w="3432" w:type="dxa"/>
            <w:vAlign w:val="center"/>
          </w:tcPr>
          <w:p w14:paraId="0120F9AE" w14:textId="7C6CE443" w:rsidR="008E7CAF" w:rsidRPr="006565E7" w:rsidRDefault="008E7CAF" w:rsidP="006110D9">
            <w:pPr>
              <w:jc w:val="both"/>
              <w:rPr>
                <w:rFonts w:cs="Arial"/>
                <w:sz w:val="20"/>
                <w:szCs w:val="20"/>
              </w:rPr>
            </w:pPr>
            <w:r w:rsidRPr="006565E7">
              <w:rPr>
                <w:rFonts w:cs="Arial"/>
                <w:sz w:val="20"/>
                <w:szCs w:val="20"/>
              </w:rPr>
              <w:t>2. CO2 emissions avoided (t) – KPI 6</w:t>
            </w:r>
          </w:p>
        </w:tc>
        <w:tc>
          <w:tcPr>
            <w:tcW w:w="1386" w:type="dxa"/>
            <w:vAlign w:val="center"/>
          </w:tcPr>
          <w:p w14:paraId="6C0BA14D" w14:textId="5ECD29E9" w:rsidR="008E7CAF" w:rsidRPr="006565E7" w:rsidRDefault="00BA1C81" w:rsidP="006110D9">
            <w:pPr>
              <w:jc w:val="both"/>
              <w:rPr>
                <w:rFonts w:cs="Arial"/>
                <w:sz w:val="20"/>
                <w:szCs w:val="20"/>
              </w:rPr>
            </w:pPr>
            <w:r w:rsidRPr="006565E7">
              <w:rPr>
                <w:rFonts w:cs="Arial"/>
                <w:sz w:val="20"/>
                <w:szCs w:val="20"/>
              </w:rPr>
              <w:t>1,003,780</w:t>
            </w:r>
          </w:p>
        </w:tc>
        <w:tc>
          <w:tcPr>
            <w:tcW w:w="1458" w:type="dxa"/>
            <w:vAlign w:val="center"/>
          </w:tcPr>
          <w:p w14:paraId="10574DDA" w14:textId="63AF9F75" w:rsidR="008E7CAF" w:rsidRPr="006565E7" w:rsidRDefault="00E721A5" w:rsidP="006110D9">
            <w:pPr>
              <w:jc w:val="both"/>
              <w:rPr>
                <w:rFonts w:eastAsia="Arial" w:cs="Arial"/>
                <w:sz w:val="20"/>
                <w:szCs w:val="20"/>
              </w:rPr>
            </w:pPr>
            <w:r w:rsidRPr="006565E7">
              <w:rPr>
                <w:rFonts w:eastAsia="Arial" w:cs="Arial"/>
                <w:sz w:val="20"/>
                <w:szCs w:val="20"/>
              </w:rPr>
              <w:t>3,000,000</w:t>
            </w:r>
          </w:p>
        </w:tc>
        <w:tc>
          <w:tcPr>
            <w:tcW w:w="1409" w:type="dxa"/>
            <w:shd w:val="clear" w:color="auto" w:fill="FFC000"/>
            <w:vAlign w:val="center"/>
          </w:tcPr>
          <w:p w14:paraId="601B0FFF" w14:textId="4EA027C3" w:rsidR="008E7CAF" w:rsidRPr="006565E7" w:rsidRDefault="00DF5382" w:rsidP="006110D9">
            <w:pPr>
              <w:jc w:val="both"/>
              <w:rPr>
                <w:rFonts w:eastAsia="Arial" w:cs="Arial"/>
                <w:sz w:val="20"/>
                <w:szCs w:val="20"/>
              </w:rPr>
            </w:pPr>
            <w:r w:rsidRPr="006565E7">
              <w:rPr>
                <w:rFonts w:eastAsia="Arial" w:cs="Arial"/>
                <w:sz w:val="20"/>
                <w:szCs w:val="20"/>
              </w:rPr>
              <w:t>2,690,902</w:t>
            </w:r>
          </w:p>
        </w:tc>
        <w:tc>
          <w:tcPr>
            <w:tcW w:w="2317" w:type="dxa"/>
            <w:shd w:val="clear" w:color="auto" w:fill="FFFFFF" w:themeFill="background1"/>
            <w:vAlign w:val="center"/>
          </w:tcPr>
          <w:p w14:paraId="429E0996" w14:textId="458DC44D" w:rsidR="008E7CAF" w:rsidRPr="006565E7" w:rsidRDefault="008E7CAF" w:rsidP="006110D9">
            <w:pPr>
              <w:jc w:val="both"/>
              <w:rPr>
                <w:rFonts w:cs="Arial"/>
                <w:color w:val="000000"/>
                <w:sz w:val="20"/>
                <w:szCs w:val="20"/>
              </w:rPr>
            </w:pPr>
            <w:r w:rsidRPr="006565E7">
              <w:rPr>
                <w:rFonts w:cs="Arial"/>
                <w:color w:val="000000"/>
                <w:sz w:val="20"/>
                <w:szCs w:val="20"/>
              </w:rPr>
              <w:t xml:space="preserve">Direct: </w:t>
            </w:r>
            <w:r w:rsidR="005F1945" w:rsidRPr="006565E7">
              <w:rPr>
                <w:rFonts w:cs="Arial"/>
                <w:color w:val="000000"/>
                <w:sz w:val="20"/>
                <w:szCs w:val="20"/>
              </w:rPr>
              <w:t>172,577</w:t>
            </w:r>
          </w:p>
          <w:p w14:paraId="732D4399" w14:textId="061B0583" w:rsidR="008E7CAF" w:rsidRPr="006565E7" w:rsidRDefault="008E7CAF" w:rsidP="006110D9">
            <w:pPr>
              <w:jc w:val="both"/>
              <w:rPr>
                <w:rFonts w:cs="Arial"/>
                <w:sz w:val="20"/>
                <w:szCs w:val="20"/>
              </w:rPr>
            </w:pPr>
            <w:r w:rsidRPr="006565E7">
              <w:rPr>
                <w:rFonts w:cs="Arial"/>
                <w:color w:val="000000"/>
                <w:sz w:val="20"/>
                <w:szCs w:val="20"/>
              </w:rPr>
              <w:t xml:space="preserve">Leveraged: </w:t>
            </w:r>
            <w:r w:rsidR="00A30B81" w:rsidRPr="006565E7">
              <w:rPr>
                <w:rFonts w:cs="Arial"/>
                <w:color w:val="000000"/>
                <w:sz w:val="20"/>
                <w:szCs w:val="20"/>
              </w:rPr>
              <w:t>147,965</w:t>
            </w:r>
          </w:p>
        </w:tc>
      </w:tr>
      <w:tr w:rsidR="006C60A5" w:rsidRPr="006565E7" w14:paraId="33997CF0" w14:textId="77777777" w:rsidTr="00EC4E49">
        <w:trPr>
          <w:trHeight w:val="650"/>
        </w:trPr>
        <w:tc>
          <w:tcPr>
            <w:tcW w:w="3432" w:type="dxa"/>
            <w:vAlign w:val="center"/>
          </w:tcPr>
          <w:p w14:paraId="5F35FD18" w14:textId="04BDFB0A" w:rsidR="008E7CAF" w:rsidRPr="006565E7" w:rsidRDefault="008E7CAF" w:rsidP="006110D9">
            <w:pPr>
              <w:jc w:val="both"/>
              <w:rPr>
                <w:rFonts w:cs="Arial"/>
                <w:sz w:val="20"/>
                <w:szCs w:val="20"/>
              </w:rPr>
            </w:pPr>
            <w:r w:rsidRPr="006565E7">
              <w:rPr>
                <w:rFonts w:cs="Arial"/>
                <w:sz w:val="20"/>
                <w:szCs w:val="20"/>
              </w:rPr>
              <w:t>3. Private finance leveraged by the LDN Fund ($) – KPI 11</w:t>
            </w:r>
          </w:p>
          <w:p w14:paraId="324D5742" w14:textId="0A9F8E94" w:rsidR="008E7CAF" w:rsidRPr="006565E7" w:rsidRDefault="008E7CAF" w:rsidP="006565E7">
            <w:pPr>
              <w:pStyle w:val="ListParagraph"/>
              <w:numPr>
                <w:ilvl w:val="0"/>
                <w:numId w:val="20"/>
              </w:numPr>
              <w:spacing w:after="0"/>
              <w:jc w:val="both"/>
              <w:rPr>
                <w:rFonts w:cs="Arial"/>
                <w:sz w:val="20"/>
              </w:rPr>
            </w:pPr>
            <w:r w:rsidRPr="006565E7">
              <w:rPr>
                <w:rFonts w:cs="Arial"/>
                <w:sz w:val="20"/>
              </w:rPr>
              <w:t>Fund level</w:t>
            </w:r>
          </w:p>
        </w:tc>
        <w:tc>
          <w:tcPr>
            <w:tcW w:w="1386" w:type="dxa"/>
            <w:vAlign w:val="center"/>
          </w:tcPr>
          <w:p w14:paraId="6AE9D465" w14:textId="7FCDC0C8" w:rsidR="008E7CAF" w:rsidRPr="006565E7" w:rsidRDefault="00BA1C81" w:rsidP="006110D9">
            <w:pPr>
              <w:jc w:val="both"/>
              <w:rPr>
                <w:rFonts w:cs="Arial"/>
                <w:sz w:val="20"/>
                <w:szCs w:val="20"/>
              </w:rPr>
            </w:pPr>
            <w:r w:rsidRPr="006565E7">
              <w:rPr>
                <w:rFonts w:cs="Arial"/>
                <w:sz w:val="20"/>
                <w:szCs w:val="20"/>
              </w:rPr>
              <w:t>0</w:t>
            </w:r>
          </w:p>
        </w:tc>
        <w:tc>
          <w:tcPr>
            <w:tcW w:w="1458" w:type="dxa"/>
            <w:vAlign w:val="center"/>
          </w:tcPr>
          <w:p w14:paraId="514FC601" w14:textId="285368DF" w:rsidR="008E7CAF" w:rsidRPr="006565E7" w:rsidRDefault="003E00CC" w:rsidP="006110D9">
            <w:pPr>
              <w:jc w:val="both"/>
              <w:rPr>
                <w:rFonts w:cs="Arial"/>
                <w:sz w:val="20"/>
                <w:szCs w:val="20"/>
              </w:rPr>
            </w:pPr>
            <w:r w:rsidRPr="006565E7">
              <w:rPr>
                <w:rFonts w:cs="Arial"/>
                <w:sz w:val="20"/>
                <w:szCs w:val="20"/>
              </w:rPr>
              <w:t>128,079,834</w:t>
            </w:r>
          </w:p>
        </w:tc>
        <w:tc>
          <w:tcPr>
            <w:tcW w:w="1409" w:type="dxa"/>
            <w:shd w:val="clear" w:color="auto" w:fill="92D050"/>
            <w:vAlign w:val="center"/>
          </w:tcPr>
          <w:p w14:paraId="5C582D10" w14:textId="1259AA70" w:rsidR="008E7CAF" w:rsidRPr="006565E7" w:rsidRDefault="00135212" w:rsidP="006110D9">
            <w:pPr>
              <w:jc w:val="both"/>
              <w:rPr>
                <w:rFonts w:eastAsia="Arial" w:cs="Arial"/>
                <w:sz w:val="20"/>
                <w:szCs w:val="20"/>
              </w:rPr>
            </w:pPr>
            <w:r w:rsidRPr="006565E7">
              <w:rPr>
                <w:rFonts w:eastAsia="Arial" w:cs="Arial"/>
                <w:sz w:val="20"/>
                <w:szCs w:val="20"/>
              </w:rPr>
              <w:t>128,079,834</w:t>
            </w:r>
          </w:p>
        </w:tc>
        <w:tc>
          <w:tcPr>
            <w:tcW w:w="2317" w:type="dxa"/>
            <w:shd w:val="clear" w:color="auto" w:fill="FFFFFF" w:themeFill="background1"/>
            <w:vAlign w:val="center"/>
          </w:tcPr>
          <w:p w14:paraId="6228484B" w14:textId="4F2E67EA" w:rsidR="008E7CAF" w:rsidRPr="006565E7" w:rsidRDefault="008E7CAF" w:rsidP="006110D9">
            <w:pPr>
              <w:jc w:val="both"/>
              <w:rPr>
                <w:rFonts w:cs="Arial"/>
                <w:color w:val="000000"/>
                <w:sz w:val="20"/>
                <w:szCs w:val="20"/>
              </w:rPr>
            </w:pPr>
            <w:r w:rsidRPr="006565E7">
              <w:rPr>
                <w:rFonts w:cs="Arial"/>
                <w:color w:val="000000"/>
                <w:sz w:val="20"/>
                <w:szCs w:val="20"/>
              </w:rPr>
              <w:t>Direct: 6,470,000</w:t>
            </w:r>
          </w:p>
          <w:p w14:paraId="6EBF5E84" w14:textId="72BD17DC" w:rsidR="008E7CAF" w:rsidRPr="006565E7" w:rsidRDefault="008E7CAF" w:rsidP="006110D9">
            <w:pPr>
              <w:jc w:val="both"/>
              <w:rPr>
                <w:rFonts w:cs="Arial"/>
                <w:sz w:val="20"/>
                <w:szCs w:val="20"/>
              </w:rPr>
            </w:pPr>
            <w:r w:rsidRPr="006565E7">
              <w:rPr>
                <w:rFonts w:cs="Arial"/>
                <w:color w:val="000000"/>
                <w:sz w:val="20"/>
                <w:szCs w:val="20"/>
              </w:rPr>
              <w:t>Leveraged: 4,094,0</w:t>
            </w:r>
            <w:r w:rsidR="007E3599" w:rsidRPr="006565E7">
              <w:rPr>
                <w:rFonts w:cs="Arial"/>
                <w:color w:val="000000"/>
                <w:sz w:val="20"/>
                <w:szCs w:val="20"/>
              </w:rPr>
              <w:t>9</w:t>
            </w:r>
            <w:r w:rsidRPr="006565E7">
              <w:rPr>
                <w:rFonts w:cs="Arial"/>
                <w:color w:val="000000"/>
                <w:sz w:val="20"/>
                <w:szCs w:val="20"/>
              </w:rPr>
              <w:t>0</w:t>
            </w:r>
          </w:p>
        </w:tc>
      </w:tr>
      <w:tr w:rsidR="006C60A5" w:rsidRPr="006565E7" w14:paraId="4F94EED0" w14:textId="77777777" w:rsidTr="00EC4E49">
        <w:trPr>
          <w:trHeight w:val="545"/>
        </w:trPr>
        <w:tc>
          <w:tcPr>
            <w:tcW w:w="3432" w:type="dxa"/>
            <w:vAlign w:val="center"/>
          </w:tcPr>
          <w:p w14:paraId="256B3194" w14:textId="7B4FB6A9" w:rsidR="008E7CAF" w:rsidRPr="006565E7" w:rsidRDefault="008E7CAF" w:rsidP="006565E7">
            <w:pPr>
              <w:pStyle w:val="ListParagraph"/>
              <w:numPr>
                <w:ilvl w:val="0"/>
                <w:numId w:val="20"/>
              </w:numPr>
              <w:spacing w:after="0"/>
              <w:jc w:val="both"/>
              <w:rPr>
                <w:rFonts w:cs="Arial"/>
                <w:sz w:val="20"/>
              </w:rPr>
            </w:pPr>
            <w:r w:rsidRPr="006565E7">
              <w:rPr>
                <w:rFonts w:cs="Arial"/>
                <w:sz w:val="20"/>
              </w:rPr>
              <w:t>Co-investment level ($)</w:t>
            </w:r>
          </w:p>
        </w:tc>
        <w:tc>
          <w:tcPr>
            <w:tcW w:w="1386" w:type="dxa"/>
            <w:vAlign w:val="center"/>
          </w:tcPr>
          <w:p w14:paraId="4D8B9517" w14:textId="292C32F2" w:rsidR="008E7CAF" w:rsidRPr="006565E7" w:rsidRDefault="00BA1C81" w:rsidP="006110D9">
            <w:pPr>
              <w:jc w:val="both"/>
              <w:rPr>
                <w:rFonts w:cs="Arial"/>
                <w:sz w:val="20"/>
                <w:szCs w:val="20"/>
              </w:rPr>
            </w:pPr>
            <w:r w:rsidRPr="006565E7">
              <w:rPr>
                <w:rFonts w:cs="Arial"/>
                <w:sz w:val="20"/>
                <w:szCs w:val="20"/>
              </w:rPr>
              <w:t>37,65</w:t>
            </w:r>
            <w:r w:rsidR="00DB36D9" w:rsidRPr="006565E7">
              <w:rPr>
                <w:rFonts w:cs="Arial"/>
                <w:sz w:val="20"/>
                <w:szCs w:val="20"/>
              </w:rPr>
              <w:t>8,808</w:t>
            </w:r>
          </w:p>
        </w:tc>
        <w:tc>
          <w:tcPr>
            <w:tcW w:w="1458" w:type="dxa"/>
            <w:vAlign w:val="center"/>
          </w:tcPr>
          <w:p w14:paraId="6708DAB0" w14:textId="0A441218" w:rsidR="008E7CAF" w:rsidRPr="006565E7" w:rsidRDefault="003E00CC" w:rsidP="006110D9">
            <w:pPr>
              <w:jc w:val="both"/>
              <w:rPr>
                <w:rFonts w:cs="Arial"/>
                <w:sz w:val="20"/>
                <w:szCs w:val="20"/>
              </w:rPr>
            </w:pPr>
            <w:r w:rsidRPr="006565E7">
              <w:rPr>
                <w:rFonts w:cs="Arial"/>
                <w:sz w:val="20"/>
                <w:szCs w:val="20"/>
              </w:rPr>
              <w:t>135,000,000</w:t>
            </w:r>
          </w:p>
        </w:tc>
        <w:tc>
          <w:tcPr>
            <w:tcW w:w="1409" w:type="dxa"/>
            <w:shd w:val="clear" w:color="auto" w:fill="92D050"/>
            <w:vAlign w:val="center"/>
          </w:tcPr>
          <w:p w14:paraId="4DCB0470" w14:textId="6C2F6336" w:rsidR="008E7CAF" w:rsidRPr="006565E7" w:rsidRDefault="00E203FC" w:rsidP="006110D9">
            <w:pPr>
              <w:jc w:val="both"/>
              <w:rPr>
                <w:rFonts w:eastAsia="Arial" w:cs="Arial"/>
                <w:sz w:val="20"/>
                <w:szCs w:val="20"/>
              </w:rPr>
            </w:pPr>
            <w:r w:rsidRPr="006565E7">
              <w:rPr>
                <w:rFonts w:eastAsia="Arial" w:cs="Arial"/>
                <w:sz w:val="20"/>
                <w:szCs w:val="20"/>
              </w:rPr>
              <w:t>215,798,066</w:t>
            </w:r>
          </w:p>
        </w:tc>
        <w:tc>
          <w:tcPr>
            <w:tcW w:w="2317" w:type="dxa"/>
            <w:shd w:val="clear" w:color="auto" w:fill="FFFFFF" w:themeFill="background1"/>
            <w:vAlign w:val="center"/>
          </w:tcPr>
          <w:p w14:paraId="103E3B05" w14:textId="5E530C79" w:rsidR="008E7CAF" w:rsidRPr="006565E7" w:rsidRDefault="008E7CAF" w:rsidP="006110D9">
            <w:pPr>
              <w:jc w:val="both"/>
              <w:rPr>
                <w:rFonts w:cs="Arial"/>
                <w:color w:val="000000"/>
                <w:sz w:val="20"/>
                <w:szCs w:val="20"/>
              </w:rPr>
            </w:pPr>
            <w:r w:rsidRPr="006565E7">
              <w:rPr>
                <w:rFonts w:cs="Arial"/>
                <w:color w:val="000000"/>
                <w:sz w:val="20"/>
                <w:szCs w:val="20"/>
              </w:rPr>
              <w:t xml:space="preserve">Direct: </w:t>
            </w:r>
            <w:r w:rsidR="00903F80" w:rsidRPr="006565E7">
              <w:rPr>
                <w:rFonts w:cs="Arial"/>
                <w:color w:val="000000"/>
                <w:sz w:val="20"/>
                <w:szCs w:val="20"/>
              </w:rPr>
              <w:t>14,979,825</w:t>
            </w:r>
          </w:p>
          <w:p w14:paraId="66AF1D0E" w14:textId="20A0FD11" w:rsidR="008E7CAF" w:rsidRPr="006565E7" w:rsidRDefault="008E7CAF" w:rsidP="006110D9">
            <w:pPr>
              <w:jc w:val="both"/>
              <w:rPr>
                <w:rFonts w:cs="Arial"/>
                <w:sz w:val="20"/>
                <w:szCs w:val="20"/>
              </w:rPr>
            </w:pPr>
            <w:r w:rsidRPr="006565E7">
              <w:rPr>
                <w:rFonts w:cs="Arial"/>
                <w:color w:val="000000"/>
                <w:sz w:val="20"/>
                <w:szCs w:val="20"/>
              </w:rPr>
              <w:t xml:space="preserve">Leveraged: </w:t>
            </w:r>
            <w:r w:rsidR="00A30B81" w:rsidRPr="006565E7">
              <w:rPr>
                <w:rFonts w:cs="Arial"/>
                <w:color w:val="000000"/>
                <w:sz w:val="20"/>
                <w:szCs w:val="20"/>
              </w:rPr>
              <w:t>11,381</w:t>
            </w:r>
            <w:r w:rsidR="007E3599" w:rsidRPr="006565E7">
              <w:rPr>
                <w:rFonts w:cs="Arial"/>
                <w:color w:val="000000"/>
                <w:sz w:val="20"/>
                <w:szCs w:val="20"/>
              </w:rPr>
              <w:t>,035</w:t>
            </w:r>
          </w:p>
        </w:tc>
      </w:tr>
      <w:tr w:rsidR="008E7CAF" w:rsidRPr="006565E7" w14:paraId="56055016" w14:textId="77777777" w:rsidTr="00EC4E49">
        <w:trPr>
          <w:trHeight w:val="552"/>
        </w:trPr>
        <w:tc>
          <w:tcPr>
            <w:tcW w:w="3432" w:type="dxa"/>
            <w:vAlign w:val="center"/>
          </w:tcPr>
          <w:p w14:paraId="225AD3BD" w14:textId="462479CF" w:rsidR="008E7CAF" w:rsidRPr="006565E7" w:rsidRDefault="008E7CAF" w:rsidP="006110D9">
            <w:pPr>
              <w:jc w:val="both"/>
              <w:rPr>
                <w:rFonts w:cs="Arial"/>
                <w:sz w:val="20"/>
                <w:szCs w:val="20"/>
              </w:rPr>
            </w:pPr>
            <w:r w:rsidRPr="006565E7">
              <w:rPr>
                <w:rFonts w:cs="Arial"/>
                <w:sz w:val="20"/>
                <w:szCs w:val="20"/>
              </w:rPr>
              <w:t>4. Public finance leveraged by the LDN Fund ($) – KPI 12</w:t>
            </w:r>
          </w:p>
        </w:tc>
        <w:tc>
          <w:tcPr>
            <w:tcW w:w="1386" w:type="dxa"/>
            <w:vAlign w:val="center"/>
          </w:tcPr>
          <w:p w14:paraId="6421F836" w14:textId="1FAB2BBB" w:rsidR="008E7CAF" w:rsidRPr="006565E7" w:rsidRDefault="00DB36D9" w:rsidP="006110D9">
            <w:pPr>
              <w:jc w:val="both"/>
              <w:rPr>
                <w:rFonts w:cs="Arial"/>
                <w:sz w:val="20"/>
                <w:szCs w:val="20"/>
                <w:lang w:val="en-US"/>
              </w:rPr>
            </w:pPr>
            <w:r w:rsidRPr="006565E7">
              <w:rPr>
                <w:rFonts w:cs="Arial"/>
                <w:sz w:val="20"/>
                <w:szCs w:val="20"/>
                <w:lang w:val="en-US"/>
              </w:rPr>
              <w:t>0</w:t>
            </w:r>
          </w:p>
        </w:tc>
        <w:tc>
          <w:tcPr>
            <w:tcW w:w="1458" w:type="dxa"/>
            <w:vAlign w:val="center"/>
          </w:tcPr>
          <w:p w14:paraId="0B725843" w14:textId="00903F20" w:rsidR="008E7CAF" w:rsidRPr="006565E7" w:rsidRDefault="001D5831" w:rsidP="006110D9">
            <w:pPr>
              <w:jc w:val="both"/>
              <w:rPr>
                <w:rFonts w:cs="Arial"/>
                <w:sz w:val="20"/>
                <w:szCs w:val="20"/>
                <w:lang w:val="en-US"/>
              </w:rPr>
            </w:pPr>
            <w:r w:rsidRPr="006565E7">
              <w:rPr>
                <w:rFonts w:cs="Arial"/>
                <w:sz w:val="20"/>
                <w:szCs w:val="20"/>
                <w:lang w:val="en-US"/>
              </w:rPr>
              <w:t>85,572,988</w:t>
            </w:r>
          </w:p>
        </w:tc>
        <w:tc>
          <w:tcPr>
            <w:tcW w:w="1409" w:type="dxa"/>
            <w:shd w:val="clear" w:color="auto" w:fill="92D050"/>
            <w:vAlign w:val="center"/>
          </w:tcPr>
          <w:p w14:paraId="38D47059" w14:textId="47B29B88" w:rsidR="008E7CAF" w:rsidRPr="006565E7" w:rsidRDefault="00E203FC" w:rsidP="006110D9">
            <w:pPr>
              <w:jc w:val="both"/>
              <w:rPr>
                <w:rFonts w:eastAsia="Arial" w:cs="Arial"/>
                <w:sz w:val="20"/>
                <w:szCs w:val="20"/>
              </w:rPr>
            </w:pPr>
            <w:r w:rsidRPr="006565E7">
              <w:rPr>
                <w:rFonts w:eastAsia="Arial" w:cs="Arial"/>
                <w:sz w:val="20"/>
                <w:szCs w:val="20"/>
              </w:rPr>
              <w:t>85,572,988</w:t>
            </w:r>
          </w:p>
        </w:tc>
        <w:tc>
          <w:tcPr>
            <w:tcW w:w="2317" w:type="dxa"/>
            <w:vAlign w:val="center"/>
          </w:tcPr>
          <w:p w14:paraId="1C591179" w14:textId="68B92312" w:rsidR="008E7CAF" w:rsidRPr="006565E7" w:rsidRDefault="008E7CAF" w:rsidP="006110D9">
            <w:pPr>
              <w:jc w:val="both"/>
              <w:rPr>
                <w:rFonts w:cs="Arial"/>
                <w:color w:val="000000"/>
                <w:sz w:val="20"/>
                <w:szCs w:val="20"/>
              </w:rPr>
            </w:pPr>
            <w:r w:rsidRPr="006565E7">
              <w:rPr>
                <w:rFonts w:cs="Arial"/>
                <w:color w:val="000000"/>
                <w:sz w:val="20"/>
                <w:szCs w:val="20"/>
              </w:rPr>
              <w:t>Direct: 2,790,000</w:t>
            </w:r>
          </w:p>
          <w:p w14:paraId="10C6FEB7" w14:textId="1797DD1C" w:rsidR="008E7CAF" w:rsidRPr="006565E7" w:rsidRDefault="008E7CAF" w:rsidP="006110D9">
            <w:pPr>
              <w:jc w:val="both"/>
              <w:rPr>
                <w:rFonts w:cs="Arial"/>
                <w:color w:val="000000"/>
                <w:sz w:val="20"/>
                <w:szCs w:val="20"/>
              </w:rPr>
            </w:pPr>
            <w:r w:rsidRPr="006565E7">
              <w:rPr>
                <w:rFonts w:cs="Arial"/>
                <w:color w:val="000000"/>
                <w:sz w:val="20"/>
                <w:szCs w:val="20"/>
              </w:rPr>
              <w:t xml:space="preserve">Leveraged: </w:t>
            </w:r>
            <w:r w:rsidR="00490DA1" w:rsidRPr="006565E7">
              <w:rPr>
                <w:rFonts w:cs="Arial"/>
                <w:color w:val="000000"/>
                <w:sz w:val="20"/>
                <w:szCs w:val="20"/>
              </w:rPr>
              <w:t>3,028</w:t>
            </w:r>
            <w:r w:rsidRPr="006565E7">
              <w:rPr>
                <w:rFonts w:eastAsia="Arial" w:cs="Arial"/>
                <w:sz w:val="20"/>
                <w:szCs w:val="20"/>
              </w:rPr>
              <w:t>,</w:t>
            </w:r>
            <w:r w:rsidR="007E3599" w:rsidRPr="006565E7">
              <w:rPr>
                <w:rFonts w:eastAsia="Arial" w:cs="Arial"/>
                <w:sz w:val="20"/>
                <w:szCs w:val="20"/>
              </w:rPr>
              <w:t>459</w:t>
            </w:r>
          </w:p>
        </w:tc>
      </w:tr>
      <w:tr w:rsidR="008E7CAF" w:rsidRPr="006565E7" w14:paraId="7305E0E9" w14:textId="77777777" w:rsidTr="00EC4E49">
        <w:trPr>
          <w:trHeight w:val="118"/>
        </w:trPr>
        <w:tc>
          <w:tcPr>
            <w:tcW w:w="3432" w:type="dxa"/>
            <w:vAlign w:val="center"/>
          </w:tcPr>
          <w:p w14:paraId="24DE3AC7" w14:textId="54105542" w:rsidR="008E7CAF" w:rsidRPr="006565E7" w:rsidRDefault="008E7CAF" w:rsidP="006110D9">
            <w:pPr>
              <w:jc w:val="both"/>
              <w:rPr>
                <w:rFonts w:eastAsiaTheme="minorEastAsia" w:cs="Arial"/>
                <w:sz w:val="20"/>
                <w:szCs w:val="20"/>
              </w:rPr>
            </w:pPr>
            <w:r w:rsidRPr="006565E7">
              <w:rPr>
                <w:rFonts w:cs="Arial"/>
                <w:sz w:val="20"/>
                <w:szCs w:val="20"/>
              </w:rPr>
              <w:t>5. Land contributing towards Land Degradation Neutrality (ha) – KPI 17</w:t>
            </w:r>
          </w:p>
        </w:tc>
        <w:tc>
          <w:tcPr>
            <w:tcW w:w="1386" w:type="dxa"/>
            <w:vAlign w:val="center"/>
          </w:tcPr>
          <w:p w14:paraId="02ABCDD8" w14:textId="30CE2054" w:rsidR="008E7CAF" w:rsidRPr="006565E7" w:rsidRDefault="00DB36D9" w:rsidP="006110D9">
            <w:pPr>
              <w:jc w:val="both"/>
              <w:rPr>
                <w:rFonts w:cs="Arial"/>
                <w:sz w:val="20"/>
                <w:szCs w:val="20"/>
              </w:rPr>
            </w:pPr>
            <w:r w:rsidRPr="006565E7">
              <w:rPr>
                <w:rFonts w:cs="Arial"/>
                <w:sz w:val="20"/>
                <w:szCs w:val="20"/>
              </w:rPr>
              <w:t>11,836</w:t>
            </w:r>
          </w:p>
        </w:tc>
        <w:tc>
          <w:tcPr>
            <w:tcW w:w="1458" w:type="dxa"/>
            <w:vAlign w:val="center"/>
          </w:tcPr>
          <w:p w14:paraId="6D33344B" w14:textId="4A9418F9" w:rsidR="008E7CAF" w:rsidRPr="006565E7" w:rsidRDefault="001D5831" w:rsidP="006110D9">
            <w:pPr>
              <w:jc w:val="both"/>
              <w:rPr>
                <w:rFonts w:cs="Arial"/>
                <w:sz w:val="20"/>
                <w:szCs w:val="20"/>
              </w:rPr>
            </w:pPr>
            <w:r w:rsidRPr="006565E7">
              <w:rPr>
                <w:rFonts w:cs="Arial"/>
                <w:sz w:val="20"/>
                <w:szCs w:val="20"/>
              </w:rPr>
              <w:t>180,000</w:t>
            </w:r>
          </w:p>
        </w:tc>
        <w:tc>
          <w:tcPr>
            <w:tcW w:w="1409" w:type="dxa"/>
            <w:shd w:val="clear" w:color="auto" w:fill="FF5050"/>
            <w:vAlign w:val="center"/>
          </w:tcPr>
          <w:p w14:paraId="3BDC82C9" w14:textId="503F4F5A" w:rsidR="008E7CAF" w:rsidRPr="006565E7" w:rsidRDefault="00135212" w:rsidP="006110D9">
            <w:pPr>
              <w:jc w:val="both"/>
              <w:rPr>
                <w:rFonts w:eastAsia="Arial" w:cs="Arial"/>
                <w:sz w:val="20"/>
                <w:szCs w:val="20"/>
              </w:rPr>
            </w:pPr>
            <w:r w:rsidRPr="006565E7">
              <w:rPr>
                <w:rFonts w:eastAsia="Arial" w:cs="Arial"/>
                <w:sz w:val="20"/>
                <w:szCs w:val="20"/>
              </w:rPr>
              <w:t>150,281</w:t>
            </w:r>
          </w:p>
        </w:tc>
        <w:tc>
          <w:tcPr>
            <w:tcW w:w="2317" w:type="dxa"/>
            <w:vAlign w:val="center"/>
          </w:tcPr>
          <w:p w14:paraId="6DDB6EBC" w14:textId="3E923FD7" w:rsidR="008E7CAF" w:rsidRPr="006565E7" w:rsidRDefault="008E7CAF" w:rsidP="006110D9">
            <w:pPr>
              <w:jc w:val="both"/>
              <w:rPr>
                <w:rFonts w:cs="Arial"/>
                <w:color w:val="000000"/>
                <w:sz w:val="20"/>
                <w:szCs w:val="20"/>
              </w:rPr>
            </w:pPr>
            <w:r w:rsidRPr="006565E7">
              <w:rPr>
                <w:rFonts w:cs="Arial"/>
                <w:color w:val="000000"/>
                <w:sz w:val="20"/>
                <w:szCs w:val="20"/>
              </w:rPr>
              <w:t xml:space="preserve">Direct: </w:t>
            </w:r>
            <w:r w:rsidR="00903F80" w:rsidRPr="006565E7">
              <w:rPr>
                <w:rFonts w:cs="Arial"/>
                <w:color w:val="000000"/>
                <w:sz w:val="20"/>
                <w:szCs w:val="20"/>
              </w:rPr>
              <w:t>10,4</w:t>
            </w:r>
            <w:r w:rsidR="00A30B81" w:rsidRPr="006565E7">
              <w:rPr>
                <w:rFonts w:cs="Arial"/>
                <w:color w:val="000000"/>
                <w:sz w:val="20"/>
                <w:szCs w:val="20"/>
              </w:rPr>
              <w:t>81</w:t>
            </w:r>
          </w:p>
          <w:p w14:paraId="1292B011" w14:textId="23A068D8" w:rsidR="008E7CAF" w:rsidRPr="006565E7" w:rsidRDefault="008E7CAF" w:rsidP="006110D9">
            <w:pPr>
              <w:jc w:val="both"/>
              <w:rPr>
                <w:rFonts w:cs="Arial"/>
                <w:sz w:val="20"/>
                <w:szCs w:val="20"/>
              </w:rPr>
            </w:pPr>
            <w:r w:rsidRPr="006565E7">
              <w:rPr>
                <w:rFonts w:cs="Arial"/>
                <w:color w:val="000000"/>
                <w:sz w:val="20"/>
                <w:szCs w:val="20"/>
              </w:rPr>
              <w:t xml:space="preserve">Leveraged: </w:t>
            </w:r>
            <w:r w:rsidR="007E3599" w:rsidRPr="006565E7">
              <w:rPr>
                <w:rFonts w:cs="Arial"/>
                <w:color w:val="000000"/>
                <w:sz w:val="20"/>
                <w:szCs w:val="20"/>
              </w:rPr>
              <w:t>7,986</w:t>
            </w:r>
          </w:p>
        </w:tc>
      </w:tr>
    </w:tbl>
    <w:p w14:paraId="37920DB6" w14:textId="77777777" w:rsidR="005F6B3D" w:rsidRDefault="005F6B3D" w:rsidP="006110D9">
      <w:pPr>
        <w:jc w:val="both"/>
        <w:rPr>
          <w:color w:val="FF0000"/>
        </w:rPr>
      </w:pPr>
    </w:p>
    <w:p w14:paraId="2C64A925" w14:textId="1EDA8559" w:rsidR="005C682A" w:rsidRDefault="005F6B3D" w:rsidP="006110D9">
      <w:pPr>
        <w:jc w:val="both"/>
        <w:rPr>
          <w:sz w:val="22"/>
          <w:szCs w:val="22"/>
        </w:rPr>
      </w:pPr>
      <w:r w:rsidRPr="005F6B3D">
        <w:rPr>
          <w:sz w:val="22"/>
          <w:szCs w:val="22"/>
        </w:rPr>
        <w:t xml:space="preserve">The </w:t>
      </w:r>
      <w:r w:rsidR="00BC5264">
        <w:rPr>
          <w:sz w:val="22"/>
          <w:szCs w:val="22"/>
        </w:rPr>
        <w:t xml:space="preserve">juxtaposition of targets </w:t>
      </w:r>
      <w:proofErr w:type="gramStart"/>
      <w:r w:rsidR="00BC5264">
        <w:rPr>
          <w:sz w:val="22"/>
          <w:szCs w:val="22"/>
        </w:rPr>
        <w:t>missed</w:t>
      </w:r>
      <w:proofErr w:type="gramEnd"/>
      <w:r w:rsidR="00BC5264">
        <w:rPr>
          <w:sz w:val="22"/>
          <w:szCs w:val="22"/>
        </w:rPr>
        <w:t xml:space="preserve"> and targets exceeded reflect two sides of the same issue the Fund experie</w:t>
      </w:r>
      <w:r w:rsidR="00186231">
        <w:rPr>
          <w:sz w:val="22"/>
          <w:szCs w:val="22"/>
        </w:rPr>
        <w:t xml:space="preserve">nced in 2023 and 2024. This is the slowing down or financial failure of </w:t>
      </w:r>
      <w:r w:rsidR="007F78C2">
        <w:rPr>
          <w:sz w:val="22"/>
          <w:szCs w:val="22"/>
        </w:rPr>
        <w:t>some</w:t>
      </w:r>
      <w:r w:rsidR="00186231">
        <w:rPr>
          <w:sz w:val="22"/>
          <w:szCs w:val="22"/>
        </w:rPr>
        <w:t xml:space="preserve"> projects in the portfolio</w:t>
      </w:r>
      <w:r w:rsidR="00AB2BB6">
        <w:rPr>
          <w:sz w:val="22"/>
          <w:szCs w:val="22"/>
        </w:rPr>
        <w:t>, partly due to reduced capacity during the first years of the COVID-19 pandemic</w:t>
      </w:r>
      <w:r w:rsidR="00ED7BE6">
        <w:rPr>
          <w:sz w:val="22"/>
          <w:szCs w:val="22"/>
        </w:rPr>
        <w:t xml:space="preserve">. This means that </w:t>
      </w:r>
      <w:r w:rsidR="00A50809">
        <w:rPr>
          <w:sz w:val="22"/>
          <w:szCs w:val="22"/>
        </w:rPr>
        <w:t xml:space="preserve">progress on land area supported, which also reflects reforestation and CO2 emissions avoided, has been and is likely to continue being behind milestones, </w:t>
      </w:r>
      <w:r w:rsidR="007F78C2">
        <w:rPr>
          <w:sz w:val="22"/>
          <w:szCs w:val="22"/>
        </w:rPr>
        <w:t>probably</w:t>
      </w:r>
      <w:r w:rsidR="00A50809">
        <w:rPr>
          <w:sz w:val="22"/>
          <w:szCs w:val="22"/>
        </w:rPr>
        <w:t xml:space="preserve"> </w:t>
      </w:r>
      <w:r w:rsidR="007D108E">
        <w:rPr>
          <w:sz w:val="22"/>
          <w:szCs w:val="22"/>
        </w:rPr>
        <w:t xml:space="preserve">throughout the Fund’s lifetime. On the positive side, </w:t>
      </w:r>
      <w:r w:rsidR="002F7258">
        <w:rPr>
          <w:sz w:val="22"/>
          <w:szCs w:val="22"/>
        </w:rPr>
        <w:t>in response to</w:t>
      </w:r>
      <w:r w:rsidR="00195445">
        <w:rPr>
          <w:sz w:val="22"/>
          <w:szCs w:val="22"/>
        </w:rPr>
        <w:t xml:space="preserve"> this slow-down, </w:t>
      </w:r>
      <w:r w:rsidR="007D108E">
        <w:rPr>
          <w:sz w:val="22"/>
          <w:szCs w:val="22"/>
        </w:rPr>
        <w:t>the Fund has done a good job of raising additional co-investment in 202</w:t>
      </w:r>
      <w:r w:rsidR="00BF7110">
        <w:rPr>
          <w:sz w:val="22"/>
          <w:szCs w:val="22"/>
        </w:rPr>
        <w:t>3 and 202</w:t>
      </w:r>
      <w:r w:rsidR="00F27E1A">
        <w:rPr>
          <w:sz w:val="22"/>
          <w:szCs w:val="22"/>
        </w:rPr>
        <w:t>4</w:t>
      </w:r>
      <w:r w:rsidR="007D108E">
        <w:rPr>
          <w:sz w:val="22"/>
          <w:szCs w:val="22"/>
        </w:rPr>
        <w:t xml:space="preserve"> to </w:t>
      </w:r>
      <w:r w:rsidR="00CF3608">
        <w:rPr>
          <w:sz w:val="22"/>
          <w:szCs w:val="22"/>
        </w:rPr>
        <w:t xml:space="preserve">re-energise struggling projects, increasing the overall volume of </w:t>
      </w:r>
      <w:r w:rsidR="00195445">
        <w:rPr>
          <w:sz w:val="22"/>
          <w:szCs w:val="22"/>
        </w:rPr>
        <w:t>private co-investment in sustainable land use.</w:t>
      </w:r>
      <w:r w:rsidR="0009688F">
        <w:rPr>
          <w:sz w:val="22"/>
          <w:szCs w:val="22"/>
        </w:rPr>
        <w:t xml:space="preserve"> Consequently</w:t>
      </w:r>
      <w:r w:rsidR="002F7258">
        <w:rPr>
          <w:sz w:val="22"/>
          <w:szCs w:val="22"/>
        </w:rPr>
        <w:t>,</w:t>
      </w:r>
      <w:r w:rsidR="0009688F">
        <w:rPr>
          <w:sz w:val="22"/>
          <w:szCs w:val="22"/>
        </w:rPr>
        <w:t xml:space="preserve"> all but one of the portfolio projects look likely to succeed financially and continue a long</w:t>
      </w:r>
      <w:r w:rsidR="002F7258">
        <w:rPr>
          <w:sz w:val="22"/>
          <w:szCs w:val="22"/>
        </w:rPr>
        <w:t>-</w:t>
      </w:r>
      <w:r w:rsidR="0009688F">
        <w:rPr>
          <w:sz w:val="22"/>
          <w:szCs w:val="22"/>
        </w:rPr>
        <w:t xml:space="preserve">term </w:t>
      </w:r>
      <w:r w:rsidR="00C423C0">
        <w:rPr>
          <w:sz w:val="22"/>
          <w:szCs w:val="22"/>
        </w:rPr>
        <w:t>contribution to climate and nature.</w:t>
      </w:r>
      <w:r w:rsidR="003E41BA">
        <w:rPr>
          <w:sz w:val="22"/>
          <w:szCs w:val="22"/>
        </w:rPr>
        <w:t xml:space="preserve"> </w:t>
      </w:r>
      <w:r w:rsidR="003E41BA" w:rsidRPr="00C7059B">
        <w:rPr>
          <w:rFonts w:eastAsia="Arial" w:cs="Arial"/>
          <w:color w:val="000000" w:themeColor="text1"/>
          <w:sz w:val="22"/>
          <w:szCs w:val="22"/>
        </w:rPr>
        <w:t>The methodology for calculating private and public finance mobilised will be updated for 2025 following latest ICF KPI guidance</w:t>
      </w:r>
      <w:r w:rsidR="003E41BA">
        <w:rPr>
          <w:rFonts w:eastAsia="Arial" w:cs="Arial"/>
          <w:color w:val="000000" w:themeColor="text1"/>
          <w:sz w:val="22"/>
          <w:szCs w:val="22"/>
        </w:rPr>
        <w:t>.</w:t>
      </w:r>
    </w:p>
    <w:p w14:paraId="6BDD3CFE" w14:textId="77777777" w:rsidR="005C682A" w:rsidRDefault="005C682A" w:rsidP="006110D9">
      <w:pPr>
        <w:jc w:val="both"/>
        <w:rPr>
          <w:sz w:val="22"/>
          <w:szCs w:val="22"/>
        </w:rPr>
      </w:pPr>
    </w:p>
    <w:p w14:paraId="12C9E835" w14:textId="55E3BAB5" w:rsidR="005F6B3D" w:rsidRDefault="00977A79" w:rsidP="006110D9">
      <w:pPr>
        <w:jc w:val="both"/>
        <w:rPr>
          <w:sz w:val="22"/>
          <w:szCs w:val="22"/>
        </w:rPr>
      </w:pPr>
      <w:r>
        <w:rPr>
          <w:sz w:val="22"/>
          <w:szCs w:val="22"/>
        </w:rPr>
        <w:t xml:space="preserve">A conservative approach in project selection </w:t>
      </w:r>
      <w:r w:rsidR="004C40B0">
        <w:rPr>
          <w:sz w:val="22"/>
          <w:szCs w:val="22"/>
        </w:rPr>
        <w:t xml:space="preserve">since COVID-19 </w:t>
      </w:r>
      <w:r>
        <w:rPr>
          <w:sz w:val="22"/>
          <w:szCs w:val="22"/>
        </w:rPr>
        <w:t xml:space="preserve">has </w:t>
      </w:r>
      <w:r w:rsidR="005C682A">
        <w:rPr>
          <w:sz w:val="22"/>
          <w:szCs w:val="22"/>
        </w:rPr>
        <w:t xml:space="preserve">also </w:t>
      </w:r>
      <w:r>
        <w:rPr>
          <w:sz w:val="22"/>
          <w:szCs w:val="22"/>
        </w:rPr>
        <w:t xml:space="preserve">underutilised the Fund’s </w:t>
      </w:r>
      <w:r w:rsidR="005C682A">
        <w:rPr>
          <w:sz w:val="22"/>
          <w:szCs w:val="22"/>
        </w:rPr>
        <w:t xml:space="preserve">potential </w:t>
      </w:r>
      <w:r>
        <w:rPr>
          <w:sz w:val="22"/>
          <w:szCs w:val="22"/>
        </w:rPr>
        <w:t xml:space="preserve">capacity </w:t>
      </w:r>
      <w:r w:rsidR="00EC63EE">
        <w:rPr>
          <w:sz w:val="22"/>
          <w:szCs w:val="22"/>
        </w:rPr>
        <w:t xml:space="preserve">to date, </w:t>
      </w:r>
      <w:r w:rsidR="005C682A">
        <w:rPr>
          <w:sz w:val="22"/>
          <w:szCs w:val="22"/>
        </w:rPr>
        <w:t xml:space="preserve">leading to lower investment levels and lower impact than initially projected, </w:t>
      </w:r>
      <w:r w:rsidR="00EC63EE">
        <w:rPr>
          <w:sz w:val="22"/>
          <w:szCs w:val="22"/>
        </w:rPr>
        <w:t>with the trade-off that the Fund now has more capital in reserve to make follow-on payments and to support its existing projects.</w:t>
      </w:r>
    </w:p>
    <w:p w14:paraId="667E1E7B" w14:textId="77777777" w:rsidR="00E61072" w:rsidRDefault="00E61072" w:rsidP="006110D9">
      <w:pPr>
        <w:jc w:val="both"/>
        <w:rPr>
          <w:sz w:val="22"/>
          <w:szCs w:val="22"/>
          <w:lang w:val="en-US"/>
        </w:rPr>
      </w:pPr>
    </w:p>
    <w:p w14:paraId="16C03E26" w14:textId="04F4BC26" w:rsidR="00E61072" w:rsidRDefault="004C40B0" w:rsidP="006110D9">
      <w:pPr>
        <w:jc w:val="both"/>
        <w:rPr>
          <w:sz w:val="22"/>
          <w:szCs w:val="22"/>
          <w:lang w:val="en-US"/>
        </w:rPr>
      </w:pPr>
      <w:r w:rsidRPr="161AFA1D">
        <w:rPr>
          <w:sz w:val="22"/>
          <w:szCs w:val="22"/>
          <w:lang w:val="en-US"/>
        </w:rPr>
        <w:t>As a result of these factors</w:t>
      </w:r>
      <w:r w:rsidR="00E61072" w:rsidRPr="161AFA1D">
        <w:rPr>
          <w:sz w:val="22"/>
          <w:szCs w:val="22"/>
          <w:lang w:val="en-US"/>
        </w:rPr>
        <w:t xml:space="preserve">, results are likely to remain below </w:t>
      </w:r>
      <w:r w:rsidRPr="161AFA1D">
        <w:rPr>
          <w:sz w:val="22"/>
          <w:szCs w:val="22"/>
          <w:lang w:val="en-US"/>
        </w:rPr>
        <w:t xml:space="preserve">initial </w:t>
      </w:r>
      <w:r w:rsidR="00E61072" w:rsidRPr="161AFA1D">
        <w:rPr>
          <w:sz w:val="22"/>
          <w:szCs w:val="22"/>
          <w:lang w:val="en-US"/>
        </w:rPr>
        <w:t>projections for the remainder of the Fund’s operational lifetime</w:t>
      </w:r>
      <w:r w:rsidR="00711731" w:rsidRPr="161AFA1D">
        <w:rPr>
          <w:sz w:val="22"/>
          <w:szCs w:val="22"/>
          <w:lang w:val="en-US"/>
        </w:rPr>
        <w:t xml:space="preserve">. As a consequence, </w:t>
      </w:r>
      <w:r w:rsidR="00B23C41" w:rsidRPr="161AFA1D">
        <w:rPr>
          <w:sz w:val="22"/>
          <w:szCs w:val="22"/>
          <w:lang w:val="en-US"/>
        </w:rPr>
        <w:t xml:space="preserve">and now that the portfolio is complete and projections can be set more accurately, </w:t>
      </w:r>
      <w:r w:rsidR="00711731" w:rsidRPr="161AFA1D">
        <w:rPr>
          <w:sz w:val="22"/>
          <w:szCs w:val="22"/>
          <w:lang w:val="en-US"/>
        </w:rPr>
        <w:t xml:space="preserve">Mirova have suggested </w:t>
      </w:r>
      <w:r w:rsidR="00B23C41" w:rsidRPr="161AFA1D">
        <w:rPr>
          <w:sz w:val="22"/>
          <w:szCs w:val="22"/>
          <w:lang w:val="en-US"/>
        </w:rPr>
        <w:t xml:space="preserve">reducing </w:t>
      </w:r>
      <w:r w:rsidR="00977A79" w:rsidRPr="161AFA1D">
        <w:rPr>
          <w:sz w:val="22"/>
          <w:szCs w:val="22"/>
          <w:lang w:val="en-US"/>
        </w:rPr>
        <w:t>mil</w:t>
      </w:r>
      <w:r w:rsidR="00EA7B70" w:rsidRPr="161AFA1D">
        <w:rPr>
          <w:sz w:val="22"/>
          <w:szCs w:val="22"/>
          <w:lang w:val="en-US"/>
        </w:rPr>
        <w:t>e</w:t>
      </w:r>
      <w:r w:rsidR="00977A79" w:rsidRPr="161AFA1D">
        <w:rPr>
          <w:sz w:val="22"/>
          <w:szCs w:val="22"/>
          <w:lang w:val="en-US"/>
        </w:rPr>
        <w:t>stone</w:t>
      </w:r>
      <w:r w:rsidR="00EA7B70" w:rsidRPr="161AFA1D">
        <w:rPr>
          <w:sz w:val="22"/>
          <w:szCs w:val="22"/>
          <w:lang w:val="en-US"/>
        </w:rPr>
        <w:t>s</w:t>
      </w:r>
      <w:r w:rsidR="007936E9">
        <w:rPr>
          <w:sz w:val="22"/>
          <w:szCs w:val="22"/>
          <w:lang w:val="en-US"/>
        </w:rPr>
        <w:t xml:space="preserve"> for </w:t>
      </w:r>
      <w:r w:rsidR="00D231E2">
        <w:rPr>
          <w:sz w:val="22"/>
          <w:szCs w:val="22"/>
          <w:lang w:val="en-US"/>
        </w:rPr>
        <w:t>Outcome Indicators 1, 2</w:t>
      </w:r>
      <w:r w:rsidR="00DA29E2">
        <w:rPr>
          <w:sz w:val="22"/>
          <w:szCs w:val="22"/>
          <w:lang w:val="en-US"/>
        </w:rPr>
        <w:t>,</w:t>
      </w:r>
      <w:r w:rsidR="00D231E2">
        <w:rPr>
          <w:sz w:val="22"/>
          <w:szCs w:val="22"/>
          <w:lang w:val="en-US"/>
        </w:rPr>
        <w:t xml:space="preserve"> and 5</w:t>
      </w:r>
      <w:r w:rsidR="00EA7B70" w:rsidRPr="161AFA1D">
        <w:rPr>
          <w:sz w:val="22"/>
          <w:szCs w:val="22"/>
          <w:lang w:val="en-US"/>
        </w:rPr>
        <w:t xml:space="preserve">, to make 80,000 ha the final forest restoration goal of the Fund, </w:t>
      </w:r>
      <w:r w:rsidR="00722D77" w:rsidRPr="161AFA1D">
        <w:rPr>
          <w:sz w:val="22"/>
          <w:szCs w:val="22"/>
          <w:lang w:val="en-US"/>
        </w:rPr>
        <w:t>also reducing</w:t>
      </w:r>
      <w:r w:rsidR="00F368EC" w:rsidRPr="161AFA1D">
        <w:rPr>
          <w:sz w:val="22"/>
          <w:szCs w:val="22"/>
          <w:lang w:val="en-US"/>
        </w:rPr>
        <w:t xml:space="preserve"> the final sustainable land area</w:t>
      </w:r>
      <w:r w:rsidR="00722D77" w:rsidRPr="161AFA1D">
        <w:rPr>
          <w:sz w:val="22"/>
          <w:szCs w:val="22"/>
          <w:lang w:val="en-US"/>
        </w:rPr>
        <w:t xml:space="preserve"> targets</w:t>
      </w:r>
      <w:r w:rsidR="0045607D" w:rsidRPr="161AFA1D">
        <w:rPr>
          <w:sz w:val="22"/>
          <w:szCs w:val="22"/>
          <w:lang w:val="en-US"/>
        </w:rPr>
        <w:t xml:space="preserve"> </w:t>
      </w:r>
      <w:r w:rsidR="00722D77" w:rsidRPr="161AFA1D">
        <w:rPr>
          <w:sz w:val="22"/>
          <w:szCs w:val="22"/>
          <w:lang w:val="en-US"/>
        </w:rPr>
        <w:t>by one third</w:t>
      </w:r>
      <w:r w:rsidR="0045607D" w:rsidRPr="161AFA1D">
        <w:rPr>
          <w:sz w:val="22"/>
          <w:szCs w:val="22"/>
          <w:lang w:val="en-US"/>
        </w:rPr>
        <w:t>, and CO2 sequestration targets for 2033 from 25 million tonnes to 14 million tonnes</w:t>
      </w:r>
      <w:r w:rsidR="00DA5DAC" w:rsidRPr="161AFA1D">
        <w:rPr>
          <w:sz w:val="22"/>
          <w:szCs w:val="22"/>
          <w:lang w:val="en-US"/>
        </w:rPr>
        <w:t xml:space="preserve"> (though CO2 sequestration will continue afterwards and should eventually reach the original target around 2040).</w:t>
      </w:r>
      <w:r w:rsidR="00080DD7" w:rsidRPr="161AFA1D">
        <w:rPr>
          <w:sz w:val="22"/>
          <w:szCs w:val="22"/>
          <w:lang w:val="en-US"/>
        </w:rPr>
        <w:t xml:space="preserve"> </w:t>
      </w:r>
      <w:r w:rsidR="00CE597E">
        <w:rPr>
          <w:sz w:val="22"/>
          <w:szCs w:val="22"/>
          <w:lang w:val="en-US"/>
        </w:rPr>
        <w:t>Val</w:t>
      </w:r>
      <w:r w:rsidR="00DD275D">
        <w:rPr>
          <w:sz w:val="22"/>
          <w:szCs w:val="22"/>
          <w:lang w:val="en-US"/>
        </w:rPr>
        <w:t>ue for Money (</w:t>
      </w:r>
      <w:proofErr w:type="spellStart"/>
      <w:r w:rsidR="00DD275D">
        <w:rPr>
          <w:sz w:val="22"/>
          <w:szCs w:val="22"/>
          <w:lang w:val="en-US"/>
        </w:rPr>
        <w:t>VfM</w:t>
      </w:r>
      <w:proofErr w:type="spellEnd"/>
      <w:r w:rsidR="00DD275D">
        <w:rPr>
          <w:sz w:val="22"/>
          <w:szCs w:val="22"/>
          <w:lang w:val="en-US"/>
        </w:rPr>
        <w:t xml:space="preserve">) from current results </w:t>
      </w:r>
      <w:r w:rsidR="00671BD3">
        <w:rPr>
          <w:sz w:val="22"/>
          <w:szCs w:val="22"/>
          <w:lang w:val="en-US"/>
        </w:rPr>
        <w:t>indicates that</w:t>
      </w:r>
      <w:r w:rsidR="000C4A24">
        <w:rPr>
          <w:sz w:val="22"/>
          <w:szCs w:val="22"/>
          <w:lang w:val="en-US"/>
        </w:rPr>
        <w:t xml:space="preserve"> even with these lower </w:t>
      </w:r>
      <w:r w:rsidR="00FA7713">
        <w:rPr>
          <w:sz w:val="22"/>
          <w:szCs w:val="22"/>
          <w:lang w:val="en-US"/>
        </w:rPr>
        <w:t>results</w:t>
      </w:r>
      <w:r w:rsidR="000C4A24">
        <w:rPr>
          <w:sz w:val="22"/>
          <w:szCs w:val="22"/>
          <w:lang w:val="en-US"/>
        </w:rPr>
        <w:t xml:space="preserve"> </w:t>
      </w:r>
      <w:r w:rsidR="00FA7713">
        <w:rPr>
          <w:sz w:val="22"/>
          <w:szCs w:val="22"/>
          <w:lang w:val="en-US"/>
        </w:rPr>
        <w:t xml:space="preserve">the </w:t>
      </w:r>
      <w:proofErr w:type="spellStart"/>
      <w:r w:rsidR="00FA7713">
        <w:rPr>
          <w:sz w:val="22"/>
          <w:szCs w:val="22"/>
          <w:lang w:val="en-US"/>
        </w:rPr>
        <w:t>VfM</w:t>
      </w:r>
      <w:proofErr w:type="spellEnd"/>
      <w:r w:rsidR="00FA7713">
        <w:rPr>
          <w:sz w:val="22"/>
          <w:szCs w:val="22"/>
          <w:lang w:val="en-US"/>
        </w:rPr>
        <w:t xml:space="preserve"> case is being exceeded.</w:t>
      </w:r>
      <w:r w:rsidR="00DD275D">
        <w:rPr>
          <w:sz w:val="22"/>
          <w:szCs w:val="22"/>
          <w:lang w:val="en-US"/>
        </w:rPr>
        <w:t xml:space="preserve"> </w:t>
      </w:r>
      <w:r w:rsidR="00080DD7" w:rsidRPr="161AFA1D">
        <w:rPr>
          <w:sz w:val="22"/>
          <w:szCs w:val="22"/>
          <w:lang w:val="en-US"/>
        </w:rPr>
        <w:t>Under this sc</w:t>
      </w:r>
      <w:r w:rsidR="009602B4" w:rsidRPr="161AFA1D">
        <w:rPr>
          <w:sz w:val="22"/>
          <w:szCs w:val="22"/>
          <w:lang w:val="en-US"/>
        </w:rPr>
        <w:t>enario the 2024 targets would be revised to the following:</w:t>
      </w:r>
    </w:p>
    <w:p w14:paraId="6E0B13ED" w14:textId="77777777" w:rsidR="009602B4" w:rsidRDefault="009602B4" w:rsidP="006110D9">
      <w:pPr>
        <w:jc w:val="both"/>
        <w:rPr>
          <w:sz w:val="22"/>
          <w:szCs w:val="22"/>
          <w:lang w:val="en-US"/>
        </w:rPr>
      </w:pPr>
    </w:p>
    <w:p w14:paraId="19A8D0A9" w14:textId="56023F4B" w:rsidR="00E25C08" w:rsidRPr="00AF1445" w:rsidRDefault="00E25C08" w:rsidP="006110D9">
      <w:pPr>
        <w:jc w:val="both"/>
        <w:rPr>
          <w:b/>
          <w:bCs/>
          <w:sz w:val="22"/>
          <w:szCs w:val="22"/>
          <w:lang w:val="en-US"/>
        </w:rPr>
      </w:pPr>
      <w:r w:rsidRPr="00AF1445">
        <w:rPr>
          <w:b/>
          <w:bCs/>
          <w:sz w:val="22"/>
          <w:szCs w:val="22"/>
          <w:lang w:val="en-US"/>
        </w:rPr>
        <w:t xml:space="preserve">Table 2: </w:t>
      </w:r>
      <w:proofErr w:type="spellStart"/>
      <w:r w:rsidR="00986E8D">
        <w:rPr>
          <w:b/>
          <w:bCs/>
          <w:sz w:val="22"/>
          <w:szCs w:val="22"/>
          <w:lang w:val="en-US"/>
        </w:rPr>
        <w:t>Mirova’s</w:t>
      </w:r>
      <w:proofErr w:type="spellEnd"/>
      <w:r w:rsidR="00986E8D">
        <w:rPr>
          <w:b/>
          <w:bCs/>
          <w:sz w:val="22"/>
          <w:szCs w:val="22"/>
          <w:lang w:val="en-US"/>
        </w:rPr>
        <w:t xml:space="preserve"> p</w:t>
      </w:r>
      <w:r w:rsidR="00AF1445" w:rsidRPr="00AF1445">
        <w:rPr>
          <w:b/>
          <w:bCs/>
          <w:sz w:val="22"/>
          <w:szCs w:val="22"/>
          <w:lang w:val="en-US"/>
        </w:rPr>
        <w:t xml:space="preserve">roposed </w:t>
      </w:r>
      <w:r w:rsidR="00986E8D">
        <w:rPr>
          <w:b/>
          <w:bCs/>
          <w:sz w:val="22"/>
          <w:szCs w:val="22"/>
          <w:lang w:val="en-US"/>
        </w:rPr>
        <w:t>r</w:t>
      </w:r>
      <w:r w:rsidR="00AF1445" w:rsidRPr="00AF1445">
        <w:rPr>
          <w:b/>
          <w:bCs/>
          <w:sz w:val="22"/>
          <w:szCs w:val="22"/>
          <w:lang w:val="en-US"/>
        </w:rPr>
        <w:t xml:space="preserve">evisions to </w:t>
      </w:r>
      <w:r w:rsidR="00986E8D">
        <w:rPr>
          <w:b/>
          <w:bCs/>
          <w:sz w:val="22"/>
          <w:szCs w:val="22"/>
          <w:lang w:val="en-US"/>
        </w:rPr>
        <w:t>t</w:t>
      </w:r>
      <w:r w:rsidR="00AF1445" w:rsidRPr="00AF1445">
        <w:rPr>
          <w:b/>
          <w:bCs/>
          <w:sz w:val="22"/>
          <w:szCs w:val="22"/>
          <w:lang w:val="en-US"/>
        </w:rPr>
        <w:t>argets</w:t>
      </w:r>
    </w:p>
    <w:tbl>
      <w:tblPr>
        <w:tblStyle w:val="TableGrid"/>
        <w:tblW w:w="0" w:type="auto"/>
        <w:tblLook w:val="04A0" w:firstRow="1" w:lastRow="0" w:firstColumn="1" w:lastColumn="0" w:noHBand="0" w:noVBand="1"/>
      </w:tblPr>
      <w:tblGrid>
        <w:gridCol w:w="3823"/>
        <w:gridCol w:w="1417"/>
        <w:gridCol w:w="1276"/>
        <w:gridCol w:w="1335"/>
        <w:gridCol w:w="1165"/>
      </w:tblGrid>
      <w:tr w:rsidR="00220F11" w:rsidRPr="002124C8" w14:paraId="44FCBB56" w14:textId="46258938" w:rsidTr="00EC4E49">
        <w:tc>
          <w:tcPr>
            <w:tcW w:w="3823" w:type="dxa"/>
            <w:shd w:val="clear" w:color="auto" w:fill="C5E0B3" w:themeFill="accent6" w:themeFillTint="66"/>
          </w:tcPr>
          <w:p w14:paraId="25A3C1B7" w14:textId="135860FD" w:rsidR="00220F11" w:rsidRPr="002124C8" w:rsidRDefault="00DA29E2" w:rsidP="006110D9">
            <w:pPr>
              <w:jc w:val="both"/>
              <w:rPr>
                <w:sz w:val="20"/>
                <w:szCs w:val="20"/>
                <w:lang w:val="en-US"/>
              </w:rPr>
            </w:pPr>
            <w:r>
              <w:rPr>
                <w:sz w:val="20"/>
                <w:szCs w:val="20"/>
                <w:lang w:val="en-US"/>
              </w:rPr>
              <w:t>Indicator</w:t>
            </w:r>
          </w:p>
        </w:tc>
        <w:tc>
          <w:tcPr>
            <w:tcW w:w="1417" w:type="dxa"/>
            <w:shd w:val="clear" w:color="auto" w:fill="C5E0B3" w:themeFill="accent6" w:themeFillTint="66"/>
          </w:tcPr>
          <w:p w14:paraId="164B5144" w14:textId="67CDDED9" w:rsidR="00220F11" w:rsidRPr="002124C8" w:rsidRDefault="00220F11" w:rsidP="006110D9">
            <w:pPr>
              <w:jc w:val="both"/>
              <w:rPr>
                <w:sz w:val="20"/>
                <w:szCs w:val="20"/>
                <w:lang w:val="en-US"/>
              </w:rPr>
            </w:pPr>
            <w:r w:rsidRPr="002124C8">
              <w:rPr>
                <w:sz w:val="20"/>
                <w:szCs w:val="20"/>
                <w:lang w:val="en-US"/>
              </w:rPr>
              <w:t>2024 current target</w:t>
            </w:r>
          </w:p>
        </w:tc>
        <w:tc>
          <w:tcPr>
            <w:tcW w:w="1276" w:type="dxa"/>
            <w:shd w:val="clear" w:color="auto" w:fill="C5E0B3" w:themeFill="accent6" w:themeFillTint="66"/>
          </w:tcPr>
          <w:p w14:paraId="627951A0" w14:textId="0E350542" w:rsidR="00220F11" w:rsidRPr="002124C8" w:rsidRDefault="00220F11" w:rsidP="006110D9">
            <w:pPr>
              <w:jc w:val="both"/>
              <w:rPr>
                <w:sz w:val="20"/>
                <w:szCs w:val="20"/>
                <w:lang w:val="en-US"/>
              </w:rPr>
            </w:pPr>
            <w:r w:rsidRPr="002124C8">
              <w:rPr>
                <w:sz w:val="20"/>
                <w:szCs w:val="20"/>
                <w:lang w:val="en-US"/>
              </w:rPr>
              <w:t>2024 new target</w:t>
            </w:r>
          </w:p>
        </w:tc>
        <w:tc>
          <w:tcPr>
            <w:tcW w:w="1335" w:type="dxa"/>
            <w:shd w:val="clear" w:color="auto" w:fill="C5E0B3" w:themeFill="accent6" w:themeFillTint="66"/>
          </w:tcPr>
          <w:p w14:paraId="633D629B" w14:textId="10F6985D" w:rsidR="00220F11" w:rsidRPr="00131B27" w:rsidRDefault="00220F11" w:rsidP="006110D9">
            <w:pPr>
              <w:jc w:val="both"/>
              <w:rPr>
                <w:b/>
                <w:bCs/>
                <w:sz w:val="20"/>
                <w:szCs w:val="20"/>
                <w:lang w:val="en-US"/>
              </w:rPr>
            </w:pPr>
            <w:r w:rsidRPr="00131B27">
              <w:rPr>
                <w:b/>
                <w:bCs/>
                <w:sz w:val="20"/>
                <w:szCs w:val="20"/>
                <w:lang w:val="en-US"/>
              </w:rPr>
              <w:t>2024 result</w:t>
            </w:r>
          </w:p>
        </w:tc>
        <w:tc>
          <w:tcPr>
            <w:tcW w:w="1165" w:type="dxa"/>
            <w:shd w:val="clear" w:color="auto" w:fill="C5E0B3" w:themeFill="accent6" w:themeFillTint="66"/>
          </w:tcPr>
          <w:p w14:paraId="290E0D00" w14:textId="73233F20" w:rsidR="00220F11" w:rsidRPr="002124C8" w:rsidRDefault="00220F11" w:rsidP="006110D9">
            <w:pPr>
              <w:jc w:val="both"/>
              <w:rPr>
                <w:sz w:val="20"/>
                <w:szCs w:val="20"/>
                <w:lang w:val="en-US"/>
              </w:rPr>
            </w:pPr>
            <w:r>
              <w:rPr>
                <w:sz w:val="20"/>
                <w:szCs w:val="20"/>
                <w:lang w:val="en-US"/>
              </w:rPr>
              <w:t>2025 new target</w:t>
            </w:r>
          </w:p>
        </w:tc>
      </w:tr>
      <w:tr w:rsidR="00220F11" w:rsidRPr="002124C8" w14:paraId="154F15B9" w14:textId="19BA0E15" w:rsidTr="00EC4E49">
        <w:tc>
          <w:tcPr>
            <w:tcW w:w="3823" w:type="dxa"/>
            <w:shd w:val="clear" w:color="auto" w:fill="C5E0B3" w:themeFill="accent6" w:themeFillTint="66"/>
            <w:vAlign w:val="center"/>
          </w:tcPr>
          <w:p w14:paraId="2EABA2B7" w14:textId="46FD0504" w:rsidR="00220F11" w:rsidRPr="002124C8" w:rsidRDefault="00220F11" w:rsidP="006110D9">
            <w:pPr>
              <w:jc w:val="both"/>
              <w:rPr>
                <w:sz w:val="20"/>
                <w:szCs w:val="20"/>
                <w:lang w:val="en-US"/>
              </w:rPr>
            </w:pPr>
            <w:r w:rsidRPr="002124C8">
              <w:rPr>
                <w:rFonts w:cs="Arial"/>
                <w:sz w:val="20"/>
                <w:szCs w:val="20"/>
              </w:rPr>
              <w:t>1. Area of reforestation (ha)</w:t>
            </w:r>
          </w:p>
        </w:tc>
        <w:tc>
          <w:tcPr>
            <w:tcW w:w="1417" w:type="dxa"/>
          </w:tcPr>
          <w:p w14:paraId="098E2378" w14:textId="76F0D50D" w:rsidR="00220F11" w:rsidRPr="002124C8" w:rsidRDefault="00220F11" w:rsidP="006110D9">
            <w:pPr>
              <w:jc w:val="both"/>
              <w:rPr>
                <w:sz w:val="20"/>
                <w:szCs w:val="20"/>
                <w:lang w:val="en-US"/>
              </w:rPr>
            </w:pPr>
            <w:r>
              <w:rPr>
                <w:sz w:val="20"/>
                <w:szCs w:val="20"/>
                <w:lang w:val="en-US"/>
              </w:rPr>
              <w:t>90,000</w:t>
            </w:r>
          </w:p>
        </w:tc>
        <w:tc>
          <w:tcPr>
            <w:tcW w:w="1276" w:type="dxa"/>
          </w:tcPr>
          <w:p w14:paraId="2CF37608" w14:textId="1673E1DD" w:rsidR="00220F11" w:rsidRPr="002124C8" w:rsidRDefault="00220F11" w:rsidP="006110D9">
            <w:pPr>
              <w:jc w:val="both"/>
              <w:rPr>
                <w:sz w:val="20"/>
                <w:szCs w:val="20"/>
                <w:lang w:val="en-US"/>
              </w:rPr>
            </w:pPr>
            <w:r>
              <w:rPr>
                <w:sz w:val="20"/>
                <w:szCs w:val="20"/>
                <w:lang w:val="en-US"/>
              </w:rPr>
              <w:t>80,000</w:t>
            </w:r>
          </w:p>
        </w:tc>
        <w:tc>
          <w:tcPr>
            <w:tcW w:w="1335" w:type="dxa"/>
          </w:tcPr>
          <w:p w14:paraId="1303D6AB" w14:textId="650A18CF" w:rsidR="00220F11" w:rsidRPr="00131B27" w:rsidRDefault="00220F11" w:rsidP="006110D9">
            <w:pPr>
              <w:jc w:val="both"/>
              <w:rPr>
                <w:b/>
                <w:bCs/>
                <w:sz w:val="20"/>
                <w:szCs w:val="20"/>
                <w:lang w:val="en-US"/>
              </w:rPr>
            </w:pPr>
            <w:r w:rsidRPr="00131B27">
              <w:rPr>
                <w:b/>
                <w:bCs/>
                <w:sz w:val="20"/>
                <w:szCs w:val="20"/>
                <w:lang w:val="en-US"/>
              </w:rPr>
              <w:t>75,560</w:t>
            </w:r>
          </w:p>
        </w:tc>
        <w:tc>
          <w:tcPr>
            <w:tcW w:w="1165" w:type="dxa"/>
          </w:tcPr>
          <w:p w14:paraId="11BB0669" w14:textId="6C5FA992" w:rsidR="00220F11" w:rsidRDefault="00220F11" w:rsidP="006110D9">
            <w:pPr>
              <w:jc w:val="both"/>
              <w:rPr>
                <w:sz w:val="20"/>
                <w:szCs w:val="20"/>
                <w:lang w:val="en-US"/>
              </w:rPr>
            </w:pPr>
            <w:r>
              <w:rPr>
                <w:sz w:val="20"/>
                <w:szCs w:val="20"/>
                <w:lang w:val="en-US"/>
              </w:rPr>
              <w:t>80,000</w:t>
            </w:r>
          </w:p>
        </w:tc>
      </w:tr>
      <w:tr w:rsidR="00220F11" w:rsidRPr="002124C8" w14:paraId="0571FB82" w14:textId="12976E31" w:rsidTr="00EC4E49">
        <w:tc>
          <w:tcPr>
            <w:tcW w:w="3823" w:type="dxa"/>
            <w:shd w:val="clear" w:color="auto" w:fill="C5E0B3" w:themeFill="accent6" w:themeFillTint="66"/>
            <w:vAlign w:val="center"/>
          </w:tcPr>
          <w:p w14:paraId="16010525" w14:textId="73B64723" w:rsidR="00220F11" w:rsidRPr="002124C8" w:rsidRDefault="00220F11" w:rsidP="006110D9">
            <w:pPr>
              <w:jc w:val="both"/>
              <w:rPr>
                <w:sz w:val="20"/>
                <w:szCs w:val="20"/>
                <w:lang w:val="en-US"/>
              </w:rPr>
            </w:pPr>
            <w:r w:rsidRPr="002124C8">
              <w:rPr>
                <w:rFonts w:cs="Arial"/>
                <w:sz w:val="20"/>
                <w:szCs w:val="20"/>
              </w:rPr>
              <w:t>2. CO2 emissions avoided (t) – KPI 6</w:t>
            </w:r>
          </w:p>
        </w:tc>
        <w:tc>
          <w:tcPr>
            <w:tcW w:w="1417" w:type="dxa"/>
          </w:tcPr>
          <w:p w14:paraId="402F12FD" w14:textId="36D605AA" w:rsidR="00220F11" w:rsidRPr="002124C8" w:rsidRDefault="00220F11" w:rsidP="006110D9">
            <w:pPr>
              <w:jc w:val="both"/>
              <w:rPr>
                <w:sz w:val="20"/>
                <w:szCs w:val="20"/>
                <w:lang w:val="en-US"/>
              </w:rPr>
            </w:pPr>
            <w:r>
              <w:rPr>
                <w:sz w:val="20"/>
                <w:szCs w:val="20"/>
                <w:lang w:val="en-US"/>
              </w:rPr>
              <w:t>3,000,000</w:t>
            </w:r>
          </w:p>
        </w:tc>
        <w:tc>
          <w:tcPr>
            <w:tcW w:w="1276" w:type="dxa"/>
          </w:tcPr>
          <w:p w14:paraId="68F856BD" w14:textId="0CADDD2D" w:rsidR="00220F11" w:rsidRPr="002124C8" w:rsidRDefault="00220F11" w:rsidP="006110D9">
            <w:pPr>
              <w:jc w:val="both"/>
              <w:rPr>
                <w:sz w:val="20"/>
                <w:szCs w:val="20"/>
                <w:lang w:val="en-US"/>
              </w:rPr>
            </w:pPr>
            <w:r>
              <w:rPr>
                <w:sz w:val="20"/>
                <w:szCs w:val="20"/>
                <w:lang w:val="en-US"/>
              </w:rPr>
              <w:t>2,500,000</w:t>
            </w:r>
          </w:p>
        </w:tc>
        <w:tc>
          <w:tcPr>
            <w:tcW w:w="1335" w:type="dxa"/>
          </w:tcPr>
          <w:p w14:paraId="1A2480E8" w14:textId="2E435DF1" w:rsidR="00220F11" w:rsidRPr="00131B27" w:rsidRDefault="00220F11" w:rsidP="006110D9">
            <w:pPr>
              <w:jc w:val="both"/>
              <w:rPr>
                <w:b/>
                <w:bCs/>
                <w:sz w:val="20"/>
                <w:szCs w:val="20"/>
                <w:lang w:val="en-US"/>
              </w:rPr>
            </w:pPr>
            <w:r w:rsidRPr="00131B27">
              <w:rPr>
                <w:b/>
                <w:bCs/>
                <w:sz w:val="20"/>
                <w:szCs w:val="20"/>
                <w:lang w:val="en-US"/>
              </w:rPr>
              <w:t>2,690,902</w:t>
            </w:r>
          </w:p>
        </w:tc>
        <w:tc>
          <w:tcPr>
            <w:tcW w:w="1165" w:type="dxa"/>
          </w:tcPr>
          <w:p w14:paraId="566B047F" w14:textId="76247133" w:rsidR="00220F11" w:rsidRDefault="00220F11" w:rsidP="006110D9">
            <w:pPr>
              <w:jc w:val="both"/>
              <w:rPr>
                <w:sz w:val="20"/>
                <w:szCs w:val="20"/>
                <w:lang w:val="en-US"/>
              </w:rPr>
            </w:pPr>
            <w:r>
              <w:rPr>
                <w:sz w:val="20"/>
                <w:szCs w:val="20"/>
                <w:lang w:val="en-US"/>
              </w:rPr>
              <w:t>3,500,000</w:t>
            </w:r>
          </w:p>
        </w:tc>
      </w:tr>
      <w:tr w:rsidR="00220F11" w:rsidRPr="002124C8" w14:paraId="67608916" w14:textId="0E9A32B6" w:rsidTr="00EC4E49">
        <w:tc>
          <w:tcPr>
            <w:tcW w:w="3823" w:type="dxa"/>
            <w:shd w:val="clear" w:color="auto" w:fill="C5E0B3" w:themeFill="accent6" w:themeFillTint="66"/>
          </w:tcPr>
          <w:p w14:paraId="00CA58B0" w14:textId="0C530067" w:rsidR="00220F11" w:rsidRPr="002124C8" w:rsidRDefault="00220F11" w:rsidP="006110D9">
            <w:pPr>
              <w:jc w:val="both"/>
              <w:rPr>
                <w:sz w:val="20"/>
                <w:szCs w:val="20"/>
                <w:lang w:val="en-US"/>
              </w:rPr>
            </w:pPr>
            <w:r w:rsidRPr="002124C8">
              <w:rPr>
                <w:rFonts w:cs="Arial"/>
                <w:sz w:val="20"/>
                <w:szCs w:val="20"/>
              </w:rPr>
              <w:t>5. Land contributing towards Land Degradation Neutrality (ha) – KPI 17</w:t>
            </w:r>
          </w:p>
        </w:tc>
        <w:tc>
          <w:tcPr>
            <w:tcW w:w="1417" w:type="dxa"/>
          </w:tcPr>
          <w:p w14:paraId="6DB8FCBA" w14:textId="583253F1" w:rsidR="00220F11" w:rsidRPr="002124C8" w:rsidRDefault="00220F11" w:rsidP="006110D9">
            <w:pPr>
              <w:jc w:val="both"/>
              <w:rPr>
                <w:sz w:val="20"/>
                <w:szCs w:val="20"/>
                <w:lang w:val="en-US"/>
              </w:rPr>
            </w:pPr>
            <w:r>
              <w:rPr>
                <w:sz w:val="20"/>
                <w:szCs w:val="20"/>
                <w:lang w:val="en-US"/>
              </w:rPr>
              <w:t>180,000</w:t>
            </w:r>
          </w:p>
        </w:tc>
        <w:tc>
          <w:tcPr>
            <w:tcW w:w="1276" w:type="dxa"/>
          </w:tcPr>
          <w:p w14:paraId="6CC44C87" w14:textId="2BDA3F65" w:rsidR="00220F11" w:rsidRPr="002124C8" w:rsidRDefault="00220F11" w:rsidP="006110D9">
            <w:pPr>
              <w:jc w:val="both"/>
              <w:rPr>
                <w:sz w:val="20"/>
                <w:szCs w:val="20"/>
                <w:lang w:val="en-US"/>
              </w:rPr>
            </w:pPr>
            <w:r>
              <w:rPr>
                <w:sz w:val="20"/>
                <w:szCs w:val="20"/>
                <w:lang w:val="en-US"/>
              </w:rPr>
              <w:t>150,000</w:t>
            </w:r>
          </w:p>
        </w:tc>
        <w:tc>
          <w:tcPr>
            <w:tcW w:w="1335" w:type="dxa"/>
          </w:tcPr>
          <w:p w14:paraId="41B8BE12" w14:textId="394676E4" w:rsidR="00220F11" w:rsidRPr="00131B27" w:rsidRDefault="00220F11" w:rsidP="006110D9">
            <w:pPr>
              <w:jc w:val="both"/>
              <w:rPr>
                <w:b/>
                <w:bCs/>
                <w:sz w:val="20"/>
                <w:szCs w:val="20"/>
                <w:lang w:val="en-US"/>
              </w:rPr>
            </w:pPr>
            <w:r w:rsidRPr="00131B27">
              <w:rPr>
                <w:b/>
                <w:bCs/>
                <w:sz w:val="20"/>
                <w:szCs w:val="20"/>
                <w:lang w:val="en-US"/>
              </w:rPr>
              <w:t>150,281</w:t>
            </w:r>
          </w:p>
        </w:tc>
        <w:tc>
          <w:tcPr>
            <w:tcW w:w="1165" w:type="dxa"/>
          </w:tcPr>
          <w:p w14:paraId="4C981787" w14:textId="0C4E9A6E" w:rsidR="00220F11" w:rsidRDefault="0098056F" w:rsidP="006110D9">
            <w:pPr>
              <w:jc w:val="both"/>
              <w:rPr>
                <w:sz w:val="20"/>
                <w:szCs w:val="20"/>
                <w:lang w:val="en-US"/>
              </w:rPr>
            </w:pPr>
            <w:r>
              <w:rPr>
                <w:sz w:val="20"/>
                <w:szCs w:val="20"/>
                <w:lang w:val="en-US"/>
              </w:rPr>
              <w:t>160,000</w:t>
            </w:r>
          </w:p>
        </w:tc>
      </w:tr>
    </w:tbl>
    <w:p w14:paraId="6DCA5495" w14:textId="77777777" w:rsidR="009602B4" w:rsidRDefault="009602B4" w:rsidP="006110D9">
      <w:pPr>
        <w:jc w:val="both"/>
        <w:rPr>
          <w:sz w:val="22"/>
          <w:szCs w:val="22"/>
          <w:lang w:val="en-US"/>
        </w:rPr>
      </w:pPr>
    </w:p>
    <w:p w14:paraId="1260143B" w14:textId="0967A9EC" w:rsidR="003B5007" w:rsidRPr="005F6B3D" w:rsidRDefault="009F6276" w:rsidP="006110D9">
      <w:pPr>
        <w:jc w:val="both"/>
        <w:rPr>
          <w:sz w:val="22"/>
          <w:szCs w:val="22"/>
          <w:lang w:val="en-US"/>
        </w:rPr>
      </w:pPr>
      <w:r>
        <w:rPr>
          <w:sz w:val="22"/>
          <w:szCs w:val="22"/>
          <w:lang w:val="en-US"/>
        </w:rPr>
        <w:t xml:space="preserve">It does not make sense </w:t>
      </w:r>
      <w:r w:rsidR="00EF6121">
        <w:rPr>
          <w:sz w:val="22"/>
          <w:szCs w:val="22"/>
          <w:lang w:val="en-US"/>
        </w:rPr>
        <w:t xml:space="preserve">now </w:t>
      </w:r>
      <w:r>
        <w:rPr>
          <w:sz w:val="22"/>
          <w:szCs w:val="22"/>
          <w:lang w:val="en-US"/>
        </w:rPr>
        <w:t xml:space="preserve">to adjust the targets for 2024, but </w:t>
      </w:r>
      <w:r w:rsidR="00954559">
        <w:rPr>
          <w:sz w:val="22"/>
          <w:szCs w:val="22"/>
          <w:lang w:val="en-US"/>
        </w:rPr>
        <w:t xml:space="preserve">as part of this annual review a conversation </w:t>
      </w:r>
      <w:r w:rsidR="000B4FCB">
        <w:rPr>
          <w:sz w:val="22"/>
          <w:szCs w:val="22"/>
          <w:lang w:val="en-US"/>
        </w:rPr>
        <w:t>can</w:t>
      </w:r>
      <w:r w:rsidR="00954559">
        <w:rPr>
          <w:sz w:val="22"/>
          <w:szCs w:val="22"/>
          <w:lang w:val="en-US"/>
        </w:rPr>
        <w:t xml:space="preserve"> be had about targets for 2025 onwards to ensure </w:t>
      </w:r>
      <w:r w:rsidR="003B147B">
        <w:rPr>
          <w:sz w:val="22"/>
          <w:szCs w:val="22"/>
          <w:lang w:val="en-US"/>
        </w:rPr>
        <w:t>we</w:t>
      </w:r>
      <w:r w:rsidR="00954559">
        <w:rPr>
          <w:sz w:val="22"/>
          <w:szCs w:val="22"/>
          <w:lang w:val="en-US"/>
        </w:rPr>
        <w:t xml:space="preserve"> balance realistic targets with stretching ambition</w:t>
      </w:r>
      <w:r w:rsidR="000765E8">
        <w:rPr>
          <w:sz w:val="22"/>
          <w:szCs w:val="22"/>
          <w:lang w:val="en-US"/>
        </w:rPr>
        <w:t xml:space="preserve"> year-on-year</w:t>
      </w:r>
      <w:r w:rsidR="003B147B">
        <w:rPr>
          <w:sz w:val="22"/>
          <w:szCs w:val="22"/>
          <w:lang w:val="en-US"/>
        </w:rPr>
        <w:t xml:space="preserve">, and </w:t>
      </w:r>
      <w:r w:rsidR="00EE28D1">
        <w:rPr>
          <w:sz w:val="22"/>
          <w:szCs w:val="22"/>
          <w:lang w:val="en-US"/>
        </w:rPr>
        <w:t xml:space="preserve">to deliver on the expected value for money </w:t>
      </w:r>
      <w:r w:rsidR="003B147B">
        <w:rPr>
          <w:sz w:val="22"/>
          <w:szCs w:val="22"/>
          <w:lang w:val="en-US"/>
        </w:rPr>
        <w:t>as set out in the 2019 business case.</w:t>
      </w:r>
      <w:r w:rsidR="006D0E22">
        <w:rPr>
          <w:sz w:val="22"/>
          <w:szCs w:val="22"/>
          <w:lang w:val="en-US"/>
        </w:rPr>
        <w:t xml:space="preserve"> Targets will need reviewing in any case </w:t>
      </w:r>
      <w:proofErr w:type="gramStart"/>
      <w:r w:rsidR="006D0E22">
        <w:rPr>
          <w:sz w:val="22"/>
          <w:szCs w:val="22"/>
          <w:lang w:val="en-US"/>
        </w:rPr>
        <w:t>in order to</w:t>
      </w:r>
      <w:proofErr w:type="gramEnd"/>
      <w:r w:rsidR="006D0E22">
        <w:rPr>
          <w:sz w:val="22"/>
          <w:szCs w:val="22"/>
          <w:lang w:val="en-US"/>
        </w:rPr>
        <w:t xml:space="preserve"> add reporting on Defra’s new investment in </w:t>
      </w:r>
      <w:r w:rsidR="005120E2">
        <w:rPr>
          <w:sz w:val="22"/>
          <w:szCs w:val="22"/>
          <w:lang w:val="en-US"/>
        </w:rPr>
        <w:t>successor fund SLF2.</w:t>
      </w:r>
    </w:p>
    <w:p w14:paraId="1434113C" w14:textId="77777777" w:rsidR="005F6B3D" w:rsidRDefault="005F6B3D" w:rsidP="006110D9">
      <w:pPr>
        <w:jc w:val="both"/>
        <w:rPr>
          <w:sz w:val="22"/>
          <w:szCs w:val="22"/>
          <w:lang w:val="en-US"/>
        </w:rPr>
      </w:pPr>
    </w:p>
    <w:p w14:paraId="1475187E" w14:textId="4D54A37F" w:rsidR="00A67804" w:rsidRPr="00493BD5" w:rsidRDefault="00493BD5" w:rsidP="006110D9">
      <w:pPr>
        <w:jc w:val="both"/>
        <w:rPr>
          <w:sz w:val="22"/>
          <w:szCs w:val="22"/>
        </w:rPr>
      </w:pPr>
      <w:r>
        <w:rPr>
          <w:sz w:val="22"/>
          <w:szCs w:val="22"/>
          <w:lang w:val="en-US"/>
        </w:rPr>
        <w:t xml:space="preserve">Note that </w:t>
      </w:r>
      <w:r w:rsidR="000F5F51" w:rsidRPr="00493BD5">
        <w:rPr>
          <w:sz w:val="22"/>
          <w:szCs w:val="22"/>
          <w:lang w:val="en-US"/>
        </w:rPr>
        <w:t xml:space="preserve">Defra’s </w:t>
      </w:r>
      <w:r w:rsidR="008F332A">
        <w:rPr>
          <w:sz w:val="22"/>
          <w:szCs w:val="22"/>
          <w:lang w:val="en-US"/>
        </w:rPr>
        <w:t xml:space="preserve">cumulative </w:t>
      </w:r>
      <w:r w:rsidR="008F332A">
        <w:rPr>
          <w:sz w:val="22"/>
          <w:szCs w:val="22"/>
        </w:rPr>
        <w:t>d</w:t>
      </w:r>
      <w:r w:rsidR="006E3C9A" w:rsidRPr="00493BD5">
        <w:rPr>
          <w:sz w:val="22"/>
          <w:szCs w:val="22"/>
        </w:rPr>
        <w:t>irect a</w:t>
      </w:r>
      <w:r w:rsidR="00607FDF" w:rsidRPr="00493BD5">
        <w:rPr>
          <w:sz w:val="22"/>
          <w:szCs w:val="22"/>
        </w:rPr>
        <w:t>ttribution is calculated from the percentage of Defra’s share in the Fund each year (</w:t>
      </w:r>
      <w:r w:rsidR="009A6F7F" w:rsidRPr="00493BD5">
        <w:rPr>
          <w:sz w:val="22"/>
          <w:szCs w:val="22"/>
        </w:rPr>
        <w:t>since</w:t>
      </w:r>
      <w:r w:rsidR="00607FDF" w:rsidRPr="00493BD5">
        <w:rPr>
          <w:sz w:val="22"/>
          <w:szCs w:val="22"/>
        </w:rPr>
        <w:t xml:space="preserve"> 202</w:t>
      </w:r>
      <w:r w:rsidR="7DBD322E" w:rsidRPr="00493BD5">
        <w:rPr>
          <w:sz w:val="22"/>
          <w:szCs w:val="22"/>
        </w:rPr>
        <w:t xml:space="preserve">3 </w:t>
      </w:r>
      <w:r w:rsidR="00607FDF" w:rsidRPr="00493BD5">
        <w:rPr>
          <w:sz w:val="22"/>
          <w:szCs w:val="22"/>
        </w:rPr>
        <w:t xml:space="preserve">this </w:t>
      </w:r>
      <w:r w:rsidR="009A6F7F" w:rsidRPr="00493BD5">
        <w:rPr>
          <w:sz w:val="22"/>
          <w:szCs w:val="22"/>
        </w:rPr>
        <w:t>has been</w:t>
      </w:r>
      <w:r w:rsidR="00607FDF" w:rsidRPr="00493BD5">
        <w:rPr>
          <w:sz w:val="22"/>
          <w:szCs w:val="22"/>
        </w:rPr>
        <w:t xml:space="preserve"> 6.</w:t>
      </w:r>
      <w:r w:rsidR="36B19EA6" w:rsidRPr="00493BD5">
        <w:rPr>
          <w:sz w:val="22"/>
          <w:szCs w:val="22"/>
        </w:rPr>
        <w:t>32</w:t>
      </w:r>
      <w:r w:rsidR="00607FDF" w:rsidRPr="00493BD5">
        <w:rPr>
          <w:sz w:val="22"/>
          <w:szCs w:val="22"/>
        </w:rPr>
        <w:t xml:space="preserve">%) and the increase in Fund level results, </w:t>
      </w:r>
      <w:r w:rsidR="00CC6527">
        <w:rPr>
          <w:sz w:val="22"/>
          <w:szCs w:val="22"/>
        </w:rPr>
        <w:t>then</w:t>
      </w:r>
      <w:r w:rsidR="00607FDF" w:rsidRPr="00493BD5">
        <w:rPr>
          <w:sz w:val="22"/>
          <w:szCs w:val="22"/>
        </w:rPr>
        <w:t xml:space="preserve"> added to the previous year’s attribution.</w:t>
      </w:r>
      <w:r w:rsidR="00383E92" w:rsidRPr="00493BD5">
        <w:rPr>
          <w:sz w:val="22"/>
          <w:szCs w:val="22"/>
        </w:rPr>
        <w:t xml:space="preserve"> </w:t>
      </w:r>
      <w:r w:rsidR="00383E92" w:rsidRPr="00493BD5">
        <w:rPr>
          <w:sz w:val="22"/>
          <w:szCs w:val="22"/>
          <w:lang w:val="en-US"/>
        </w:rPr>
        <w:t xml:space="preserve">Leveraged attribution is based on the impacts of additional finance and co-investment leveraged by Defra’s investment (5.6% of total Fund size </w:t>
      </w:r>
      <w:r w:rsidRPr="00493BD5">
        <w:rPr>
          <w:sz w:val="22"/>
          <w:szCs w:val="22"/>
          <w:lang w:val="en-US"/>
        </w:rPr>
        <w:t>since</w:t>
      </w:r>
      <w:r w:rsidR="00383E92" w:rsidRPr="00493BD5">
        <w:rPr>
          <w:sz w:val="22"/>
          <w:szCs w:val="22"/>
          <w:lang w:val="en-US"/>
        </w:rPr>
        <w:t xml:space="preserve"> </w:t>
      </w:r>
      <w:r w:rsidR="005831F7" w:rsidRPr="00493BD5">
        <w:rPr>
          <w:sz w:val="22"/>
          <w:szCs w:val="22"/>
          <w:lang w:val="en-US"/>
        </w:rPr>
        <w:t>2023)</w:t>
      </w:r>
      <w:r w:rsidR="00383E92" w:rsidRPr="00493BD5">
        <w:rPr>
          <w:sz w:val="22"/>
          <w:szCs w:val="22"/>
          <w:lang w:val="en-US"/>
        </w:rPr>
        <w:t>.</w:t>
      </w:r>
    </w:p>
    <w:p w14:paraId="589D81D0" w14:textId="77777777" w:rsidR="003E25D3" w:rsidRPr="003F1006" w:rsidRDefault="003E25D3" w:rsidP="006110D9">
      <w:pPr>
        <w:jc w:val="both"/>
        <w:rPr>
          <w:sz w:val="22"/>
          <w:szCs w:val="22"/>
        </w:rPr>
      </w:pPr>
    </w:p>
    <w:p w14:paraId="525EBD47" w14:textId="77777777" w:rsidR="000F5F51" w:rsidRPr="002055D4" w:rsidRDefault="000F5F51" w:rsidP="006110D9">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jc w:val="both"/>
        <w:rPr>
          <w:b w:val="0"/>
          <w:i w:val="0"/>
          <w:sz w:val="20"/>
          <w:szCs w:val="20"/>
        </w:rPr>
      </w:pPr>
      <w:r w:rsidRPr="60E67443">
        <w:rPr>
          <w:i w:val="0"/>
        </w:rPr>
        <w:t>C. DETAILED OUTPUT SCORING</w:t>
      </w:r>
    </w:p>
    <w:p w14:paraId="17901C25" w14:textId="77777777" w:rsidR="000F5F51" w:rsidRPr="002055D4" w:rsidRDefault="000F5F51" w:rsidP="006110D9">
      <w:pPr>
        <w:jc w:val="both"/>
        <w:rPr>
          <w:color w:val="FF0000"/>
          <w:sz w:val="22"/>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FB10F8" w:rsidRPr="002055D4" w14:paraId="11D93F4D" w14:textId="77777777" w:rsidTr="00EC4E49">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E49360" w14:textId="77777777" w:rsidR="000F5F51" w:rsidRPr="002055D4" w:rsidRDefault="000F5F51" w:rsidP="006110D9">
            <w:pPr>
              <w:jc w:val="both"/>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BF6B061" w14:textId="77777777" w:rsidR="000F5F51" w:rsidRPr="002055D4" w:rsidRDefault="000F5F51" w:rsidP="006110D9">
            <w:pPr>
              <w:jc w:val="both"/>
              <w:rPr>
                <w:rFonts w:cs="Arial"/>
                <w:i/>
                <w:iCs/>
                <w:sz w:val="20"/>
                <w:szCs w:val="20"/>
              </w:rPr>
            </w:pPr>
            <w:r w:rsidRPr="60E67443">
              <w:rPr>
                <w:rFonts w:cs="Arial"/>
                <w:sz w:val="20"/>
                <w:szCs w:val="20"/>
                <w:shd w:val="clear" w:color="auto" w:fill="FFFFFF"/>
              </w:rPr>
              <w:t>The LDN Fund provides finance and technical assistance to support successful SLM projects which provide financial returns for investors, sustained benefits for local communities and non-financial benefits on a local, national and global scale.</w:t>
            </w:r>
          </w:p>
        </w:tc>
      </w:tr>
      <w:tr w:rsidR="008507EE" w:rsidRPr="002055D4" w14:paraId="5EB38F4B" w14:textId="77777777" w:rsidTr="00EC4E49">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5E1A14" w14:textId="77777777" w:rsidR="000F5F51" w:rsidRPr="002055D4" w:rsidRDefault="000F5F51" w:rsidP="006110D9">
            <w:pPr>
              <w:jc w:val="both"/>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731B5870" w14:textId="77777777" w:rsidR="000F5F51" w:rsidRPr="002055D4" w:rsidRDefault="000F5F51" w:rsidP="006110D9">
            <w:pPr>
              <w:jc w:val="both"/>
              <w:rPr>
                <w:sz w:val="20"/>
                <w:szCs w:val="20"/>
              </w:rPr>
            </w:pPr>
            <w:r w:rsidRPr="60E67443">
              <w:rPr>
                <w:sz w:val="20"/>
                <w:szCs w:val="20"/>
              </w:rPr>
              <w:t>1</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1CC575" w14:textId="77777777" w:rsidR="000F5F51" w:rsidRPr="002055D4" w:rsidRDefault="000F5F51" w:rsidP="006110D9">
            <w:pPr>
              <w:jc w:val="both"/>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19D0149D" w14:textId="3591873B" w:rsidR="000F5F51" w:rsidRPr="00621FC2" w:rsidRDefault="0087119C" w:rsidP="006110D9">
            <w:pPr>
              <w:jc w:val="both"/>
              <w:rPr>
                <w:sz w:val="20"/>
                <w:szCs w:val="20"/>
              </w:rPr>
            </w:pPr>
            <w:r>
              <w:rPr>
                <w:sz w:val="20"/>
                <w:szCs w:val="20"/>
              </w:rPr>
              <w:t>A</w:t>
            </w:r>
          </w:p>
        </w:tc>
      </w:tr>
      <w:tr w:rsidR="008507EE" w:rsidRPr="002055D4" w14:paraId="73F4D352" w14:textId="77777777" w:rsidTr="00EC4E49">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8D1C4B" w14:textId="77777777" w:rsidR="000F5F51" w:rsidRPr="002055D4" w:rsidRDefault="000F5F51" w:rsidP="006110D9">
            <w:pPr>
              <w:jc w:val="both"/>
              <w:rPr>
                <w:sz w:val="20"/>
                <w:szCs w:val="20"/>
              </w:rPr>
            </w:pPr>
            <w:r w:rsidRPr="60E67443">
              <w:rPr>
                <w:sz w:val="20"/>
                <w:szCs w:val="20"/>
              </w:rPr>
              <w:lastRenderedPageBreak/>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2583403D" w14:textId="3146AE90" w:rsidR="000F5F51" w:rsidRPr="002055D4" w:rsidRDefault="00F81108" w:rsidP="006110D9">
            <w:pPr>
              <w:jc w:val="both"/>
              <w:rPr>
                <w:sz w:val="20"/>
                <w:szCs w:val="20"/>
              </w:rPr>
            </w:pPr>
            <w:r>
              <w:rPr>
                <w:sz w:val="20"/>
                <w:szCs w:val="20"/>
              </w:rPr>
              <w:t>40</w:t>
            </w:r>
            <w:r w:rsidR="0048417D">
              <w:rPr>
                <w:sz w:val="20"/>
                <w:szCs w:val="20"/>
              </w:rPr>
              <w: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443994" w14:textId="77777777" w:rsidR="000F5F51" w:rsidRPr="002055D4" w:rsidRDefault="000F5F51" w:rsidP="006110D9">
            <w:pPr>
              <w:jc w:val="both"/>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4F61BF4D" w14:textId="77777777" w:rsidR="000F5F51" w:rsidRPr="002055D4" w:rsidRDefault="000F5F51" w:rsidP="006110D9">
            <w:pPr>
              <w:jc w:val="both"/>
              <w:rPr>
                <w:sz w:val="20"/>
                <w:szCs w:val="20"/>
              </w:rPr>
            </w:pPr>
            <w:r>
              <w:rPr>
                <w:sz w:val="20"/>
                <w:szCs w:val="20"/>
              </w:rPr>
              <w:t>N/A</w:t>
            </w:r>
          </w:p>
        </w:tc>
      </w:tr>
    </w:tbl>
    <w:p w14:paraId="125BF5A4" w14:textId="77777777" w:rsidR="000F5F51" w:rsidRPr="002055D4" w:rsidRDefault="000F5F51" w:rsidP="006110D9">
      <w:pPr>
        <w:jc w:val="both"/>
        <w:rPr>
          <w:b/>
          <w:color w:val="FF0000"/>
        </w:rPr>
      </w:pPr>
    </w:p>
    <w:tbl>
      <w:tblPr>
        <w:tblStyle w:val="TableGrid"/>
        <w:tblpPr w:leftFromText="180" w:rightFromText="180" w:vertAnchor="text" w:horzAnchor="margin" w:tblpXSpec="right" w:tblpY="-67"/>
        <w:tblOverlap w:val="never"/>
        <w:tblW w:w="9197" w:type="dxa"/>
        <w:tblLook w:val="04A0" w:firstRow="1" w:lastRow="0" w:firstColumn="1" w:lastColumn="0" w:noHBand="0" w:noVBand="1"/>
      </w:tblPr>
      <w:tblGrid>
        <w:gridCol w:w="4106"/>
        <w:gridCol w:w="1701"/>
        <w:gridCol w:w="1843"/>
        <w:gridCol w:w="1547"/>
      </w:tblGrid>
      <w:tr w:rsidR="003340C6" w:rsidRPr="002055D4" w14:paraId="5612A093" w14:textId="77777777" w:rsidTr="00EC4E49">
        <w:trPr>
          <w:trHeight w:val="239"/>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3F1793" w14:textId="01C32033" w:rsidR="003340C6" w:rsidRPr="00F33E7C" w:rsidRDefault="003340C6" w:rsidP="006110D9">
            <w:pPr>
              <w:jc w:val="both"/>
              <w:rPr>
                <w:b/>
                <w:bCs/>
                <w:sz w:val="20"/>
                <w:szCs w:val="20"/>
              </w:rPr>
            </w:pPr>
            <w:r>
              <w:rPr>
                <w:b/>
                <w:bCs/>
                <w:sz w:val="20"/>
                <w:szCs w:val="20"/>
              </w:rPr>
              <w:t xml:space="preserve">Output </w:t>
            </w:r>
            <w:r w:rsidRPr="60E67443">
              <w:rPr>
                <w:b/>
                <w:bCs/>
                <w:sz w:val="20"/>
                <w:szCs w:val="20"/>
              </w:rPr>
              <w:t>Indicator(s)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BEDC2B" w14:textId="0955D614" w:rsidR="003340C6" w:rsidRDefault="003340C6" w:rsidP="006110D9">
            <w:pPr>
              <w:jc w:val="both"/>
              <w:rPr>
                <w:b/>
                <w:bCs/>
                <w:sz w:val="20"/>
                <w:szCs w:val="20"/>
              </w:rPr>
            </w:pPr>
            <w:r>
              <w:rPr>
                <w:b/>
                <w:bCs/>
                <w:sz w:val="20"/>
                <w:szCs w:val="20"/>
              </w:rPr>
              <w:t>2024 in-year results</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110616" w14:textId="20E15375" w:rsidR="003340C6" w:rsidRDefault="003340C6" w:rsidP="006110D9">
            <w:pPr>
              <w:jc w:val="both"/>
              <w:rPr>
                <w:b/>
                <w:bCs/>
                <w:sz w:val="20"/>
                <w:szCs w:val="20"/>
              </w:rPr>
            </w:pPr>
            <w:r w:rsidRPr="6991F9F2">
              <w:rPr>
                <w:b/>
                <w:bCs/>
                <w:sz w:val="20"/>
                <w:szCs w:val="20"/>
              </w:rPr>
              <w:t>202</w:t>
            </w:r>
            <w:r>
              <w:rPr>
                <w:b/>
                <w:bCs/>
                <w:sz w:val="20"/>
                <w:szCs w:val="20"/>
              </w:rPr>
              <w:t>4</w:t>
            </w:r>
            <w:r w:rsidRPr="6991F9F2">
              <w:rPr>
                <w:b/>
                <w:bCs/>
                <w:sz w:val="20"/>
                <w:szCs w:val="20"/>
              </w:rPr>
              <w:t xml:space="preserve"> milestone</w:t>
            </w:r>
            <w:r>
              <w:rPr>
                <w:b/>
                <w:bCs/>
                <w:sz w:val="20"/>
                <w:szCs w:val="20"/>
              </w:rPr>
              <w:t>s (cumulative)</w:t>
            </w:r>
          </w:p>
        </w:tc>
        <w:tc>
          <w:tcPr>
            <w:tcW w:w="1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2330C3" w14:textId="4F3510C6" w:rsidR="003340C6" w:rsidRDefault="003340C6" w:rsidP="006110D9">
            <w:pPr>
              <w:jc w:val="both"/>
              <w:rPr>
                <w:sz w:val="20"/>
                <w:szCs w:val="20"/>
              </w:rPr>
            </w:pPr>
            <w:r w:rsidRPr="495999B5">
              <w:rPr>
                <w:b/>
                <w:bCs/>
                <w:sz w:val="20"/>
                <w:szCs w:val="20"/>
              </w:rPr>
              <w:t>202</w:t>
            </w:r>
            <w:r>
              <w:rPr>
                <w:b/>
                <w:bCs/>
                <w:sz w:val="20"/>
                <w:szCs w:val="20"/>
              </w:rPr>
              <w:t>4 results (cumulative)</w:t>
            </w:r>
          </w:p>
        </w:tc>
      </w:tr>
      <w:tr w:rsidR="003340C6" w:rsidRPr="002055D4" w14:paraId="48609C4E"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23A70B6F" w14:textId="77777777" w:rsidR="003340C6" w:rsidRPr="002055D4" w:rsidRDefault="003340C6" w:rsidP="006110D9">
            <w:pPr>
              <w:jc w:val="both"/>
              <w:rPr>
                <w:rFonts w:eastAsia="Arial" w:cs="Arial"/>
                <w:sz w:val="20"/>
                <w:szCs w:val="20"/>
              </w:rPr>
            </w:pPr>
            <w:r w:rsidRPr="60E67443">
              <w:rPr>
                <w:rFonts w:eastAsia="Arial" w:cs="Arial"/>
                <w:sz w:val="20"/>
                <w:szCs w:val="20"/>
              </w:rPr>
              <w:t>1.1 Level of TA funding provided</w:t>
            </w:r>
            <w:r>
              <w:rPr>
                <w:rFonts w:eastAsia="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00D4D63" w14:textId="313B8CD6" w:rsidR="003340C6" w:rsidRPr="60E67443" w:rsidRDefault="000372DC" w:rsidP="006110D9">
            <w:pPr>
              <w:jc w:val="both"/>
              <w:rPr>
                <w:rFonts w:eastAsia="Arial" w:cs="Arial"/>
                <w:sz w:val="20"/>
                <w:szCs w:val="20"/>
              </w:rPr>
            </w:pPr>
            <w:r>
              <w:rPr>
                <w:rFonts w:eastAsia="Arial" w:cs="Arial"/>
                <w:sz w:val="20"/>
                <w:szCs w:val="20"/>
              </w:rPr>
              <w:t>309</w:t>
            </w:r>
            <w:r w:rsidR="00EE1B38">
              <w:rPr>
                <w:rFonts w:eastAsia="Arial" w:cs="Arial"/>
                <w:sz w:val="20"/>
                <w:szCs w:val="20"/>
              </w:rPr>
              <w:t>,327</w:t>
            </w:r>
          </w:p>
        </w:tc>
        <w:tc>
          <w:tcPr>
            <w:tcW w:w="1843" w:type="dxa"/>
            <w:tcBorders>
              <w:top w:val="single" w:sz="4" w:space="0" w:color="auto"/>
              <w:left w:val="single" w:sz="4" w:space="0" w:color="auto"/>
              <w:bottom w:val="single" w:sz="4" w:space="0" w:color="auto"/>
              <w:right w:val="single" w:sz="4" w:space="0" w:color="auto"/>
            </w:tcBorders>
            <w:vAlign w:val="center"/>
          </w:tcPr>
          <w:p w14:paraId="095EAE81" w14:textId="39250BBC" w:rsidR="003340C6" w:rsidRDefault="003340C6" w:rsidP="006110D9">
            <w:pPr>
              <w:jc w:val="both"/>
              <w:rPr>
                <w:rFonts w:eastAsia="Arial" w:cs="Arial"/>
                <w:sz w:val="20"/>
                <w:szCs w:val="20"/>
              </w:rPr>
            </w:pPr>
            <w:r w:rsidRPr="495999B5">
              <w:rPr>
                <w:rFonts w:eastAsia="Arial" w:cs="Arial"/>
                <w:sz w:val="20"/>
                <w:szCs w:val="20"/>
              </w:rPr>
              <w:t>2,</w:t>
            </w:r>
            <w:r w:rsidR="004F0673">
              <w:rPr>
                <w:rFonts w:eastAsia="Arial" w:cs="Arial"/>
                <w:sz w:val="20"/>
                <w:szCs w:val="20"/>
              </w:rPr>
              <w:t>7</w:t>
            </w:r>
            <w:r w:rsidRPr="495999B5">
              <w:rPr>
                <w:rFonts w:eastAsia="Arial" w:cs="Arial"/>
                <w:sz w:val="20"/>
                <w:szCs w:val="20"/>
              </w:rPr>
              <w:t>00,000</w:t>
            </w:r>
          </w:p>
        </w:tc>
        <w:tc>
          <w:tcPr>
            <w:tcW w:w="1547" w:type="dxa"/>
            <w:tcBorders>
              <w:top w:val="single" w:sz="4" w:space="0" w:color="auto"/>
              <w:left w:val="single" w:sz="4" w:space="0" w:color="auto"/>
              <w:bottom w:val="single" w:sz="4" w:space="0" w:color="auto"/>
              <w:right w:val="single" w:sz="4" w:space="0" w:color="auto"/>
            </w:tcBorders>
            <w:shd w:val="clear" w:color="auto" w:fill="92D050"/>
            <w:vAlign w:val="center"/>
          </w:tcPr>
          <w:p w14:paraId="10592EAF" w14:textId="66B9C0BB" w:rsidR="003340C6" w:rsidRDefault="003340C6" w:rsidP="006110D9">
            <w:pPr>
              <w:jc w:val="both"/>
              <w:rPr>
                <w:rFonts w:eastAsia="Arial" w:cs="Arial"/>
                <w:sz w:val="20"/>
                <w:szCs w:val="20"/>
              </w:rPr>
            </w:pPr>
            <w:r w:rsidRPr="495999B5">
              <w:rPr>
                <w:rFonts w:eastAsia="Arial" w:cs="Arial"/>
                <w:sz w:val="20"/>
                <w:szCs w:val="20"/>
              </w:rPr>
              <w:t>2,</w:t>
            </w:r>
            <w:r w:rsidR="000372DC">
              <w:rPr>
                <w:rFonts w:eastAsia="Arial" w:cs="Arial"/>
                <w:sz w:val="20"/>
                <w:szCs w:val="20"/>
              </w:rPr>
              <w:t>709,327</w:t>
            </w:r>
          </w:p>
        </w:tc>
      </w:tr>
      <w:tr w:rsidR="003340C6" w:rsidRPr="002055D4" w14:paraId="542BC565"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3D594709" w14:textId="77777777" w:rsidR="003340C6" w:rsidRPr="002055D4" w:rsidRDefault="003340C6" w:rsidP="006110D9">
            <w:pPr>
              <w:jc w:val="both"/>
              <w:rPr>
                <w:rFonts w:eastAsia="Arial" w:cs="Arial"/>
                <w:sz w:val="20"/>
                <w:szCs w:val="20"/>
              </w:rPr>
            </w:pPr>
            <w:r w:rsidRPr="60E67443">
              <w:rPr>
                <w:rFonts w:eastAsia="Arial" w:cs="Arial"/>
                <w:sz w:val="20"/>
                <w:szCs w:val="20"/>
              </w:rPr>
              <w:t>1.2 Level of project investment provided</w:t>
            </w:r>
            <w:r>
              <w:rPr>
                <w:rFonts w:eastAsia="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467F019" w14:textId="49EA8818" w:rsidR="003340C6" w:rsidRPr="60E67443" w:rsidRDefault="009D3C9B" w:rsidP="006110D9">
            <w:pPr>
              <w:jc w:val="both"/>
              <w:rPr>
                <w:rFonts w:eastAsia="Arial" w:cs="Arial"/>
                <w:color w:val="000000" w:themeColor="text1"/>
                <w:sz w:val="20"/>
                <w:szCs w:val="20"/>
              </w:rPr>
            </w:pPr>
            <w:r>
              <w:rPr>
                <w:rFonts w:eastAsia="Arial" w:cs="Arial"/>
                <w:color w:val="000000" w:themeColor="text1"/>
                <w:sz w:val="20"/>
                <w:szCs w:val="20"/>
              </w:rPr>
              <w:t>6</w:t>
            </w:r>
            <w:r w:rsidR="003340C6">
              <w:rPr>
                <w:rFonts w:eastAsia="Arial" w:cs="Arial"/>
                <w:color w:val="000000" w:themeColor="text1"/>
                <w:sz w:val="20"/>
                <w:szCs w:val="20"/>
              </w:rPr>
              <w:t>.4 million</w:t>
            </w:r>
          </w:p>
        </w:tc>
        <w:tc>
          <w:tcPr>
            <w:tcW w:w="1843" w:type="dxa"/>
            <w:tcBorders>
              <w:top w:val="single" w:sz="4" w:space="0" w:color="auto"/>
              <w:left w:val="single" w:sz="4" w:space="0" w:color="auto"/>
              <w:bottom w:val="single" w:sz="4" w:space="0" w:color="auto"/>
              <w:right w:val="single" w:sz="4" w:space="0" w:color="auto"/>
            </w:tcBorders>
            <w:vAlign w:val="center"/>
          </w:tcPr>
          <w:p w14:paraId="0272EE77" w14:textId="52538700" w:rsidR="003340C6" w:rsidRDefault="003340C6" w:rsidP="006110D9">
            <w:pPr>
              <w:jc w:val="both"/>
              <w:rPr>
                <w:rFonts w:eastAsia="Arial" w:cs="Arial"/>
                <w:color w:val="000000" w:themeColor="text1"/>
                <w:sz w:val="20"/>
                <w:szCs w:val="20"/>
              </w:rPr>
            </w:pPr>
            <w:r w:rsidRPr="07486C01">
              <w:rPr>
                <w:rFonts w:eastAsia="Arial" w:cs="Arial"/>
                <w:color w:val="000000" w:themeColor="text1"/>
                <w:sz w:val="20"/>
                <w:szCs w:val="20"/>
              </w:rPr>
              <w:t>180</w:t>
            </w:r>
            <w:r>
              <w:rPr>
                <w:rFonts w:eastAsia="Arial" w:cs="Arial"/>
                <w:color w:val="000000" w:themeColor="text1"/>
                <w:sz w:val="20"/>
                <w:szCs w:val="20"/>
              </w:rPr>
              <w:t xml:space="preserve"> million</w:t>
            </w:r>
          </w:p>
        </w:tc>
        <w:tc>
          <w:tcPr>
            <w:tcW w:w="154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E32F69E" w14:textId="7A0BFCEB" w:rsidR="003340C6" w:rsidRDefault="003340C6" w:rsidP="006110D9">
            <w:pPr>
              <w:jc w:val="both"/>
              <w:rPr>
                <w:rFonts w:eastAsia="Arial" w:cs="Arial"/>
                <w:color w:val="000000" w:themeColor="text1"/>
                <w:sz w:val="20"/>
                <w:szCs w:val="20"/>
              </w:rPr>
            </w:pPr>
            <w:r w:rsidRPr="07486C01">
              <w:rPr>
                <w:rFonts w:eastAsia="Arial" w:cs="Arial"/>
                <w:color w:val="000000" w:themeColor="text1"/>
                <w:sz w:val="20"/>
                <w:szCs w:val="20"/>
              </w:rPr>
              <w:t>1</w:t>
            </w:r>
            <w:r w:rsidR="00EE1B38">
              <w:rPr>
                <w:rFonts w:eastAsia="Arial" w:cs="Arial"/>
                <w:color w:val="000000" w:themeColor="text1"/>
                <w:sz w:val="20"/>
                <w:szCs w:val="20"/>
              </w:rPr>
              <w:t>71.</w:t>
            </w:r>
            <w:r w:rsidR="00EA3FC4">
              <w:rPr>
                <w:rFonts w:eastAsia="Arial" w:cs="Arial"/>
                <w:color w:val="000000" w:themeColor="text1"/>
                <w:sz w:val="20"/>
                <w:szCs w:val="20"/>
              </w:rPr>
              <w:t xml:space="preserve">8 </w:t>
            </w:r>
            <w:r>
              <w:rPr>
                <w:rFonts w:eastAsia="Arial" w:cs="Arial"/>
                <w:color w:val="000000" w:themeColor="text1"/>
                <w:sz w:val="20"/>
                <w:szCs w:val="20"/>
              </w:rPr>
              <w:t>million</w:t>
            </w:r>
          </w:p>
        </w:tc>
      </w:tr>
      <w:tr w:rsidR="003340C6" w:rsidRPr="002055D4" w14:paraId="344289A8"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2E4094CD" w14:textId="77777777" w:rsidR="003340C6" w:rsidRPr="002055D4" w:rsidRDefault="003340C6" w:rsidP="006110D9">
            <w:pPr>
              <w:jc w:val="both"/>
              <w:rPr>
                <w:rFonts w:eastAsia="Arial" w:cs="Arial"/>
                <w:sz w:val="20"/>
                <w:szCs w:val="20"/>
              </w:rPr>
            </w:pPr>
            <w:r w:rsidRPr="60E67443">
              <w:rPr>
                <w:rFonts w:eastAsia="Arial" w:cs="Arial"/>
                <w:sz w:val="20"/>
                <w:szCs w:val="20"/>
              </w:rPr>
              <w:t xml:space="preserve">1.3 Number of </w:t>
            </w:r>
            <w:r>
              <w:rPr>
                <w:rFonts w:eastAsia="Arial" w:cs="Arial"/>
                <w:sz w:val="20"/>
                <w:szCs w:val="20"/>
              </w:rPr>
              <w:t xml:space="preserve">TA </w:t>
            </w:r>
            <w:r w:rsidRPr="60E67443">
              <w:rPr>
                <w:rFonts w:eastAsia="Arial" w:cs="Arial"/>
                <w:sz w:val="20"/>
                <w:szCs w:val="20"/>
              </w:rPr>
              <w:t>projects funded</w:t>
            </w:r>
          </w:p>
        </w:tc>
        <w:tc>
          <w:tcPr>
            <w:tcW w:w="1701" w:type="dxa"/>
            <w:tcBorders>
              <w:top w:val="single" w:sz="4" w:space="0" w:color="auto"/>
              <w:left w:val="single" w:sz="4" w:space="0" w:color="auto"/>
              <w:bottom w:val="single" w:sz="4" w:space="0" w:color="auto"/>
              <w:right w:val="single" w:sz="4" w:space="0" w:color="auto"/>
            </w:tcBorders>
            <w:vAlign w:val="center"/>
          </w:tcPr>
          <w:p w14:paraId="7304A312" w14:textId="5CA95223" w:rsidR="003340C6" w:rsidRPr="60E67443" w:rsidRDefault="00525173" w:rsidP="006110D9">
            <w:pPr>
              <w:jc w:val="both"/>
              <w:rPr>
                <w:rFonts w:eastAsia="Arial" w:cs="Arial"/>
                <w:sz w:val="20"/>
                <w:szCs w:val="20"/>
              </w:rPr>
            </w:pPr>
            <w:r>
              <w:rPr>
                <w:rFonts w:eastAsia="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13F0ED44" w14:textId="591A9145" w:rsidR="003340C6" w:rsidRDefault="00C67127" w:rsidP="006110D9">
            <w:pPr>
              <w:jc w:val="both"/>
              <w:rPr>
                <w:rFonts w:eastAsia="Arial" w:cs="Arial"/>
                <w:sz w:val="20"/>
                <w:szCs w:val="20"/>
              </w:rPr>
            </w:pPr>
            <w:r>
              <w:rPr>
                <w:rFonts w:eastAsia="Arial" w:cs="Arial"/>
                <w:sz w:val="20"/>
                <w:szCs w:val="20"/>
              </w:rPr>
              <w:t>29</w:t>
            </w:r>
          </w:p>
        </w:tc>
        <w:tc>
          <w:tcPr>
            <w:tcW w:w="1547" w:type="dxa"/>
            <w:tcBorders>
              <w:top w:val="single" w:sz="4" w:space="0" w:color="auto"/>
              <w:left w:val="single" w:sz="4" w:space="0" w:color="auto"/>
              <w:bottom w:val="single" w:sz="4" w:space="0" w:color="auto"/>
              <w:right w:val="single" w:sz="4" w:space="0" w:color="auto"/>
            </w:tcBorders>
            <w:shd w:val="clear" w:color="auto" w:fill="92D050"/>
            <w:vAlign w:val="center"/>
          </w:tcPr>
          <w:p w14:paraId="1CCB09C5" w14:textId="77777777" w:rsidR="003340C6" w:rsidRDefault="003340C6" w:rsidP="006110D9">
            <w:pPr>
              <w:jc w:val="both"/>
              <w:rPr>
                <w:rFonts w:eastAsia="Arial" w:cs="Arial"/>
                <w:sz w:val="20"/>
                <w:szCs w:val="20"/>
              </w:rPr>
            </w:pPr>
            <w:r w:rsidRPr="07486C01">
              <w:rPr>
                <w:rFonts w:eastAsia="Arial" w:cs="Arial"/>
                <w:sz w:val="20"/>
                <w:szCs w:val="20"/>
              </w:rPr>
              <w:t>30</w:t>
            </w:r>
          </w:p>
        </w:tc>
      </w:tr>
      <w:tr w:rsidR="003340C6" w:rsidRPr="002055D4" w14:paraId="6693EC97"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77A7C99F" w14:textId="77777777" w:rsidR="003340C6" w:rsidRPr="002055D4" w:rsidRDefault="003340C6" w:rsidP="006110D9">
            <w:pPr>
              <w:jc w:val="both"/>
              <w:rPr>
                <w:rFonts w:eastAsia="Arial" w:cs="Arial"/>
                <w:sz w:val="20"/>
                <w:szCs w:val="20"/>
              </w:rPr>
            </w:pPr>
            <w:r w:rsidRPr="60E67443">
              <w:rPr>
                <w:rFonts w:eastAsia="Arial" w:cs="Arial"/>
                <w:sz w:val="20"/>
                <w:szCs w:val="20"/>
              </w:rPr>
              <w:t>1.4 Number of countries TA is provided</w:t>
            </w:r>
          </w:p>
        </w:tc>
        <w:tc>
          <w:tcPr>
            <w:tcW w:w="1701" w:type="dxa"/>
            <w:tcBorders>
              <w:top w:val="single" w:sz="4" w:space="0" w:color="auto"/>
              <w:left w:val="single" w:sz="4" w:space="0" w:color="auto"/>
              <w:bottom w:val="single" w:sz="4" w:space="0" w:color="auto"/>
              <w:right w:val="single" w:sz="4" w:space="0" w:color="auto"/>
            </w:tcBorders>
            <w:vAlign w:val="center"/>
          </w:tcPr>
          <w:p w14:paraId="5D9608F2" w14:textId="0FCA96DE" w:rsidR="003340C6" w:rsidRPr="60E67443" w:rsidRDefault="000D6FB6" w:rsidP="006110D9">
            <w:pPr>
              <w:jc w:val="both"/>
              <w:rPr>
                <w:rFonts w:eastAsia="Arial" w:cs="Arial"/>
                <w:sz w:val="20"/>
                <w:szCs w:val="20"/>
              </w:rPr>
            </w:pPr>
            <w:r>
              <w:rPr>
                <w:rFonts w:eastAsia="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5FE21B8E" w14:textId="121A1BE9" w:rsidR="003340C6" w:rsidRDefault="003340C6" w:rsidP="006110D9">
            <w:pPr>
              <w:jc w:val="both"/>
              <w:rPr>
                <w:rFonts w:eastAsia="Arial" w:cs="Arial"/>
                <w:sz w:val="20"/>
                <w:szCs w:val="20"/>
              </w:rPr>
            </w:pPr>
            <w:r w:rsidRPr="7E9A2E9B">
              <w:rPr>
                <w:rFonts w:eastAsia="Arial" w:cs="Arial"/>
                <w:sz w:val="20"/>
                <w:szCs w:val="20"/>
              </w:rPr>
              <w:t>1</w:t>
            </w:r>
            <w:r w:rsidR="007809CD">
              <w:rPr>
                <w:rFonts w:eastAsia="Arial" w:cs="Arial"/>
                <w:sz w:val="20"/>
                <w:szCs w:val="20"/>
              </w:rPr>
              <w:t>9</w:t>
            </w:r>
          </w:p>
        </w:tc>
        <w:tc>
          <w:tcPr>
            <w:tcW w:w="1547"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00480928" w14:textId="30315990" w:rsidR="003340C6" w:rsidRDefault="003340C6" w:rsidP="006110D9">
            <w:pPr>
              <w:jc w:val="both"/>
              <w:rPr>
                <w:rFonts w:eastAsia="Arial" w:cs="Arial"/>
                <w:sz w:val="20"/>
                <w:szCs w:val="20"/>
              </w:rPr>
            </w:pPr>
            <w:r w:rsidRPr="7E9A2E9B">
              <w:rPr>
                <w:rFonts w:eastAsia="Arial" w:cs="Arial"/>
                <w:sz w:val="20"/>
                <w:szCs w:val="20"/>
              </w:rPr>
              <w:t>1</w:t>
            </w:r>
            <w:r w:rsidR="007809CD">
              <w:rPr>
                <w:rFonts w:eastAsia="Arial" w:cs="Arial"/>
                <w:sz w:val="20"/>
                <w:szCs w:val="20"/>
              </w:rPr>
              <w:t>8</w:t>
            </w:r>
          </w:p>
        </w:tc>
      </w:tr>
      <w:tr w:rsidR="003340C6" w:rsidRPr="00A341F7" w14:paraId="4B7C584B"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53E84B60" w14:textId="77777777" w:rsidR="003340C6" w:rsidRPr="002055D4" w:rsidRDefault="003340C6" w:rsidP="006110D9">
            <w:pPr>
              <w:jc w:val="both"/>
              <w:rPr>
                <w:rFonts w:eastAsia="Arial" w:cs="Arial"/>
                <w:sz w:val="20"/>
                <w:szCs w:val="20"/>
              </w:rPr>
            </w:pPr>
            <w:r w:rsidRPr="3F1ACADE">
              <w:rPr>
                <w:rFonts w:eastAsia="Arial" w:cs="Arial"/>
                <w:sz w:val="20"/>
                <w:szCs w:val="20"/>
              </w:rPr>
              <w:t>1.5 Number of knowledge products</w:t>
            </w:r>
          </w:p>
        </w:tc>
        <w:tc>
          <w:tcPr>
            <w:tcW w:w="1701" w:type="dxa"/>
            <w:tcBorders>
              <w:top w:val="single" w:sz="4" w:space="0" w:color="auto"/>
              <w:left w:val="single" w:sz="4" w:space="0" w:color="auto"/>
              <w:bottom w:val="single" w:sz="4" w:space="0" w:color="auto"/>
              <w:right w:val="single" w:sz="4" w:space="0" w:color="auto"/>
            </w:tcBorders>
            <w:vAlign w:val="center"/>
          </w:tcPr>
          <w:p w14:paraId="143D400D" w14:textId="363F7F59" w:rsidR="003340C6" w:rsidRPr="00A341F7" w:rsidRDefault="006E3C71" w:rsidP="006110D9">
            <w:pPr>
              <w:jc w:val="both"/>
              <w:rPr>
                <w:rFonts w:eastAsia="Arial" w:cs="Arial"/>
                <w:sz w:val="20"/>
                <w:szCs w:val="20"/>
                <w:highlight w:val="lightGray"/>
              </w:rPr>
            </w:pPr>
            <w:r>
              <w:rPr>
                <w:rFonts w:eastAsia="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CEECCC" w14:textId="737B87E8" w:rsidR="003340C6" w:rsidRDefault="000C0AFA" w:rsidP="006110D9">
            <w:pPr>
              <w:jc w:val="both"/>
              <w:rPr>
                <w:rFonts w:eastAsia="Arial" w:cs="Arial"/>
                <w:sz w:val="20"/>
                <w:szCs w:val="20"/>
              </w:rPr>
            </w:pPr>
            <w:r>
              <w:rPr>
                <w:rFonts w:eastAsia="Arial" w:cs="Arial"/>
                <w:sz w:val="20"/>
                <w:szCs w:val="20"/>
              </w:rPr>
              <w:t>17</w:t>
            </w:r>
          </w:p>
        </w:tc>
        <w:tc>
          <w:tcPr>
            <w:tcW w:w="1547" w:type="dxa"/>
            <w:tcBorders>
              <w:top w:val="single" w:sz="4" w:space="0" w:color="auto"/>
              <w:left w:val="single" w:sz="4" w:space="0" w:color="auto"/>
              <w:bottom w:val="single" w:sz="4" w:space="0" w:color="auto"/>
              <w:right w:val="single" w:sz="4" w:space="0" w:color="auto"/>
            </w:tcBorders>
            <w:shd w:val="clear" w:color="auto" w:fill="92D050"/>
            <w:vAlign w:val="center"/>
          </w:tcPr>
          <w:p w14:paraId="795EF8D1" w14:textId="26E3E048" w:rsidR="003340C6" w:rsidRDefault="003340C6" w:rsidP="006110D9">
            <w:pPr>
              <w:jc w:val="both"/>
              <w:rPr>
                <w:rFonts w:eastAsia="Arial" w:cs="Arial"/>
                <w:sz w:val="20"/>
                <w:szCs w:val="20"/>
              </w:rPr>
            </w:pPr>
            <w:r w:rsidRPr="7E9A2E9B">
              <w:rPr>
                <w:rFonts w:eastAsia="Arial" w:cs="Arial"/>
                <w:sz w:val="20"/>
                <w:szCs w:val="20"/>
              </w:rPr>
              <w:t>1</w:t>
            </w:r>
            <w:r w:rsidR="000C0AFA">
              <w:rPr>
                <w:rFonts w:eastAsia="Arial" w:cs="Arial"/>
                <w:sz w:val="20"/>
                <w:szCs w:val="20"/>
              </w:rPr>
              <w:t>7</w:t>
            </w:r>
          </w:p>
        </w:tc>
      </w:tr>
      <w:tr w:rsidR="00991906" w:rsidRPr="002055D4" w14:paraId="6A00644A" w14:textId="77777777" w:rsidTr="00EC4E49">
        <w:trPr>
          <w:trHeight w:val="197"/>
        </w:trPr>
        <w:tc>
          <w:tcPr>
            <w:tcW w:w="4106" w:type="dxa"/>
            <w:tcBorders>
              <w:top w:val="single" w:sz="4" w:space="0" w:color="auto"/>
              <w:left w:val="single" w:sz="4" w:space="0" w:color="auto"/>
              <w:bottom w:val="single" w:sz="4" w:space="0" w:color="auto"/>
              <w:right w:val="single" w:sz="4" w:space="0" w:color="auto"/>
            </w:tcBorders>
          </w:tcPr>
          <w:p w14:paraId="7C542483" w14:textId="63696983" w:rsidR="00991906" w:rsidRPr="002055D4" w:rsidRDefault="00991906" w:rsidP="006110D9">
            <w:pPr>
              <w:jc w:val="both"/>
              <w:rPr>
                <w:rFonts w:eastAsia="Arial" w:cs="Arial"/>
                <w:sz w:val="20"/>
                <w:szCs w:val="20"/>
              </w:rPr>
            </w:pPr>
            <w:r w:rsidRPr="60E67443">
              <w:rPr>
                <w:rFonts w:eastAsia="Arial" w:cs="Arial"/>
                <w:sz w:val="20"/>
                <w:szCs w:val="20"/>
              </w:rPr>
              <w:t>1.6 Overall return rate on investments</w:t>
            </w:r>
          </w:p>
        </w:tc>
        <w:tc>
          <w:tcPr>
            <w:tcW w:w="5091" w:type="dxa"/>
            <w:gridSpan w:val="3"/>
            <w:tcBorders>
              <w:top w:val="single" w:sz="4" w:space="0" w:color="auto"/>
              <w:left w:val="single" w:sz="4" w:space="0" w:color="auto"/>
              <w:bottom w:val="single" w:sz="4" w:space="0" w:color="auto"/>
              <w:right w:val="single" w:sz="4" w:space="0" w:color="auto"/>
            </w:tcBorders>
            <w:vAlign w:val="center"/>
          </w:tcPr>
          <w:p w14:paraId="7BE70D91" w14:textId="6D88DE7A" w:rsidR="00991906" w:rsidRDefault="00991906" w:rsidP="006110D9">
            <w:pPr>
              <w:jc w:val="both"/>
              <w:rPr>
                <w:rFonts w:eastAsia="Arial" w:cs="Arial"/>
                <w:sz w:val="20"/>
                <w:szCs w:val="20"/>
              </w:rPr>
            </w:pPr>
            <w:r w:rsidRPr="7E9A2E9B">
              <w:rPr>
                <w:rFonts w:eastAsia="Arial" w:cs="Arial"/>
                <w:sz w:val="20"/>
                <w:szCs w:val="20"/>
              </w:rPr>
              <w:t xml:space="preserve">Results </w:t>
            </w:r>
            <w:r w:rsidR="00DB465B">
              <w:rPr>
                <w:rFonts w:eastAsia="Arial" w:cs="Arial"/>
                <w:sz w:val="20"/>
                <w:szCs w:val="20"/>
              </w:rPr>
              <w:t xml:space="preserve">expected </w:t>
            </w:r>
            <w:r w:rsidRPr="7E9A2E9B">
              <w:rPr>
                <w:rFonts w:eastAsia="Arial" w:cs="Arial"/>
                <w:sz w:val="20"/>
                <w:szCs w:val="20"/>
              </w:rPr>
              <w:t>from 2028</w:t>
            </w:r>
          </w:p>
        </w:tc>
      </w:tr>
    </w:tbl>
    <w:p w14:paraId="3B43855F" w14:textId="74CD83CF" w:rsidR="00A83706" w:rsidRPr="00A83706" w:rsidRDefault="00A83706" w:rsidP="006110D9">
      <w:pPr>
        <w:pStyle w:val="ListParagraph"/>
        <w:numPr>
          <w:ilvl w:val="0"/>
          <w:numId w:val="7"/>
        </w:numPr>
        <w:spacing w:line="257" w:lineRule="auto"/>
        <w:jc w:val="both"/>
        <w:rPr>
          <w:rFonts w:eastAsia="Arial" w:cs="Arial"/>
          <w:sz w:val="22"/>
          <w:szCs w:val="22"/>
        </w:rPr>
      </w:pPr>
      <w:r w:rsidRPr="002A3185">
        <w:rPr>
          <w:rFonts w:eastAsia="Arial" w:cs="Arial"/>
          <w:b/>
          <w:bCs/>
          <w:sz w:val="22"/>
          <w:szCs w:val="22"/>
        </w:rPr>
        <w:t xml:space="preserve">Output </w:t>
      </w:r>
      <w:r w:rsidR="003013C0" w:rsidRPr="002A3185">
        <w:rPr>
          <w:rFonts w:eastAsia="Arial" w:cs="Arial"/>
          <w:b/>
          <w:bCs/>
          <w:sz w:val="22"/>
          <w:szCs w:val="22"/>
        </w:rPr>
        <w:t>Indicator 1.1:</w:t>
      </w:r>
      <w:r w:rsidR="003013C0">
        <w:rPr>
          <w:rFonts w:eastAsia="Arial" w:cs="Arial"/>
          <w:sz w:val="22"/>
          <w:szCs w:val="22"/>
        </w:rPr>
        <w:t xml:space="preserve"> This indicator has now reached the end-of-project target of $2.7 million.</w:t>
      </w:r>
    </w:p>
    <w:p w14:paraId="09E046F6" w14:textId="55A1CD08" w:rsidR="00745BB6" w:rsidRPr="00745BB6" w:rsidRDefault="00745BB6" w:rsidP="006110D9">
      <w:pPr>
        <w:pStyle w:val="ListParagraph"/>
        <w:numPr>
          <w:ilvl w:val="0"/>
          <w:numId w:val="7"/>
        </w:numPr>
        <w:spacing w:line="257" w:lineRule="auto"/>
        <w:jc w:val="both"/>
        <w:rPr>
          <w:rFonts w:eastAsia="Arial" w:cs="Arial"/>
          <w:sz w:val="22"/>
          <w:szCs w:val="22"/>
        </w:rPr>
      </w:pPr>
      <w:r>
        <w:rPr>
          <w:rFonts w:eastAsia="Arial" w:cs="Arial"/>
          <w:b/>
          <w:bCs/>
          <w:sz w:val="22"/>
          <w:szCs w:val="22"/>
        </w:rPr>
        <w:t>Output Indicator 1.2:</w:t>
      </w:r>
      <w:r>
        <w:rPr>
          <w:rFonts w:eastAsia="Arial" w:cs="Arial"/>
          <w:sz w:val="22"/>
          <w:szCs w:val="22"/>
        </w:rPr>
        <w:t xml:space="preserve"> </w:t>
      </w:r>
      <w:r w:rsidR="00975AE3">
        <w:rPr>
          <w:rFonts w:eastAsia="Arial" w:cs="Arial"/>
          <w:sz w:val="22"/>
          <w:szCs w:val="22"/>
        </w:rPr>
        <w:t xml:space="preserve">Disbursements are continuing </w:t>
      </w:r>
      <w:r w:rsidR="00BA04CE">
        <w:rPr>
          <w:rFonts w:eastAsia="Arial" w:cs="Arial"/>
          <w:sz w:val="22"/>
          <w:szCs w:val="22"/>
        </w:rPr>
        <w:t>through</w:t>
      </w:r>
      <w:r w:rsidR="00975AE3">
        <w:rPr>
          <w:rFonts w:eastAsia="Arial" w:cs="Arial"/>
          <w:sz w:val="22"/>
          <w:szCs w:val="22"/>
        </w:rPr>
        <w:t xml:space="preserve"> </w:t>
      </w:r>
      <w:r w:rsidR="00BA04CE">
        <w:rPr>
          <w:rFonts w:eastAsia="Arial" w:cs="Arial"/>
          <w:sz w:val="22"/>
          <w:szCs w:val="22"/>
        </w:rPr>
        <w:t xml:space="preserve">existing commitments and </w:t>
      </w:r>
      <w:r w:rsidR="00975AE3">
        <w:rPr>
          <w:rFonts w:eastAsia="Arial" w:cs="Arial"/>
          <w:sz w:val="22"/>
          <w:szCs w:val="22"/>
        </w:rPr>
        <w:t>follow-on investments</w:t>
      </w:r>
      <w:r w:rsidR="00BA04CE">
        <w:rPr>
          <w:rFonts w:eastAsia="Arial" w:cs="Arial"/>
          <w:sz w:val="22"/>
          <w:szCs w:val="22"/>
        </w:rPr>
        <w:t>, so this indicator is likely to reach the end</w:t>
      </w:r>
      <w:r w:rsidR="00A83706">
        <w:rPr>
          <w:rFonts w:eastAsia="Arial" w:cs="Arial"/>
          <w:sz w:val="22"/>
          <w:szCs w:val="22"/>
        </w:rPr>
        <w:t>-</w:t>
      </w:r>
      <w:r w:rsidR="00BA04CE">
        <w:rPr>
          <w:rFonts w:eastAsia="Arial" w:cs="Arial"/>
          <w:sz w:val="22"/>
          <w:szCs w:val="22"/>
        </w:rPr>
        <w:t>of</w:t>
      </w:r>
      <w:r w:rsidR="00A83706">
        <w:rPr>
          <w:rFonts w:eastAsia="Arial" w:cs="Arial"/>
          <w:sz w:val="22"/>
          <w:szCs w:val="22"/>
        </w:rPr>
        <w:t>-</w:t>
      </w:r>
      <w:r w:rsidR="00BA04CE">
        <w:rPr>
          <w:rFonts w:eastAsia="Arial" w:cs="Arial"/>
          <w:sz w:val="22"/>
          <w:szCs w:val="22"/>
        </w:rPr>
        <w:t>project</w:t>
      </w:r>
      <w:r w:rsidR="00A83706">
        <w:rPr>
          <w:rFonts w:eastAsia="Arial" w:cs="Arial"/>
          <w:sz w:val="22"/>
          <w:szCs w:val="22"/>
        </w:rPr>
        <w:t xml:space="preserve"> </w:t>
      </w:r>
      <w:r w:rsidR="00BA04CE">
        <w:rPr>
          <w:rFonts w:eastAsia="Arial" w:cs="Arial"/>
          <w:sz w:val="22"/>
          <w:szCs w:val="22"/>
        </w:rPr>
        <w:t xml:space="preserve">target </w:t>
      </w:r>
      <w:r w:rsidR="00562FF8">
        <w:rPr>
          <w:rFonts w:eastAsia="Arial" w:cs="Arial"/>
          <w:sz w:val="22"/>
          <w:szCs w:val="22"/>
        </w:rPr>
        <w:t xml:space="preserve">of 180 million in 2025, two years later than hoped but still </w:t>
      </w:r>
      <w:r w:rsidR="00A83706">
        <w:rPr>
          <w:rFonts w:eastAsia="Arial" w:cs="Arial"/>
          <w:sz w:val="22"/>
          <w:szCs w:val="22"/>
        </w:rPr>
        <w:t>in the first half of the Fund’s lifetime.</w:t>
      </w:r>
    </w:p>
    <w:p w14:paraId="2786D8C3" w14:textId="487C47E4" w:rsidR="00274B58" w:rsidRDefault="00517475" w:rsidP="006110D9">
      <w:pPr>
        <w:pStyle w:val="ListParagraph"/>
        <w:numPr>
          <w:ilvl w:val="0"/>
          <w:numId w:val="7"/>
        </w:numPr>
        <w:spacing w:line="257" w:lineRule="auto"/>
        <w:jc w:val="both"/>
        <w:rPr>
          <w:rFonts w:eastAsia="Arial" w:cs="Arial"/>
          <w:sz w:val="22"/>
          <w:szCs w:val="22"/>
        </w:rPr>
      </w:pPr>
      <w:r>
        <w:rPr>
          <w:rFonts w:eastAsia="Arial" w:cs="Arial"/>
          <w:b/>
          <w:bCs/>
          <w:sz w:val="22"/>
          <w:szCs w:val="22"/>
        </w:rPr>
        <w:t xml:space="preserve">Output </w:t>
      </w:r>
      <w:r w:rsidR="00C025FA">
        <w:rPr>
          <w:rFonts w:eastAsia="Arial" w:cs="Arial"/>
          <w:b/>
          <w:bCs/>
          <w:sz w:val="22"/>
          <w:szCs w:val="22"/>
        </w:rPr>
        <w:t>Indic</w:t>
      </w:r>
      <w:r w:rsidR="00745BB6">
        <w:rPr>
          <w:rFonts w:eastAsia="Arial" w:cs="Arial"/>
          <w:b/>
          <w:bCs/>
          <w:sz w:val="22"/>
          <w:szCs w:val="22"/>
        </w:rPr>
        <w:t>a</w:t>
      </w:r>
      <w:r w:rsidR="00C025FA">
        <w:rPr>
          <w:rFonts w:eastAsia="Arial" w:cs="Arial"/>
          <w:b/>
          <w:bCs/>
          <w:sz w:val="22"/>
          <w:szCs w:val="22"/>
        </w:rPr>
        <w:t xml:space="preserve">tor 1.3: </w:t>
      </w:r>
      <w:r w:rsidR="00F44F57">
        <w:rPr>
          <w:rFonts w:eastAsia="Arial" w:cs="Arial"/>
          <w:sz w:val="22"/>
          <w:szCs w:val="22"/>
        </w:rPr>
        <w:t>30</w:t>
      </w:r>
      <w:r w:rsidR="000F5F51" w:rsidRPr="00F7082F">
        <w:rPr>
          <w:rFonts w:eastAsia="Arial" w:cs="Arial"/>
          <w:sz w:val="22"/>
          <w:szCs w:val="22"/>
        </w:rPr>
        <w:t xml:space="preserve"> projects </w:t>
      </w:r>
      <w:r w:rsidR="00F44F57">
        <w:rPr>
          <w:rFonts w:eastAsia="Arial" w:cs="Arial"/>
          <w:sz w:val="22"/>
          <w:szCs w:val="22"/>
        </w:rPr>
        <w:t xml:space="preserve">have received </w:t>
      </w:r>
      <w:r w:rsidR="00422A95">
        <w:rPr>
          <w:rFonts w:eastAsia="Arial" w:cs="Arial"/>
          <w:sz w:val="22"/>
          <w:szCs w:val="22"/>
        </w:rPr>
        <w:t xml:space="preserve">TA </w:t>
      </w:r>
      <w:r w:rsidR="000F5F51" w:rsidRPr="00F7082F">
        <w:rPr>
          <w:rFonts w:eastAsia="Arial" w:cs="Arial"/>
          <w:sz w:val="22"/>
          <w:szCs w:val="22"/>
        </w:rPr>
        <w:t xml:space="preserve">for </w:t>
      </w:r>
      <w:r w:rsidR="002E4482" w:rsidRPr="00F7082F">
        <w:rPr>
          <w:rFonts w:eastAsia="Arial" w:cs="Arial"/>
          <w:sz w:val="22"/>
          <w:szCs w:val="22"/>
        </w:rPr>
        <w:t>pre-</w:t>
      </w:r>
      <w:r w:rsidR="000F5F51" w:rsidRPr="00F7082F">
        <w:rPr>
          <w:rFonts w:eastAsia="Arial" w:cs="Arial"/>
          <w:sz w:val="22"/>
          <w:szCs w:val="22"/>
        </w:rPr>
        <w:t xml:space="preserve">investment preparation </w:t>
      </w:r>
      <w:r w:rsidR="002E4482" w:rsidRPr="00F7082F">
        <w:rPr>
          <w:rFonts w:eastAsia="Arial" w:cs="Arial"/>
          <w:sz w:val="22"/>
          <w:szCs w:val="22"/>
        </w:rPr>
        <w:t xml:space="preserve">and post-investment </w:t>
      </w:r>
      <w:r w:rsidR="000F5F51" w:rsidRPr="00F7082F">
        <w:rPr>
          <w:rFonts w:eastAsia="Arial" w:cs="Arial"/>
          <w:sz w:val="22"/>
          <w:szCs w:val="22"/>
        </w:rPr>
        <w:t xml:space="preserve">through the </w:t>
      </w:r>
      <w:r w:rsidR="004B750B" w:rsidRPr="00F7082F">
        <w:rPr>
          <w:rFonts w:eastAsia="Arial" w:cs="Arial"/>
          <w:sz w:val="22"/>
          <w:szCs w:val="22"/>
        </w:rPr>
        <w:t>TAF</w:t>
      </w:r>
      <w:r w:rsidR="00274B58" w:rsidRPr="00F7082F">
        <w:rPr>
          <w:rFonts w:eastAsia="Arial" w:cs="Arial"/>
          <w:sz w:val="22"/>
          <w:szCs w:val="22"/>
        </w:rPr>
        <w:t>.</w:t>
      </w:r>
      <w:r w:rsidR="00326EE4">
        <w:rPr>
          <w:rFonts w:eastAsia="Arial" w:cs="Arial"/>
          <w:sz w:val="22"/>
          <w:szCs w:val="22"/>
        </w:rPr>
        <w:t xml:space="preserve"> Examples of </w:t>
      </w:r>
      <w:r w:rsidR="00937488">
        <w:rPr>
          <w:rFonts w:eastAsia="Arial" w:cs="Arial"/>
          <w:sz w:val="22"/>
          <w:szCs w:val="22"/>
        </w:rPr>
        <w:t xml:space="preserve">TA support </w:t>
      </w:r>
      <w:r w:rsidR="004F37AF">
        <w:rPr>
          <w:rFonts w:eastAsia="Arial" w:cs="Arial"/>
          <w:sz w:val="22"/>
          <w:szCs w:val="22"/>
        </w:rPr>
        <w:t xml:space="preserve">provided </w:t>
      </w:r>
      <w:r w:rsidR="00326EE4">
        <w:rPr>
          <w:rFonts w:eastAsia="Arial" w:cs="Arial"/>
          <w:sz w:val="22"/>
          <w:szCs w:val="22"/>
        </w:rPr>
        <w:t>in</w:t>
      </w:r>
      <w:r w:rsidR="00867AFD">
        <w:rPr>
          <w:rFonts w:eastAsia="Arial" w:cs="Arial"/>
          <w:sz w:val="22"/>
          <w:szCs w:val="22"/>
        </w:rPr>
        <w:t xml:space="preserve"> 2024 are:</w:t>
      </w:r>
    </w:p>
    <w:p w14:paraId="5C8FE0F4" w14:textId="2A25A222" w:rsidR="00DD3512" w:rsidRPr="00326EE4" w:rsidRDefault="009A467E" w:rsidP="00DD3512">
      <w:pPr>
        <w:pStyle w:val="ListParagraph"/>
        <w:numPr>
          <w:ilvl w:val="1"/>
          <w:numId w:val="7"/>
        </w:numPr>
        <w:spacing w:after="0"/>
        <w:contextualSpacing w:val="0"/>
        <w:rPr>
          <w:rFonts w:cs="Arial"/>
          <w:sz w:val="22"/>
          <w:szCs w:val="22"/>
          <w:lang w:val="x-none" w:eastAsia="en-US"/>
        </w:rPr>
      </w:pPr>
      <w:r>
        <w:rPr>
          <w:rFonts w:cs="Arial"/>
          <w:sz w:val="22"/>
          <w:szCs w:val="22"/>
          <w:lang w:val="x-none" w:eastAsia="en-US"/>
        </w:rPr>
        <w:t>P</w:t>
      </w:r>
      <w:r w:rsidR="00DD3512" w:rsidRPr="00326EE4">
        <w:rPr>
          <w:rFonts w:cs="Arial"/>
          <w:sz w:val="22"/>
          <w:szCs w:val="22"/>
          <w:lang w:val="x-none" w:eastAsia="en-US"/>
        </w:rPr>
        <w:t xml:space="preserve">ost-investment TA supported </w:t>
      </w:r>
      <w:proofErr w:type="spellStart"/>
      <w:r w:rsidR="00DD3512" w:rsidRPr="00326EE4">
        <w:rPr>
          <w:rFonts w:cs="Arial"/>
          <w:sz w:val="22"/>
          <w:szCs w:val="22"/>
          <w:lang w:val="x-none" w:eastAsia="en-US"/>
        </w:rPr>
        <w:t>Terrasos</w:t>
      </w:r>
      <w:proofErr w:type="spellEnd"/>
      <w:r w:rsidR="00DD3512" w:rsidRPr="00326EE4">
        <w:rPr>
          <w:rFonts w:cs="Arial"/>
          <w:sz w:val="22"/>
          <w:szCs w:val="22"/>
          <w:lang w:val="x-none" w:eastAsia="en-US"/>
        </w:rPr>
        <w:t xml:space="preserve"> </w:t>
      </w:r>
      <w:r>
        <w:rPr>
          <w:rFonts w:cs="Arial"/>
          <w:sz w:val="22"/>
          <w:szCs w:val="22"/>
          <w:lang w:val="x-none" w:eastAsia="en-US"/>
        </w:rPr>
        <w:t xml:space="preserve">(which </w:t>
      </w:r>
      <w:r w:rsidRPr="00326EE4">
        <w:rPr>
          <w:rFonts w:cs="Arial"/>
          <w:sz w:val="22"/>
          <w:szCs w:val="22"/>
          <w:lang w:val="x-none" w:eastAsia="en-US"/>
        </w:rPr>
        <w:t>implements Habitat Banks in Colombia to generate payment for biodiversity compensations</w:t>
      </w:r>
      <w:r>
        <w:rPr>
          <w:rFonts w:cs="Arial"/>
          <w:sz w:val="22"/>
          <w:szCs w:val="22"/>
          <w:lang w:val="x-none" w:eastAsia="en-US"/>
        </w:rPr>
        <w:t>)</w:t>
      </w:r>
      <w:r w:rsidRPr="00326EE4">
        <w:rPr>
          <w:rFonts w:cs="Arial"/>
          <w:sz w:val="22"/>
          <w:szCs w:val="22"/>
          <w:lang w:val="x-none" w:eastAsia="en-US"/>
        </w:rPr>
        <w:t xml:space="preserve"> </w:t>
      </w:r>
      <w:r w:rsidR="00DD3512" w:rsidRPr="00326EE4">
        <w:rPr>
          <w:rFonts w:cs="Arial"/>
          <w:sz w:val="22"/>
          <w:szCs w:val="22"/>
          <w:lang w:val="x-none" w:eastAsia="en-US"/>
        </w:rPr>
        <w:t>to strengthen its environmental impact monitoring approaches and to develop a risk management system for existing and new habitat banks.</w:t>
      </w:r>
    </w:p>
    <w:p w14:paraId="16B5C649" w14:textId="30A1A85D" w:rsidR="00DD3512" w:rsidRPr="00326EE4" w:rsidRDefault="002A3945" w:rsidP="00DD3512">
      <w:pPr>
        <w:pStyle w:val="ListParagraph"/>
        <w:numPr>
          <w:ilvl w:val="1"/>
          <w:numId w:val="7"/>
        </w:numPr>
        <w:spacing w:after="0"/>
        <w:contextualSpacing w:val="0"/>
        <w:rPr>
          <w:rFonts w:cs="Arial"/>
          <w:sz w:val="22"/>
          <w:szCs w:val="22"/>
          <w:lang w:val="x-none" w:eastAsia="en-US"/>
        </w:rPr>
      </w:pPr>
      <w:r>
        <w:rPr>
          <w:rFonts w:cs="Arial"/>
          <w:sz w:val="22"/>
          <w:szCs w:val="22"/>
          <w:lang w:val="x-none" w:eastAsia="en-US"/>
        </w:rPr>
        <w:t>P</w:t>
      </w:r>
      <w:r w:rsidR="00DD3512" w:rsidRPr="00326EE4">
        <w:rPr>
          <w:rFonts w:cs="Arial"/>
          <w:sz w:val="22"/>
          <w:szCs w:val="22"/>
          <w:lang w:val="x-none" w:eastAsia="en-US"/>
        </w:rPr>
        <w:t>ost-investment TA activities supported</w:t>
      </w:r>
      <w:r w:rsidR="006C1255">
        <w:rPr>
          <w:rFonts w:cs="Arial"/>
          <w:sz w:val="22"/>
          <w:szCs w:val="22"/>
          <w:lang w:val="x-none" w:eastAsia="en-US"/>
        </w:rPr>
        <w:t xml:space="preserve"> Koa </w:t>
      </w:r>
      <w:r w:rsidR="00694BF7">
        <w:rPr>
          <w:rFonts w:cs="Arial"/>
          <w:sz w:val="22"/>
          <w:szCs w:val="22"/>
          <w:lang w:val="x-none" w:eastAsia="en-US"/>
        </w:rPr>
        <w:t>(</w:t>
      </w:r>
      <w:r w:rsidR="009B6400">
        <w:rPr>
          <w:rFonts w:cs="Arial"/>
          <w:sz w:val="22"/>
          <w:szCs w:val="22"/>
          <w:lang w:val="x-none" w:eastAsia="en-US"/>
        </w:rPr>
        <w:t>which</w:t>
      </w:r>
      <w:r w:rsidR="004E1E5E">
        <w:rPr>
          <w:rFonts w:cs="Arial"/>
          <w:sz w:val="22"/>
          <w:szCs w:val="22"/>
          <w:lang w:val="x-none" w:eastAsia="en-US"/>
        </w:rPr>
        <w:t xml:space="preserve"> is unlocking a new value chain </w:t>
      </w:r>
      <w:r w:rsidR="00A240FF">
        <w:rPr>
          <w:rFonts w:cs="Arial"/>
          <w:sz w:val="22"/>
          <w:szCs w:val="22"/>
          <w:lang w:val="x-none" w:eastAsia="en-US"/>
        </w:rPr>
        <w:t>from cocoa pulp</w:t>
      </w:r>
      <w:r w:rsidR="00694BF7">
        <w:rPr>
          <w:rFonts w:cs="Arial"/>
          <w:sz w:val="22"/>
          <w:szCs w:val="22"/>
          <w:lang w:val="x-none" w:eastAsia="en-US"/>
        </w:rPr>
        <w:t xml:space="preserve">) </w:t>
      </w:r>
      <w:r w:rsidR="00DD3512" w:rsidRPr="00326EE4">
        <w:rPr>
          <w:rFonts w:cs="Arial"/>
          <w:sz w:val="22"/>
          <w:szCs w:val="22"/>
          <w:lang w:val="x-none" w:eastAsia="en-US"/>
        </w:rPr>
        <w:t>to work on climate resilience and assess the living wage gap against a local benchmark.</w:t>
      </w:r>
    </w:p>
    <w:p w14:paraId="5684A999" w14:textId="09D4481B" w:rsidR="00DD3512" w:rsidRPr="00326EE4" w:rsidRDefault="00856265" w:rsidP="00DD3512">
      <w:pPr>
        <w:pStyle w:val="ListParagraph"/>
        <w:numPr>
          <w:ilvl w:val="1"/>
          <w:numId w:val="7"/>
        </w:numPr>
        <w:spacing w:after="0"/>
        <w:contextualSpacing w:val="0"/>
        <w:rPr>
          <w:rFonts w:cs="Arial"/>
          <w:sz w:val="22"/>
          <w:szCs w:val="22"/>
          <w:lang w:val="x-none" w:eastAsia="en-US"/>
        </w:rPr>
      </w:pPr>
      <w:r>
        <w:rPr>
          <w:rFonts w:cs="Arial"/>
          <w:sz w:val="22"/>
          <w:szCs w:val="22"/>
          <w:lang w:val="x-none" w:eastAsia="en-US"/>
        </w:rPr>
        <w:t xml:space="preserve">Pamoja </w:t>
      </w:r>
      <w:r w:rsidR="00C15666">
        <w:rPr>
          <w:rFonts w:cs="Arial"/>
          <w:sz w:val="22"/>
          <w:szCs w:val="22"/>
          <w:lang w:val="x-none" w:eastAsia="en-US"/>
        </w:rPr>
        <w:t xml:space="preserve">(sourcing </w:t>
      </w:r>
      <w:r w:rsidR="00583B43">
        <w:rPr>
          <w:rFonts w:cs="Arial"/>
          <w:sz w:val="22"/>
          <w:szCs w:val="22"/>
          <w:lang w:val="x-none" w:eastAsia="en-US"/>
        </w:rPr>
        <w:t>and processing organic macadamia nuts</w:t>
      </w:r>
      <w:r w:rsidR="001C6909">
        <w:rPr>
          <w:rFonts w:cs="Arial"/>
          <w:sz w:val="22"/>
          <w:szCs w:val="22"/>
          <w:lang w:val="x-none" w:eastAsia="en-US"/>
        </w:rPr>
        <w:t xml:space="preserve"> including from smallholder growers</w:t>
      </w:r>
      <w:r w:rsidR="00583B43">
        <w:rPr>
          <w:rFonts w:cs="Arial"/>
          <w:sz w:val="22"/>
          <w:szCs w:val="22"/>
          <w:lang w:val="x-none" w:eastAsia="en-US"/>
        </w:rPr>
        <w:t xml:space="preserve">) </w:t>
      </w:r>
      <w:r>
        <w:rPr>
          <w:rFonts w:cs="Arial"/>
          <w:sz w:val="22"/>
          <w:szCs w:val="22"/>
          <w:lang w:val="x-none" w:eastAsia="en-US"/>
        </w:rPr>
        <w:t>received a</w:t>
      </w:r>
      <w:r w:rsidR="00DD3512" w:rsidRPr="00326EE4">
        <w:rPr>
          <w:rFonts w:cs="Arial"/>
          <w:sz w:val="22"/>
          <w:szCs w:val="22"/>
          <w:lang w:val="x-none" w:eastAsia="en-US"/>
        </w:rPr>
        <w:t xml:space="preserve"> diverse TA package </w:t>
      </w:r>
      <w:r>
        <w:rPr>
          <w:rFonts w:cs="Arial"/>
          <w:sz w:val="22"/>
          <w:szCs w:val="22"/>
          <w:lang w:val="x-none" w:eastAsia="en-US"/>
        </w:rPr>
        <w:t>including</w:t>
      </w:r>
      <w:r w:rsidR="00DD3512" w:rsidRPr="00326EE4">
        <w:rPr>
          <w:rFonts w:cs="Arial"/>
          <w:sz w:val="22"/>
          <w:szCs w:val="22"/>
          <w:lang w:val="x-none" w:eastAsia="en-US"/>
        </w:rPr>
        <w:t xml:space="preserve"> trainings on best practices for macadamia seedling production with the aim to scale up seedling production, the development of a gender strategy and an assessment of living wage and living income gaps for Pamoja’s operations against a local benchmark.</w:t>
      </w:r>
    </w:p>
    <w:p w14:paraId="2C71F14A" w14:textId="77777777" w:rsidR="00DD3512" w:rsidRPr="00F7082F" w:rsidRDefault="00DD3512" w:rsidP="00DD3512">
      <w:pPr>
        <w:pStyle w:val="ListParagraph"/>
        <w:spacing w:line="257" w:lineRule="auto"/>
        <w:ind w:left="785"/>
        <w:jc w:val="both"/>
        <w:rPr>
          <w:rFonts w:eastAsia="Arial" w:cs="Arial"/>
          <w:sz w:val="22"/>
          <w:szCs w:val="22"/>
        </w:rPr>
      </w:pPr>
    </w:p>
    <w:p w14:paraId="75F5E23B" w14:textId="3A10CE0A" w:rsidR="00A917EB" w:rsidRDefault="00517475" w:rsidP="006110D9">
      <w:pPr>
        <w:pStyle w:val="ListParagraph"/>
        <w:numPr>
          <w:ilvl w:val="0"/>
          <w:numId w:val="7"/>
        </w:numPr>
        <w:spacing w:line="257" w:lineRule="auto"/>
        <w:jc w:val="both"/>
        <w:rPr>
          <w:rFonts w:eastAsia="Arial" w:cs="Arial"/>
          <w:sz w:val="22"/>
          <w:szCs w:val="22"/>
        </w:rPr>
      </w:pPr>
      <w:r>
        <w:rPr>
          <w:rFonts w:eastAsia="Arial" w:cs="Arial"/>
          <w:b/>
          <w:bCs/>
          <w:sz w:val="22"/>
          <w:szCs w:val="22"/>
        </w:rPr>
        <w:t xml:space="preserve">Output </w:t>
      </w:r>
      <w:r w:rsidR="00C025FA">
        <w:rPr>
          <w:rFonts w:eastAsia="Arial" w:cs="Arial"/>
          <w:b/>
          <w:bCs/>
          <w:sz w:val="22"/>
          <w:szCs w:val="22"/>
        </w:rPr>
        <w:t xml:space="preserve">Indicator 1.4: </w:t>
      </w:r>
      <w:r w:rsidR="000B7A55">
        <w:rPr>
          <w:rFonts w:eastAsia="Arial" w:cs="Arial"/>
          <w:sz w:val="22"/>
          <w:szCs w:val="22"/>
        </w:rPr>
        <w:t>Although still slightly behind target, there was a</w:t>
      </w:r>
      <w:r w:rsidR="00A917EB">
        <w:rPr>
          <w:rFonts w:eastAsia="Arial" w:cs="Arial"/>
          <w:sz w:val="22"/>
          <w:szCs w:val="22"/>
        </w:rPr>
        <w:t>n</w:t>
      </w:r>
      <w:r w:rsidR="000B7A55">
        <w:rPr>
          <w:rFonts w:eastAsia="Arial" w:cs="Arial"/>
          <w:sz w:val="22"/>
          <w:szCs w:val="22"/>
        </w:rPr>
        <w:t xml:space="preserve"> increase of 3 in the number of countries</w:t>
      </w:r>
      <w:r w:rsidR="00A917EB">
        <w:rPr>
          <w:rFonts w:eastAsia="Arial" w:cs="Arial"/>
          <w:sz w:val="22"/>
          <w:szCs w:val="22"/>
        </w:rPr>
        <w:t xml:space="preserve"> where TA is provided, closing the target gap significantly</w:t>
      </w:r>
      <w:r w:rsidR="00DD22FF">
        <w:rPr>
          <w:rFonts w:eastAsia="Arial" w:cs="Arial"/>
          <w:sz w:val="22"/>
          <w:szCs w:val="22"/>
        </w:rPr>
        <w:t xml:space="preserve">. The final target for </w:t>
      </w:r>
      <w:r w:rsidR="005E7FEC">
        <w:rPr>
          <w:rFonts w:eastAsia="Arial" w:cs="Arial"/>
          <w:sz w:val="22"/>
          <w:szCs w:val="22"/>
        </w:rPr>
        <w:t xml:space="preserve">the Fund </w:t>
      </w:r>
      <w:r w:rsidR="00951BA0">
        <w:rPr>
          <w:rFonts w:eastAsia="Arial" w:cs="Arial"/>
          <w:sz w:val="22"/>
          <w:szCs w:val="22"/>
        </w:rPr>
        <w:t>was</w:t>
      </w:r>
      <w:r w:rsidR="005E7FEC">
        <w:rPr>
          <w:rFonts w:eastAsia="Arial" w:cs="Arial"/>
          <w:sz w:val="22"/>
          <w:szCs w:val="22"/>
        </w:rPr>
        <w:t xml:space="preserve"> 19 countries, </w:t>
      </w:r>
      <w:r w:rsidR="00951BA0">
        <w:rPr>
          <w:rFonts w:eastAsia="Arial" w:cs="Arial"/>
          <w:sz w:val="22"/>
          <w:szCs w:val="22"/>
        </w:rPr>
        <w:t xml:space="preserve">but </w:t>
      </w:r>
      <w:r w:rsidR="004D1952">
        <w:rPr>
          <w:rFonts w:eastAsia="Arial" w:cs="Arial"/>
          <w:sz w:val="22"/>
          <w:szCs w:val="22"/>
        </w:rPr>
        <w:t>as the Fund is now fully deployed on a slightly smaller scale than first anticipated it is unlikely to expand beyond 18.</w:t>
      </w:r>
    </w:p>
    <w:p w14:paraId="4E0D59C9" w14:textId="23AC318B" w:rsidR="00F032BF" w:rsidRPr="00A917EB" w:rsidRDefault="00517475" w:rsidP="006110D9">
      <w:pPr>
        <w:pStyle w:val="ListParagraph"/>
        <w:numPr>
          <w:ilvl w:val="0"/>
          <w:numId w:val="7"/>
        </w:numPr>
        <w:spacing w:line="257" w:lineRule="auto"/>
        <w:jc w:val="both"/>
        <w:rPr>
          <w:rFonts w:eastAsia="Arial" w:cs="Arial"/>
          <w:sz w:val="22"/>
          <w:szCs w:val="22"/>
        </w:rPr>
      </w:pPr>
      <w:r w:rsidRPr="00A917EB">
        <w:rPr>
          <w:rFonts w:eastAsia="Arial" w:cs="Arial"/>
          <w:b/>
          <w:bCs/>
          <w:sz w:val="22"/>
          <w:szCs w:val="22"/>
        </w:rPr>
        <w:t xml:space="preserve">Output </w:t>
      </w:r>
      <w:r w:rsidR="00C025FA" w:rsidRPr="00A917EB">
        <w:rPr>
          <w:rFonts w:eastAsia="Arial" w:cs="Arial"/>
          <w:b/>
          <w:bCs/>
          <w:sz w:val="22"/>
          <w:szCs w:val="22"/>
        </w:rPr>
        <w:t xml:space="preserve">Indicator 1.5: </w:t>
      </w:r>
      <w:r w:rsidR="00F032BF" w:rsidRPr="00A917EB">
        <w:rPr>
          <w:rFonts w:eastAsia="Arial" w:cs="Arial"/>
          <w:sz w:val="22"/>
          <w:szCs w:val="22"/>
        </w:rPr>
        <w:t>LDN published</w:t>
      </w:r>
      <w:r w:rsidR="00F7082F" w:rsidRPr="00A917EB">
        <w:rPr>
          <w:rFonts w:eastAsia="Arial" w:cs="Arial"/>
          <w:sz w:val="22"/>
          <w:szCs w:val="22"/>
        </w:rPr>
        <w:t xml:space="preserve"> </w:t>
      </w:r>
      <w:r w:rsidR="00CB3D48">
        <w:rPr>
          <w:rFonts w:eastAsia="Arial" w:cs="Arial"/>
          <w:sz w:val="22"/>
          <w:szCs w:val="22"/>
        </w:rPr>
        <w:t xml:space="preserve">three </w:t>
      </w:r>
      <w:r w:rsidR="62EE18DF" w:rsidRPr="00A917EB">
        <w:rPr>
          <w:rFonts w:eastAsia="Arial" w:cs="Arial"/>
          <w:sz w:val="22"/>
          <w:szCs w:val="22"/>
        </w:rPr>
        <w:t>new knowledge products</w:t>
      </w:r>
      <w:r w:rsidR="00FF5ED9">
        <w:rPr>
          <w:rFonts w:eastAsia="Arial" w:cs="Arial"/>
          <w:sz w:val="22"/>
          <w:szCs w:val="22"/>
        </w:rPr>
        <w:t>, through the TAF and Sattva Consu</w:t>
      </w:r>
      <w:r w:rsidR="000958AA">
        <w:rPr>
          <w:rFonts w:eastAsia="Arial" w:cs="Arial"/>
          <w:sz w:val="22"/>
          <w:szCs w:val="22"/>
        </w:rPr>
        <w:t>lting, including a presentation on the</w:t>
      </w:r>
      <w:r w:rsidR="00353800">
        <w:rPr>
          <w:rFonts w:eastAsia="Arial" w:cs="Arial"/>
          <w:sz w:val="22"/>
          <w:szCs w:val="22"/>
        </w:rPr>
        <w:t xml:space="preserve"> </w:t>
      </w:r>
      <w:r w:rsidR="000958AA">
        <w:rPr>
          <w:rFonts w:eastAsia="Arial" w:cs="Arial"/>
          <w:sz w:val="22"/>
          <w:szCs w:val="22"/>
        </w:rPr>
        <w:t>TAF portfolio with lessons learned</w:t>
      </w:r>
      <w:r w:rsidR="00353800">
        <w:rPr>
          <w:rFonts w:eastAsia="Arial" w:cs="Arial"/>
          <w:sz w:val="22"/>
          <w:szCs w:val="22"/>
        </w:rPr>
        <w:t xml:space="preserve">, a webinar on </w:t>
      </w:r>
      <w:r w:rsidR="00353800" w:rsidRPr="00353800">
        <w:rPr>
          <w:rFonts w:eastAsia="Arial" w:cs="Arial"/>
          <w:sz w:val="22"/>
          <w:szCs w:val="22"/>
        </w:rPr>
        <w:t>‘Enabling Environment for Agroforestry: Land Certification and Role of Access to Finance’</w:t>
      </w:r>
      <w:r w:rsidR="00D675AF">
        <w:rPr>
          <w:rFonts w:eastAsia="Arial" w:cs="Arial"/>
          <w:sz w:val="22"/>
          <w:szCs w:val="22"/>
        </w:rPr>
        <w:t xml:space="preserve"> (December 2024) and a publication with case studies on LDN’s and the TAF’s approach to gender equality.</w:t>
      </w:r>
    </w:p>
    <w:p w14:paraId="338DB080" w14:textId="5D5A1F02" w:rsidR="00634D35" w:rsidRPr="004D1952" w:rsidRDefault="00517475" w:rsidP="00EA7393">
      <w:pPr>
        <w:pStyle w:val="ListParagraph"/>
        <w:numPr>
          <w:ilvl w:val="0"/>
          <w:numId w:val="7"/>
        </w:numPr>
        <w:spacing w:line="257" w:lineRule="auto"/>
        <w:jc w:val="both"/>
        <w:rPr>
          <w:color w:val="000000" w:themeColor="text1"/>
          <w:sz w:val="22"/>
          <w:szCs w:val="22"/>
          <w:lang w:val="en-US"/>
        </w:rPr>
      </w:pPr>
      <w:r>
        <w:rPr>
          <w:b/>
          <w:bCs/>
          <w:sz w:val="22"/>
          <w:szCs w:val="22"/>
        </w:rPr>
        <w:t xml:space="preserve">Output </w:t>
      </w:r>
      <w:r w:rsidR="00C025FA">
        <w:rPr>
          <w:b/>
          <w:bCs/>
          <w:sz w:val="22"/>
          <w:szCs w:val="22"/>
        </w:rPr>
        <w:t>Indi</w:t>
      </w:r>
      <w:r>
        <w:rPr>
          <w:b/>
          <w:bCs/>
          <w:sz w:val="22"/>
          <w:szCs w:val="22"/>
        </w:rPr>
        <w:t>c</w:t>
      </w:r>
      <w:r w:rsidR="00C025FA">
        <w:rPr>
          <w:b/>
          <w:bCs/>
          <w:sz w:val="22"/>
          <w:szCs w:val="22"/>
        </w:rPr>
        <w:t>ator 1.6:</w:t>
      </w:r>
      <w:r w:rsidR="000F5F51" w:rsidRPr="4EE900A2">
        <w:rPr>
          <w:rFonts w:eastAsia="Arial" w:cs="Arial"/>
          <w:sz w:val="22"/>
          <w:szCs w:val="22"/>
          <w:lang w:val="en-US"/>
        </w:rPr>
        <w:t xml:space="preserve"> </w:t>
      </w:r>
      <w:r w:rsidR="004F561F">
        <w:rPr>
          <w:rFonts w:eastAsia="Arial" w:cs="Arial"/>
          <w:sz w:val="22"/>
          <w:szCs w:val="22"/>
          <w:lang w:val="en-US"/>
        </w:rPr>
        <w:t xml:space="preserve">The Fund is targeting an overall return rate of 8.1%, with initial returns of </w:t>
      </w:r>
      <w:r w:rsidR="00372884">
        <w:rPr>
          <w:rFonts w:eastAsia="Arial" w:cs="Arial"/>
          <w:sz w:val="22"/>
          <w:szCs w:val="22"/>
          <w:lang w:val="en-US"/>
        </w:rPr>
        <w:t>4.2% beginning from 2028.</w:t>
      </w: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9F76D8" w:rsidRPr="002055D4" w14:paraId="7A0F242C" w14:textId="77777777" w:rsidTr="00EC4E49">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C57142" w14:textId="77777777" w:rsidR="000F5F51" w:rsidRPr="002055D4" w:rsidRDefault="000F5F51" w:rsidP="006110D9">
            <w:pPr>
              <w:jc w:val="both"/>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96CBA3" w14:textId="77777777" w:rsidR="000F5F51" w:rsidRPr="002055D4" w:rsidRDefault="000F5F51" w:rsidP="006110D9">
            <w:pPr>
              <w:jc w:val="both"/>
              <w:rPr>
                <w:rFonts w:cs="Arial"/>
                <w:i/>
                <w:iCs/>
                <w:sz w:val="20"/>
                <w:szCs w:val="20"/>
              </w:rPr>
            </w:pPr>
            <w:r w:rsidRPr="60E67443">
              <w:rPr>
                <w:rFonts w:cs="Arial"/>
                <w:sz w:val="20"/>
                <w:szCs w:val="20"/>
                <w:shd w:val="clear" w:color="auto" w:fill="FFFFFF"/>
              </w:rPr>
              <w:t>Projects supported by the LDN Fund to deliver positive environmental outputs on a local, national and global scale.</w:t>
            </w:r>
          </w:p>
        </w:tc>
      </w:tr>
      <w:tr w:rsidR="00AB32F3" w:rsidRPr="002055D4" w14:paraId="4BBD0FED" w14:textId="77777777" w:rsidTr="00EC4E49">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EBA4D8" w14:textId="77777777" w:rsidR="000F5F51" w:rsidRPr="002055D4" w:rsidRDefault="000F5F51" w:rsidP="006110D9">
            <w:pPr>
              <w:jc w:val="both"/>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381FCBDC" w14:textId="77777777" w:rsidR="000F5F51" w:rsidRPr="002055D4" w:rsidRDefault="000F5F51" w:rsidP="006110D9">
            <w:pPr>
              <w:jc w:val="both"/>
              <w:rPr>
                <w:sz w:val="20"/>
                <w:szCs w:val="20"/>
              </w:rPr>
            </w:pPr>
            <w:r w:rsidRPr="60E67443">
              <w:rPr>
                <w:sz w:val="20"/>
                <w:szCs w:val="20"/>
              </w:rPr>
              <w:t>2</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DC8526" w14:textId="77777777" w:rsidR="000F5F51" w:rsidRPr="002055D4" w:rsidRDefault="000F5F51" w:rsidP="006110D9">
            <w:pPr>
              <w:jc w:val="both"/>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44ECCE8F" w14:textId="6837E17C" w:rsidR="000F5F51" w:rsidRPr="002055D4" w:rsidRDefault="42C8904C" w:rsidP="006110D9">
            <w:pPr>
              <w:jc w:val="both"/>
              <w:rPr>
                <w:sz w:val="20"/>
                <w:szCs w:val="20"/>
              </w:rPr>
            </w:pPr>
            <w:r w:rsidRPr="1B54C50C">
              <w:rPr>
                <w:sz w:val="20"/>
                <w:szCs w:val="20"/>
              </w:rPr>
              <w:t>B</w:t>
            </w:r>
          </w:p>
        </w:tc>
      </w:tr>
      <w:tr w:rsidR="00AB32F3" w:rsidRPr="002055D4" w14:paraId="14B68753" w14:textId="77777777" w:rsidTr="00EC4E49">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18D7FB" w14:textId="77777777" w:rsidR="000F5F51" w:rsidRPr="002055D4" w:rsidRDefault="000F5F51" w:rsidP="006110D9">
            <w:pPr>
              <w:jc w:val="both"/>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67228CB3" w14:textId="4E6A3009" w:rsidR="000F5F51" w:rsidRPr="002055D4" w:rsidRDefault="00F81108" w:rsidP="006110D9">
            <w:pPr>
              <w:jc w:val="both"/>
              <w:rPr>
                <w:sz w:val="20"/>
                <w:szCs w:val="20"/>
              </w:rPr>
            </w:pPr>
            <w:r>
              <w:rPr>
                <w:sz w:val="20"/>
                <w:szCs w:val="20"/>
              </w:rPr>
              <w:t>25</w:t>
            </w:r>
            <w:r w:rsidR="0048417D">
              <w:rPr>
                <w:sz w:val="20"/>
                <w:szCs w:val="20"/>
              </w:rPr>
              <w: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7CAB09" w14:textId="77777777" w:rsidR="000F5F51" w:rsidRPr="002055D4" w:rsidRDefault="000F5F51" w:rsidP="006110D9">
            <w:pPr>
              <w:jc w:val="both"/>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50BA4359" w14:textId="77777777" w:rsidR="000F5F51" w:rsidRPr="002055D4" w:rsidRDefault="000F5F51" w:rsidP="006110D9">
            <w:pPr>
              <w:jc w:val="both"/>
              <w:rPr>
                <w:sz w:val="20"/>
                <w:szCs w:val="20"/>
              </w:rPr>
            </w:pPr>
            <w:r>
              <w:rPr>
                <w:sz w:val="20"/>
                <w:szCs w:val="20"/>
              </w:rPr>
              <w:t>N/A</w:t>
            </w:r>
          </w:p>
        </w:tc>
      </w:tr>
    </w:tbl>
    <w:tbl>
      <w:tblPr>
        <w:tblStyle w:val="TableGrid"/>
        <w:tblpPr w:leftFromText="180" w:rightFromText="180" w:vertAnchor="text" w:horzAnchor="margin" w:tblpXSpec="center" w:tblpY="141"/>
        <w:tblOverlap w:val="never"/>
        <w:tblW w:w="9258" w:type="dxa"/>
        <w:jc w:val="center"/>
        <w:tblLook w:val="04A0" w:firstRow="1" w:lastRow="0" w:firstColumn="1" w:lastColumn="0" w:noHBand="0" w:noVBand="1"/>
      </w:tblPr>
      <w:tblGrid>
        <w:gridCol w:w="5353"/>
        <w:gridCol w:w="1115"/>
        <w:gridCol w:w="1395"/>
        <w:gridCol w:w="1395"/>
      </w:tblGrid>
      <w:tr w:rsidR="00F33E7C" w:rsidRPr="002055D4" w14:paraId="628D600A" w14:textId="77777777" w:rsidTr="00EC4E49">
        <w:trPr>
          <w:trHeight w:val="442"/>
          <w:jc w:val="center"/>
        </w:trPr>
        <w:tc>
          <w:tcPr>
            <w:tcW w:w="53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51BB2E" w14:textId="07058C79" w:rsidR="00F33E7C" w:rsidRPr="002055D4" w:rsidRDefault="00F33E7C" w:rsidP="006110D9">
            <w:pPr>
              <w:jc w:val="both"/>
              <w:rPr>
                <w:b/>
                <w:bCs/>
                <w:sz w:val="20"/>
                <w:szCs w:val="20"/>
              </w:rPr>
            </w:pPr>
            <w:r>
              <w:rPr>
                <w:b/>
                <w:bCs/>
                <w:sz w:val="20"/>
                <w:szCs w:val="20"/>
              </w:rPr>
              <w:t xml:space="preserve">Output </w:t>
            </w:r>
            <w:r w:rsidRPr="60E67443">
              <w:rPr>
                <w:b/>
                <w:bCs/>
                <w:sz w:val="20"/>
                <w:szCs w:val="20"/>
              </w:rPr>
              <w:t>Indicator(s)</w:t>
            </w:r>
          </w:p>
        </w:tc>
        <w:tc>
          <w:tcPr>
            <w:tcW w:w="11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91C1F1" w14:textId="172A5212" w:rsidR="00F33E7C" w:rsidRDefault="00F33E7C" w:rsidP="006110D9">
            <w:pPr>
              <w:jc w:val="both"/>
              <w:rPr>
                <w:b/>
                <w:bCs/>
                <w:sz w:val="20"/>
                <w:szCs w:val="20"/>
              </w:rPr>
            </w:pPr>
            <w:r>
              <w:rPr>
                <w:b/>
                <w:bCs/>
                <w:sz w:val="20"/>
                <w:szCs w:val="20"/>
              </w:rPr>
              <w:t>2024 in-year results</w:t>
            </w:r>
          </w:p>
        </w:tc>
        <w:tc>
          <w:tcPr>
            <w:tcW w:w="1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C9E975" w14:textId="568ACFBE" w:rsidR="00F33E7C" w:rsidRDefault="00F33E7C" w:rsidP="006110D9">
            <w:pPr>
              <w:jc w:val="both"/>
              <w:rPr>
                <w:b/>
                <w:bCs/>
                <w:sz w:val="20"/>
                <w:szCs w:val="20"/>
              </w:rPr>
            </w:pPr>
            <w:r w:rsidRPr="6991F9F2">
              <w:rPr>
                <w:b/>
                <w:bCs/>
                <w:sz w:val="20"/>
                <w:szCs w:val="20"/>
              </w:rPr>
              <w:t>202</w:t>
            </w:r>
            <w:r>
              <w:rPr>
                <w:b/>
                <w:bCs/>
                <w:sz w:val="20"/>
                <w:szCs w:val="20"/>
              </w:rPr>
              <w:t>4</w:t>
            </w:r>
            <w:r w:rsidRPr="6991F9F2">
              <w:rPr>
                <w:b/>
                <w:bCs/>
                <w:sz w:val="20"/>
                <w:szCs w:val="20"/>
              </w:rPr>
              <w:t xml:space="preserve"> milestone</w:t>
            </w:r>
            <w:r>
              <w:rPr>
                <w:b/>
                <w:bCs/>
                <w:sz w:val="20"/>
                <w:szCs w:val="20"/>
              </w:rPr>
              <w:t>s (cumulative)</w:t>
            </w:r>
          </w:p>
        </w:tc>
        <w:tc>
          <w:tcPr>
            <w:tcW w:w="1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0DFC1A" w14:textId="7D3FDD85" w:rsidR="00F33E7C" w:rsidRDefault="00F33E7C" w:rsidP="006110D9">
            <w:pPr>
              <w:jc w:val="both"/>
              <w:rPr>
                <w:b/>
                <w:bCs/>
                <w:sz w:val="20"/>
                <w:szCs w:val="20"/>
              </w:rPr>
            </w:pPr>
            <w:r w:rsidRPr="495999B5">
              <w:rPr>
                <w:b/>
                <w:bCs/>
                <w:sz w:val="20"/>
                <w:szCs w:val="20"/>
              </w:rPr>
              <w:t>202</w:t>
            </w:r>
            <w:r>
              <w:rPr>
                <w:b/>
                <w:bCs/>
                <w:sz w:val="20"/>
                <w:szCs w:val="20"/>
              </w:rPr>
              <w:t>4 results (cumulative)</w:t>
            </w:r>
          </w:p>
        </w:tc>
      </w:tr>
      <w:tr w:rsidR="00F33E7C" w:rsidRPr="002055D4" w14:paraId="1A8558C3" w14:textId="77777777" w:rsidTr="00EC4E49">
        <w:trPr>
          <w:trHeight w:val="243"/>
          <w:jc w:val="center"/>
        </w:trPr>
        <w:tc>
          <w:tcPr>
            <w:tcW w:w="5353" w:type="dxa"/>
            <w:tcBorders>
              <w:top w:val="single" w:sz="4" w:space="0" w:color="auto"/>
              <w:left w:val="single" w:sz="4" w:space="0" w:color="auto"/>
              <w:bottom w:val="single" w:sz="4" w:space="0" w:color="auto"/>
              <w:right w:val="single" w:sz="4" w:space="0" w:color="auto"/>
            </w:tcBorders>
            <w:shd w:val="clear" w:color="auto" w:fill="C0C0C0"/>
          </w:tcPr>
          <w:p w14:paraId="64AA3D5E" w14:textId="1C861BA3" w:rsidR="00F33E7C" w:rsidRPr="002055D4" w:rsidRDefault="00F33E7C" w:rsidP="006110D9">
            <w:pPr>
              <w:jc w:val="both"/>
              <w:rPr>
                <w:sz w:val="20"/>
                <w:szCs w:val="20"/>
              </w:rPr>
            </w:pPr>
            <w:r w:rsidRPr="3565349E">
              <w:rPr>
                <w:sz w:val="20"/>
                <w:szCs w:val="20"/>
              </w:rPr>
              <w:t>2.1 Number of threatened species (IUCN Red List) in conservation areas</w:t>
            </w:r>
            <w:r>
              <w:rPr>
                <w:sz w:val="20"/>
                <w:szCs w:val="20"/>
              </w:rPr>
              <w:t xml:space="preserve"> (annual)</w:t>
            </w:r>
          </w:p>
        </w:tc>
        <w:tc>
          <w:tcPr>
            <w:tcW w:w="1115" w:type="dxa"/>
            <w:tcBorders>
              <w:top w:val="single" w:sz="4" w:space="0" w:color="auto"/>
              <w:left w:val="single" w:sz="4" w:space="0" w:color="auto"/>
              <w:bottom w:val="single" w:sz="4" w:space="0" w:color="auto"/>
              <w:right w:val="single" w:sz="4" w:space="0" w:color="auto"/>
            </w:tcBorders>
            <w:shd w:val="clear" w:color="auto" w:fill="C0C0C0"/>
            <w:vAlign w:val="center"/>
          </w:tcPr>
          <w:p w14:paraId="00A22D96" w14:textId="35CF0B74" w:rsidR="00F33E7C" w:rsidRDefault="0041004D" w:rsidP="006110D9">
            <w:pPr>
              <w:jc w:val="both"/>
              <w:rPr>
                <w:sz w:val="20"/>
                <w:szCs w:val="20"/>
              </w:rPr>
            </w:pPr>
            <w:r>
              <w:rPr>
                <w:sz w:val="20"/>
                <w:szCs w:val="20"/>
              </w:rPr>
              <w:t>n/a</w:t>
            </w:r>
          </w:p>
        </w:tc>
        <w:tc>
          <w:tcPr>
            <w:tcW w:w="1395" w:type="dxa"/>
            <w:tcBorders>
              <w:top w:val="single" w:sz="4" w:space="0" w:color="auto"/>
              <w:left w:val="single" w:sz="4" w:space="0" w:color="auto"/>
              <w:bottom w:val="single" w:sz="4" w:space="0" w:color="auto"/>
              <w:right w:val="single" w:sz="4" w:space="0" w:color="auto"/>
            </w:tcBorders>
            <w:shd w:val="clear" w:color="auto" w:fill="C0C0C0"/>
            <w:vAlign w:val="center"/>
          </w:tcPr>
          <w:p w14:paraId="68BB888A" w14:textId="77777777" w:rsidR="00F33E7C" w:rsidRDefault="00F33E7C" w:rsidP="006110D9">
            <w:pPr>
              <w:jc w:val="both"/>
              <w:rPr>
                <w:sz w:val="20"/>
                <w:szCs w:val="20"/>
              </w:rPr>
            </w:pPr>
            <w:r w:rsidRPr="1BEB8757">
              <w:rPr>
                <w:sz w:val="20"/>
                <w:szCs w:val="20"/>
              </w:rPr>
              <w:t>n/a</w:t>
            </w:r>
          </w:p>
        </w:tc>
        <w:tc>
          <w:tcPr>
            <w:tcW w:w="1395" w:type="dxa"/>
            <w:tcBorders>
              <w:top w:val="single" w:sz="4" w:space="0" w:color="auto"/>
              <w:left w:val="single" w:sz="4" w:space="0" w:color="auto"/>
              <w:bottom w:val="single" w:sz="4" w:space="0" w:color="auto"/>
              <w:right w:val="single" w:sz="4" w:space="0" w:color="auto"/>
            </w:tcBorders>
            <w:shd w:val="clear" w:color="auto" w:fill="C0C0C0"/>
            <w:vAlign w:val="center"/>
          </w:tcPr>
          <w:p w14:paraId="7D72070C" w14:textId="5952F3FA" w:rsidR="00F33E7C" w:rsidRDefault="0041004D" w:rsidP="006110D9">
            <w:pPr>
              <w:jc w:val="both"/>
              <w:rPr>
                <w:sz w:val="20"/>
                <w:szCs w:val="20"/>
              </w:rPr>
            </w:pPr>
            <w:r>
              <w:rPr>
                <w:sz w:val="20"/>
                <w:szCs w:val="20"/>
              </w:rPr>
              <w:t>257</w:t>
            </w:r>
          </w:p>
        </w:tc>
      </w:tr>
      <w:tr w:rsidR="00F33E7C" w:rsidRPr="002055D4" w14:paraId="30F55B4B" w14:textId="77777777" w:rsidTr="00EC4E49">
        <w:trPr>
          <w:trHeight w:val="251"/>
          <w:jc w:val="center"/>
        </w:trPr>
        <w:tc>
          <w:tcPr>
            <w:tcW w:w="5353" w:type="dxa"/>
            <w:tcBorders>
              <w:top w:val="single" w:sz="4" w:space="0" w:color="auto"/>
              <w:left w:val="single" w:sz="4" w:space="0" w:color="auto"/>
              <w:bottom w:val="single" w:sz="4" w:space="0" w:color="auto"/>
              <w:right w:val="single" w:sz="4" w:space="0" w:color="auto"/>
            </w:tcBorders>
          </w:tcPr>
          <w:p w14:paraId="08AAFEFE" w14:textId="59F0EE16" w:rsidR="00F33E7C" w:rsidRPr="002055D4" w:rsidRDefault="00F33E7C" w:rsidP="006110D9">
            <w:pPr>
              <w:jc w:val="both"/>
              <w:rPr>
                <w:sz w:val="20"/>
                <w:szCs w:val="20"/>
              </w:rPr>
            </w:pPr>
            <w:r w:rsidRPr="60E67443">
              <w:rPr>
                <w:sz w:val="20"/>
                <w:szCs w:val="20"/>
              </w:rPr>
              <w:t>2.2 Number of sustainable certifications received by LDN-funded projects</w:t>
            </w:r>
            <w:r>
              <w:rPr>
                <w:sz w:val="20"/>
                <w:szCs w:val="20"/>
              </w:rPr>
              <w:t xml:space="preserve"> </w:t>
            </w:r>
            <w:r w:rsidRPr="60E67443">
              <w:rPr>
                <w:rFonts w:eastAsia="Arial" w:cs="Arial"/>
                <w:sz w:val="20"/>
                <w:szCs w:val="20"/>
              </w:rPr>
              <w:t>(cumulative)</w:t>
            </w:r>
          </w:p>
        </w:tc>
        <w:tc>
          <w:tcPr>
            <w:tcW w:w="1115" w:type="dxa"/>
            <w:tcBorders>
              <w:top w:val="single" w:sz="4" w:space="0" w:color="auto"/>
              <w:left w:val="single" w:sz="4" w:space="0" w:color="auto"/>
              <w:bottom w:val="single" w:sz="4" w:space="0" w:color="auto"/>
              <w:right w:val="single" w:sz="4" w:space="0" w:color="auto"/>
            </w:tcBorders>
            <w:vAlign w:val="center"/>
          </w:tcPr>
          <w:p w14:paraId="14C5815F" w14:textId="56C266E8" w:rsidR="00F33E7C" w:rsidRPr="60E67443" w:rsidRDefault="0041004D" w:rsidP="006110D9">
            <w:pPr>
              <w:jc w:val="both"/>
              <w:rPr>
                <w:sz w:val="20"/>
                <w:szCs w:val="20"/>
              </w:rPr>
            </w:pPr>
            <w:r>
              <w:rPr>
                <w:sz w:val="20"/>
                <w:szCs w:val="20"/>
              </w:rPr>
              <w:t>1</w:t>
            </w:r>
          </w:p>
        </w:tc>
        <w:tc>
          <w:tcPr>
            <w:tcW w:w="1395" w:type="dxa"/>
            <w:tcBorders>
              <w:top w:val="single" w:sz="4" w:space="0" w:color="auto"/>
              <w:left w:val="single" w:sz="4" w:space="0" w:color="auto"/>
              <w:bottom w:val="single" w:sz="4" w:space="0" w:color="auto"/>
              <w:right w:val="single" w:sz="4" w:space="0" w:color="auto"/>
            </w:tcBorders>
            <w:vAlign w:val="center"/>
          </w:tcPr>
          <w:p w14:paraId="7800CB30" w14:textId="21423B27" w:rsidR="00F33E7C" w:rsidRDefault="0041004D" w:rsidP="006110D9">
            <w:pPr>
              <w:jc w:val="both"/>
              <w:rPr>
                <w:sz w:val="20"/>
                <w:szCs w:val="20"/>
              </w:rPr>
            </w:pPr>
            <w:r>
              <w:rPr>
                <w:sz w:val="20"/>
                <w:szCs w:val="20"/>
              </w:rPr>
              <w:t>8</w:t>
            </w:r>
          </w:p>
        </w:tc>
        <w:tc>
          <w:tcPr>
            <w:tcW w:w="1395" w:type="dxa"/>
            <w:tcBorders>
              <w:top w:val="single" w:sz="4" w:space="0" w:color="auto"/>
              <w:left w:val="single" w:sz="4" w:space="0" w:color="auto"/>
              <w:bottom w:val="single" w:sz="4" w:space="0" w:color="auto"/>
              <w:right w:val="single" w:sz="4" w:space="0" w:color="auto"/>
            </w:tcBorders>
            <w:shd w:val="clear" w:color="auto" w:fill="92D050"/>
            <w:vAlign w:val="center"/>
          </w:tcPr>
          <w:p w14:paraId="517FDAAF" w14:textId="3E49219B" w:rsidR="00F33E7C" w:rsidRDefault="0041004D" w:rsidP="006110D9">
            <w:pPr>
              <w:jc w:val="both"/>
              <w:rPr>
                <w:sz w:val="20"/>
                <w:szCs w:val="20"/>
              </w:rPr>
            </w:pPr>
            <w:r>
              <w:rPr>
                <w:sz w:val="20"/>
                <w:szCs w:val="20"/>
              </w:rPr>
              <w:t>9</w:t>
            </w:r>
          </w:p>
        </w:tc>
      </w:tr>
      <w:tr w:rsidR="00081CF9" w:rsidRPr="002055D4" w14:paraId="5B5BD2B9" w14:textId="77777777" w:rsidTr="00377B54">
        <w:trPr>
          <w:trHeight w:val="243"/>
          <w:jc w:val="center"/>
        </w:trPr>
        <w:tc>
          <w:tcPr>
            <w:tcW w:w="5353" w:type="dxa"/>
            <w:tcBorders>
              <w:top w:val="single" w:sz="4" w:space="0" w:color="auto"/>
              <w:left w:val="single" w:sz="4" w:space="0" w:color="auto"/>
              <w:bottom w:val="single" w:sz="4" w:space="0" w:color="auto"/>
              <w:right w:val="single" w:sz="4" w:space="0" w:color="auto"/>
            </w:tcBorders>
          </w:tcPr>
          <w:p w14:paraId="4FBC1F6A" w14:textId="68D2E4BC" w:rsidR="00081CF9" w:rsidRPr="002055D4" w:rsidRDefault="00081CF9" w:rsidP="006110D9">
            <w:pPr>
              <w:jc w:val="both"/>
              <w:rPr>
                <w:sz w:val="20"/>
                <w:szCs w:val="20"/>
              </w:rPr>
            </w:pPr>
            <w:r w:rsidRPr="60E67443">
              <w:rPr>
                <w:sz w:val="20"/>
                <w:szCs w:val="20"/>
              </w:rPr>
              <w:lastRenderedPageBreak/>
              <w:t>2.3 Area of land under sustainable management</w:t>
            </w:r>
            <w:r>
              <w:rPr>
                <w:sz w:val="20"/>
                <w:szCs w:val="20"/>
              </w:rPr>
              <w:t xml:space="preserve"> (ha)</w:t>
            </w:r>
            <w:r w:rsidRPr="60E67443">
              <w:rPr>
                <w:sz w:val="20"/>
                <w:szCs w:val="20"/>
              </w:rPr>
              <w:t xml:space="preserve"> [KPI 17]</w:t>
            </w:r>
            <w:r>
              <w:rPr>
                <w:sz w:val="20"/>
                <w:szCs w:val="20"/>
              </w:rPr>
              <w:t xml:space="preserve"> </w:t>
            </w:r>
            <w:r w:rsidRPr="60E67443">
              <w:rPr>
                <w:rFonts w:eastAsia="Arial" w:cs="Arial"/>
                <w:sz w:val="20"/>
                <w:szCs w:val="20"/>
              </w:rPr>
              <w:t>(cumulative)</w:t>
            </w:r>
          </w:p>
        </w:tc>
        <w:tc>
          <w:tcPr>
            <w:tcW w:w="1115" w:type="dxa"/>
            <w:tcBorders>
              <w:top w:val="single" w:sz="4" w:space="0" w:color="auto"/>
              <w:left w:val="single" w:sz="4" w:space="0" w:color="auto"/>
              <w:bottom w:val="single" w:sz="4" w:space="0" w:color="auto"/>
              <w:right w:val="single" w:sz="4" w:space="0" w:color="auto"/>
            </w:tcBorders>
            <w:vAlign w:val="center"/>
          </w:tcPr>
          <w:p w14:paraId="293547FC" w14:textId="02C1B9A3" w:rsidR="00081CF9" w:rsidRPr="60E67443" w:rsidRDefault="00081CF9" w:rsidP="006110D9">
            <w:pPr>
              <w:jc w:val="both"/>
              <w:rPr>
                <w:sz w:val="20"/>
                <w:szCs w:val="20"/>
              </w:rPr>
            </w:pPr>
            <w:r>
              <w:rPr>
                <w:rFonts w:cs="Arial"/>
                <w:sz w:val="20"/>
                <w:szCs w:val="20"/>
              </w:rPr>
              <w:t>11,836</w:t>
            </w:r>
          </w:p>
        </w:tc>
        <w:tc>
          <w:tcPr>
            <w:tcW w:w="1395" w:type="dxa"/>
            <w:tcBorders>
              <w:top w:val="single" w:sz="4" w:space="0" w:color="auto"/>
              <w:left w:val="single" w:sz="4" w:space="0" w:color="auto"/>
              <w:bottom w:val="single" w:sz="4" w:space="0" w:color="auto"/>
              <w:right w:val="single" w:sz="4" w:space="0" w:color="auto"/>
            </w:tcBorders>
            <w:vAlign w:val="center"/>
          </w:tcPr>
          <w:p w14:paraId="7C1760D1" w14:textId="30B17D60" w:rsidR="00081CF9" w:rsidRDefault="00081CF9" w:rsidP="006110D9">
            <w:pPr>
              <w:jc w:val="both"/>
              <w:rPr>
                <w:sz w:val="20"/>
                <w:szCs w:val="20"/>
              </w:rPr>
            </w:pPr>
            <w:r>
              <w:rPr>
                <w:rFonts w:cs="Arial"/>
                <w:sz w:val="20"/>
                <w:szCs w:val="20"/>
              </w:rPr>
              <w:t>180,000</w:t>
            </w:r>
          </w:p>
        </w:tc>
        <w:tc>
          <w:tcPr>
            <w:tcW w:w="1395" w:type="dxa"/>
            <w:tcBorders>
              <w:top w:val="single" w:sz="4" w:space="0" w:color="auto"/>
              <w:left w:val="single" w:sz="4" w:space="0" w:color="auto"/>
              <w:bottom w:val="single" w:sz="4" w:space="0" w:color="auto"/>
              <w:right w:val="single" w:sz="4" w:space="0" w:color="auto"/>
            </w:tcBorders>
            <w:shd w:val="clear" w:color="auto" w:fill="FF5050"/>
            <w:vAlign w:val="center"/>
          </w:tcPr>
          <w:p w14:paraId="27EA1CB3" w14:textId="023B0177" w:rsidR="00081CF9" w:rsidRDefault="00081CF9" w:rsidP="006110D9">
            <w:pPr>
              <w:jc w:val="both"/>
              <w:rPr>
                <w:sz w:val="20"/>
                <w:szCs w:val="20"/>
              </w:rPr>
            </w:pPr>
            <w:r>
              <w:rPr>
                <w:rFonts w:eastAsia="Arial" w:cs="Arial"/>
                <w:sz w:val="20"/>
                <w:szCs w:val="20"/>
              </w:rPr>
              <w:t>150,281</w:t>
            </w:r>
          </w:p>
        </w:tc>
      </w:tr>
    </w:tbl>
    <w:p w14:paraId="5734DFDD" w14:textId="77777777" w:rsidR="000F5F51" w:rsidRPr="002055D4" w:rsidRDefault="000F5F51" w:rsidP="006110D9">
      <w:pPr>
        <w:jc w:val="both"/>
        <w:rPr>
          <w:sz w:val="20"/>
          <w:szCs w:val="20"/>
        </w:rPr>
      </w:pPr>
    </w:p>
    <w:p w14:paraId="0EF489BB" w14:textId="5F62A5CE" w:rsidR="000F5F51" w:rsidRPr="0062367F" w:rsidRDefault="00517475" w:rsidP="006110D9">
      <w:pPr>
        <w:pStyle w:val="ListParagraph"/>
        <w:numPr>
          <w:ilvl w:val="0"/>
          <w:numId w:val="10"/>
        </w:numPr>
        <w:jc w:val="both"/>
        <w:rPr>
          <w:sz w:val="22"/>
          <w:szCs w:val="22"/>
        </w:rPr>
      </w:pPr>
      <w:r w:rsidRPr="443E94B4">
        <w:rPr>
          <w:b/>
          <w:bCs/>
          <w:sz w:val="22"/>
          <w:szCs w:val="22"/>
        </w:rPr>
        <w:t xml:space="preserve">Output </w:t>
      </w:r>
      <w:r w:rsidR="00C025FA" w:rsidRPr="443E94B4">
        <w:rPr>
          <w:b/>
          <w:bCs/>
          <w:sz w:val="22"/>
          <w:szCs w:val="22"/>
        </w:rPr>
        <w:t>Indicator 2.1:</w:t>
      </w:r>
      <w:r w:rsidR="000F5F51" w:rsidRPr="443E94B4">
        <w:rPr>
          <w:sz w:val="22"/>
          <w:szCs w:val="22"/>
        </w:rPr>
        <w:t xml:space="preserve"> </w:t>
      </w:r>
      <w:r w:rsidR="00621FC2" w:rsidRPr="443E94B4">
        <w:rPr>
          <w:sz w:val="22"/>
          <w:szCs w:val="22"/>
        </w:rPr>
        <w:t>This indicator has prove</w:t>
      </w:r>
      <w:r w:rsidR="006659B1">
        <w:rPr>
          <w:sz w:val="22"/>
          <w:szCs w:val="22"/>
        </w:rPr>
        <w:t>n</w:t>
      </w:r>
      <w:r w:rsidR="00621FC2" w:rsidRPr="443E94B4">
        <w:rPr>
          <w:sz w:val="22"/>
          <w:szCs w:val="22"/>
        </w:rPr>
        <w:t xml:space="preserve"> extremely </w:t>
      </w:r>
      <w:r w:rsidR="006659B1">
        <w:rPr>
          <w:sz w:val="22"/>
          <w:szCs w:val="22"/>
        </w:rPr>
        <w:t>tricky</w:t>
      </w:r>
      <w:r w:rsidR="00621FC2" w:rsidRPr="443E94B4">
        <w:rPr>
          <w:sz w:val="22"/>
          <w:szCs w:val="22"/>
        </w:rPr>
        <w:t xml:space="preserve"> to report on and provided inconsistent and un</w:t>
      </w:r>
      <w:r w:rsidR="00F04855">
        <w:rPr>
          <w:sz w:val="22"/>
          <w:szCs w:val="22"/>
        </w:rPr>
        <w:t>clear</w:t>
      </w:r>
      <w:r w:rsidR="00621FC2" w:rsidRPr="443E94B4">
        <w:rPr>
          <w:sz w:val="22"/>
          <w:szCs w:val="22"/>
        </w:rPr>
        <w:t xml:space="preserve"> results</w:t>
      </w:r>
      <w:r w:rsidR="006659B1">
        <w:rPr>
          <w:sz w:val="22"/>
          <w:szCs w:val="22"/>
        </w:rPr>
        <w:t xml:space="preserve"> with extreme variations</w:t>
      </w:r>
      <w:r w:rsidR="00621FC2" w:rsidRPr="443E94B4">
        <w:rPr>
          <w:sz w:val="22"/>
          <w:szCs w:val="22"/>
        </w:rPr>
        <w:t xml:space="preserve">. </w:t>
      </w:r>
      <w:r w:rsidR="0074182C">
        <w:rPr>
          <w:sz w:val="22"/>
          <w:szCs w:val="22"/>
        </w:rPr>
        <w:t xml:space="preserve">We have agreed with Mirova that </w:t>
      </w:r>
      <w:r w:rsidR="0049736F">
        <w:rPr>
          <w:sz w:val="22"/>
          <w:szCs w:val="22"/>
        </w:rPr>
        <w:t>it will not count towards the Output scoring from</w:t>
      </w:r>
      <w:r w:rsidR="00621FC2" w:rsidRPr="443E94B4">
        <w:rPr>
          <w:sz w:val="22"/>
          <w:szCs w:val="22"/>
        </w:rPr>
        <w:t xml:space="preserve"> 2024</w:t>
      </w:r>
      <w:r w:rsidR="006659B1">
        <w:rPr>
          <w:sz w:val="22"/>
          <w:szCs w:val="22"/>
        </w:rPr>
        <w:t xml:space="preserve"> </w:t>
      </w:r>
      <w:proofErr w:type="gramStart"/>
      <w:r w:rsidR="006659B1">
        <w:rPr>
          <w:sz w:val="22"/>
          <w:szCs w:val="22"/>
        </w:rPr>
        <w:t>onwards</w:t>
      </w:r>
      <w:r w:rsidR="0049736F">
        <w:rPr>
          <w:sz w:val="22"/>
          <w:szCs w:val="22"/>
        </w:rPr>
        <w:t>, and</w:t>
      </w:r>
      <w:proofErr w:type="gramEnd"/>
      <w:r w:rsidR="0049736F">
        <w:rPr>
          <w:sz w:val="22"/>
          <w:szCs w:val="22"/>
        </w:rPr>
        <w:t xml:space="preserve"> can be replaced if a suitable substitute for biodiversity monitoring is developed</w:t>
      </w:r>
      <w:r w:rsidR="00621FC2" w:rsidRPr="443E94B4">
        <w:rPr>
          <w:sz w:val="22"/>
          <w:szCs w:val="22"/>
        </w:rPr>
        <w:t>.</w:t>
      </w:r>
    </w:p>
    <w:p w14:paraId="1BFD5B96" w14:textId="6962F66B" w:rsidR="00CD2695" w:rsidRPr="00CD2695" w:rsidRDefault="00517475" w:rsidP="006110D9">
      <w:pPr>
        <w:pStyle w:val="ListParagraph"/>
        <w:numPr>
          <w:ilvl w:val="0"/>
          <w:numId w:val="10"/>
        </w:numPr>
        <w:jc w:val="both"/>
        <w:rPr>
          <w:rFonts w:cs="Arial"/>
          <w:sz w:val="22"/>
          <w:szCs w:val="22"/>
        </w:rPr>
      </w:pPr>
      <w:r>
        <w:rPr>
          <w:b/>
          <w:bCs/>
          <w:sz w:val="22"/>
          <w:szCs w:val="22"/>
        </w:rPr>
        <w:t xml:space="preserve">Output </w:t>
      </w:r>
      <w:r w:rsidR="00C025FA">
        <w:rPr>
          <w:b/>
          <w:bCs/>
          <w:sz w:val="22"/>
          <w:szCs w:val="22"/>
        </w:rPr>
        <w:t xml:space="preserve">Indicator 2.2: </w:t>
      </w:r>
      <w:r w:rsidR="00CD2695" w:rsidRPr="00CD2695">
        <w:rPr>
          <w:sz w:val="22"/>
          <w:szCs w:val="22"/>
        </w:rPr>
        <w:t>Certifi</w:t>
      </w:r>
      <w:r w:rsidR="00CD2695">
        <w:rPr>
          <w:sz w:val="22"/>
          <w:szCs w:val="22"/>
        </w:rPr>
        <w:t>ed projects</w:t>
      </w:r>
      <w:r w:rsidR="00CD2695" w:rsidRPr="00CD2695">
        <w:rPr>
          <w:sz w:val="22"/>
          <w:szCs w:val="22"/>
        </w:rPr>
        <w:t xml:space="preserve"> include</w:t>
      </w:r>
      <w:r w:rsidR="00CD2695">
        <w:rPr>
          <w:b/>
          <w:bCs/>
          <w:sz w:val="22"/>
          <w:szCs w:val="22"/>
        </w:rPr>
        <w:t xml:space="preserve"> </w:t>
      </w:r>
      <w:proofErr w:type="spellStart"/>
      <w:r w:rsidR="00CD2695" w:rsidRPr="00CD2695">
        <w:rPr>
          <w:sz w:val="22"/>
          <w:szCs w:val="22"/>
        </w:rPr>
        <w:t>Urapi</w:t>
      </w:r>
      <w:proofErr w:type="spellEnd"/>
      <w:r w:rsidR="00CD2695" w:rsidRPr="00CD2695">
        <w:rPr>
          <w:sz w:val="22"/>
          <w:szCs w:val="22"/>
        </w:rPr>
        <w:t xml:space="preserve"> (Organic &amp; Fairtrade, Miro (FSC), Cacao Oro (Rainforest Alliance), Kennemer (Rainforest Alliance), Aloe </w:t>
      </w:r>
      <w:proofErr w:type="spellStart"/>
      <w:r w:rsidR="00CD2695" w:rsidRPr="00CD2695">
        <w:rPr>
          <w:sz w:val="22"/>
          <w:szCs w:val="22"/>
        </w:rPr>
        <w:t>Agroflorestal</w:t>
      </w:r>
      <w:proofErr w:type="spellEnd"/>
      <w:r w:rsidR="00CD2695" w:rsidRPr="00CD2695">
        <w:rPr>
          <w:sz w:val="22"/>
          <w:szCs w:val="22"/>
        </w:rPr>
        <w:t xml:space="preserve"> (FSC), Atlas Fruits (Global GAP), Pamoja (organic), AQRE (UEBT)</w:t>
      </w:r>
      <w:r w:rsidR="00CD2695">
        <w:rPr>
          <w:sz w:val="22"/>
          <w:szCs w:val="22"/>
        </w:rPr>
        <w:t xml:space="preserve">. While Kennemer and </w:t>
      </w:r>
      <w:r w:rsidR="00481DFF">
        <w:rPr>
          <w:sz w:val="22"/>
          <w:szCs w:val="22"/>
        </w:rPr>
        <w:t xml:space="preserve">AQRE both achieved certification last year, </w:t>
      </w:r>
      <w:proofErr w:type="spellStart"/>
      <w:r w:rsidR="00CD2695">
        <w:rPr>
          <w:sz w:val="22"/>
          <w:szCs w:val="22"/>
        </w:rPr>
        <w:t>Burapha</w:t>
      </w:r>
      <w:r w:rsidR="003646D5">
        <w:rPr>
          <w:sz w:val="22"/>
          <w:szCs w:val="22"/>
        </w:rPr>
        <w:t>’s</w:t>
      </w:r>
      <w:proofErr w:type="spellEnd"/>
      <w:r w:rsidR="003646D5">
        <w:rPr>
          <w:sz w:val="22"/>
          <w:szCs w:val="22"/>
        </w:rPr>
        <w:t xml:space="preserve"> </w:t>
      </w:r>
      <w:r w:rsidR="00CD2695">
        <w:rPr>
          <w:sz w:val="22"/>
          <w:szCs w:val="22"/>
        </w:rPr>
        <w:t>FSC certification</w:t>
      </w:r>
      <w:r w:rsidR="003646D5">
        <w:rPr>
          <w:sz w:val="22"/>
          <w:szCs w:val="22"/>
        </w:rPr>
        <w:t xml:space="preserve"> lapsed due to </w:t>
      </w:r>
      <w:r w:rsidR="00925BD9">
        <w:rPr>
          <w:sz w:val="22"/>
          <w:szCs w:val="22"/>
        </w:rPr>
        <w:t xml:space="preserve">other challenges at the </w:t>
      </w:r>
      <w:proofErr w:type="gramStart"/>
      <w:r w:rsidR="00925BD9">
        <w:rPr>
          <w:sz w:val="22"/>
          <w:szCs w:val="22"/>
        </w:rPr>
        <w:t>company, but</w:t>
      </w:r>
      <w:proofErr w:type="gramEnd"/>
      <w:r w:rsidR="00925BD9">
        <w:rPr>
          <w:sz w:val="22"/>
          <w:szCs w:val="22"/>
        </w:rPr>
        <w:t xml:space="preserve"> is on track to be re</w:t>
      </w:r>
      <w:r w:rsidR="00806957">
        <w:rPr>
          <w:sz w:val="22"/>
          <w:szCs w:val="22"/>
        </w:rPr>
        <w:t>-</w:t>
      </w:r>
      <w:r w:rsidR="00925BD9">
        <w:rPr>
          <w:sz w:val="22"/>
          <w:szCs w:val="22"/>
        </w:rPr>
        <w:t xml:space="preserve">certified </w:t>
      </w:r>
      <w:r w:rsidR="000E2E3B">
        <w:rPr>
          <w:sz w:val="22"/>
          <w:szCs w:val="22"/>
        </w:rPr>
        <w:t>in 2025</w:t>
      </w:r>
      <w:r w:rsidR="00CD2695">
        <w:rPr>
          <w:sz w:val="22"/>
          <w:szCs w:val="22"/>
        </w:rPr>
        <w:t>.</w:t>
      </w:r>
    </w:p>
    <w:p w14:paraId="4521DC40" w14:textId="7AF8F53B" w:rsidR="004A067A" w:rsidRPr="004A067A" w:rsidRDefault="00517475" w:rsidP="006110D9">
      <w:pPr>
        <w:pStyle w:val="ListParagraph"/>
        <w:numPr>
          <w:ilvl w:val="0"/>
          <w:numId w:val="10"/>
        </w:numPr>
        <w:jc w:val="both"/>
        <w:rPr>
          <w:rFonts w:cs="Arial"/>
          <w:sz w:val="22"/>
          <w:szCs w:val="22"/>
        </w:rPr>
      </w:pPr>
      <w:r w:rsidRPr="37BA9D8A">
        <w:rPr>
          <w:b/>
          <w:bCs/>
          <w:sz w:val="22"/>
          <w:szCs w:val="22"/>
        </w:rPr>
        <w:t xml:space="preserve">Output </w:t>
      </w:r>
      <w:r w:rsidR="00C025FA" w:rsidRPr="37BA9D8A">
        <w:rPr>
          <w:b/>
          <w:bCs/>
          <w:sz w:val="22"/>
          <w:szCs w:val="22"/>
        </w:rPr>
        <w:t>Indicator 2.3</w:t>
      </w:r>
      <w:r w:rsidRPr="37BA9D8A">
        <w:rPr>
          <w:b/>
          <w:bCs/>
          <w:sz w:val="22"/>
          <w:szCs w:val="22"/>
        </w:rPr>
        <w:t xml:space="preserve">: </w:t>
      </w:r>
      <w:r w:rsidRPr="37BA9D8A">
        <w:rPr>
          <w:sz w:val="22"/>
          <w:szCs w:val="22"/>
        </w:rPr>
        <w:t xml:space="preserve">as discussed </w:t>
      </w:r>
      <w:r w:rsidR="00CB6209" w:rsidRPr="37BA9D8A">
        <w:rPr>
          <w:sz w:val="22"/>
          <w:szCs w:val="22"/>
        </w:rPr>
        <w:t>in</w:t>
      </w:r>
      <w:r w:rsidRPr="37BA9D8A">
        <w:rPr>
          <w:sz w:val="22"/>
          <w:szCs w:val="22"/>
        </w:rPr>
        <w:t xml:space="preserve"> </w:t>
      </w:r>
      <w:r w:rsidR="187F0B2E" w:rsidRPr="37BA9D8A">
        <w:rPr>
          <w:sz w:val="22"/>
          <w:szCs w:val="22"/>
        </w:rPr>
        <w:t xml:space="preserve">the </w:t>
      </w:r>
      <w:r w:rsidRPr="37BA9D8A">
        <w:rPr>
          <w:sz w:val="22"/>
          <w:szCs w:val="22"/>
        </w:rPr>
        <w:t xml:space="preserve">Outcome </w:t>
      </w:r>
      <w:r w:rsidR="00CB6209" w:rsidRPr="37BA9D8A">
        <w:rPr>
          <w:sz w:val="22"/>
          <w:szCs w:val="22"/>
        </w:rPr>
        <w:t>section</w:t>
      </w:r>
      <w:r w:rsidR="00EA5ED1" w:rsidRPr="37BA9D8A">
        <w:rPr>
          <w:sz w:val="22"/>
          <w:szCs w:val="22"/>
        </w:rPr>
        <w:t xml:space="preserve">, </w:t>
      </w:r>
      <w:proofErr w:type="spellStart"/>
      <w:r w:rsidR="00EA5ED1" w:rsidRPr="37BA9D8A">
        <w:rPr>
          <w:sz w:val="22"/>
          <w:szCs w:val="22"/>
        </w:rPr>
        <w:t>Mirova’s</w:t>
      </w:r>
      <w:proofErr w:type="spellEnd"/>
      <w:r w:rsidR="00EA5ED1" w:rsidRPr="37BA9D8A">
        <w:rPr>
          <w:sz w:val="22"/>
          <w:szCs w:val="22"/>
        </w:rPr>
        <w:t xml:space="preserve"> proposal is to adjust </w:t>
      </w:r>
      <w:r w:rsidR="00E605A2" w:rsidRPr="37BA9D8A">
        <w:rPr>
          <w:sz w:val="22"/>
          <w:szCs w:val="22"/>
        </w:rPr>
        <w:t>some core milestones to allow for the Fund’s reduced reach and number of investments following</w:t>
      </w:r>
      <w:r w:rsidR="00DA29E2">
        <w:rPr>
          <w:sz w:val="22"/>
          <w:szCs w:val="22"/>
        </w:rPr>
        <w:t xml:space="preserve"> the continued impacts of</w:t>
      </w:r>
      <w:r w:rsidR="00E605A2" w:rsidRPr="37BA9D8A">
        <w:rPr>
          <w:sz w:val="22"/>
          <w:szCs w:val="22"/>
        </w:rPr>
        <w:t xml:space="preserve"> COVID-19.</w:t>
      </w:r>
    </w:p>
    <w:p w14:paraId="0588D513" w14:textId="77777777" w:rsidR="000F5F51" w:rsidRPr="002055D4" w:rsidRDefault="000F5F51" w:rsidP="006110D9">
      <w:pPr>
        <w:jc w:val="both"/>
        <w:rPr>
          <w:color w:val="FF0000"/>
          <w:sz w:val="20"/>
          <w:szCs w:val="22"/>
        </w:rPr>
      </w:pP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9F76D8" w:rsidRPr="002055D4" w14:paraId="74E9F4F1" w14:textId="77777777" w:rsidTr="00EC4E49">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62FDEF" w14:textId="77777777" w:rsidR="000F5F51" w:rsidRPr="002055D4" w:rsidRDefault="000F5F51" w:rsidP="006110D9">
            <w:pPr>
              <w:jc w:val="both"/>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9B4B755" w14:textId="77777777" w:rsidR="000F5F51" w:rsidRPr="002055D4" w:rsidRDefault="000F5F51" w:rsidP="006110D9">
            <w:pPr>
              <w:jc w:val="both"/>
              <w:rPr>
                <w:rFonts w:cs="Arial"/>
                <w:i/>
                <w:iCs/>
                <w:sz w:val="20"/>
                <w:szCs w:val="20"/>
              </w:rPr>
            </w:pPr>
            <w:r w:rsidRPr="60E67443">
              <w:rPr>
                <w:rFonts w:cs="Arial"/>
                <w:sz w:val="20"/>
                <w:szCs w:val="20"/>
                <w:shd w:val="clear" w:color="auto" w:fill="FFFFFF"/>
              </w:rPr>
              <w:t>The LDN Fund contributes to positive development outcomes in local communities/poor rural individuals in and around each of the project locations, with clear and sustained community engagement in each of the projects</w:t>
            </w:r>
          </w:p>
        </w:tc>
      </w:tr>
      <w:tr w:rsidR="00AB32F3" w:rsidRPr="002055D4" w14:paraId="2F55C0AF" w14:textId="77777777" w:rsidTr="00EC4E49">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66C32D" w14:textId="77777777" w:rsidR="000F5F51" w:rsidRPr="002055D4" w:rsidRDefault="000F5F51" w:rsidP="006110D9">
            <w:pPr>
              <w:jc w:val="both"/>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575A787A" w14:textId="77777777" w:rsidR="000F5F51" w:rsidRPr="002055D4" w:rsidRDefault="000F5F51" w:rsidP="006110D9">
            <w:pPr>
              <w:jc w:val="both"/>
              <w:rPr>
                <w:sz w:val="20"/>
                <w:szCs w:val="20"/>
              </w:rPr>
            </w:pPr>
            <w:r w:rsidRPr="60E67443">
              <w:rPr>
                <w:sz w:val="20"/>
                <w:szCs w:val="20"/>
              </w:rPr>
              <w:t>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CCC613" w14:textId="77777777" w:rsidR="000F5F51" w:rsidRPr="002055D4" w:rsidRDefault="000F5F51" w:rsidP="006110D9">
            <w:pPr>
              <w:jc w:val="both"/>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7ED79400" w14:textId="7CAB186F" w:rsidR="000F5F51" w:rsidRPr="002055D4" w:rsidRDefault="000F5F51" w:rsidP="006110D9">
            <w:pPr>
              <w:jc w:val="both"/>
              <w:rPr>
                <w:sz w:val="20"/>
                <w:szCs w:val="20"/>
              </w:rPr>
            </w:pPr>
            <w:r w:rsidRPr="28A82ED1">
              <w:rPr>
                <w:sz w:val="20"/>
                <w:szCs w:val="20"/>
              </w:rPr>
              <w:t>A</w:t>
            </w:r>
            <w:r w:rsidR="157F3A17" w:rsidRPr="28A82ED1">
              <w:rPr>
                <w:sz w:val="20"/>
                <w:szCs w:val="20"/>
              </w:rPr>
              <w:t>+</w:t>
            </w:r>
            <w:r w:rsidR="004C3341">
              <w:rPr>
                <w:sz w:val="20"/>
                <w:szCs w:val="20"/>
              </w:rPr>
              <w:t>+</w:t>
            </w:r>
          </w:p>
        </w:tc>
      </w:tr>
      <w:tr w:rsidR="00AB32F3" w:rsidRPr="002055D4" w14:paraId="706D6069" w14:textId="77777777" w:rsidTr="00EC4E49">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CDB6A5" w14:textId="77777777" w:rsidR="000F5F51" w:rsidRPr="002055D4" w:rsidRDefault="000F5F51" w:rsidP="006110D9">
            <w:pPr>
              <w:jc w:val="both"/>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79E48CD6" w14:textId="02393879" w:rsidR="000F5F51" w:rsidRPr="002055D4" w:rsidRDefault="00984B3F" w:rsidP="006110D9">
            <w:pPr>
              <w:jc w:val="both"/>
              <w:rPr>
                <w:sz w:val="20"/>
                <w:szCs w:val="20"/>
              </w:rPr>
            </w:pPr>
            <w:r>
              <w:rPr>
                <w:sz w:val="20"/>
                <w:szCs w:val="20"/>
              </w:rPr>
              <w:t>25</w:t>
            </w:r>
            <w:r w:rsidR="00DF540C">
              <w:rPr>
                <w:sz w:val="20"/>
                <w:szCs w:val="20"/>
              </w:rPr>
              <w: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FBF716" w14:textId="77777777" w:rsidR="000F5F51" w:rsidRPr="002055D4" w:rsidRDefault="000F5F51" w:rsidP="006110D9">
            <w:pPr>
              <w:jc w:val="both"/>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1042DEE3" w14:textId="29B1807A" w:rsidR="000F5F51" w:rsidRPr="002055D4" w:rsidRDefault="00DE3141" w:rsidP="006110D9">
            <w:pPr>
              <w:jc w:val="both"/>
              <w:rPr>
                <w:sz w:val="20"/>
                <w:szCs w:val="20"/>
              </w:rPr>
            </w:pPr>
            <w:r>
              <w:rPr>
                <w:sz w:val="20"/>
                <w:szCs w:val="20"/>
              </w:rPr>
              <w:t>N/A</w:t>
            </w:r>
          </w:p>
        </w:tc>
      </w:tr>
    </w:tbl>
    <w:p w14:paraId="2F1893F5" w14:textId="77777777" w:rsidR="000F5F51" w:rsidRPr="002055D4" w:rsidRDefault="000F5F51" w:rsidP="006110D9">
      <w:pPr>
        <w:jc w:val="both"/>
        <w:rPr>
          <w:sz w:val="20"/>
          <w:szCs w:val="20"/>
        </w:rPr>
      </w:pPr>
    </w:p>
    <w:tbl>
      <w:tblPr>
        <w:tblStyle w:val="TableGrid"/>
        <w:tblpPr w:leftFromText="180" w:rightFromText="180" w:vertAnchor="text" w:horzAnchor="margin" w:tblpX="-147" w:tblpY="53"/>
        <w:tblOverlap w:val="never"/>
        <w:tblW w:w="9351" w:type="dxa"/>
        <w:tblLayout w:type="fixed"/>
        <w:tblLook w:val="04A0" w:firstRow="1" w:lastRow="0" w:firstColumn="1" w:lastColumn="0" w:noHBand="0" w:noVBand="1"/>
      </w:tblPr>
      <w:tblGrid>
        <w:gridCol w:w="4390"/>
        <w:gridCol w:w="1417"/>
        <w:gridCol w:w="1843"/>
        <w:gridCol w:w="1701"/>
      </w:tblGrid>
      <w:tr w:rsidR="007D7255" w:rsidRPr="002055D4" w14:paraId="335CBBE8" w14:textId="77777777" w:rsidTr="37BA9D8A">
        <w:trPr>
          <w:trHeight w:val="139"/>
        </w:trPr>
        <w:tc>
          <w:tcPr>
            <w:tcW w:w="439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2C6604" w14:textId="10D084B2" w:rsidR="007D7255" w:rsidRPr="002055D4" w:rsidRDefault="007D7255" w:rsidP="006110D9">
            <w:pPr>
              <w:jc w:val="both"/>
              <w:rPr>
                <w:b/>
                <w:bCs/>
                <w:sz w:val="20"/>
                <w:szCs w:val="20"/>
              </w:rPr>
            </w:pPr>
            <w:r>
              <w:rPr>
                <w:b/>
                <w:bCs/>
                <w:sz w:val="20"/>
                <w:szCs w:val="20"/>
              </w:rPr>
              <w:t xml:space="preserve">Output </w:t>
            </w:r>
            <w:r w:rsidRPr="60E67443">
              <w:rPr>
                <w:b/>
                <w:bCs/>
                <w:sz w:val="20"/>
                <w:szCs w:val="20"/>
              </w:rPr>
              <w:t>Indicator(s)</w:t>
            </w: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9CA301" w14:textId="721C3720" w:rsidR="007D7255" w:rsidRDefault="007D7255" w:rsidP="006110D9">
            <w:pPr>
              <w:jc w:val="both"/>
              <w:rPr>
                <w:b/>
                <w:bCs/>
                <w:sz w:val="20"/>
                <w:szCs w:val="20"/>
              </w:rPr>
            </w:pPr>
            <w:r>
              <w:rPr>
                <w:b/>
                <w:bCs/>
                <w:sz w:val="20"/>
                <w:szCs w:val="20"/>
              </w:rPr>
              <w:t>2024 in-year results</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263662" w14:textId="0A6AC60F" w:rsidR="007D7255" w:rsidRDefault="007D7255" w:rsidP="006110D9">
            <w:pPr>
              <w:jc w:val="both"/>
              <w:rPr>
                <w:b/>
                <w:bCs/>
                <w:sz w:val="20"/>
                <w:szCs w:val="20"/>
              </w:rPr>
            </w:pPr>
            <w:r w:rsidRPr="6991F9F2">
              <w:rPr>
                <w:b/>
                <w:bCs/>
                <w:sz w:val="20"/>
                <w:szCs w:val="20"/>
              </w:rPr>
              <w:t>202</w:t>
            </w:r>
            <w:r>
              <w:rPr>
                <w:b/>
                <w:bCs/>
                <w:sz w:val="20"/>
                <w:szCs w:val="20"/>
              </w:rPr>
              <w:t>4</w:t>
            </w:r>
            <w:r w:rsidRPr="6991F9F2">
              <w:rPr>
                <w:b/>
                <w:bCs/>
                <w:sz w:val="20"/>
                <w:szCs w:val="20"/>
              </w:rPr>
              <w:t xml:space="preserve"> milestone</w:t>
            </w:r>
            <w:r>
              <w:rPr>
                <w:b/>
                <w:bCs/>
                <w:sz w:val="20"/>
                <w:szCs w:val="20"/>
              </w:rPr>
              <w:t>s (cumulative)</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00F8FD" w14:textId="64F5059A" w:rsidR="007D7255" w:rsidRDefault="007D7255" w:rsidP="006110D9">
            <w:pPr>
              <w:jc w:val="both"/>
              <w:rPr>
                <w:b/>
                <w:bCs/>
                <w:sz w:val="20"/>
                <w:szCs w:val="20"/>
              </w:rPr>
            </w:pPr>
            <w:r w:rsidRPr="495999B5">
              <w:rPr>
                <w:b/>
                <w:bCs/>
                <w:sz w:val="20"/>
                <w:szCs w:val="20"/>
              </w:rPr>
              <w:t>202</w:t>
            </w:r>
            <w:r>
              <w:rPr>
                <w:b/>
                <w:bCs/>
                <w:sz w:val="20"/>
                <w:szCs w:val="20"/>
              </w:rPr>
              <w:t>4 results (cumulative)</w:t>
            </w:r>
          </w:p>
        </w:tc>
      </w:tr>
      <w:tr w:rsidR="007D7255" w:rsidRPr="002055D4" w14:paraId="553ACF54" w14:textId="77777777" w:rsidTr="37BA9D8A">
        <w:trPr>
          <w:trHeight w:val="231"/>
        </w:trPr>
        <w:tc>
          <w:tcPr>
            <w:tcW w:w="4390" w:type="dxa"/>
            <w:tcBorders>
              <w:top w:val="single" w:sz="4" w:space="0" w:color="auto"/>
              <w:left w:val="single" w:sz="4" w:space="0" w:color="auto"/>
              <w:bottom w:val="single" w:sz="4" w:space="0" w:color="auto"/>
              <w:right w:val="single" w:sz="4" w:space="0" w:color="auto"/>
            </w:tcBorders>
          </w:tcPr>
          <w:p w14:paraId="07A19464" w14:textId="4CA1D6E5" w:rsidR="007D7255" w:rsidRPr="002055D4" w:rsidRDefault="007D7255" w:rsidP="006110D9">
            <w:pPr>
              <w:jc w:val="both"/>
              <w:rPr>
                <w:sz w:val="20"/>
                <w:szCs w:val="20"/>
              </w:rPr>
            </w:pPr>
            <w:r w:rsidRPr="3565349E">
              <w:rPr>
                <w:sz w:val="20"/>
                <w:szCs w:val="20"/>
              </w:rPr>
              <w:t>3.1 Percentage of women employed by or with main livelihood supported by LDN Fund projects</w:t>
            </w:r>
            <w:r>
              <w:rPr>
                <w:sz w:val="20"/>
                <w:szCs w:val="20"/>
              </w:rPr>
              <w:t xml:space="preserve"> (annual)</w:t>
            </w:r>
          </w:p>
        </w:tc>
        <w:tc>
          <w:tcPr>
            <w:tcW w:w="1417" w:type="dxa"/>
            <w:tcBorders>
              <w:top w:val="single" w:sz="4" w:space="0" w:color="auto"/>
              <w:left w:val="single" w:sz="4" w:space="0" w:color="auto"/>
              <w:bottom w:val="single" w:sz="4" w:space="0" w:color="auto"/>
              <w:right w:val="single" w:sz="4" w:space="0" w:color="auto"/>
            </w:tcBorders>
            <w:vAlign w:val="center"/>
          </w:tcPr>
          <w:p w14:paraId="370C98E0" w14:textId="688BCA75" w:rsidR="007D7255" w:rsidRPr="60E67443" w:rsidRDefault="00F6228C" w:rsidP="006110D9">
            <w:pPr>
              <w:jc w:val="both"/>
              <w:rPr>
                <w:sz w:val="20"/>
                <w:szCs w:val="20"/>
              </w:rPr>
            </w:pPr>
            <w:r>
              <w:rPr>
                <w:sz w:val="20"/>
                <w:szCs w:val="20"/>
              </w:rPr>
              <w:t>+2</w:t>
            </w:r>
            <w:r w:rsidR="007D7255">
              <w:rPr>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795198CC" w14:textId="6E183602" w:rsidR="007D7255" w:rsidRDefault="00F6228C" w:rsidP="006110D9">
            <w:pPr>
              <w:jc w:val="both"/>
              <w:rPr>
                <w:sz w:val="20"/>
                <w:szCs w:val="20"/>
              </w:rPr>
            </w:pPr>
            <w:r>
              <w:rPr>
                <w:sz w:val="20"/>
                <w:szCs w:val="20"/>
              </w:rPr>
              <w:t>47</w:t>
            </w:r>
            <w:r w:rsidR="007D7255" w:rsidRPr="35ABD144">
              <w:rPr>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92D050"/>
            <w:vAlign w:val="center"/>
          </w:tcPr>
          <w:p w14:paraId="3C8303EA" w14:textId="6E0EE3EC" w:rsidR="007D7255" w:rsidRDefault="007D7255" w:rsidP="006110D9">
            <w:pPr>
              <w:jc w:val="both"/>
              <w:rPr>
                <w:sz w:val="20"/>
                <w:szCs w:val="20"/>
              </w:rPr>
            </w:pPr>
            <w:r w:rsidRPr="35ABD144">
              <w:rPr>
                <w:sz w:val="20"/>
                <w:szCs w:val="20"/>
              </w:rPr>
              <w:t>5</w:t>
            </w:r>
            <w:r w:rsidR="00F6228C">
              <w:rPr>
                <w:sz w:val="20"/>
                <w:szCs w:val="20"/>
              </w:rPr>
              <w:t>5</w:t>
            </w:r>
            <w:r w:rsidRPr="35ABD144">
              <w:rPr>
                <w:sz w:val="20"/>
                <w:szCs w:val="20"/>
              </w:rPr>
              <w:t>%</w:t>
            </w:r>
          </w:p>
          <w:p w14:paraId="4A5FB8A1" w14:textId="5D646FEB" w:rsidR="007D7255" w:rsidRDefault="007D7255" w:rsidP="006110D9">
            <w:pPr>
              <w:jc w:val="both"/>
              <w:rPr>
                <w:sz w:val="20"/>
                <w:szCs w:val="20"/>
              </w:rPr>
            </w:pPr>
            <w:r>
              <w:rPr>
                <w:sz w:val="20"/>
                <w:szCs w:val="20"/>
              </w:rPr>
              <w:t>(55,778 women)</w:t>
            </w:r>
          </w:p>
        </w:tc>
      </w:tr>
      <w:tr w:rsidR="007D7255" w:rsidRPr="002055D4" w14:paraId="788FB33E" w14:textId="77777777" w:rsidTr="37BA9D8A">
        <w:trPr>
          <w:trHeight w:val="263"/>
        </w:trPr>
        <w:tc>
          <w:tcPr>
            <w:tcW w:w="4390" w:type="dxa"/>
            <w:tcBorders>
              <w:top w:val="single" w:sz="4" w:space="0" w:color="auto"/>
              <w:left w:val="single" w:sz="4" w:space="0" w:color="auto"/>
              <w:bottom w:val="single" w:sz="4" w:space="0" w:color="auto"/>
              <w:right w:val="single" w:sz="4" w:space="0" w:color="auto"/>
            </w:tcBorders>
            <w:vAlign w:val="center"/>
          </w:tcPr>
          <w:p w14:paraId="4C30B75C" w14:textId="54F3A19E" w:rsidR="007D7255" w:rsidRPr="002055D4" w:rsidRDefault="456174F3" w:rsidP="006565E7">
            <w:pPr>
              <w:rPr>
                <w:sz w:val="20"/>
                <w:szCs w:val="20"/>
              </w:rPr>
            </w:pPr>
            <w:r w:rsidRPr="37BA9D8A">
              <w:rPr>
                <w:sz w:val="20"/>
                <w:szCs w:val="20"/>
              </w:rPr>
              <w:t>3.2 Number of community engagement events (cumulative)</w:t>
            </w:r>
          </w:p>
        </w:tc>
        <w:tc>
          <w:tcPr>
            <w:tcW w:w="1417" w:type="dxa"/>
            <w:tcBorders>
              <w:top w:val="single" w:sz="4" w:space="0" w:color="auto"/>
              <w:left w:val="single" w:sz="4" w:space="0" w:color="auto"/>
              <w:bottom w:val="single" w:sz="4" w:space="0" w:color="auto"/>
              <w:right w:val="single" w:sz="4" w:space="0" w:color="auto"/>
            </w:tcBorders>
            <w:vAlign w:val="center"/>
          </w:tcPr>
          <w:p w14:paraId="43DBCC45" w14:textId="72CC6FEF" w:rsidR="007D7255" w:rsidRDefault="004960D9" w:rsidP="006110D9">
            <w:pPr>
              <w:jc w:val="both"/>
              <w:rPr>
                <w:sz w:val="20"/>
                <w:szCs w:val="20"/>
              </w:rPr>
            </w:pPr>
            <w:r>
              <w:rPr>
                <w:sz w:val="20"/>
                <w:szCs w:val="20"/>
              </w:rPr>
              <w:t>2575</w:t>
            </w:r>
          </w:p>
        </w:tc>
        <w:tc>
          <w:tcPr>
            <w:tcW w:w="1843" w:type="dxa"/>
            <w:tcBorders>
              <w:top w:val="single" w:sz="4" w:space="0" w:color="auto"/>
              <w:left w:val="single" w:sz="4" w:space="0" w:color="auto"/>
              <w:bottom w:val="single" w:sz="4" w:space="0" w:color="auto"/>
              <w:right w:val="single" w:sz="4" w:space="0" w:color="auto"/>
            </w:tcBorders>
            <w:vAlign w:val="center"/>
          </w:tcPr>
          <w:p w14:paraId="62385572" w14:textId="77777777" w:rsidR="007D7255" w:rsidRDefault="007D7255" w:rsidP="006110D9">
            <w:pPr>
              <w:jc w:val="both"/>
              <w:rPr>
                <w:sz w:val="20"/>
                <w:szCs w:val="20"/>
              </w:rPr>
            </w:pPr>
            <w:r w:rsidRPr="35ABD144">
              <w:rPr>
                <w:sz w:val="20"/>
                <w:szCs w:val="20"/>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9435E92" w14:textId="05CE73D1" w:rsidR="007D7255" w:rsidRDefault="00AB32F3" w:rsidP="006110D9">
            <w:pPr>
              <w:jc w:val="both"/>
              <w:rPr>
                <w:sz w:val="20"/>
                <w:szCs w:val="20"/>
              </w:rPr>
            </w:pPr>
            <w:r>
              <w:rPr>
                <w:sz w:val="20"/>
                <w:szCs w:val="20"/>
              </w:rPr>
              <w:t>6271</w:t>
            </w:r>
          </w:p>
        </w:tc>
      </w:tr>
      <w:tr w:rsidR="007D7255" w:rsidRPr="002055D4" w14:paraId="043DFB87" w14:textId="77777777" w:rsidTr="37BA9D8A">
        <w:trPr>
          <w:trHeight w:val="465"/>
        </w:trPr>
        <w:tc>
          <w:tcPr>
            <w:tcW w:w="4390" w:type="dxa"/>
            <w:tcBorders>
              <w:top w:val="single" w:sz="4" w:space="0" w:color="auto"/>
              <w:left w:val="single" w:sz="4" w:space="0" w:color="auto"/>
              <w:bottom w:val="single" w:sz="4" w:space="0" w:color="auto"/>
              <w:right w:val="single" w:sz="4" w:space="0" w:color="auto"/>
            </w:tcBorders>
          </w:tcPr>
          <w:p w14:paraId="3BDC582C" w14:textId="29FAA28C" w:rsidR="007D7255" w:rsidRPr="002055D4" w:rsidRDefault="007D7255" w:rsidP="006110D9">
            <w:pPr>
              <w:jc w:val="both"/>
              <w:rPr>
                <w:sz w:val="20"/>
                <w:szCs w:val="20"/>
              </w:rPr>
            </w:pPr>
            <w:r w:rsidRPr="3F1ACADE">
              <w:rPr>
                <w:sz w:val="20"/>
                <w:szCs w:val="20"/>
              </w:rPr>
              <w:t>3.3 Jobs created/supported by LDN Fund (employees and smallholders supported; employees only in brackets)</w:t>
            </w:r>
            <w:r>
              <w:rPr>
                <w:sz w:val="20"/>
                <w:szCs w:val="20"/>
              </w:rPr>
              <w:t xml:space="preserve"> (cumulative)</w:t>
            </w:r>
          </w:p>
        </w:tc>
        <w:tc>
          <w:tcPr>
            <w:tcW w:w="1417" w:type="dxa"/>
            <w:tcBorders>
              <w:top w:val="single" w:sz="4" w:space="0" w:color="auto"/>
              <w:left w:val="single" w:sz="4" w:space="0" w:color="auto"/>
              <w:bottom w:val="single" w:sz="4" w:space="0" w:color="auto"/>
              <w:right w:val="single" w:sz="4" w:space="0" w:color="auto"/>
            </w:tcBorders>
            <w:vAlign w:val="center"/>
          </w:tcPr>
          <w:p w14:paraId="55BEF399" w14:textId="468F0027" w:rsidR="007D7255" w:rsidRPr="00781DAA" w:rsidRDefault="00DF785C" w:rsidP="006110D9">
            <w:pPr>
              <w:jc w:val="both"/>
              <w:rPr>
                <w:sz w:val="20"/>
                <w:szCs w:val="20"/>
              </w:rPr>
            </w:pPr>
            <w:r w:rsidRPr="00781DAA">
              <w:rPr>
                <w:sz w:val="20"/>
                <w:szCs w:val="20"/>
              </w:rPr>
              <w:t>38,783</w:t>
            </w:r>
          </w:p>
          <w:p w14:paraId="19941F35" w14:textId="1396BAF6" w:rsidR="007D7255" w:rsidRPr="00781DAA" w:rsidRDefault="007D7255" w:rsidP="006110D9">
            <w:pPr>
              <w:jc w:val="both"/>
              <w:rPr>
                <w:sz w:val="20"/>
                <w:szCs w:val="20"/>
              </w:rPr>
            </w:pPr>
            <w:r w:rsidRPr="00781DAA">
              <w:rPr>
                <w:sz w:val="20"/>
                <w:szCs w:val="22"/>
              </w:rPr>
              <w:t>(</w:t>
            </w:r>
            <w:r w:rsidR="00781DAA" w:rsidRPr="00781DAA">
              <w:rPr>
                <w:sz w:val="20"/>
                <w:szCs w:val="22"/>
              </w:rPr>
              <w:t>-1488</w:t>
            </w:r>
            <w:r w:rsidRPr="00781DAA">
              <w:rPr>
                <w:sz w:val="20"/>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627DF9EF" w14:textId="2D498EC4" w:rsidR="007D7255" w:rsidRPr="00781DAA" w:rsidRDefault="001867D6" w:rsidP="006110D9">
            <w:pPr>
              <w:jc w:val="both"/>
              <w:rPr>
                <w:sz w:val="20"/>
                <w:szCs w:val="20"/>
              </w:rPr>
            </w:pPr>
            <w:r w:rsidRPr="00781DAA">
              <w:rPr>
                <w:sz w:val="20"/>
                <w:szCs w:val="20"/>
              </w:rPr>
              <w:t>80</w:t>
            </w:r>
            <w:r w:rsidR="007D7255" w:rsidRPr="00781DAA">
              <w:rPr>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92D050"/>
            <w:vAlign w:val="center"/>
          </w:tcPr>
          <w:p w14:paraId="15EA432F" w14:textId="7FB57A63" w:rsidR="007D7255" w:rsidRPr="00781DAA" w:rsidRDefault="007D7255" w:rsidP="006110D9">
            <w:pPr>
              <w:jc w:val="both"/>
              <w:rPr>
                <w:sz w:val="20"/>
                <w:szCs w:val="20"/>
              </w:rPr>
            </w:pPr>
            <w:r w:rsidRPr="00781DAA">
              <w:rPr>
                <w:sz w:val="20"/>
                <w:szCs w:val="20"/>
              </w:rPr>
              <w:t>1</w:t>
            </w:r>
            <w:r w:rsidR="00DF785C" w:rsidRPr="00781DAA">
              <w:rPr>
                <w:sz w:val="20"/>
                <w:szCs w:val="20"/>
              </w:rPr>
              <w:t>45,082</w:t>
            </w:r>
          </w:p>
          <w:p w14:paraId="57201121" w14:textId="2E3533BF" w:rsidR="007D7255" w:rsidRPr="00781DAA" w:rsidRDefault="007D7255" w:rsidP="006110D9">
            <w:pPr>
              <w:jc w:val="both"/>
              <w:rPr>
                <w:sz w:val="20"/>
                <w:szCs w:val="20"/>
              </w:rPr>
            </w:pPr>
            <w:r w:rsidRPr="00781DAA">
              <w:rPr>
                <w:sz w:val="20"/>
                <w:szCs w:val="22"/>
              </w:rPr>
              <w:t>(</w:t>
            </w:r>
            <w:r w:rsidR="00781DAA" w:rsidRPr="00781DAA">
              <w:rPr>
                <w:sz w:val="20"/>
                <w:szCs w:val="22"/>
              </w:rPr>
              <w:t>4,093</w:t>
            </w:r>
            <w:r w:rsidRPr="00781DAA">
              <w:rPr>
                <w:sz w:val="20"/>
                <w:szCs w:val="22"/>
              </w:rPr>
              <w:t>)</w:t>
            </w:r>
          </w:p>
        </w:tc>
      </w:tr>
    </w:tbl>
    <w:p w14:paraId="6A478B7E" w14:textId="77777777" w:rsidR="00E340D6" w:rsidRPr="00E340D6" w:rsidRDefault="00E340D6" w:rsidP="006110D9">
      <w:pPr>
        <w:jc w:val="both"/>
        <w:rPr>
          <w:sz w:val="22"/>
          <w:szCs w:val="22"/>
        </w:rPr>
      </w:pPr>
    </w:p>
    <w:p w14:paraId="62BDA724" w14:textId="369BBA0D" w:rsidR="000F5F51" w:rsidRDefault="00517475" w:rsidP="006110D9">
      <w:pPr>
        <w:pStyle w:val="ListParagraph"/>
        <w:numPr>
          <w:ilvl w:val="0"/>
          <w:numId w:val="21"/>
        </w:numPr>
        <w:jc w:val="both"/>
        <w:rPr>
          <w:sz w:val="22"/>
          <w:szCs w:val="22"/>
        </w:rPr>
      </w:pPr>
      <w:r>
        <w:rPr>
          <w:b/>
          <w:bCs/>
          <w:sz w:val="22"/>
          <w:szCs w:val="22"/>
        </w:rPr>
        <w:t xml:space="preserve">Output </w:t>
      </w:r>
      <w:r w:rsidR="00C025FA">
        <w:rPr>
          <w:b/>
          <w:bCs/>
          <w:sz w:val="22"/>
          <w:szCs w:val="22"/>
        </w:rPr>
        <w:t>Indicator</w:t>
      </w:r>
      <w:r w:rsidR="00383DC1">
        <w:rPr>
          <w:b/>
          <w:bCs/>
          <w:sz w:val="22"/>
          <w:szCs w:val="22"/>
        </w:rPr>
        <w:t>s</w:t>
      </w:r>
      <w:r w:rsidR="00C025FA">
        <w:rPr>
          <w:b/>
          <w:bCs/>
          <w:sz w:val="22"/>
          <w:szCs w:val="22"/>
        </w:rPr>
        <w:t xml:space="preserve"> 3.1</w:t>
      </w:r>
      <w:r w:rsidR="00383DC1">
        <w:rPr>
          <w:b/>
          <w:bCs/>
          <w:sz w:val="22"/>
          <w:szCs w:val="22"/>
        </w:rPr>
        <w:t xml:space="preserve"> and 3.3</w:t>
      </w:r>
      <w:r w:rsidR="00BE016E">
        <w:rPr>
          <w:b/>
          <w:bCs/>
          <w:sz w:val="22"/>
          <w:szCs w:val="22"/>
        </w:rPr>
        <w:t>:</w:t>
      </w:r>
      <w:r w:rsidR="000F5F51" w:rsidRPr="002837F7">
        <w:rPr>
          <w:sz w:val="22"/>
          <w:szCs w:val="22"/>
        </w:rPr>
        <w:t xml:space="preserve"> the figure</w:t>
      </w:r>
      <w:r w:rsidR="00BE016E">
        <w:rPr>
          <w:sz w:val="22"/>
          <w:szCs w:val="22"/>
        </w:rPr>
        <w:t>s</w:t>
      </w:r>
      <w:r w:rsidR="000F5F51" w:rsidRPr="002837F7">
        <w:rPr>
          <w:sz w:val="22"/>
          <w:szCs w:val="22"/>
        </w:rPr>
        <w:t xml:space="preserve"> cover all people </w:t>
      </w:r>
      <w:r w:rsidR="00E02C48">
        <w:rPr>
          <w:sz w:val="22"/>
          <w:szCs w:val="22"/>
        </w:rPr>
        <w:t xml:space="preserve">directly </w:t>
      </w:r>
      <w:r w:rsidR="000F5F51" w:rsidRPr="002837F7">
        <w:rPr>
          <w:sz w:val="22"/>
          <w:szCs w:val="22"/>
        </w:rPr>
        <w:t>employed by</w:t>
      </w:r>
      <w:r w:rsidR="00BE016E">
        <w:rPr>
          <w:sz w:val="22"/>
          <w:szCs w:val="22"/>
        </w:rPr>
        <w:t>,</w:t>
      </w:r>
      <w:r w:rsidR="000F5F51" w:rsidRPr="002837F7">
        <w:rPr>
          <w:sz w:val="22"/>
          <w:szCs w:val="22"/>
        </w:rPr>
        <w:t xml:space="preserve"> or with a main livelihood supported by</w:t>
      </w:r>
      <w:r w:rsidR="00BE016E">
        <w:rPr>
          <w:sz w:val="22"/>
          <w:szCs w:val="22"/>
        </w:rPr>
        <w:t>,</w:t>
      </w:r>
      <w:r w:rsidR="000F5F51" w:rsidRPr="002837F7">
        <w:rPr>
          <w:sz w:val="22"/>
          <w:szCs w:val="22"/>
        </w:rPr>
        <w:t xml:space="preserve"> the LDN Fund (inclu</w:t>
      </w:r>
      <w:r w:rsidR="00D86E04">
        <w:rPr>
          <w:sz w:val="22"/>
          <w:szCs w:val="22"/>
        </w:rPr>
        <w:t>ding</w:t>
      </w:r>
      <w:r w:rsidR="000F5F51" w:rsidRPr="002837F7">
        <w:rPr>
          <w:sz w:val="22"/>
          <w:szCs w:val="22"/>
        </w:rPr>
        <w:t xml:space="preserve"> direct project beneficiaries). </w:t>
      </w:r>
      <w:r w:rsidR="00F64F39">
        <w:rPr>
          <w:sz w:val="22"/>
          <w:szCs w:val="22"/>
        </w:rPr>
        <w:t xml:space="preserve">The </w:t>
      </w:r>
      <w:r w:rsidR="007B0303">
        <w:rPr>
          <w:sz w:val="22"/>
          <w:szCs w:val="22"/>
        </w:rPr>
        <w:t xml:space="preserve">overall </w:t>
      </w:r>
      <w:r w:rsidR="00F64F39">
        <w:rPr>
          <w:sz w:val="22"/>
          <w:szCs w:val="22"/>
        </w:rPr>
        <w:t xml:space="preserve">increase in 2023 and 2024 </w:t>
      </w:r>
      <w:r w:rsidR="00F64F39" w:rsidRPr="00F64F39">
        <w:rPr>
          <w:sz w:val="22"/>
          <w:szCs w:val="22"/>
        </w:rPr>
        <w:t xml:space="preserve">is mainly due to the incorporation of female wild pickers in </w:t>
      </w:r>
      <w:proofErr w:type="spellStart"/>
      <w:r w:rsidR="00F64F39" w:rsidRPr="00F64F39">
        <w:rPr>
          <w:sz w:val="22"/>
          <w:szCs w:val="22"/>
        </w:rPr>
        <w:t>Aqre</w:t>
      </w:r>
      <w:r w:rsidR="00F64F39">
        <w:rPr>
          <w:sz w:val="22"/>
          <w:szCs w:val="22"/>
        </w:rPr>
        <w:t>’s</w:t>
      </w:r>
      <w:proofErr w:type="spellEnd"/>
      <w:r w:rsidR="00F64F39" w:rsidRPr="00F64F39">
        <w:rPr>
          <w:sz w:val="22"/>
          <w:szCs w:val="22"/>
        </w:rPr>
        <w:t xml:space="preserve"> sourcing scheme</w:t>
      </w:r>
      <w:r w:rsidR="007B0303">
        <w:rPr>
          <w:sz w:val="22"/>
          <w:szCs w:val="22"/>
        </w:rPr>
        <w:t xml:space="preserve">, while the reduction in employee numbers is due to </w:t>
      </w:r>
      <w:r w:rsidR="00DF72BF">
        <w:rPr>
          <w:sz w:val="22"/>
          <w:szCs w:val="22"/>
        </w:rPr>
        <w:t>some projects struggling and in one case going into administration</w:t>
      </w:r>
      <w:r w:rsidR="00F64F39" w:rsidRPr="00F64F39">
        <w:rPr>
          <w:sz w:val="22"/>
          <w:szCs w:val="22"/>
        </w:rPr>
        <w:t>.</w:t>
      </w:r>
    </w:p>
    <w:p w14:paraId="3BD8A410" w14:textId="0607A720" w:rsidR="00F90CDF" w:rsidRPr="00F44ED9" w:rsidRDefault="00F90CDF" w:rsidP="006110D9">
      <w:pPr>
        <w:pStyle w:val="ListParagraph"/>
        <w:numPr>
          <w:ilvl w:val="0"/>
          <w:numId w:val="21"/>
        </w:numPr>
        <w:spacing w:line="257" w:lineRule="auto"/>
        <w:jc w:val="both"/>
        <w:rPr>
          <w:rFonts w:eastAsia="Arial" w:cs="Arial"/>
          <w:sz w:val="22"/>
          <w:szCs w:val="22"/>
        </w:rPr>
      </w:pPr>
      <w:r w:rsidRPr="00A730DC">
        <w:rPr>
          <w:b/>
          <w:bCs/>
          <w:color w:val="000000" w:themeColor="text1"/>
          <w:sz w:val="22"/>
          <w:szCs w:val="22"/>
          <w:lang w:val="en-US"/>
        </w:rPr>
        <w:t>Gender-disaggregated data</w:t>
      </w:r>
      <w:r w:rsidRPr="00F44ED9">
        <w:rPr>
          <w:color w:val="000000" w:themeColor="text1"/>
          <w:sz w:val="22"/>
          <w:szCs w:val="22"/>
          <w:lang w:val="en-US"/>
        </w:rPr>
        <w:t xml:space="preserve"> </w:t>
      </w:r>
      <w:r w:rsidR="006E58B5">
        <w:rPr>
          <w:color w:val="000000" w:themeColor="text1"/>
          <w:sz w:val="22"/>
          <w:szCs w:val="22"/>
          <w:lang w:val="en-US"/>
        </w:rPr>
        <w:t xml:space="preserve">for 2024 </w:t>
      </w:r>
      <w:r w:rsidRPr="00F44ED9">
        <w:rPr>
          <w:color w:val="000000" w:themeColor="text1"/>
          <w:sz w:val="22"/>
          <w:szCs w:val="22"/>
          <w:lang w:val="en-US"/>
        </w:rPr>
        <w:t xml:space="preserve">has been collected for employees and smallholders </w:t>
      </w:r>
      <w:r w:rsidR="006E58B5">
        <w:rPr>
          <w:color w:val="000000" w:themeColor="text1"/>
          <w:sz w:val="22"/>
          <w:szCs w:val="22"/>
          <w:lang w:val="en-US"/>
        </w:rPr>
        <w:t>supported</w:t>
      </w:r>
      <w:r w:rsidRPr="00F44ED9">
        <w:rPr>
          <w:color w:val="000000" w:themeColor="text1"/>
          <w:sz w:val="22"/>
          <w:szCs w:val="22"/>
          <w:lang w:val="en-US"/>
        </w:rPr>
        <w:t xml:space="preserve"> as follows:</w:t>
      </w:r>
    </w:p>
    <w:p w14:paraId="011ABB3B" w14:textId="58A58BA6" w:rsidR="00F90CDF" w:rsidRPr="00657C76" w:rsidRDefault="00F90CDF" w:rsidP="006110D9">
      <w:pPr>
        <w:pStyle w:val="ListParagraph"/>
        <w:numPr>
          <w:ilvl w:val="1"/>
          <w:numId w:val="21"/>
        </w:numPr>
        <w:tabs>
          <w:tab w:val="left" w:pos="6915"/>
          <w:tab w:val="left" w:pos="9495"/>
        </w:tabs>
        <w:jc w:val="both"/>
        <w:rPr>
          <w:color w:val="000000" w:themeColor="text1"/>
          <w:sz w:val="22"/>
          <w:szCs w:val="22"/>
          <w:lang w:val="en-US"/>
        </w:rPr>
      </w:pPr>
      <w:r w:rsidRPr="33602943">
        <w:rPr>
          <w:color w:val="000000" w:themeColor="text1"/>
          <w:sz w:val="22"/>
          <w:szCs w:val="22"/>
          <w:lang w:val="en-US"/>
        </w:rPr>
        <w:t xml:space="preserve">Employees: </w:t>
      </w:r>
      <w:r w:rsidR="00781DAA" w:rsidRPr="33602943">
        <w:rPr>
          <w:color w:val="000000" w:themeColor="text1"/>
          <w:sz w:val="22"/>
          <w:szCs w:val="22"/>
          <w:lang w:val="en-US"/>
        </w:rPr>
        <w:t>4,093</w:t>
      </w:r>
      <w:r w:rsidRPr="33602943">
        <w:rPr>
          <w:color w:val="000000" w:themeColor="text1"/>
          <w:sz w:val="22"/>
          <w:szCs w:val="22"/>
          <w:lang w:val="en-US"/>
        </w:rPr>
        <w:t xml:space="preserve"> including 1,5</w:t>
      </w:r>
      <w:r w:rsidR="00487503" w:rsidRPr="33602943">
        <w:rPr>
          <w:color w:val="000000" w:themeColor="text1"/>
          <w:sz w:val="22"/>
          <w:szCs w:val="22"/>
          <w:lang w:val="en-US"/>
        </w:rPr>
        <w:t>73</w:t>
      </w:r>
      <w:r w:rsidRPr="33602943">
        <w:rPr>
          <w:color w:val="000000" w:themeColor="text1"/>
          <w:sz w:val="22"/>
          <w:szCs w:val="22"/>
          <w:lang w:val="en-US"/>
        </w:rPr>
        <w:t xml:space="preserve"> women</w:t>
      </w:r>
      <w:r w:rsidR="00B82746">
        <w:rPr>
          <w:color w:val="000000" w:themeColor="text1"/>
          <w:sz w:val="22"/>
          <w:szCs w:val="22"/>
          <w:lang w:val="en-US"/>
        </w:rPr>
        <w:t xml:space="preserve"> (</w:t>
      </w:r>
      <w:r w:rsidR="00943962">
        <w:rPr>
          <w:color w:val="000000" w:themeColor="text1"/>
          <w:sz w:val="22"/>
          <w:szCs w:val="22"/>
          <w:lang w:val="en-US"/>
        </w:rPr>
        <w:t>38.4%)</w:t>
      </w:r>
    </w:p>
    <w:p w14:paraId="798D697F" w14:textId="3F86963E" w:rsidR="00F90CDF" w:rsidRPr="00657C76" w:rsidRDefault="00F90CDF" w:rsidP="006110D9">
      <w:pPr>
        <w:pStyle w:val="ListParagraph"/>
        <w:numPr>
          <w:ilvl w:val="1"/>
          <w:numId w:val="21"/>
        </w:numPr>
        <w:tabs>
          <w:tab w:val="left" w:pos="6915"/>
          <w:tab w:val="left" w:pos="9495"/>
        </w:tabs>
        <w:jc w:val="both"/>
        <w:rPr>
          <w:color w:val="000000" w:themeColor="text1"/>
          <w:sz w:val="22"/>
          <w:szCs w:val="22"/>
          <w:lang w:val="en-US"/>
        </w:rPr>
      </w:pPr>
      <w:r w:rsidRPr="33602943">
        <w:rPr>
          <w:color w:val="000000" w:themeColor="text1"/>
          <w:sz w:val="22"/>
          <w:szCs w:val="22"/>
          <w:lang w:val="en-US"/>
        </w:rPr>
        <w:t>Smallholders: 1</w:t>
      </w:r>
      <w:r w:rsidR="009F76D8" w:rsidRPr="33602943">
        <w:rPr>
          <w:color w:val="000000" w:themeColor="text1"/>
          <w:sz w:val="22"/>
          <w:szCs w:val="22"/>
          <w:lang w:val="en-US"/>
        </w:rPr>
        <w:t>4</w:t>
      </w:r>
      <w:r w:rsidRPr="33602943">
        <w:rPr>
          <w:color w:val="000000" w:themeColor="text1"/>
          <w:sz w:val="22"/>
          <w:szCs w:val="22"/>
          <w:lang w:val="en-US"/>
        </w:rPr>
        <w:t>0,</w:t>
      </w:r>
      <w:r w:rsidR="009F76D8" w:rsidRPr="33602943">
        <w:rPr>
          <w:color w:val="000000" w:themeColor="text1"/>
          <w:sz w:val="22"/>
          <w:szCs w:val="22"/>
          <w:lang w:val="en-US"/>
        </w:rPr>
        <w:t>989</w:t>
      </w:r>
      <w:r w:rsidRPr="33602943">
        <w:rPr>
          <w:color w:val="000000" w:themeColor="text1"/>
          <w:sz w:val="22"/>
          <w:szCs w:val="22"/>
          <w:lang w:val="en-US"/>
        </w:rPr>
        <w:t xml:space="preserve"> including </w:t>
      </w:r>
      <w:r w:rsidR="009F76D8" w:rsidRPr="33602943">
        <w:rPr>
          <w:color w:val="000000" w:themeColor="text1"/>
          <w:sz w:val="22"/>
          <w:szCs w:val="22"/>
          <w:lang w:val="en-US"/>
        </w:rPr>
        <w:t>78,637</w:t>
      </w:r>
      <w:r w:rsidRPr="33602943">
        <w:rPr>
          <w:color w:val="000000" w:themeColor="text1"/>
          <w:sz w:val="22"/>
          <w:szCs w:val="22"/>
          <w:lang w:val="en-US"/>
        </w:rPr>
        <w:t xml:space="preserve"> women</w:t>
      </w:r>
      <w:r w:rsidR="00104A6B">
        <w:rPr>
          <w:color w:val="000000" w:themeColor="text1"/>
          <w:sz w:val="22"/>
          <w:szCs w:val="22"/>
          <w:lang w:val="en-US"/>
        </w:rPr>
        <w:t xml:space="preserve"> (55.8%)</w:t>
      </w:r>
    </w:p>
    <w:p w14:paraId="392782FB" w14:textId="3509A26A" w:rsidR="00F90CDF" w:rsidRPr="00F90CDF" w:rsidRDefault="04F3EE43" w:rsidP="006110D9">
      <w:pPr>
        <w:pStyle w:val="ListParagraph"/>
        <w:tabs>
          <w:tab w:val="left" w:pos="6915"/>
          <w:tab w:val="left" w:pos="9495"/>
        </w:tabs>
        <w:ind w:left="360"/>
        <w:jc w:val="both"/>
        <w:rPr>
          <w:color w:val="000000" w:themeColor="text1"/>
          <w:sz w:val="22"/>
          <w:szCs w:val="22"/>
          <w:lang w:val="en-US"/>
        </w:rPr>
      </w:pPr>
      <w:r w:rsidRPr="0679456D">
        <w:rPr>
          <w:color w:val="000000" w:themeColor="text1"/>
          <w:sz w:val="22"/>
          <w:szCs w:val="22"/>
          <w:lang w:val="en-US"/>
        </w:rPr>
        <w:t xml:space="preserve">No other disaggregation of beneficiaries is </w:t>
      </w:r>
      <w:r w:rsidR="008278B5">
        <w:rPr>
          <w:color w:val="000000" w:themeColor="text1"/>
          <w:sz w:val="22"/>
          <w:szCs w:val="22"/>
          <w:lang w:val="en-US"/>
        </w:rPr>
        <w:t>being undertaken</w:t>
      </w:r>
      <w:r w:rsidR="00A4187E">
        <w:rPr>
          <w:color w:val="000000" w:themeColor="text1"/>
          <w:sz w:val="22"/>
          <w:szCs w:val="22"/>
          <w:lang w:val="en-US"/>
        </w:rPr>
        <w:t xml:space="preserve"> by projects at present</w:t>
      </w:r>
      <w:r w:rsidRPr="0679456D">
        <w:rPr>
          <w:color w:val="000000" w:themeColor="text1"/>
          <w:sz w:val="22"/>
          <w:szCs w:val="22"/>
          <w:lang w:val="en-US"/>
        </w:rPr>
        <w:t>.</w:t>
      </w:r>
    </w:p>
    <w:p w14:paraId="7B317C69" w14:textId="1A7CA86F" w:rsidR="000F5F51" w:rsidRPr="00BE016E" w:rsidRDefault="00517475" w:rsidP="006110D9">
      <w:pPr>
        <w:pStyle w:val="ListParagraph"/>
        <w:numPr>
          <w:ilvl w:val="0"/>
          <w:numId w:val="11"/>
        </w:numPr>
        <w:spacing w:line="257" w:lineRule="auto"/>
        <w:jc w:val="both"/>
        <w:rPr>
          <w:rFonts w:eastAsia="Arial" w:cs="Arial"/>
          <w:sz w:val="22"/>
          <w:szCs w:val="22"/>
        </w:rPr>
      </w:pPr>
      <w:r w:rsidRPr="5976F19A">
        <w:rPr>
          <w:rFonts w:eastAsia="Arial" w:cs="Arial"/>
          <w:b/>
          <w:bCs/>
          <w:sz w:val="22"/>
          <w:szCs w:val="22"/>
        </w:rPr>
        <w:t xml:space="preserve">Output </w:t>
      </w:r>
      <w:r w:rsidR="00C025FA" w:rsidRPr="5976F19A">
        <w:rPr>
          <w:rFonts w:eastAsia="Arial" w:cs="Arial"/>
          <w:b/>
          <w:bCs/>
          <w:sz w:val="22"/>
          <w:szCs w:val="22"/>
        </w:rPr>
        <w:t xml:space="preserve">Indicator 3.2: </w:t>
      </w:r>
      <w:r w:rsidR="000F5F51" w:rsidRPr="5976F19A">
        <w:rPr>
          <w:rFonts w:eastAsia="Arial" w:cs="Arial"/>
          <w:sz w:val="22"/>
          <w:szCs w:val="22"/>
        </w:rPr>
        <w:t xml:space="preserve">Community engagement through events continues to be strong. </w:t>
      </w:r>
      <w:r w:rsidR="006C1D8A" w:rsidRPr="5976F19A">
        <w:rPr>
          <w:rFonts w:eastAsia="Arial" w:cs="Arial"/>
          <w:sz w:val="22"/>
          <w:szCs w:val="22"/>
        </w:rPr>
        <w:t xml:space="preserve">Community engagement is conducted at project level as part of specific stakeholder engagement plans. The events usually consist of regular project updates and collection of potential grievances with </w:t>
      </w:r>
      <w:r w:rsidR="006778AC" w:rsidRPr="5976F19A">
        <w:rPr>
          <w:rFonts w:eastAsia="Arial" w:cs="Arial"/>
          <w:sz w:val="22"/>
          <w:szCs w:val="22"/>
        </w:rPr>
        <w:t xml:space="preserve">nearby </w:t>
      </w:r>
      <w:proofErr w:type="gramStart"/>
      <w:r w:rsidR="006778AC" w:rsidRPr="5976F19A">
        <w:rPr>
          <w:rFonts w:eastAsia="Arial" w:cs="Arial"/>
          <w:sz w:val="22"/>
          <w:szCs w:val="22"/>
        </w:rPr>
        <w:t>residents</w:t>
      </w:r>
      <w:r w:rsidR="001856BB" w:rsidRPr="5976F19A">
        <w:rPr>
          <w:rFonts w:eastAsia="Arial" w:cs="Arial"/>
          <w:sz w:val="22"/>
          <w:szCs w:val="22"/>
        </w:rPr>
        <w:t>,</w:t>
      </w:r>
      <w:r w:rsidR="006C1D8A" w:rsidRPr="5976F19A">
        <w:rPr>
          <w:rFonts w:eastAsia="Arial" w:cs="Arial"/>
          <w:sz w:val="22"/>
          <w:szCs w:val="22"/>
        </w:rPr>
        <w:t xml:space="preserve"> but</w:t>
      </w:r>
      <w:proofErr w:type="gramEnd"/>
      <w:r w:rsidR="006C1D8A" w:rsidRPr="5976F19A">
        <w:rPr>
          <w:rFonts w:eastAsia="Arial" w:cs="Arial"/>
          <w:sz w:val="22"/>
          <w:szCs w:val="22"/>
        </w:rPr>
        <w:t xml:space="preserve"> c</w:t>
      </w:r>
      <w:r w:rsidR="2ADD35F7" w:rsidRPr="5976F19A">
        <w:rPr>
          <w:rFonts w:eastAsia="Arial" w:cs="Arial"/>
          <w:sz w:val="22"/>
          <w:szCs w:val="22"/>
        </w:rPr>
        <w:t xml:space="preserve">an </w:t>
      </w:r>
      <w:r w:rsidR="006C1D8A" w:rsidRPr="5976F19A">
        <w:rPr>
          <w:rFonts w:eastAsia="Arial" w:cs="Arial"/>
          <w:sz w:val="22"/>
          <w:szCs w:val="22"/>
        </w:rPr>
        <w:t xml:space="preserve">also be focused </w:t>
      </w:r>
      <w:r w:rsidR="001856BB" w:rsidRPr="5976F19A">
        <w:rPr>
          <w:rFonts w:eastAsia="Arial" w:cs="Arial"/>
          <w:sz w:val="22"/>
          <w:szCs w:val="22"/>
        </w:rPr>
        <w:t xml:space="preserve">on </w:t>
      </w:r>
      <w:r w:rsidR="006C1D8A" w:rsidRPr="5976F19A">
        <w:rPr>
          <w:rFonts w:eastAsia="Arial" w:cs="Arial"/>
          <w:sz w:val="22"/>
          <w:szCs w:val="22"/>
        </w:rPr>
        <w:t xml:space="preserve">capacity building </w:t>
      </w:r>
      <w:r w:rsidR="001856BB" w:rsidRPr="5976F19A">
        <w:rPr>
          <w:rFonts w:eastAsia="Arial" w:cs="Arial"/>
          <w:sz w:val="22"/>
          <w:szCs w:val="22"/>
        </w:rPr>
        <w:t>for</w:t>
      </w:r>
      <w:r w:rsidR="006C1D8A" w:rsidRPr="5976F19A">
        <w:rPr>
          <w:rFonts w:eastAsia="Arial" w:cs="Arial"/>
          <w:sz w:val="22"/>
          <w:szCs w:val="22"/>
        </w:rPr>
        <w:t xml:space="preserve"> farmers or celebration events with local communities. </w:t>
      </w:r>
    </w:p>
    <w:tbl>
      <w:tblPr>
        <w:tblStyle w:val="TableGrid"/>
        <w:tblW w:w="9356" w:type="dxa"/>
        <w:tblInd w:w="-147" w:type="dxa"/>
        <w:tblLook w:val="04A0" w:firstRow="1" w:lastRow="0" w:firstColumn="1" w:lastColumn="0" w:noHBand="0" w:noVBand="1"/>
      </w:tblPr>
      <w:tblGrid>
        <w:gridCol w:w="1708"/>
        <w:gridCol w:w="616"/>
        <w:gridCol w:w="937"/>
        <w:gridCol w:w="3283"/>
        <w:gridCol w:w="2812"/>
      </w:tblGrid>
      <w:tr w:rsidR="009F76D8" w:rsidRPr="002055D4" w14:paraId="29898D2B" w14:textId="77777777" w:rsidTr="00EC4E49">
        <w:trPr>
          <w:trHeight w:val="489"/>
        </w:trPr>
        <w:tc>
          <w:tcPr>
            <w:tcW w:w="17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7EC893" w14:textId="77777777" w:rsidR="000F5F51" w:rsidRPr="002055D4" w:rsidRDefault="000F5F51" w:rsidP="006110D9">
            <w:pPr>
              <w:jc w:val="both"/>
              <w:rPr>
                <w:b/>
                <w:bCs/>
                <w:sz w:val="20"/>
                <w:szCs w:val="20"/>
              </w:rPr>
            </w:pPr>
            <w:r w:rsidRPr="60E67443">
              <w:rPr>
                <w:b/>
                <w:bCs/>
                <w:sz w:val="20"/>
                <w:szCs w:val="20"/>
              </w:rPr>
              <w:t xml:space="preserve">Output Title </w:t>
            </w:r>
          </w:p>
        </w:tc>
        <w:tc>
          <w:tcPr>
            <w:tcW w:w="76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EE16FC3" w14:textId="77777777" w:rsidR="000F5F51" w:rsidRPr="002055D4" w:rsidRDefault="000F5F51" w:rsidP="006110D9">
            <w:pPr>
              <w:jc w:val="both"/>
              <w:rPr>
                <w:sz w:val="20"/>
                <w:szCs w:val="20"/>
              </w:rPr>
            </w:pPr>
            <w:r w:rsidRPr="60E67443">
              <w:rPr>
                <w:sz w:val="20"/>
                <w:szCs w:val="20"/>
              </w:rPr>
              <w:t>The LDN Fund shares best practice with public and private actors focused on a) expanding SLM practices in developing countries, or b) utilising the impact investment fund approach to contribute to meeting SDG, climate change or environmental targets</w:t>
            </w:r>
          </w:p>
        </w:tc>
      </w:tr>
      <w:tr w:rsidR="00AB32F3" w:rsidRPr="002055D4" w14:paraId="1A444987" w14:textId="77777777" w:rsidTr="00EC4E49">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F971E1" w14:textId="77777777" w:rsidR="000F5F51" w:rsidRPr="002055D4" w:rsidRDefault="000F5F51" w:rsidP="006110D9">
            <w:pPr>
              <w:jc w:val="both"/>
              <w:rPr>
                <w:sz w:val="20"/>
                <w:szCs w:val="20"/>
              </w:rPr>
            </w:pPr>
            <w:r w:rsidRPr="60E67443">
              <w:rPr>
                <w:sz w:val="20"/>
                <w:szCs w:val="20"/>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2892949D" w14:textId="77777777" w:rsidR="000F5F51" w:rsidRPr="002055D4" w:rsidRDefault="000F5F51" w:rsidP="006110D9">
            <w:pPr>
              <w:jc w:val="both"/>
              <w:rPr>
                <w:sz w:val="20"/>
                <w:szCs w:val="20"/>
              </w:rPr>
            </w:pPr>
            <w:r w:rsidRPr="60E67443">
              <w:rPr>
                <w:sz w:val="20"/>
                <w:szCs w:val="20"/>
              </w:rPr>
              <w:t>4</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5C16A4" w14:textId="77777777" w:rsidR="000F5F51" w:rsidRPr="002055D4" w:rsidRDefault="000F5F51" w:rsidP="006110D9">
            <w:pPr>
              <w:jc w:val="both"/>
              <w:rPr>
                <w:sz w:val="20"/>
                <w:szCs w:val="20"/>
              </w:rPr>
            </w:pPr>
            <w:r w:rsidRPr="60E67443">
              <w:rPr>
                <w:sz w:val="20"/>
                <w:szCs w:val="20"/>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59DD4F9E" w14:textId="36C09342" w:rsidR="000F5F51" w:rsidRPr="002055D4" w:rsidRDefault="000F5F51" w:rsidP="006110D9">
            <w:pPr>
              <w:jc w:val="both"/>
              <w:rPr>
                <w:sz w:val="20"/>
                <w:szCs w:val="20"/>
              </w:rPr>
            </w:pPr>
            <w:r w:rsidRPr="00DE3141">
              <w:rPr>
                <w:sz w:val="20"/>
                <w:szCs w:val="20"/>
              </w:rPr>
              <w:t>A</w:t>
            </w:r>
          </w:p>
        </w:tc>
      </w:tr>
      <w:tr w:rsidR="00AB32F3" w:rsidRPr="002055D4" w14:paraId="0D3DFC65" w14:textId="77777777" w:rsidTr="00EC4E49">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C56D73" w14:textId="77777777" w:rsidR="000F5F51" w:rsidRPr="002055D4" w:rsidRDefault="000F5F51" w:rsidP="006110D9">
            <w:pPr>
              <w:jc w:val="both"/>
              <w:rPr>
                <w:sz w:val="20"/>
                <w:szCs w:val="20"/>
              </w:rPr>
            </w:pPr>
            <w:r w:rsidRPr="60E67443">
              <w:rPr>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5904B176" w14:textId="48C74ED8" w:rsidR="000F5F51" w:rsidRPr="002055D4" w:rsidRDefault="00DF540C" w:rsidP="006110D9">
            <w:pPr>
              <w:jc w:val="both"/>
              <w:rPr>
                <w:sz w:val="20"/>
                <w:szCs w:val="20"/>
              </w:rPr>
            </w:pPr>
            <w:r>
              <w:rPr>
                <w:sz w:val="20"/>
                <w:szCs w:val="20"/>
              </w:rPr>
              <w:t>10%</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18F028" w14:textId="77777777" w:rsidR="000F5F51" w:rsidRPr="002055D4" w:rsidRDefault="000F5F51" w:rsidP="006110D9">
            <w:pPr>
              <w:jc w:val="both"/>
              <w:rPr>
                <w:sz w:val="20"/>
                <w:szCs w:val="20"/>
              </w:rPr>
            </w:pPr>
            <w:r w:rsidRPr="60E67443">
              <w:rPr>
                <w:sz w:val="20"/>
                <w:szCs w:val="20"/>
              </w:rPr>
              <w:t xml:space="preserve">Weighting revised since last </w:t>
            </w:r>
            <w:proofErr w:type="gramStart"/>
            <w:r w:rsidRPr="60E67443">
              <w:rPr>
                <w:sz w:val="20"/>
                <w:szCs w:val="20"/>
              </w:rPr>
              <w:t>AR?</w:t>
            </w:r>
            <w:proofErr w:type="gramEnd"/>
            <w:r w:rsidRPr="60E67443">
              <w:rPr>
                <w:sz w:val="20"/>
                <w:szCs w:val="20"/>
              </w:rPr>
              <w:t xml:space="preserve"> </w:t>
            </w:r>
          </w:p>
        </w:tc>
        <w:tc>
          <w:tcPr>
            <w:tcW w:w="2812" w:type="dxa"/>
            <w:tcBorders>
              <w:top w:val="single" w:sz="4" w:space="0" w:color="auto"/>
              <w:left w:val="single" w:sz="4" w:space="0" w:color="auto"/>
              <w:bottom w:val="single" w:sz="4" w:space="0" w:color="auto"/>
              <w:right w:val="single" w:sz="4" w:space="0" w:color="auto"/>
            </w:tcBorders>
          </w:tcPr>
          <w:p w14:paraId="6BC204C5" w14:textId="77777777" w:rsidR="000F5F51" w:rsidRPr="002055D4" w:rsidRDefault="000F5F51" w:rsidP="006110D9">
            <w:pPr>
              <w:jc w:val="both"/>
              <w:rPr>
                <w:sz w:val="20"/>
                <w:szCs w:val="20"/>
              </w:rPr>
            </w:pPr>
            <w:r>
              <w:rPr>
                <w:sz w:val="20"/>
                <w:szCs w:val="20"/>
              </w:rPr>
              <w:t>N/A</w:t>
            </w:r>
          </w:p>
        </w:tc>
      </w:tr>
    </w:tbl>
    <w:p w14:paraId="1E0867DD" w14:textId="77777777" w:rsidR="000F5F51" w:rsidRPr="002055D4" w:rsidRDefault="000F5F51" w:rsidP="006110D9">
      <w:pPr>
        <w:jc w:val="both"/>
        <w:rPr>
          <w:sz w:val="20"/>
          <w:szCs w:val="20"/>
        </w:rPr>
      </w:pPr>
    </w:p>
    <w:tbl>
      <w:tblPr>
        <w:tblStyle w:val="TableGrid"/>
        <w:tblpPr w:leftFromText="180" w:rightFromText="180" w:vertAnchor="text" w:horzAnchor="page" w:tblpX="1315" w:tblpY="-10"/>
        <w:tblOverlap w:val="never"/>
        <w:tblW w:w="9341" w:type="dxa"/>
        <w:tblLook w:val="04A0" w:firstRow="1" w:lastRow="0" w:firstColumn="1" w:lastColumn="0" w:noHBand="0" w:noVBand="1"/>
      </w:tblPr>
      <w:tblGrid>
        <w:gridCol w:w="4670"/>
        <w:gridCol w:w="1421"/>
        <w:gridCol w:w="1855"/>
        <w:gridCol w:w="1395"/>
      </w:tblGrid>
      <w:tr w:rsidR="00D90AAE" w:rsidRPr="002055D4" w14:paraId="5F4BB0D8" w14:textId="05732F4C" w:rsidTr="00EC4E49">
        <w:trPr>
          <w:trHeight w:val="168"/>
        </w:trPr>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855377" w14:textId="734B44EA" w:rsidR="00D90AAE" w:rsidRPr="007B7B32" w:rsidRDefault="00D90AAE" w:rsidP="006110D9">
            <w:pPr>
              <w:jc w:val="both"/>
              <w:rPr>
                <w:sz w:val="20"/>
                <w:szCs w:val="20"/>
              </w:rPr>
            </w:pPr>
            <w:r>
              <w:rPr>
                <w:b/>
                <w:bCs/>
                <w:sz w:val="20"/>
                <w:szCs w:val="20"/>
              </w:rPr>
              <w:t xml:space="preserve">Output </w:t>
            </w:r>
            <w:r w:rsidRPr="60E67443">
              <w:rPr>
                <w:b/>
                <w:bCs/>
                <w:sz w:val="20"/>
                <w:szCs w:val="20"/>
              </w:rPr>
              <w:t>Indicator(s)</w:t>
            </w:r>
          </w:p>
        </w:tc>
        <w:tc>
          <w:tcPr>
            <w:tcW w:w="14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EA1CF9" w14:textId="6D38CA28" w:rsidR="00D90AAE" w:rsidRDefault="00D90AAE" w:rsidP="006110D9">
            <w:pPr>
              <w:jc w:val="both"/>
              <w:rPr>
                <w:b/>
                <w:bCs/>
                <w:sz w:val="20"/>
                <w:szCs w:val="20"/>
              </w:rPr>
            </w:pPr>
            <w:r>
              <w:rPr>
                <w:b/>
                <w:bCs/>
                <w:sz w:val="20"/>
                <w:szCs w:val="20"/>
              </w:rPr>
              <w:t>2024 in-year results</w:t>
            </w:r>
          </w:p>
        </w:tc>
        <w:tc>
          <w:tcPr>
            <w:tcW w:w="18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E3FCEF" w14:textId="276D7EC4" w:rsidR="00D90AAE" w:rsidRDefault="00D90AAE" w:rsidP="006110D9">
            <w:pPr>
              <w:jc w:val="both"/>
              <w:rPr>
                <w:b/>
                <w:bCs/>
                <w:sz w:val="20"/>
                <w:szCs w:val="20"/>
              </w:rPr>
            </w:pPr>
            <w:r w:rsidRPr="6991F9F2">
              <w:rPr>
                <w:b/>
                <w:bCs/>
                <w:sz w:val="20"/>
                <w:szCs w:val="20"/>
              </w:rPr>
              <w:t>202</w:t>
            </w:r>
            <w:r>
              <w:rPr>
                <w:b/>
                <w:bCs/>
                <w:sz w:val="20"/>
                <w:szCs w:val="20"/>
              </w:rPr>
              <w:t>4</w:t>
            </w:r>
            <w:r w:rsidRPr="6991F9F2">
              <w:rPr>
                <w:b/>
                <w:bCs/>
                <w:sz w:val="20"/>
                <w:szCs w:val="20"/>
              </w:rPr>
              <w:t xml:space="preserve"> milestone</w:t>
            </w:r>
            <w:r>
              <w:rPr>
                <w:b/>
                <w:bCs/>
                <w:sz w:val="20"/>
                <w:szCs w:val="20"/>
              </w:rPr>
              <w:t>s (cumulative)</w:t>
            </w:r>
          </w:p>
        </w:tc>
        <w:tc>
          <w:tcPr>
            <w:tcW w:w="1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33CB71" w14:textId="0A35420B" w:rsidR="00D90AAE" w:rsidRDefault="00D90AAE" w:rsidP="006110D9">
            <w:pPr>
              <w:jc w:val="both"/>
              <w:rPr>
                <w:b/>
                <w:bCs/>
                <w:sz w:val="20"/>
                <w:szCs w:val="20"/>
              </w:rPr>
            </w:pPr>
            <w:r w:rsidRPr="495999B5">
              <w:rPr>
                <w:b/>
                <w:bCs/>
                <w:sz w:val="20"/>
                <w:szCs w:val="20"/>
              </w:rPr>
              <w:t>202</w:t>
            </w:r>
            <w:r>
              <w:rPr>
                <w:b/>
                <w:bCs/>
                <w:sz w:val="20"/>
                <w:szCs w:val="20"/>
              </w:rPr>
              <w:t>4 results (cumulative)</w:t>
            </w:r>
          </w:p>
        </w:tc>
      </w:tr>
      <w:tr w:rsidR="00D90AAE" w:rsidRPr="002055D4" w14:paraId="511FE9B1" w14:textId="28986A8C" w:rsidTr="00EC4E49">
        <w:trPr>
          <w:trHeight w:val="305"/>
        </w:trPr>
        <w:tc>
          <w:tcPr>
            <w:tcW w:w="4673" w:type="dxa"/>
            <w:tcBorders>
              <w:top w:val="single" w:sz="4" w:space="0" w:color="auto"/>
              <w:left w:val="single" w:sz="4" w:space="0" w:color="auto"/>
              <w:bottom w:val="single" w:sz="4" w:space="0" w:color="auto"/>
              <w:right w:val="single" w:sz="4" w:space="0" w:color="auto"/>
            </w:tcBorders>
          </w:tcPr>
          <w:p w14:paraId="75CC47B3" w14:textId="77777777" w:rsidR="00D90AAE" w:rsidRPr="002055D4" w:rsidRDefault="00D90AAE" w:rsidP="006110D9">
            <w:pPr>
              <w:jc w:val="both"/>
              <w:rPr>
                <w:sz w:val="20"/>
                <w:szCs w:val="20"/>
              </w:rPr>
            </w:pPr>
            <w:r w:rsidRPr="60E67443">
              <w:rPr>
                <w:sz w:val="20"/>
                <w:szCs w:val="20"/>
              </w:rPr>
              <w:t>4.1 Reports on LDN Fund results shared in public domain</w:t>
            </w:r>
          </w:p>
        </w:tc>
        <w:tc>
          <w:tcPr>
            <w:tcW w:w="1418" w:type="dxa"/>
            <w:tcBorders>
              <w:top w:val="single" w:sz="4" w:space="0" w:color="auto"/>
              <w:left w:val="single" w:sz="4" w:space="0" w:color="auto"/>
              <w:bottom w:val="single" w:sz="4" w:space="0" w:color="auto"/>
              <w:right w:val="single" w:sz="4" w:space="0" w:color="auto"/>
            </w:tcBorders>
          </w:tcPr>
          <w:p w14:paraId="7A3C4B28" w14:textId="3D539E66" w:rsidR="00D90AAE" w:rsidRPr="60E67443" w:rsidRDefault="0051127D" w:rsidP="006110D9">
            <w:pPr>
              <w:jc w:val="both"/>
              <w:rPr>
                <w:sz w:val="20"/>
                <w:szCs w:val="20"/>
              </w:rPr>
            </w:pPr>
            <w:r>
              <w:rPr>
                <w:sz w:val="20"/>
                <w:szCs w:val="20"/>
              </w:rPr>
              <w:t>2</w:t>
            </w:r>
          </w:p>
        </w:tc>
        <w:tc>
          <w:tcPr>
            <w:tcW w:w="1855" w:type="dxa"/>
            <w:tcBorders>
              <w:top w:val="single" w:sz="4" w:space="0" w:color="auto"/>
              <w:left w:val="single" w:sz="4" w:space="0" w:color="auto"/>
              <w:bottom w:val="single" w:sz="4" w:space="0" w:color="auto"/>
              <w:right w:val="single" w:sz="4" w:space="0" w:color="auto"/>
            </w:tcBorders>
          </w:tcPr>
          <w:p w14:paraId="5082EF6C" w14:textId="2B8DBCA1" w:rsidR="00D90AAE" w:rsidRDefault="00213930" w:rsidP="006110D9">
            <w:pPr>
              <w:jc w:val="both"/>
              <w:rPr>
                <w:sz w:val="20"/>
                <w:szCs w:val="20"/>
              </w:rPr>
            </w:pPr>
            <w:r>
              <w:rPr>
                <w:sz w:val="20"/>
                <w:szCs w:val="20"/>
              </w:rPr>
              <w:t>8</w:t>
            </w:r>
          </w:p>
        </w:tc>
        <w:tc>
          <w:tcPr>
            <w:tcW w:w="1395" w:type="dxa"/>
            <w:tcBorders>
              <w:top w:val="single" w:sz="4" w:space="0" w:color="auto"/>
              <w:left w:val="single" w:sz="4" w:space="0" w:color="auto"/>
              <w:bottom w:val="single" w:sz="4" w:space="0" w:color="auto"/>
              <w:right w:val="single" w:sz="4" w:space="0" w:color="auto"/>
            </w:tcBorders>
            <w:shd w:val="clear" w:color="auto" w:fill="92D050"/>
          </w:tcPr>
          <w:p w14:paraId="0866BC10" w14:textId="6325A8DD" w:rsidR="00D90AAE" w:rsidRDefault="0051127D" w:rsidP="006110D9">
            <w:pPr>
              <w:jc w:val="both"/>
              <w:rPr>
                <w:sz w:val="20"/>
                <w:szCs w:val="20"/>
              </w:rPr>
            </w:pPr>
            <w:r>
              <w:rPr>
                <w:sz w:val="20"/>
                <w:szCs w:val="20"/>
              </w:rPr>
              <w:t>9</w:t>
            </w:r>
          </w:p>
        </w:tc>
      </w:tr>
      <w:tr w:rsidR="00D90AAE" w:rsidRPr="002055D4" w14:paraId="3856F3D5" w14:textId="3AB785F2" w:rsidTr="00EC4E49">
        <w:trPr>
          <w:trHeight w:val="278"/>
        </w:trPr>
        <w:tc>
          <w:tcPr>
            <w:tcW w:w="4673" w:type="dxa"/>
            <w:tcBorders>
              <w:top w:val="single" w:sz="4" w:space="0" w:color="auto"/>
              <w:left w:val="single" w:sz="4" w:space="0" w:color="auto"/>
              <w:bottom w:val="single" w:sz="4" w:space="0" w:color="auto"/>
              <w:right w:val="single" w:sz="4" w:space="0" w:color="auto"/>
            </w:tcBorders>
          </w:tcPr>
          <w:p w14:paraId="50551C38" w14:textId="77777777" w:rsidR="00D90AAE" w:rsidRPr="002055D4" w:rsidRDefault="00D90AAE" w:rsidP="006110D9">
            <w:pPr>
              <w:jc w:val="both"/>
              <w:rPr>
                <w:sz w:val="20"/>
                <w:szCs w:val="20"/>
              </w:rPr>
            </w:pPr>
            <w:r w:rsidRPr="60E67443">
              <w:rPr>
                <w:sz w:val="20"/>
                <w:szCs w:val="20"/>
              </w:rPr>
              <w:t>4.2 Number of external events hosted by LDN Fund, LDN Facility and project partners.</w:t>
            </w:r>
          </w:p>
        </w:tc>
        <w:tc>
          <w:tcPr>
            <w:tcW w:w="1418" w:type="dxa"/>
            <w:tcBorders>
              <w:top w:val="single" w:sz="4" w:space="0" w:color="auto"/>
              <w:left w:val="single" w:sz="4" w:space="0" w:color="auto"/>
              <w:bottom w:val="single" w:sz="4" w:space="0" w:color="auto"/>
              <w:right w:val="single" w:sz="4" w:space="0" w:color="auto"/>
            </w:tcBorders>
          </w:tcPr>
          <w:p w14:paraId="2D9A6CE2" w14:textId="2FB56187" w:rsidR="00D90AAE" w:rsidRPr="60E67443" w:rsidRDefault="00B76E61" w:rsidP="006110D9">
            <w:pPr>
              <w:jc w:val="both"/>
              <w:rPr>
                <w:sz w:val="20"/>
                <w:szCs w:val="20"/>
              </w:rPr>
            </w:pPr>
            <w:r>
              <w:rPr>
                <w:sz w:val="20"/>
                <w:szCs w:val="20"/>
              </w:rPr>
              <w:t>1</w:t>
            </w:r>
          </w:p>
        </w:tc>
        <w:tc>
          <w:tcPr>
            <w:tcW w:w="1855" w:type="dxa"/>
            <w:tcBorders>
              <w:top w:val="single" w:sz="4" w:space="0" w:color="auto"/>
              <w:left w:val="single" w:sz="4" w:space="0" w:color="auto"/>
              <w:bottom w:val="single" w:sz="4" w:space="0" w:color="auto"/>
              <w:right w:val="single" w:sz="4" w:space="0" w:color="auto"/>
            </w:tcBorders>
          </w:tcPr>
          <w:p w14:paraId="7C68D30C" w14:textId="2B573CD4" w:rsidR="00D90AAE" w:rsidRDefault="00D90AAE" w:rsidP="006110D9">
            <w:pPr>
              <w:jc w:val="both"/>
              <w:rPr>
                <w:sz w:val="20"/>
                <w:szCs w:val="20"/>
              </w:rPr>
            </w:pPr>
            <w:r w:rsidRPr="5D1AA0D4">
              <w:rPr>
                <w:sz w:val="20"/>
                <w:szCs w:val="20"/>
              </w:rPr>
              <w:t>1</w:t>
            </w:r>
            <w:r w:rsidR="00213930">
              <w:rPr>
                <w:sz w:val="20"/>
                <w:szCs w:val="20"/>
              </w:rPr>
              <w:t>2</w:t>
            </w:r>
          </w:p>
        </w:tc>
        <w:tc>
          <w:tcPr>
            <w:tcW w:w="1395" w:type="dxa"/>
            <w:tcBorders>
              <w:top w:val="single" w:sz="4" w:space="0" w:color="auto"/>
              <w:left w:val="single" w:sz="4" w:space="0" w:color="auto"/>
              <w:bottom w:val="single" w:sz="4" w:space="0" w:color="auto"/>
              <w:right w:val="single" w:sz="4" w:space="0" w:color="auto"/>
            </w:tcBorders>
            <w:shd w:val="clear" w:color="auto" w:fill="FFC000"/>
          </w:tcPr>
          <w:p w14:paraId="028E4929" w14:textId="49318CCE" w:rsidR="00D90AAE" w:rsidRDefault="00D90AAE" w:rsidP="006110D9">
            <w:pPr>
              <w:jc w:val="both"/>
              <w:rPr>
                <w:sz w:val="20"/>
                <w:szCs w:val="20"/>
              </w:rPr>
            </w:pPr>
            <w:r w:rsidRPr="5D1AA0D4">
              <w:rPr>
                <w:sz w:val="20"/>
                <w:szCs w:val="20"/>
              </w:rPr>
              <w:t>1</w:t>
            </w:r>
            <w:r w:rsidR="00213930">
              <w:rPr>
                <w:sz w:val="20"/>
                <w:szCs w:val="20"/>
              </w:rPr>
              <w:t>1</w:t>
            </w:r>
          </w:p>
        </w:tc>
      </w:tr>
    </w:tbl>
    <w:p w14:paraId="2BD9FF63" w14:textId="331FBB6F" w:rsidR="00461334" w:rsidRPr="00216CBB" w:rsidRDefault="00517475" w:rsidP="00216CBB">
      <w:pPr>
        <w:pStyle w:val="ListParagraph"/>
        <w:numPr>
          <w:ilvl w:val="0"/>
          <w:numId w:val="12"/>
        </w:numPr>
        <w:jc w:val="both"/>
        <w:rPr>
          <w:rFonts w:cs="Arial"/>
          <w:sz w:val="22"/>
          <w:szCs w:val="22"/>
        </w:rPr>
      </w:pPr>
      <w:r>
        <w:rPr>
          <w:rFonts w:cs="Arial"/>
          <w:b/>
          <w:bCs/>
          <w:sz w:val="22"/>
          <w:szCs w:val="22"/>
        </w:rPr>
        <w:t xml:space="preserve">Output </w:t>
      </w:r>
      <w:r w:rsidR="00C025FA">
        <w:rPr>
          <w:rFonts w:cs="Arial"/>
          <w:b/>
          <w:bCs/>
          <w:sz w:val="22"/>
          <w:szCs w:val="22"/>
        </w:rPr>
        <w:t xml:space="preserve">Indicator 4.1: </w:t>
      </w:r>
      <w:r w:rsidR="00BB70B7" w:rsidRPr="1899ED2C">
        <w:rPr>
          <w:rFonts w:cs="Arial"/>
          <w:sz w:val="22"/>
          <w:szCs w:val="22"/>
        </w:rPr>
        <w:t>for 202</w:t>
      </w:r>
      <w:r w:rsidR="006C3D97">
        <w:rPr>
          <w:rFonts w:cs="Arial"/>
          <w:sz w:val="22"/>
          <w:szCs w:val="22"/>
        </w:rPr>
        <w:t>4</w:t>
      </w:r>
      <w:r w:rsidR="00BB70B7" w:rsidRPr="1899ED2C">
        <w:rPr>
          <w:rFonts w:cs="Arial"/>
          <w:sz w:val="22"/>
          <w:szCs w:val="22"/>
        </w:rPr>
        <w:t xml:space="preserve"> the report</w:t>
      </w:r>
      <w:r w:rsidR="00780634">
        <w:rPr>
          <w:rFonts w:cs="Arial"/>
          <w:sz w:val="22"/>
          <w:szCs w:val="22"/>
        </w:rPr>
        <w:t>s</w:t>
      </w:r>
      <w:r w:rsidR="00BB70B7" w:rsidRPr="1899ED2C">
        <w:rPr>
          <w:rFonts w:cs="Arial"/>
          <w:sz w:val="22"/>
          <w:szCs w:val="22"/>
        </w:rPr>
        <w:t xml:space="preserve"> w</w:t>
      </w:r>
      <w:r w:rsidR="00780634">
        <w:rPr>
          <w:rFonts w:cs="Arial"/>
          <w:sz w:val="22"/>
          <w:szCs w:val="22"/>
        </w:rPr>
        <w:t>ere</w:t>
      </w:r>
      <w:r w:rsidR="00BB70B7" w:rsidRPr="1899ED2C">
        <w:rPr>
          <w:rFonts w:cs="Arial"/>
          <w:sz w:val="22"/>
          <w:szCs w:val="22"/>
        </w:rPr>
        <w:t xml:space="preserve"> the Fund’s </w:t>
      </w:r>
      <w:r w:rsidR="00152612" w:rsidRPr="1899ED2C">
        <w:rPr>
          <w:rFonts w:cs="Arial"/>
          <w:sz w:val="22"/>
          <w:szCs w:val="22"/>
        </w:rPr>
        <w:t>202</w:t>
      </w:r>
      <w:r w:rsidR="006C3D97">
        <w:rPr>
          <w:rFonts w:cs="Arial"/>
          <w:sz w:val="22"/>
          <w:szCs w:val="22"/>
        </w:rPr>
        <w:t>3</w:t>
      </w:r>
      <w:r w:rsidR="00152612" w:rsidRPr="1899ED2C">
        <w:rPr>
          <w:rFonts w:cs="Arial"/>
          <w:sz w:val="22"/>
          <w:szCs w:val="22"/>
        </w:rPr>
        <w:t xml:space="preserve"> </w:t>
      </w:r>
      <w:r w:rsidR="00BB70B7" w:rsidRPr="1899ED2C">
        <w:rPr>
          <w:rFonts w:cs="Arial"/>
          <w:sz w:val="22"/>
          <w:szCs w:val="22"/>
        </w:rPr>
        <w:t>Impact report</w:t>
      </w:r>
      <w:r w:rsidR="0051055A">
        <w:rPr>
          <w:rFonts w:cs="Arial"/>
          <w:sz w:val="22"/>
          <w:szCs w:val="22"/>
        </w:rPr>
        <w:t xml:space="preserve"> and </w:t>
      </w:r>
      <w:r w:rsidR="00216CBB">
        <w:rPr>
          <w:rFonts w:cs="Arial"/>
          <w:sz w:val="22"/>
          <w:szCs w:val="22"/>
        </w:rPr>
        <w:t>a report titled ‘</w:t>
      </w:r>
      <w:r w:rsidR="00216CBB" w:rsidRPr="00216CBB">
        <w:rPr>
          <w:rFonts w:cs="Arial"/>
          <w:i/>
          <w:iCs/>
          <w:sz w:val="22"/>
          <w:szCs w:val="22"/>
        </w:rPr>
        <w:t>Supporting the transition to sustainable supply chains</w:t>
      </w:r>
      <w:r w:rsidR="00216CBB">
        <w:rPr>
          <w:rFonts w:cs="Arial"/>
          <w:sz w:val="22"/>
          <w:szCs w:val="22"/>
        </w:rPr>
        <w:t>’ published in June 2024</w:t>
      </w:r>
      <w:r w:rsidR="00BB70B7" w:rsidRPr="00216CBB">
        <w:rPr>
          <w:rFonts w:cs="Arial"/>
          <w:sz w:val="22"/>
          <w:szCs w:val="22"/>
        </w:rPr>
        <w:t>.</w:t>
      </w:r>
    </w:p>
    <w:p w14:paraId="1D0E4A0A" w14:textId="6BB8D23B" w:rsidR="000F5F51" w:rsidRPr="00461334" w:rsidRDefault="00517475" w:rsidP="006110D9">
      <w:pPr>
        <w:pStyle w:val="ListParagraph"/>
        <w:numPr>
          <w:ilvl w:val="0"/>
          <w:numId w:val="12"/>
        </w:numPr>
        <w:jc w:val="both"/>
        <w:rPr>
          <w:sz w:val="22"/>
          <w:szCs w:val="22"/>
        </w:rPr>
      </w:pPr>
      <w:r w:rsidRPr="30E77440">
        <w:rPr>
          <w:rFonts w:cs="Arial"/>
          <w:b/>
          <w:bCs/>
          <w:sz w:val="22"/>
          <w:szCs w:val="22"/>
        </w:rPr>
        <w:t xml:space="preserve">Output </w:t>
      </w:r>
      <w:r w:rsidR="00C025FA" w:rsidRPr="30E77440">
        <w:rPr>
          <w:rFonts w:cs="Arial"/>
          <w:b/>
          <w:bCs/>
          <w:sz w:val="22"/>
          <w:szCs w:val="22"/>
        </w:rPr>
        <w:t xml:space="preserve">Indicator 4.2: </w:t>
      </w:r>
      <w:r w:rsidR="00CC2F98">
        <w:rPr>
          <w:rFonts w:cs="Arial"/>
          <w:sz w:val="22"/>
          <w:szCs w:val="22"/>
        </w:rPr>
        <w:t xml:space="preserve">Mirova </w:t>
      </w:r>
      <w:r w:rsidR="00C82864">
        <w:rPr>
          <w:rFonts w:cs="Arial"/>
          <w:sz w:val="22"/>
          <w:szCs w:val="22"/>
        </w:rPr>
        <w:t xml:space="preserve">and the TAF </w:t>
      </w:r>
      <w:r w:rsidR="00CC2F98">
        <w:rPr>
          <w:rFonts w:cs="Arial"/>
          <w:sz w:val="22"/>
          <w:szCs w:val="22"/>
        </w:rPr>
        <w:t xml:space="preserve">organised an LDN Investee Knowledge Exchange Session on carbon </w:t>
      </w:r>
      <w:proofErr w:type="spellStart"/>
      <w:r w:rsidR="00CC2F98">
        <w:rPr>
          <w:rFonts w:cs="Arial"/>
          <w:sz w:val="22"/>
          <w:szCs w:val="22"/>
        </w:rPr>
        <w:t>insetting</w:t>
      </w:r>
      <w:proofErr w:type="spellEnd"/>
      <w:r w:rsidR="00CC2F98">
        <w:rPr>
          <w:rFonts w:cs="Arial"/>
          <w:sz w:val="22"/>
          <w:szCs w:val="22"/>
        </w:rPr>
        <w:t>,</w:t>
      </w:r>
      <w:r w:rsidR="00352757">
        <w:rPr>
          <w:rFonts w:cs="Arial"/>
          <w:sz w:val="22"/>
          <w:szCs w:val="22"/>
        </w:rPr>
        <w:t xml:space="preserve"> aimed at helping </w:t>
      </w:r>
      <w:r w:rsidR="00C82864">
        <w:rPr>
          <w:rFonts w:cs="Arial"/>
          <w:sz w:val="22"/>
          <w:szCs w:val="22"/>
        </w:rPr>
        <w:t xml:space="preserve">LDN’s </w:t>
      </w:r>
      <w:r w:rsidR="00352757">
        <w:rPr>
          <w:rFonts w:cs="Arial"/>
          <w:sz w:val="22"/>
          <w:szCs w:val="22"/>
        </w:rPr>
        <w:t>projects share their experience</w:t>
      </w:r>
      <w:r w:rsidR="00C82864">
        <w:rPr>
          <w:rFonts w:cs="Arial"/>
          <w:sz w:val="22"/>
          <w:szCs w:val="22"/>
        </w:rPr>
        <w:t xml:space="preserve"> with each other</w:t>
      </w:r>
      <w:r w:rsidR="00C44121">
        <w:rPr>
          <w:rFonts w:cs="Arial"/>
          <w:sz w:val="22"/>
          <w:szCs w:val="22"/>
        </w:rPr>
        <w:t>.</w:t>
      </w:r>
      <w:r w:rsidR="00976C28">
        <w:rPr>
          <w:rFonts w:cs="Arial"/>
          <w:sz w:val="22"/>
          <w:szCs w:val="22"/>
        </w:rPr>
        <w:t xml:space="preserve"> Mirova also participated in several </w:t>
      </w:r>
      <w:proofErr w:type="gramStart"/>
      <w:r w:rsidR="00976C28">
        <w:rPr>
          <w:rFonts w:cs="Arial"/>
          <w:sz w:val="22"/>
          <w:szCs w:val="22"/>
        </w:rPr>
        <w:t>high profile</w:t>
      </w:r>
      <w:proofErr w:type="gramEnd"/>
      <w:r w:rsidR="00976C28">
        <w:rPr>
          <w:rFonts w:cs="Arial"/>
          <w:sz w:val="22"/>
          <w:szCs w:val="22"/>
        </w:rPr>
        <w:t xml:space="preserve"> events throughout the year, including COP and UN Climate Week.</w:t>
      </w:r>
    </w:p>
    <w:p w14:paraId="324DF357" w14:textId="77777777" w:rsidR="000F5F51" w:rsidRPr="002055D4" w:rsidRDefault="000F5F51" w:rsidP="006110D9">
      <w:pPr>
        <w:jc w:val="both"/>
        <w:rPr>
          <w:color w:val="FF0000"/>
          <w:sz w:val="20"/>
          <w:szCs w:val="22"/>
        </w:rPr>
      </w:pPr>
    </w:p>
    <w:p w14:paraId="737D1F5B" w14:textId="77777777" w:rsidR="000F5F51" w:rsidRPr="002055D4" w:rsidRDefault="000F5F51" w:rsidP="006110D9">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sz w:val="20"/>
          <w:szCs w:val="20"/>
        </w:rPr>
      </w:pPr>
      <w:r w:rsidRPr="60E67443">
        <w:rPr>
          <w:rFonts w:cs="Arial"/>
          <w:b/>
          <w:bCs/>
          <w:sz w:val="28"/>
          <w:szCs w:val="28"/>
        </w:rPr>
        <w:t xml:space="preserve">D: RISK </w:t>
      </w:r>
    </w:p>
    <w:p w14:paraId="0B139E20" w14:textId="77777777" w:rsidR="000F5F51" w:rsidRPr="002055D4" w:rsidRDefault="000F5F51" w:rsidP="006110D9">
      <w:pPr>
        <w:jc w:val="both"/>
      </w:pPr>
    </w:p>
    <w:p w14:paraId="1008EAF1" w14:textId="20B3C54E" w:rsidR="00F960B5" w:rsidRDefault="00F960B5" w:rsidP="006110D9">
      <w:pPr>
        <w:tabs>
          <w:tab w:val="left" w:pos="720"/>
        </w:tabs>
        <w:jc w:val="both"/>
        <w:rPr>
          <w:rFonts w:eastAsia="Arial" w:cs="Arial"/>
          <w:sz w:val="22"/>
          <w:szCs w:val="22"/>
          <w:u w:val="single"/>
          <w:lang w:val="en-US"/>
        </w:rPr>
      </w:pPr>
      <w:r>
        <w:rPr>
          <w:rFonts w:eastAsia="Arial" w:cs="Arial"/>
          <w:color w:val="000000" w:themeColor="text1"/>
          <w:sz w:val="22"/>
          <w:szCs w:val="22"/>
        </w:rPr>
        <w:t>Defra’s risk appetite for this programme overall continues to be Open, and m</w:t>
      </w:r>
      <w:r w:rsidRPr="00237D8D">
        <w:rPr>
          <w:rFonts w:eastAsia="Arial" w:cs="Arial"/>
          <w:color w:val="000000" w:themeColor="text1"/>
          <w:sz w:val="22"/>
          <w:szCs w:val="22"/>
        </w:rPr>
        <w:t xml:space="preserve">ost risks associated with </w:t>
      </w:r>
      <w:r>
        <w:rPr>
          <w:rFonts w:eastAsia="Arial" w:cs="Arial"/>
          <w:color w:val="000000" w:themeColor="text1"/>
          <w:sz w:val="22"/>
          <w:szCs w:val="22"/>
        </w:rPr>
        <w:t>LDN</w:t>
      </w:r>
      <w:r w:rsidRPr="00237D8D">
        <w:rPr>
          <w:rFonts w:eastAsia="Arial" w:cs="Arial"/>
          <w:color w:val="000000" w:themeColor="text1"/>
          <w:sz w:val="22"/>
          <w:szCs w:val="22"/>
        </w:rPr>
        <w:t xml:space="preserve"> are managed by </w:t>
      </w:r>
      <w:r>
        <w:rPr>
          <w:rFonts w:eastAsia="Arial" w:cs="Arial"/>
          <w:color w:val="000000" w:themeColor="text1"/>
          <w:sz w:val="22"/>
          <w:szCs w:val="22"/>
        </w:rPr>
        <w:t>Mirova</w:t>
      </w:r>
      <w:r w:rsidRPr="00237D8D">
        <w:rPr>
          <w:rFonts w:eastAsia="Arial" w:cs="Arial"/>
          <w:color w:val="000000" w:themeColor="text1"/>
          <w:sz w:val="22"/>
          <w:szCs w:val="22"/>
        </w:rPr>
        <w:t xml:space="preserve"> in their role as Fund </w:t>
      </w:r>
      <w:r>
        <w:rPr>
          <w:rFonts w:eastAsia="Arial" w:cs="Arial"/>
          <w:color w:val="000000" w:themeColor="text1"/>
          <w:sz w:val="22"/>
          <w:szCs w:val="22"/>
        </w:rPr>
        <w:t>Manager</w:t>
      </w:r>
      <w:r w:rsidRPr="00237D8D">
        <w:rPr>
          <w:rFonts w:eastAsia="Arial" w:cs="Arial"/>
          <w:color w:val="000000" w:themeColor="text1"/>
          <w:sz w:val="22"/>
          <w:szCs w:val="22"/>
        </w:rPr>
        <w:t>.</w:t>
      </w:r>
      <w:r w:rsidR="00423FE3">
        <w:rPr>
          <w:rFonts w:eastAsia="Arial" w:cs="Arial"/>
          <w:color w:val="000000" w:themeColor="text1"/>
          <w:sz w:val="22"/>
          <w:szCs w:val="22"/>
        </w:rPr>
        <w:t xml:space="preserve"> Mirova has extensive experience and resources for this role</w:t>
      </w:r>
      <w:r w:rsidR="009C5DDE">
        <w:rPr>
          <w:rFonts w:eastAsia="Arial" w:cs="Arial"/>
          <w:color w:val="000000" w:themeColor="text1"/>
          <w:sz w:val="22"/>
          <w:szCs w:val="22"/>
        </w:rPr>
        <w:t>, including support from their parent company Natixis</w:t>
      </w:r>
      <w:r w:rsidR="00423FE3">
        <w:rPr>
          <w:rFonts w:eastAsia="Arial" w:cs="Arial"/>
          <w:color w:val="000000" w:themeColor="text1"/>
          <w:sz w:val="22"/>
          <w:szCs w:val="22"/>
        </w:rPr>
        <w:t xml:space="preserve">, with tens of billions under management, and </w:t>
      </w:r>
      <w:r w:rsidR="00830B07">
        <w:rPr>
          <w:rFonts w:eastAsia="Arial" w:cs="Arial"/>
          <w:color w:val="000000" w:themeColor="text1"/>
          <w:sz w:val="22"/>
          <w:szCs w:val="22"/>
        </w:rPr>
        <w:t xml:space="preserve">policies across a range of risk categories. This allows </w:t>
      </w:r>
      <w:r w:rsidR="003C7B40">
        <w:rPr>
          <w:rFonts w:eastAsia="Arial" w:cs="Arial"/>
          <w:color w:val="000000" w:themeColor="text1"/>
          <w:sz w:val="22"/>
          <w:szCs w:val="22"/>
        </w:rPr>
        <w:t xml:space="preserve">Defra high confidence in </w:t>
      </w:r>
      <w:proofErr w:type="spellStart"/>
      <w:r w:rsidR="00830B07">
        <w:rPr>
          <w:rFonts w:eastAsia="Arial" w:cs="Arial"/>
          <w:color w:val="000000" w:themeColor="text1"/>
          <w:sz w:val="22"/>
          <w:szCs w:val="22"/>
        </w:rPr>
        <w:t>Mirova’s</w:t>
      </w:r>
      <w:proofErr w:type="spellEnd"/>
      <w:r w:rsidR="00830B07">
        <w:rPr>
          <w:rFonts w:eastAsia="Arial" w:cs="Arial"/>
          <w:color w:val="000000" w:themeColor="text1"/>
          <w:sz w:val="22"/>
          <w:szCs w:val="22"/>
        </w:rPr>
        <w:t xml:space="preserve"> ability to </w:t>
      </w:r>
      <w:r w:rsidR="00A67208">
        <w:rPr>
          <w:rFonts w:eastAsia="Arial" w:cs="Arial"/>
          <w:color w:val="000000" w:themeColor="text1"/>
          <w:sz w:val="22"/>
          <w:szCs w:val="22"/>
        </w:rPr>
        <w:t xml:space="preserve">assess, </w:t>
      </w:r>
      <w:r w:rsidR="0082415E">
        <w:rPr>
          <w:rFonts w:eastAsia="Arial" w:cs="Arial"/>
          <w:color w:val="000000" w:themeColor="text1"/>
          <w:sz w:val="22"/>
          <w:szCs w:val="22"/>
        </w:rPr>
        <w:t>manage</w:t>
      </w:r>
      <w:r w:rsidR="00A67208">
        <w:rPr>
          <w:rFonts w:eastAsia="Arial" w:cs="Arial"/>
          <w:color w:val="000000" w:themeColor="text1"/>
          <w:sz w:val="22"/>
          <w:szCs w:val="22"/>
        </w:rPr>
        <w:t>, and mitigate</w:t>
      </w:r>
      <w:r w:rsidR="0082415E">
        <w:rPr>
          <w:rFonts w:eastAsia="Arial" w:cs="Arial"/>
          <w:color w:val="000000" w:themeColor="text1"/>
          <w:sz w:val="22"/>
          <w:szCs w:val="22"/>
        </w:rPr>
        <w:t xml:space="preserve"> </w:t>
      </w:r>
      <w:r w:rsidR="00C93B76">
        <w:rPr>
          <w:rFonts w:eastAsia="Arial" w:cs="Arial"/>
          <w:color w:val="000000" w:themeColor="text1"/>
          <w:sz w:val="22"/>
          <w:szCs w:val="22"/>
        </w:rPr>
        <w:t xml:space="preserve">risks. </w:t>
      </w:r>
      <w:r w:rsidR="009C5DDE">
        <w:rPr>
          <w:rFonts w:eastAsia="Arial" w:cs="Arial"/>
          <w:color w:val="000000" w:themeColor="text1"/>
          <w:sz w:val="22"/>
          <w:szCs w:val="22"/>
        </w:rPr>
        <w:t>Defra receives quarterly shareholder reports</w:t>
      </w:r>
      <w:r w:rsidR="00E408D5">
        <w:rPr>
          <w:rFonts w:eastAsia="Arial" w:cs="Arial"/>
          <w:color w:val="000000" w:themeColor="text1"/>
          <w:sz w:val="22"/>
          <w:szCs w:val="22"/>
        </w:rPr>
        <w:t xml:space="preserve"> and attends an Advisory Committee twice a year</w:t>
      </w:r>
      <w:r w:rsidR="00CF563E">
        <w:rPr>
          <w:rFonts w:eastAsia="Arial" w:cs="Arial"/>
          <w:color w:val="000000" w:themeColor="text1"/>
          <w:sz w:val="22"/>
          <w:szCs w:val="22"/>
        </w:rPr>
        <w:t>, both of which contain updates on individual projects that give a sense of issues</w:t>
      </w:r>
      <w:r w:rsidR="0055771E">
        <w:rPr>
          <w:rFonts w:eastAsia="Arial" w:cs="Arial"/>
          <w:color w:val="000000" w:themeColor="text1"/>
          <w:sz w:val="22"/>
          <w:szCs w:val="22"/>
        </w:rPr>
        <w:t xml:space="preserve"> and </w:t>
      </w:r>
      <w:proofErr w:type="gramStart"/>
      <w:r w:rsidR="0055771E">
        <w:rPr>
          <w:rFonts w:eastAsia="Arial" w:cs="Arial"/>
          <w:color w:val="000000" w:themeColor="text1"/>
          <w:sz w:val="22"/>
          <w:szCs w:val="22"/>
        </w:rPr>
        <w:t>risks</w:t>
      </w:r>
      <w:r w:rsidR="00441ED0">
        <w:rPr>
          <w:rFonts w:eastAsia="Arial" w:cs="Arial"/>
          <w:color w:val="000000" w:themeColor="text1"/>
          <w:sz w:val="22"/>
          <w:szCs w:val="22"/>
        </w:rPr>
        <w:t>, and</w:t>
      </w:r>
      <w:proofErr w:type="gramEnd"/>
      <w:r w:rsidR="00441ED0">
        <w:rPr>
          <w:rFonts w:eastAsia="Arial" w:cs="Arial"/>
          <w:color w:val="000000" w:themeColor="text1"/>
          <w:sz w:val="22"/>
          <w:szCs w:val="22"/>
        </w:rPr>
        <w:t xml:space="preserve"> also maintains </w:t>
      </w:r>
      <w:r w:rsidR="00D016DA">
        <w:rPr>
          <w:rFonts w:eastAsia="Arial" w:cs="Arial"/>
          <w:color w:val="000000" w:themeColor="text1"/>
          <w:sz w:val="22"/>
          <w:szCs w:val="22"/>
        </w:rPr>
        <w:t>correspondence with Mirova throughout the year to address ad hoc issues</w:t>
      </w:r>
      <w:r w:rsidR="00CF563E">
        <w:rPr>
          <w:rFonts w:eastAsia="Arial" w:cs="Arial"/>
          <w:color w:val="000000" w:themeColor="text1"/>
          <w:sz w:val="22"/>
          <w:szCs w:val="22"/>
        </w:rPr>
        <w:t>.</w:t>
      </w:r>
    </w:p>
    <w:p w14:paraId="7BF36C53" w14:textId="77777777" w:rsidR="00F960B5" w:rsidRDefault="00F960B5" w:rsidP="006110D9">
      <w:pPr>
        <w:tabs>
          <w:tab w:val="left" w:pos="720"/>
        </w:tabs>
        <w:jc w:val="both"/>
        <w:rPr>
          <w:rFonts w:eastAsia="Arial" w:cs="Arial"/>
          <w:sz w:val="22"/>
          <w:szCs w:val="22"/>
          <w:u w:val="single"/>
          <w:lang w:val="en-US"/>
        </w:rPr>
      </w:pPr>
    </w:p>
    <w:p w14:paraId="34566DCD" w14:textId="0B1E0259" w:rsidR="0055771E" w:rsidRDefault="000F5F51" w:rsidP="006110D9">
      <w:pPr>
        <w:tabs>
          <w:tab w:val="left" w:pos="720"/>
        </w:tabs>
        <w:jc w:val="both"/>
        <w:rPr>
          <w:rFonts w:eastAsia="Arial" w:cs="Arial"/>
          <w:sz w:val="22"/>
          <w:szCs w:val="22"/>
          <w:lang w:val="en-US"/>
        </w:rPr>
      </w:pPr>
      <w:r w:rsidRPr="4F7D4E74">
        <w:rPr>
          <w:rFonts w:eastAsia="Arial" w:cs="Arial"/>
          <w:sz w:val="22"/>
          <w:szCs w:val="22"/>
          <w:u w:val="single"/>
          <w:lang w:val="en-US"/>
        </w:rPr>
        <w:t>Risk assessment</w:t>
      </w:r>
    </w:p>
    <w:p w14:paraId="2BA28597" w14:textId="77777777" w:rsidR="0055771E" w:rsidRDefault="0055771E" w:rsidP="006110D9">
      <w:pPr>
        <w:tabs>
          <w:tab w:val="left" w:pos="720"/>
        </w:tabs>
        <w:jc w:val="both"/>
        <w:rPr>
          <w:rFonts w:eastAsia="Arial" w:cs="Arial"/>
          <w:sz w:val="22"/>
          <w:szCs w:val="22"/>
          <w:lang w:val="en-US"/>
        </w:rPr>
      </w:pPr>
    </w:p>
    <w:p w14:paraId="0AA5E94D" w14:textId="299013FC" w:rsidR="000F5F51" w:rsidRDefault="000F5F51" w:rsidP="006110D9">
      <w:pPr>
        <w:tabs>
          <w:tab w:val="left" w:pos="720"/>
        </w:tabs>
        <w:jc w:val="both"/>
        <w:rPr>
          <w:rFonts w:eastAsia="Arial" w:cs="Arial"/>
          <w:sz w:val="22"/>
          <w:szCs w:val="22"/>
        </w:rPr>
      </w:pPr>
      <w:r w:rsidRPr="4F7D4E74">
        <w:rPr>
          <w:rFonts w:eastAsia="Arial" w:cs="Arial"/>
          <w:sz w:val="22"/>
          <w:szCs w:val="22"/>
          <w:lang w:val="en-US"/>
        </w:rPr>
        <w:t xml:space="preserve">Mirova has a process to screen projects and assess the corresponding risks and opportunities. Specifically, Mirova has developed a risk rating tool, specific to SLM and land restoration projects. The rating is used at </w:t>
      </w:r>
      <w:r w:rsidR="007922D7" w:rsidRPr="4F7D4E74">
        <w:rPr>
          <w:rFonts w:eastAsia="Arial" w:cs="Arial"/>
          <w:sz w:val="22"/>
          <w:szCs w:val="22"/>
          <w:lang w:val="en-US"/>
        </w:rPr>
        <w:t>I</w:t>
      </w:r>
      <w:r w:rsidRPr="4F7D4E74">
        <w:rPr>
          <w:rFonts w:eastAsia="Arial" w:cs="Arial"/>
          <w:sz w:val="22"/>
          <w:szCs w:val="22"/>
          <w:lang w:val="en-US"/>
        </w:rPr>
        <w:t xml:space="preserve">nvestment </w:t>
      </w:r>
      <w:r w:rsidR="007922D7" w:rsidRPr="4F7D4E74">
        <w:rPr>
          <w:rFonts w:eastAsia="Arial" w:cs="Arial"/>
          <w:sz w:val="22"/>
          <w:szCs w:val="22"/>
          <w:lang w:val="en-US"/>
        </w:rPr>
        <w:t>C</w:t>
      </w:r>
      <w:r w:rsidRPr="4F7D4E74">
        <w:rPr>
          <w:rFonts w:eastAsia="Arial" w:cs="Arial"/>
          <w:sz w:val="22"/>
          <w:szCs w:val="22"/>
          <w:lang w:val="en-US"/>
        </w:rPr>
        <w:t>ommittee level before the investment is made, but also after the investment is made for the valuation of the corresponding investment.</w:t>
      </w:r>
      <w:r w:rsidRPr="4F7D4E74">
        <w:rPr>
          <w:rFonts w:eastAsia="Arial" w:cs="Arial"/>
          <w:sz w:val="22"/>
          <w:szCs w:val="22"/>
        </w:rPr>
        <w:t xml:space="preserve"> The Fund </w:t>
      </w:r>
      <w:r w:rsidR="007F5623">
        <w:rPr>
          <w:rFonts w:eastAsia="Arial" w:cs="Arial"/>
          <w:sz w:val="22"/>
          <w:szCs w:val="22"/>
        </w:rPr>
        <w:t>also</w:t>
      </w:r>
      <w:r w:rsidRPr="4F7D4E74">
        <w:rPr>
          <w:rFonts w:eastAsia="Arial" w:cs="Arial"/>
          <w:sz w:val="22"/>
          <w:szCs w:val="22"/>
        </w:rPr>
        <w:t xml:space="preserve"> assesses each potential investment project against ESG risk and minimal performance criteria. ESG assessments are based on the </w:t>
      </w:r>
      <w:hyperlink r:id="rId17">
        <w:r w:rsidRPr="4F7D4E74">
          <w:rPr>
            <w:rStyle w:val="Hyperlink"/>
            <w:rFonts w:eastAsia="Arial" w:cs="Arial"/>
            <w:color w:val="auto"/>
            <w:sz w:val="22"/>
            <w:szCs w:val="22"/>
          </w:rPr>
          <w:t>Mirova Natural Capital ESG Policy</w:t>
        </w:r>
      </w:hyperlink>
      <w:r w:rsidRPr="4F7D4E74">
        <w:rPr>
          <w:rFonts w:eastAsia="Arial" w:cs="Arial"/>
          <w:sz w:val="22"/>
          <w:szCs w:val="22"/>
        </w:rPr>
        <w:t xml:space="preserve"> and the </w:t>
      </w:r>
      <w:hyperlink r:id="rId18">
        <w:r w:rsidRPr="4F7D4E74">
          <w:rPr>
            <w:rStyle w:val="Hyperlink"/>
            <w:rFonts w:eastAsia="Arial" w:cs="Arial"/>
            <w:color w:val="auto"/>
            <w:sz w:val="22"/>
            <w:szCs w:val="22"/>
          </w:rPr>
          <w:t>LDN Fund ESG Annex</w:t>
        </w:r>
      </w:hyperlink>
      <w:r w:rsidRPr="4F7D4E74">
        <w:rPr>
          <w:rFonts w:eastAsia="Arial" w:cs="Arial"/>
          <w:sz w:val="22"/>
          <w:szCs w:val="22"/>
        </w:rPr>
        <w:t xml:space="preserve"> that state the Fund’s commitments in terms of ESG performance. More information on the selection and investment process of the Fund can be found </w:t>
      </w:r>
      <w:hyperlink r:id="rId19">
        <w:r w:rsidRPr="4F7D4E74">
          <w:rPr>
            <w:rStyle w:val="Hyperlink"/>
            <w:rFonts w:eastAsia="Arial" w:cs="Arial"/>
            <w:color w:val="auto"/>
            <w:sz w:val="22"/>
            <w:szCs w:val="22"/>
          </w:rPr>
          <w:t>here</w:t>
        </w:r>
      </w:hyperlink>
      <w:r w:rsidRPr="4F7D4E74">
        <w:rPr>
          <w:rFonts w:eastAsia="Arial" w:cs="Arial"/>
          <w:sz w:val="22"/>
          <w:szCs w:val="22"/>
        </w:rPr>
        <w:t xml:space="preserve">. These policies state that all projects should comply with </w:t>
      </w:r>
      <w:hyperlink r:id="rId20">
        <w:r w:rsidRPr="4F7D4E74">
          <w:rPr>
            <w:rStyle w:val="Hyperlink"/>
            <w:rFonts w:eastAsia="Arial" w:cs="Arial"/>
            <w:color w:val="auto"/>
            <w:sz w:val="22"/>
            <w:szCs w:val="22"/>
          </w:rPr>
          <w:t>IFC Performance Standards</w:t>
        </w:r>
      </w:hyperlink>
      <w:r w:rsidRPr="4F7D4E74">
        <w:rPr>
          <w:rFonts w:eastAsia="Arial" w:cs="Arial"/>
          <w:sz w:val="22"/>
          <w:szCs w:val="22"/>
        </w:rPr>
        <w:t>, as well as achieving E&amp;S certifications when relevant, and some complementary requirements including a safeguarding policy and compliance mechanism. An exclusion list also clarifies the activities that will not be supported by the LDN Fund.</w:t>
      </w:r>
      <w:r w:rsidR="002B33DC">
        <w:rPr>
          <w:rFonts w:eastAsia="Arial" w:cs="Arial"/>
          <w:sz w:val="22"/>
          <w:szCs w:val="22"/>
        </w:rPr>
        <w:t xml:space="preserve"> As well as financial and ESG risk, Mirova also manages fraud </w:t>
      </w:r>
      <w:r w:rsidR="00ED73FE">
        <w:rPr>
          <w:rFonts w:eastAsia="Arial" w:cs="Arial"/>
          <w:sz w:val="22"/>
          <w:szCs w:val="22"/>
        </w:rPr>
        <w:t>risk and safeguarding.</w:t>
      </w:r>
    </w:p>
    <w:p w14:paraId="7385ACB4" w14:textId="77777777" w:rsidR="00D92229" w:rsidRDefault="00D92229" w:rsidP="006110D9">
      <w:pPr>
        <w:tabs>
          <w:tab w:val="left" w:pos="720"/>
        </w:tabs>
        <w:jc w:val="both"/>
        <w:rPr>
          <w:rFonts w:eastAsia="Arial" w:cs="Arial"/>
          <w:sz w:val="22"/>
          <w:szCs w:val="22"/>
        </w:rPr>
      </w:pPr>
    </w:p>
    <w:p w14:paraId="31D2F710" w14:textId="155E62A6" w:rsidR="003B7AD2" w:rsidRDefault="001B55B8" w:rsidP="006110D9">
      <w:pPr>
        <w:tabs>
          <w:tab w:val="left" w:pos="720"/>
        </w:tabs>
        <w:jc w:val="both"/>
        <w:rPr>
          <w:rFonts w:eastAsia="Arial" w:cs="Arial"/>
          <w:sz w:val="22"/>
          <w:szCs w:val="22"/>
        </w:rPr>
      </w:pPr>
      <w:r>
        <w:rPr>
          <w:rFonts w:eastAsia="Arial" w:cs="Arial"/>
          <w:sz w:val="22"/>
          <w:szCs w:val="22"/>
          <w:u w:val="single"/>
        </w:rPr>
        <w:t>Fraud</w:t>
      </w:r>
    </w:p>
    <w:p w14:paraId="21BBA4F0" w14:textId="77777777" w:rsidR="001B55B8" w:rsidRDefault="001B55B8" w:rsidP="006110D9">
      <w:pPr>
        <w:tabs>
          <w:tab w:val="left" w:pos="720"/>
        </w:tabs>
        <w:jc w:val="both"/>
        <w:rPr>
          <w:rFonts w:eastAsia="Arial" w:cs="Arial"/>
          <w:sz w:val="22"/>
          <w:szCs w:val="22"/>
        </w:rPr>
      </w:pPr>
    </w:p>
    <w:p w14:paraId="52599388" w14:textId="221617DE" w:rsidR="00595866" w:rsidRDefault="00081943" w:rsidP="001F273A">
      <w:pPr>
        <w:tabs>
          <w:tab w:val="left" w:pos="720"/>
        </w:tabs>
        <w:jc w:val="both"/>
        <w:rPr>
          <w:rFonts w:eastAsia="Arial" w:cs="Arial"/>
          <w:sz w:val="22"/>
          <w:szCs w:val="22"/>
        </w:rPr>
      </w:pPr>
      <w:r>
        <w:rPr>
          <w:rFonts w:eastAsia="Arial" w:cs="Arial"/>
          <w:sz w:val="22"/>
          <w:szCs w:val="22"/>
        </w:rPr>
        <w:t>No incidents of fraud were reported to Defra in 2024</w:t>
      </w:r>
      <w:r w:rsidR="00512B1B">
        <w:rPr>
          <w:rFonts w:eastAsia="Arial" w:cs="Arial"/>
          <w:sz w:val="22"/>
          <w:szCs w:val="22"/>
        </w:rPr>
        <w:t>, or to the Fund’s Advisory Committee</w:t>
      </w:r>
      <w:r>
        <w:rPr>
          <w:rFonts w:eastAsia="Arial" w:cs="Arial"/>
          <w:sz w:val="22"/>
          <w:szCs w:val="22"/>
        </w:rPr>
        <w:t xml:space="preserve">. </w:t>
      </w:r>
      <w:r w:rsidR="001F273A" w:rsidRPr="001F273A">
        <w:rPr>
          <w:rFonts w:eastAsia="Arial" w:cs="Arial"/>
          <w:sz w:val="22"/>
          <w:szCs w:val="22"/>
        </w:rPr>
        <w:t>Fraud risks are managed by Mirova</w:t>
      </w:r>
      <w:r w:rsidR="009F0AEB">
        <w:rPr>
          <w:rFonts w:eastAsia="Arial" w:cs="Arial"/>
          <w:sz w:val="22"/>
          <w:szCs w:val="22"/>
        </w:rPr>
        <w:t xml:space="preserve"> with support from Natixis</w:t>
      </w:r>
      <w:r w:rsidR="00E74009">
        <w:rPr>
          <w:rFonts w:eastAsia="Arial" w:cs="Arial"/>
          <w:sz w:val="22"/>
          <w:szCs w:val="22"/>
        </w:rPr>
        <w:t>; they</w:t>
      </w:r>
      <w:r w:rsidR="001F273A" w:rsidRPr="001F273A">
        <w:rPr>
          <w:rFonts w:eastAsia="Arial" w:cs="Arial"/>
          <w:sz w:val="22"/>
          <w:szCs w:val="22"/>
        </w:rPr>
        <w:t xml:space="preserve"> have robust internal investment </w:t>
      </w:r>
      <w:proofErr w:type="gramStart"/>
      <w:r w:rsidR="001F273A" w:rsidRPr="001F273A">
        <w:rPr>
          <w:rFonts w:eastAsia="Arial" w:cs="Arial"/>
          <w:sz w:val="22"/>
          <w:szCs w:val="22"/>
        </w:rPr>
        <w:t>controls, and</w:t>
      </w:r>
      <w:proofErr w:type="gramEnd"/>
      <w:r w:rsidR="001F273A" w:rsidRPr="001F273A">
        <w:rPr>
          <w:rFonts w:eastAsia="Arial" w:cs="Arial"/>
          <w:sz w:val="22"/>
          <w:szCs w:val="22"/>
        </w:rPr>
        <w:t xml:space="preserve"> carry out extensive due diligence on their investors and investees. </w:t>
      </w:r>
      <w:r w:rsidR="009B6CC3">
        <w:rPr>
          <w:rFonts w:eastAsia="Arial" w:cs="Arial"/>
          <w:sz w:val="22"/>
          <w:szCs w:val="22"/>
        </w:rPr>
        <w:t xml:space="preserve">The Fund itself sits in </w:t>
      </w:r>
      <w:proofErr w:type="gramStart"/>
      <w:r w:rsidR="009B6CC3">
        <w:rPr>
          <w:rFonts w:eastAsia="Arial" w:cs="Arial"/>
          <w:sz w:val="22"/>
          <w:szCs w:val="22"/>
        </w:rPr>
        <w:t>Luxembourg, and</w:t>
      </w:r>
      <w:proofErr w:type="gramEnd"/>
      <w:r w:rsidR="009B6CC3">
        <w:rPr>
          <w:rFonts w:eastAsia="Arial" w:cs="Arial"/>
          <w:sz w:val="22"/>
          <w:szCs w:val="22"/>
        </w:rPr>
        <w:t xml:space="preserve"> is subject to </w:t>
      </w:r>
      <w:r w:rsidR="00A36924">
        <w:rPr>
          <w:rFonts w:eastAsia="Arial" w:cs="Arial"/>
          <w:sz w:val="22"/>
          <w:szCs w:val="22"/>
        </w:rPr>
        <w:t>Luxembourg</w:t>
      </w:r>
      <w:r w:rsidR="00AA6BCD">
        <w:rPr>
          <w:rFonts w:eastAsia="Arial" w:cs="Arial"/>
          <w:sz w:val="22"/>
          <w:szCs w:val="22"/>
        </w:rPr>
        <w:t>ish counter-fraud requirements</w:t>
      </w:r>
      <w:r w:rsidR="001F273A" w:rsidRPr="001F273A">
        <w:rPr>
          <w:rFonts w:eastAsia="Arial" w:cs="Arial"/>
          <w:sz w:val="22"/>
          <w:szCs w:val="22"/>
        </w:rPr>
        <w:t>.</w:t>
      </w:r>
      <w:r w:rsidR="00ED4F90">
        <w:rPr>
          <w:rFonts w:eastAsia="Arial" w:cs="Arial"/>
          <w:sz w:val="22"/>
          <w:szCs w:val="22"/>
        </w:rPr>
        <w:t xml:space="preserve"> </w:t>
      </w:r>
      <w:r w:rsidR="001F273A" w:rsidRPr="001F273A">
        <w:rPr>
          <w:rFonts w:eastAsia="Arial" w:cs="Arial"/>
          <w:sz w:val="22"/>
          <w:szCs w:val="22"/>
        </w:rPr>
        <w:t>Loans are on commercial terms with clear repayment conditions, and Mirova sits on the Boar</w:t>
      </w:r>
      <w:r w:rsidR="00ED4F90">
        <w:rPr>
          <w:rFonts w:eastAsia="Arial" w:cs="Arial"/>
          <w:sz w:val="22"/>
          <w:szCs w:val="22"/>
        </w:rPr>
        <w:t>d</w:t>
      </w:r>
      <w:r w:rsidR="001F273A" w:rsidRPr="001F273A">
        <w:rPr>
          <w:rFonts w:eastAsia="Arial" w:cs="Arial"/>
          <w:sz w:val="22"/>
          <w:szCs w:val="22"/>
        </w:rPr>
        <w:t>s of most businesses receiving funding.</w:t>
      </w:r>
      <w:r w:rsidR="00ED4F90">
        <w:rPr>
          <w:rFonts w:eastAsia="Arial" w:cs="Arial"/>
          <w:sz w:val="22"/>
          <w:szCs w:val="22"/>
        </w:rPr>
        <w:t xml:space="preserve"> </w:t>
      </w:r>
      <w:r w:rsidR="001F273A" w:rsidRPr="001F273A">
        <w:rPr>
          <w:rFonts w:eastAsia="Arial" w:cs="Arial"/>
          <w:sz w:val="22"/>
          <w:szCs w:val="22"/>
        </w:rPr>
        <w:t xml:space="preserve">Defra’s programme team </w:t>
      </w:r>
      <w:r w:rsidR="002B224C">
        <w:rPr>
          <w:rFonts w:eastAsia="Arial" w:cs="Arial"/>
          <w:sz w:val="22"/>
          <w:szCs w:val="22"/>
        </w:rPr>
        <w:t>is not</w:t>
      </w:r>
      <w:r w:rsidR="001F273A" w:rsidRPr="001F273A">
        <w:rPr>
          <w:rFonts w:eastAsia="Arial" w:cs="Arial"/>
          <w:sz w:val="22"/>
          <w:szCs w:val="22"/>
        </w:rPr>
        <w:t xml:space="preserve"> involve</w:t>
      </w:r>
      <w:r w:rsidR="002B224C">
        <w:rPr>
          <w:rFonts w:eastAsia="Arial" w:cs="Arial"/>
          <w:sz w:val="22"/>
          <w:szCs w:val="22"/>
        </w:rPr>
        <w:t>d</w:t>
      </w:r>
      <w:r w:rsidR="001F273A" w:rsidRPr="001F273A">
        <w:rPr>
          <w:rFonts w:eastAsia="Arial" w:cs="Arial"/>
          <w:sz w:val="22"/>
          <w:szCs w:val="22"/>
        </w:rPr>
        <w:t xml:space="preserve"> in </w:t>
      </w:r>
      <w:r w:rsidR="002F628E">
        <w:rPr>
          <w:rFonts w:eastAsia="Arial" w:cs="Arial"/>
          <w:sz w:val="22"/>
          <w:szCs w:val="22"/>
        </w:rPr>
        <w:t xml:space="preserve">any </w:t>
      </w:r>
      <w:r w:rsidR="001F273A" w:rsidRPr="001F273A">
        <w:rPr>
          <w:rFonts w:eastAsia="Arial" w:cs="Arial"/>
          <w:sz w:val="22"/>
          <w:szCs w:val="22"/>
        </w:rPr>
        <w:t xml:space="preserve">downstream areas </w:t>
      </w:r>
      <w:r w:rsidR="002F628E">
        <w:rPr>
          <w:rFonts w:eastAsia="Arial" w:cs="Arial"/>
          <w:sz w:val="22"/>
          <w:szCs w:val="22"/>
        </w:rPr>
        <w:t>with</w:t>
      </w:r>
      <w:r w:rsidR="001F273A" w:rsidRPr="001F273A">
        <w:rPr>
          <w:rFonts w:eastAsia="Arial" w:cs="Arial"/>
          <w:sz w:val="22"/>
          <w:szCs w:val="22"/>
        </w:rPr>
        <w:t xml:space="preserve"> fraud risks, and responsibility lies with Mirova.</w:t>
      </w:r>
      <w:r w:rsidR="00ED4F90">
        <w:rPr>
          <w:rFonts w:eastAsia="Arial" w:cs="Arial"/>
          <w:sz w:val="22"/>
          <w:szCs w:val="22"/>
        </w:rPr>
        <w:t xml:space="preserve"> </w:t>
      </w:r>
      <w:r w:rsidR="001F273A" w:rsidRPr="001F273A">
        <w:rPr>
          <w:rFonts w:eastAsia="Arial" w:cs="Arial"/>
          <w:sz w:val="22"/>
          <w:szCs w:val="22"/>
        </w:rPr>
        <w:t xml:space="preserve">Defra's </w:t>
      </w:r>
      <w:r w:rsidR="002F628E">
        <w:rPr>
          <w:rFonts w:eastAsia="Arial" w:cs="Arial"/>
          <w:sz w:val="22"/>
          <w:szCs w:val="22"/>
        </w:rPr>
        <w:t>drawdowns</w:t>
      </w:r>
      <w:r w:rsidR="001F273A" w:rsidRPr="001F273A">
        <w:rPr>
          <w:rFonts w:eastAsia="Arial" w:cs="Arial"/>
          <w:sz w:val="22"/>
          <w:szCs w:val="22"/>
        </w:rPr>
        <w:t xml:space="preserve"> to LDN are signed off by several officials at both ends.</w:t>
      </w:r>
      <w:r w:rsidR="00B47C1B">
        <w:rPr>
          <w:rFonts w:eastAsia="Arial" w:cs="Arial"/>
          <w:sz w:val="22"/>
          <w:szCs w:val="22"/>
        </w:rPr>
        <w:t xml:space="preserve"> </w:t>
      </w:r>
      <w:r w:rsidR="00B47C1B">
        <w:rPr>
          <w:rFonts w:eastAsia="Arial" w:cs="Arial"/>
          <w:color w:val="000000" w:themeColor="text1"/>
          <w:sz w:val="22"/>
          <w:szCs w:val="22"/>
        </w:rPr>
        <w:t xml:space="preserve">A recommendation has been taken to review </w:t>
      </w:r>
      <w:proofErr w:type="spellStart"/>
      <w:r w:rsidR="00D225C7">
        <w:rPr>
          <w:rFonts w:eastAsia="Arial" w:cs="Arial"/>
          <w:color w:val="000000" w:themeColor="text1"/>
          <w:sz w:val="22"/>
          <w:szCs w:val="22"/>
        </w:rPr>
        <w:t>Mirova</w:t>
      </w:r>
      <w:r w:rsidR="00B47C1B">
        <w:rPr>
          <w:rFonts w:eastAsia="Arial" w:cs="Arial"/>
          <w:color w:val="000000" w:themeColor="text1"/>
          <w:sz w:val="22"/>
          <w:szCs w:val="22"/>
        </w:rPr>
        <w:t>’s</w:t>
      </w:r>
      <w:proofErr w:type="spellEnd"/>
      <w:r w:rsidR="00B47C1B">
        <w:rPr>
          <w:rFonts w:eastAsia="Arial" w:cs="Arial"/>
          <w:color w:val="000000" w:themeColor="text1"/>
          <w:sz w:val="22"/>
          <w:szCs w:val="22"/>
        </w:rPr>
        <w:t xml:space="preserve"> counter-fraud measures</w:t>
      </w:r>
      <w:r w:rsidR="00B47C1B" w:rsidRPr="00434FDA">
        <w:rPr>
          <w:rFonts w:eastAsia="Arial" w:cs="Arial"/>
          <w:color w:val="000000" w:themeColor="text1"/>
          <w:sz w:val="22"/>
          <w:szCs w:val="22"/>
        </w:rPr>
        <w:t xml:space="preserve"> </w:t>
      </w:r>
      <w:r w:rsidR="00B47C1B">
        <w:rPr>
          <w:rFonts w:eastAsia="Arial" w:cs="Arial"/>
          <w:color w:val="000000" w:themeColor="text1"/>
          <w:sz w:val="22"/>
          <w:szCs w:val="22"/>
        </w:rPr>
        <w:t>before the next AR.</w:t>
      </w:r>
    </w:p>
    <w:p w14:paraId="19BF0029" w14:textId="77777777" w:rsidR="001B55B8" w:rsidRDefault="001B55B8" w:rsidP="006110D9">
      <w:pPr>
        <w:tabs>
          <w:tab w:val="left" w:pos="720"/>
        </w:tabs>
        <w:jc w:val="both"/>
        <w:rPr>
          <w:rFonts w:eastAsia="Arial" w:cs="Arial"/>
          <w:b/>
          <w:bCs/>
          <w:sz w:val="22"/>
          <w:szCs w:val="22"/>
        </w:rPr>
      </w:pPr>
    </w:p>
    <w:p w14:paraId="02A779D5" w14:textId="7EAD4197" w:rsidR="00C26069" w:rsidRPr="00C26069" w:rsidRDefault="00C26069" w:rsidP="006110D9">
      <w:pPr>
        <w:tabs>
          <w:tab w:val="left" w:pos="720"/>
        </w:tabs>
        <w:jc w:val="both"/>
        <w:rPr>
          <w:rFonts w:eastAsia="Arial" w:cs="Arial"/>
          <w:sz w:val="22"/>
          <w:szCs w:val="22"/>
        </w:rPr>
      </w:pPr>
      <w:r w:rsidRPr="00C26069">
        <w:rPr>
          <w:rFonts w:eastAsia="Arial" w:cs="Arial"/>
          <w:sz w:val="22"/>
          <w:szCs w:val="22"/>
          <w:u w:val="single"/>
        </w:rPr>
        <w:t>Safeguarding</w:t>
      </w:r>
    </w:p>
    <w:p w14:paraId="1BB85C22" w14:textId="77777777" w:rsidR="00C26069" w:rsidRPr="00C26069" w:rsidRDefault="00C26069" w:rsidP="006110D9">
      <w:pPr>
        <w:tabs>
          <w:tab w:val="left" w:pos="720"/>
        </w:tabs>
        <w:jc w:val="both"/>
        <w:rPr>
          <w:rFonts w:eastAsia="Arial" w:cs="Arial"/>
          <w:sz w:val="22"/>
          <w:szCs w:val="22"/>
        </w:rPr>
      </w:pPr>
    </w:p>
    <w:p w14:paraId="1840B3E4" w14:textId="09BF46DF" w:rsidR="00C26069" w:rsidRPr="00C26069" w:rsidRDefault="00C26069" w:rsidP="00C26069">
      <w:pPr>
        <w:tabs>
          <w:tab w:val="left" w:pos="720"/>
        </w:tabs>
        <w:jc w:val="both"/>
        <w:rPr>
          <w:rFonts w:eastAsia="Arial" w:cs="Arial"/>
          <w:sz w:val="22"/>
          <w:szCs w:val="22"/>
        </w:rPr>
      </w:pPr>
      <w:r w:rsidRPr="00C26069">
        <w:rPr>
          <w:rFonts w:eastAsia="Arial" w:cs="Arial"/>
          <w:sz w:val="22"/>
          <w:szCs w:val="22"/>
        </w:rPr>
        <w:lastRenderedPageBreak/>
        <w:t xml:space="preserve">Defra’s programme team </w:t>
      </w:r>
      <w:r>
        <w:rPr>
          <w:rFonts w:eastAsia="Arial" w:cs="Arial"/>
          <w:sz w:val="22"/>
          <w:szCs w:val="22"/>
        </w:rPr>
        <w:t xml:space="preserve">has carried out a safeguarding </w:t>
      </w:r>
      <w:proofErr w:type="gramStart"/>
      <w:r>
        <w:rPr>
          <w:rFonts w:eastAsia="Arial" w:cs="Arial"/>
          <w:sz w:val="22"/>
          <w:szCs w:val="22"/>
        </w:rPr>
        <w:t>assessment, but</w:t>
      </w:r>
      <w:proofErr w:type="gramEnd"/>
      <w:r>
        <w:rPr>
          <w:rFonts w:eastAsia="Arial" w:cs="Arial"/>
          <w:sz w:val="22"/>
          <w:szCs w:val="22"/>
        </w:rPr>
        <w:t xml:space="preserve"> </w:t>
      </w:r>
      <w:proofErr w:type="gramStart"/>
      <w:r w:rsidRPr="00C26069">
        <w:rPr>
          <w:rFonts w:eastAsia="Arial" w:cs="Arial"/>
          <w:sz w:val="22"/>
          <w:szCs w:val="22"/>
        </w:rPr>
        <w:t>has no involvement</w:t>
      </w:r>
      <w:proofErr w:type="gramEnd"/>
      <w:r w:rsidRPr="00C26069">
        <w:rPr>
          <w:rFonts w:eastAsia="Arial" w:cs="Arial"/>
          <w:sz w:val="22"/>
          <w:szCs w:val="22"/>
        </w:rPr>
        <w:t xml:space="preserve"> in any areas where there might be safeguarding risks.</w:t>
      </w:r>
      <w:r w:rsidR="005378ED">
        <w:rPr>
          <w:rFonts w:eastAsia="Arial" w:cs="Arial"/>
          <w:sz w:val="22"/>
          <w:szCs w:val="22"/>
        </w:rPr>
        <w:t xml:space="preserve"> </w:t>
      </w:r>
      <w:r w:rsidRPr="00C26069">
        <w:rPr>
          <w:rFonts w:eastAsia="Arial" w:cs="Arial"/>
          <w:sz w:val="22"/>
          <w:szCs w:val="22"/>
        </w:rPr>
        <w:t>Safeguarding is managed by Mirova, which has a safe-guarding policy for LDN and a dedicated reporting mechanism.</w:t>
      </w:r>
      <w:r>
        <w:rPr>
          <w:rFonts w:eastAsia="Arial" w:cs="Arial"/>
          <w:sz w:val="22"/>
          <w:szCs w:val="22"/>
        </w:rPr>
        <w:t xml:space="preserve"> </w:t>
      </w:r>
      <w:r w:rsidRPr="00C26069">
        <w:rPr>
          <w:rFonts w:eastAsia="Arial" w:cs="Arial"/>
          <w:sz w:val="22"/>
          <w:szCs w:val="22"/>
        </w:rPr>
        <w:t xml:space="preserve">Safeguarding is part of all Environmental and Social Due Diligence (ESDD) </w:t>
      </w:r>
      <w:r>
        <w:rPr>
          <w:rFonts w:eastAsia="Arial" w:cs="Arial"/>
          <w:sz w:val="22"/>
          <w:szCs w:val="22"/>
        </w:rPr>
        <w:t xml:space="preserve">on projects, </w:t>
      </w:r>
      <w:r w:rsidRPr="00C26069">
        <w:rPr>
          <w:rFonts w:eastAsia="Arial" w:cs="Arial"/>
          <w:sz w:val="22"/>
          <w:szCs w:val="22"/>
        </w:rPr>
        <w:t>and if any gap in LDN policy is identified, a corrective action is added in the project’s Environmental and Social Action Plan (ESAP).</w:t>
      </w:r>
      <w:r>
        <w:rPr>
          <w:rFonts w:eastAsia="Arial" w:cs="Arial"/>
          <w:sz w:val="22"/>
          <w:szCs w:val="22"/>
        </w:rPr>
        <w:t xml:space="preserve"> </w:t>
      </w:r>
      <w:r w:rsidRPr="00C26069">
        <w:rPr>
          <w:rFonts w:eastAsia="Arial" w:cs="Arial"/>
          <w:sz w:val="22"/>
          <w:szCs w:val="22"/>
        </w:rPr>
        <w:t>The Fund maintains good oversight over all projects, with positions on most Boards or equivalents, and is therefore well-placed to monitor and mitigate such risks.</w:t>
      </w:r>
    </w:p>
    <w:p w14:paraId="320CAEB3" w14:textId="77777777" w:rsidR="00E8520F" w:rsidRDefault="00E8520F" w:rsidP="00E8520F">
      <w:pPr>
        <w:jc w:val="both"/>
        <w:rPr>
          <w:rFonts w:eastAsia="Arial" w:cs="Arial"/>
          <w:color w:val="000000" w:themeColor="text1"/>
          <w:sz w:val="22"/>
          <w:szCs w:val="22"/>
          <w:highlight w:val="yellow"/>
        </w:rPr>
      </w:pPr>
    </w:p>
    <w:p w14:paraId="5736A88F" w14:textId="3952892C" w:rsidR="00E8520F" w:rsidRPr="00377B54" w:rsidRDefault="00E8520F" w:rsidP="00E8520F">
      <w:pPr>
        <w:jc w:val="both"/>
        <w:rPr>
          <w:rFonts w:eastAsia="Arial" w:cs="Arial"/>
          <w:color w:val="000000" w:themeColor="text1"/>
          <w:sz w:val="22"/>
          <w:szCs w:val="22"/>
          <w:u w:val="single"/>
        </w:rPr>
      </w:pPr>
      <w:r w:rsidRPr="00377B54">
        <w:rPr>
          <w:rFonts w:eastAsia="Arial" w:cs="Arial"/>
          <w:color w:val="000000" w:themeColor="text1"/>
          <w:sz w:val="22"/>
          <w:szCs w:val="22"/>
          <w:u w:val="single"/>
        </w:rPr>
        <w:t>Financial</w:t>
      </w:r>
    </w:p>
    <w:p w14:paraId="3C39E61A" w14:textId="77777777" w:rsidR="00E8520F" w:rsidRPr="00377B54" w:rsidRDefault="00E8520F" w:rsidP="00E8520F">
      <w:pPr>
        <w:jc w:val="both"/>
        <w:rPr>
          <w:rFonts w:eastAsia="Arial" w:cs="Arial"/>
          <w:color w:val="000000" w:themeColor="text1"/>
          <w:sz w:val="22"/>
          <w:szCs w:val="22"/>
        </w:rPr>
      </w:pPr>
    </w:p>
    <w:p w14:paraId="6E01A95B" w14:textId="4D9CE927" w:rsidR="00E8520F" w:rsidRPr="005B30D1" w:rsidRDefault="00E8520F" w:rsidP="00E8520F">
      <w:pPr>
        <w:jc w:val="both"/>
        <w:rPr>
          <w:rFonts w:eastAsia="Arial" w:cs="Arial"/>
          <w:color w:val="000000" w:themeColor="text1"/>
          <w:sz w:val="22"/>
          <w:szCs w:val="22"/>
        </w:rPr>
      </w:pPr>
      <w:r w:rsidRPr="00377B54">
        <w:rPr>
          <w:rFonts w:eastAsia="Arial" w:cs="Arial"/>
          <w:color w:val="000000" w:themeColor="text1"/>
          <w:sz w:val="22"/>
          <w:szCs w:val="22"/>
        </w:rPr>
        <w:t xml:space="preserve">The Fund’s investments are deliberately spread across countries and </w:t>
      </w:r>
      <w:r w:rsidR="004756FE" w:rsidRPr="00377B54">
        <w:rPr>
          <w:rFonts w:eastAsia="Arial" w:cs="Arial"/>
          <w:color w:val="000000" w:themeColor="text1"/>
          <w:sz w:val="22"/>
          <w:szCs w:val="22"/>
        </w:rPr>
        <w:t>land uses</w:t>
      </w:r>
      <w:r w:rsidRPr="00377B54">
        <w:rPr>
          <w:rFonts w:eastAsia="Arial" w:cs="Arial"/>
          <w:color w:val="000000" w:themeColor="text1"/>
          <w:sz w:val="22"/>
          <w:szCs w:val="22"/>
        </w:rPr>
        <w:t xml:space="preserve">, with public funding allowing some higher risk investments within the portfolio. </w:t>
      </w:r>
      <w:r w:rsidR="003B6902" w:rsidRPr="00377B54">
        <w:rPr>
          <w:rFonts w:eastAsia="Arial" w:cs="Arial"/>
          <w:color w:val="000000" w:themeColor="text1"/>
          <w:sz w:val="22"/>
          <w:szCs w:val="22"/>
        </w:rPr>
        <w:t>Losses from these will ultimately reduce returns</w:t>
      </w:r>
      <w:r w:rsidR="00191714" w:rsidRPr="00377B54">
        <w:rPr>
          <w:rFonts w:eastAsia="Arial" w:cs="Arial"/>
          <w:color w:val="000000" w:themeColor="text1"/>
          <w:sz w:val="22"/>
          <w:szCs w:val="22"/>
        </w:rPr>
        <w:t xml:space="preserve"> for junior investors like Defra, but w</w:t>
      </w:r>
      <w:r w:rsidRPr="00377B54">
        <w:rPr>
          <w:rFonts w:eastAsia="Arial" w:cs="Arial"/>
          <w:color w:val="000000" w:themeColor="text1"/>
          <w:sz w:val="22"/>
          <w:szCs w:val="22"/>
        </w:rPr>
        <w:t xml:space="preserve">ithout the current 20% </w:t>
      </w:r>
      <w:r w:rsidR="00191714" w:rsidRPr="00377B54">
        <w:rPr>
          <w:rFonts w:eastAsia="Arial" w:cs="Arial"/>
          <w:color w:val="000000" w:themeColor="text1"/>
          <w:sz w:val="22"/>
          <w:szCs w:val="22"/>
        </w:rPr>
        <w:t xml:space="preserve">minimum </w:t>
      </w:r>
      <w:r w:rsidRPr="00377B54">
        <w:rPr>
          <w:rFonts w:eastAsia="Arial" w:cs="Arial"/>
          <w:color w:val="000000" w:themeColor="text1"/>
          <w:sz w:val="22"/>
          <w:szCs w:val="22"/>
        </w:rPr>
        <w:t xml:space="preserve">proportion of Junior shares in the Fund, investments would have to take fewer risks to be commercially viable, and several countries in the portfolio might not receive investment at all. This underscores the importance of public funding to the Fund, and the additionality it brings in allowing the Fund to invest where others </w:t>
      </w:r>
      <w:proofErr w:type="gramStart"/>
      <w:r w:rsidRPr="00377B54">
        <w:rPr>
          <w:rFonts w:eastAsia="Arial" w:cs="Arial"/>
          <w:color w:val="000000" w:themeColor="text1"/>
          <w:sz w:val="22"/>
          <w:szCs w:val="22"/>
        </w:rPr>
        <w:t>are not able to</w:t>
      </w:r>
      <w:proofErr w:type="gramEnd"/>
      <w:r w:rsidRPr="00377B54">
        <w:rPr>
          <w:rFonts w:eastAsia="Arial" w:cs="Arial"/>
          <w:color w:val="000000" w:themeColor="text1"/>
          <w:sz w:val="22"/>
          <w:szCs w:val="22"/>
        </w:rPr>
        <w:t>.</w:t>
      </w:r>
      <w:r w:rsidR="00985465" w:rsidRPr="00377B54">
        <w:rPr>
          <w:rFonts w:eastAsia="Arial" w:cs="Arial"/>
          <w:color w:val="000000" w:themeColor="text1"/>
          <w:sz w:val="22"/>
          <w:szCs w:val="22"/>
        </w:rPr>
        <w:t xml:space="preserve"> </w:t>
      </w:r>
      <w:r w:rsidR="004D0FEE" w:rsidRPr="00377B54">
        <w:rPr>
          <w:rFonts w:eastAsia="Arial" w:cs="Arial"/>
          <w:color w:val="000000" w:themeColor="text1"/>
          <w:sz w:val="22"/>
          <w:szCs w:val="22"/>
        </w:rPr>
        <w:t>Although it limits the Fund’s size, learning from the first Fund has led to MSLF2 following the same 20% protection level</w:t>
      </w:r>
      <w:r w:rsidRPr="00377B54">
        <w:rPr>
          <w:rFonts w:eastAsia="Arial" w:cs="Arial"/>
          <w:color w:val="000000" w:themeColor="text1"/>
          <w:sz w:val="22"/>
          <w:szCs w:val="22"/>
        </w:rPr>
        <w:t>.</w:t>
      </w:r>
    </w:p>
    <w:p w14:paraId="576DF3DA" w14:textId="77777777" w:rsidR="003B7AD2" w:rsidRDefault="003B7AD2" w:rsidP="006110D9">
      <w:pPr>
        <w:tabs>
          <w:tab w:val="left" w:pos="720"/>
        </w:tabs>
        <w:jc w:val="both"/>
        <w:rPr>
          <w:rFonts w:eastAsia="Arial" w:cs="Arial"/>
          <w:b/>
          <w:bCs/>
          <w:sz w:val="22"/>
          <w:szCs w:val="22"/>
        </w:rPr>
      </w:pPr>
    </w:p>
    <w:p w14:paraId="2D0777A6" w14:textId="77777777" w:rsidR="003B7AD2" w:rsidRPr="003B7AD2" w:rsidRDefault="003B7AD2" w:rsidP="006110D9">
      <w:pPr>
        <w:tabs>
          <w:tab w:val="left" w:pos="720"/>
        </w:tabs>
        <w:jc w:val="both"/>
        <w:rPr>
          <w:rFonts w:eastAsia="Arial" w:cs="Arial"/>
          <w:sz w:val="22"/>
          <w:szCs w:val="22"/>
          <w:u w:val="single"/>
        </w:rPr>
      </w:pPr>
      <w:r w:rsidRPr="003B7AD2">
        <w:rPr>
          <w:rFonts w:eastAsia="Arial" w:cs="Arial"/>
          <w:sz w:val="22"/>
          <w:szCs w:val="22"/>
          <w:u w:val="single"/>
        </w:rPr>
        <w:t>Conclusion</w:t>
      </w:r>
    </w:p>
    <w:p w14:paraId="3839FCB1" w14:textId="77777777" w:rsidR="003B7AD2" w:rsidRDefault="003B7AD2" w:rsidP="006110D9">
      <w:pPr>
        <w:tabs>
          <w:tab w:val="left" w:pos="720"/>
        </w:tabs>
        <w:jc w:val="both"/>
        <w:rPr>
          <w:rFonts w:eastAsia="Arial" w:cs="Arial"/>
          <w:b/>
          <w:bCs/>
          <w:sz w:val="22"/>
          <w:szCs w:val="22"/>
        </w:rPr>
      </w:pPr>
    </w:p>
    <w:p w14:paraId="0608CB0A" w14:textId="6401C469" w:rsidR="004E481D" w:rsidRDefault="00C3082D" w:rsidP="006110D9">
      <w:pPr>
        <w:tabs>
          <w:tab w:val="left" w:pos="720"/>
        </w:tabs>
        <w:jc w:val="both"/>
        <w:rPr>
          <w:rFonts w:eastAsia="Arial" w:cs="Arial"/>
          <w:sz w:val="22"/>
          <w:szCs w:val="22"/>
        </w:rPr>
      </w:pPr>
      <w:r w:rsidRPr="003B7AD2">
        <w:rPr>
          <w:rFonts w:eastAsia="Arial" w:cs="Arial"/>
          <w:sz w:val="22"/>
          <w:szCs w:val="22"/>
        </w:rPr>
        <w:t>No Defra-level risks were raised or required management in 202</w:t>
      </w:r>
      <w:r w:rsidR="008330D1" w:rsidRPr="003B7AD2">
        <w:rPr>
          <w:rFonts w:eastAsia="Arial" w:cs="Arial"/>
          <w:sz w:val="22"/>
          <w:szCs w:val="22"/>
        </w:rPr>
        <w:t>4</w:t>
      </w:r>
      <w:r w:rsidRPr="003B7AD2">
        <w:rPr>
          <w:rFonts w:eastAsia="Arial" w:cs="Arial"/>
          <w:sz w:val="22"/>
          <w:szCs w:val="22"/>
        </w:rPr>
        <w:t>.</w:t>
      </w:r>
      <w:r w:rsidR="003B7AD2">
        <w:rPr>
          <w:rFonts w:eastAsia="Arial" w:cs="Arial"/>
          <w:sz w:val="22"/>
          <w:szCs w:val="22"/>
        </w:rPr>
        <w:t xml:space="preserve"> </w:t>
      </w:r>
      <w:r w:rsidR="003602AA" w:rsidRPr="5976F19A">
        <w:rPr>
          <w:rFonts w:eastAsia="Arial" w:cs="Arial"/>
          <w:sz w:val="22"/>
          <w:szCs w:val="22"/>
        </w:rPr>
        <w:t>The</w:t>
      </w:r>
      <w:r w:rsidR="000F5F51" w:rsidRPr="5976F19A">
        <w:rPr>
          <w:rFonts w:eastAsia="Arial" w:cs="Arial"/>
          <w:sz w:val="22"/>
          <w:szCs w:val="22"/>
        </w:rPr>
        <w:t xml:space="preserve"> Risk Rating for the programme</w:t>
      </w:r>
      <w:r w:rsidR="0022061C" w:rsidRPr="5976F19A">
        <w:rPr>
          <w:rFonts w:eastAsia="Arial" w:cs="Arial"/>
          <w:sz w:val="22"/>
          <w:szCs w:val="22"/>
        </w:rPr>
        <w:t xml:space="preserve"> </w:t>
      </w:r>
      <w:r w:rsidR="000F5F51" w:rsidRPr="5976F19A">
        <w:rPr>
          <w:rFonts w:eastAsia="Arial" w:cs="Arial"/>
          <w:sz w:val="22"/>
          <w:szCs w:val="22"/>
        </w:rPr>
        <w:t>is assessed at ‘</w:t>
      </w:r>
      <w:r w:rsidR="002F2639" w:rsidRPr="5976F19A">
        <w:rPr>
          <w:rFonts w:eastAsia="Arial" w:cs="Arial"/>
          <w:sz w:val="22"/>
          <w:szCs w:val="22"/>
        </w:rPr>
        <w:t>Medium’</w:t>
      </w:r>
      <w:r w:rsidR="000F5F51" w:rsidRPr="5976F19A">
        <w:rPr>
          <w:rFonts w:eastAsia="Arial" w:cs="Arial"/>
          <w:sz w:val="22"/>
          <w:szCs w:val="22"/>
        </w:rPr>
        <w:t xml:space="preserve"> for 202</w:t>
      </w:r>
      <w:r w:rsidR="00501A7A">
        <w:rPr>
          <w:rFonts w:eastAsia="Arial" w:cs="Arial"/>
          <w:sz w:val="22"/>
          <w:szCs w:val="22"/>
        </w:rPr>
        <w:t>4</w:t>
      </w:r>
      <w:r w:rsidR="000F5F51" w:rsidRPr="5976F19A">
        <w:rPr>
          <w:rFonts w:eastAsia="Arial" w:cs="Arial"/>
          <w:sz w:val="22"/>
          <w:szCs w:val="22"/>
        </w:rPr>
        <w:t xml:space="preserve">, as </w:t>
      </w:r>
      <w:r w:rsidR="00396991" w:rsidRPr="5976F19A">
        <w:rPr>
          <w:rFonts w:eastAsia="Arial" w:cs="Arial"/>
          <w:sz w:val="22"/>
          <w:szCs w:val="22"/>
        </w:rPr>
        <w:t xml:space="preserve">the programme is </w:t>
      </w:r>
      <w:r w:rsidR="00D70883" w:rsidRPr="5976F19A">
        <w:rPr>
          <w:rFonts w:eastAsia="Arial" w:cs="Arial"/>
          <w:sz w:val="22"/>
          <w:szCs w:val="22"/>
        </w:rPr>
        <w:t>continuing</w:t>
      </w:r>
      <w:r w:rsidR="00396991" w:rsidRPr="5976F19A">
        <w:rPr>
          <w:rFonts w:eastAsia="Arial" w:cs="Arial"/>
          <w:sz w:val="22"/>
          <w:szCs w:val="22"/>
        </w:rPr>
        <w:t xml:space="preserve"> to show </w:t>
      </w:r>
      <w:r w:rsidR="003602AA" w:rsidRPr="5976F19A">
        <w:rPr>
          <w:rFonts w:eastAsia="Arial" w:cs="Arial"/>
          <w:sz w:val="22"/>
          <w:szCs w:val="22"/>
        </w:rPr>
        <w:t xml:space="preserve">consistent </w:t>
      </w:r>
      <w:r w:rsidR="00396991" w:rsidRPr="5976F19A">
        <w:rPr>
          <w:rFonts w:eastAsia="Arial" w:cs="Arial"/>
          <w:sz w:val="22"/>
          <w:szCs w:val="22"/>
        </w:rPr>
        <w:t>results for climate and nature impacts</w:t>
      </w:r>
      <w:r w:rsidR="000F5F51" w:rsidRPr="5976F19A">
        <w:rPr>
          <w:rFonts w:eastAsia="Arial" w:cs="Arial"/>
          <w:sz w:val="22"/>
          <w:szCs w:val="22"/>
        </w:rPr>
        <w:t xml:space="preserve">, </w:t>
      </w:r>
      <w:r w:rsidR="00396991" w:rsidRPr="5976F19A">
        <w:rPr>
          <w:rFonts w:eastAsia="Arial" w:cs="Arial"/>
          <w:sz w:val="22"/>
          <w:szCs w:val="22"/>
        </w:rPr>
        <w:t xml:space="preserve">following the </w:t>
      </w:r>
      <w:r w:rsidR="000F5F51" w:rsidRPr="5976F19A">
        <w:rPr>
          <w:rFonts w:eastAsia="Arial" w:cs="Arial"/>
          <w:sz w:val="22"/>
          <w:szCs w:val="22"/>
        </w:rPr>
        <w:t xml:space="preserve">successful raising </w:t>
      </w:r>
      <w:r w:rsidR="00396991" w:rsidRPr="5976F19A">
        <w:rPr>
          <w:rFonts w:eastAsia="Arial" w:cs="Arial"/>
          <w:sz w:val="22"/>
          <w:szCs w:val="22"/>
        </w:rPr>
        <w:t xml:space="preserve">and investment </w:t>
      </w:r>
      <w:r w:rsidR="000F5F51" w:rsidRPr="5976F19A">
        <w:rPr>
          <w:rFonts w:eastAsia="Arial" w:cs="Arial"/>
          <w:sz w:val="22"/>
          <w:szCs w:val="22"/>
        </w:rPr>
        <w:t>of private and public capital</w:t>
      </w:r>
      <w:r w:rsidR="00BD6DEE" w:rsidRPr="5976F19A">
        <w:rPr>
          <w:rFonts w:eastAsia="Arial" w:cs="Arial"/>
          <w:sz w:val="22"/>
          <w:szCs w:val="22"/>
        </w:rPr>
        <w:t xml:space="preserve"> for the portfolio overall.</w:t>
      </w:r>
      <w:r w:rsidR="001E20E2" w:rsidRPr="5976F19A">
        <w:rPr>
          <w:rFonts w:eastAsia="Arial" w:cs="Arial"/>
          <w:sz w:val="22"/>
          <w:szCs w:val="22"/>
        </w:rPr>
        <w:t xml:space="preserve"> However, the Fund is still</w:t>
      </w:r>
      <w:r w:rsidR="00A1274D" w:rsidRPr="5976F19A">
        <w:rPr>
          <w:rFonts w:eastAsia="Arial" w:cs="Arial"/>
          <w:sz w:val="22"/>
          <w:szCs w:val="22"/>
        </w:rPr>
        <w:t xml:space="preserve"> </w:t>
      </w:r>
      <w:r w:rsidR="00813407" w:rsidRPr="5976F19A">
        <w:rPr>
          <w:rFonts w:eastAsia="Arial" w:cs="Arial"/>
          <w:sz w:val="22"/>
          <w:szCs w:val="22"/>
        </w:rPr>
        <w:t xml:space="preserve">early in its impact </w:t>
      </w:r>
      <w:proofErr w:type="gramStart"/>
      <w:r w:rsidR="00813407" w:rsidRPr="5976F19A">
        <w:rPr>
          <w:rFonts w:eastAsia="Arial" w:cs="Arial"/>
          <w:sz w:val="22"/>
          <w:szCs w:val="22"/>
        </w:rPr>
        <w:t xml:space="preserve">journey, </w:t>
      </w:r>
      <w:r w:rsidR="00DB432D" w:rsidRPr="5976F19A">
        <w:rPr>
          <w:rFonts w:eastAsia="Arial" w:cs="Arial"/>
          <w:sz w:val="22"/>
          <w:szCs w:val="22"/>
        </w:rPr>
        <w:t>and</w:t>
      </w:r>
      <w:proofErr w:type="gramEnd"/>
      <w:r w:rsidR="00DB432D" w:rsidRPr="5976F19A">
        <w:rPr>
          <w:rFonts w:eastAsia="Arial" w:cs="Arial"/>
          <w:sz w:val="22"/>
          <w:szCs w:val="22"/>
        </w:rPr>
        <w:t xml:space="preserve"> needs to</w:t>
      </w:r>
      <w:r w:rsidR="002F2639" w:rsidRPr="5976F19A">
        <w:rPr>
          <w:rFonts w:eastAsia="Arial" w:cs="Arial"/>
          <w:sz w:val="22"/>
          <w:szCs w:val="22"/>
        </w:rPr>
        <w:t xml:space="preserve"> demonstra</w:t>
      </w:r>
      <w:r w:rsidR="00EF4D7E" w:rsidRPr="5976F19A">
        <w:rPr>
          <w:rFonts w:eastAsia="Arial" w:cs="Arial"/>
          <w:sz w:val="22"/>
          <w:szCs w:val="22"/>
        </w:rPr>
        <w:t>t</w:t>
      </w:r>
      <w:r w:rsidR="00DB432D" w:rsidRPr="5976F19A">
        <w:rPr>
          <w:rFonts w:eastAsia="Arial" w:cs="Arial"/>
          <w:sz w:val="22"/>
          <w:szCs w:val="22"/>
        </w:rPr>
        <w:t>e the</w:t>
      </w:r>
      <w:r w:rsidR="00EF4D7E" w:rsidRPr="5976F19A">
        <w:rPr>
          <w:rFonts w:eastAsia="Arial" w:cs="Arial"/>
          <w:sz w:val="22"/>
          <w:szCs w:val="22"/>
        </w:rPr>
        <w:t xml:space="preserve"> profitability of the model for private investors,</w:t>
      </w:r>
      <w:r w:rsidR="005F630E" w:rsidRPr="5976F19A">
        <w:rPr>
          <w:rFonts w:eastAsia="Arial" w:cs="Arial"/>
          <w:sz w:val="22"/>
          <w:szCs w:val="22"/>
        </w:rPr>
        <w:t xml:space="preserve"> and </w:t>
      </w:r>
      <w:r w:rsidR="000B6A64">
        <w:rPr>
          <w:rFonts w:eastAsia="Arial" w:cs="Arial"/>
          <w:sz w:val="22"/>
          <w:szCs w:val="22"/>
        </w:rPr>
        <w:t xml:space="preserve">there are </w:t>
      </w:r>
      <w:r w:rsidR="00DB432D" w:rsidRPr="5976F19A">
        <w:rPr>
          <w:rFonts w:eastAsia="Arial" w:cs="Arial"/>
          <w:sz w:val="22"/>
          <w:szCs w:val="22"/>
        </w:rPr>
        <w:t xml:space="preserve">ongoing </w:t>
      </w:r>
      <w:r w:rsidR="00BD6DEE" w:rsidRPr="5976F19A">
        <w:rPr>
          <w:rFonts w:eastAsia="Arial" w:cs="Arial"/>
          <w:sz w:val="22"/>
          <w:szCs w:val="22"/>
        </w:rPr>
        <w:t>risks</w:t>
      </w:r>
      <w:r w:rsidR="005F630E" w:rsidRPr="5976F19A">
        <w:rPr>
          <w:rFonts w:eastAsia="Arial" w:cs="Arial"/>
          <w:sz w:val="22"/>
          <w:szCs w:val="22"/>
        </w:rPr>
        <w:t xml:space="preserve"> </w:t>
      </w:r>
      <w:r w:rsidR="001E20E2" w:rsidRPr="5976F19A">
        <w:rPr>
          <w:rFonts w:eastAsia="Arial" w:cs="Arial"/>
          <w:sz w:val="22"/>
          <w:szCs w:val="22"/>
        </w:rPr>
        <w:t>to</w:t>
      </w:r>
      <w:r w:rsidR="005F630E" w:rsidRPr="5976F19A">
        <w:rPr>
          <w:rFonts w:eastAsia="Arial" w:cs="Arial"/>
          <w:sz w:val="22"/>
          <w:szCs w:val="22"/>
        </w:rPr>
        <w:t xml:space="preserve"> the success of individual projects</w:t>
      </w:r>
      <w:r w:rsidR="00813407" w:rsidRPr="5976F19A">
        <w:rPr>
          <w:rFonts w:eastAsia="Arial" w:cs="Arial"/>
          <w:sz w:val="22"/>
          <w:szCs w:val="22"/>
        </w:rPr>
        <w:t xml:space="preserve">. </w:t>
      </w:r>
      <w:r w:rsidR="003E5990">
        <w:rPr>
          <w:rFonts w:eastAsia="Arial" w:cs="Arial"/>
          <w:sz w:val="22"/>
          <w:szCs w:val="22"/>
        </w:rPr>
        <w:t>T</w:t>
      </w:r>
      <w:r w:rsidR="00B84CD3">
        <w:rPr>
          <w:rFonts w:eastAsia="Arial" w:cs="Arial"/>
          <w:sz w:val="22"/>
          <w:szCs w:val="22"/>
        </w:rPr>
        <w:t xml:space="preserve">his kind of Fund is still wholly dependent on a </w:t>
      </w:r>
      <w:r w:rsidR="001913B4">
        <w:rPr>
          <w:rFonts w:eastAsia="Arial" w:cs="Arial"/>
          <w:sz w:val="22"/>
          <w:szCs w:val="22"/>
        </w:rPr>
        <w:t xml:space="preserve">percentage of </w:t>
      </w:r>
      <w:r w:rsidR="00B84CD3">
        <w:rPr>
          <w:rFonts w:eastAsia="Arial" w:cs="Arial"/>
          <w:sz w:val="22"/>
          <w:szCs w:val="22"/>
        </w:rPr>
        <w:t>concessional public</w:t>
      </w:r>
      <w:r w:rsidR="001913B4">
        <w:rPr>
          <w:rFonts w:eastAsia="Arial" w:cs="Arial"/>
          <w:sz w:val="22"/>
          <w:szCs w:val="22"/>
        </w:rPr>
        <w:t xml:space="preserve"> funding to </w:t>
      </w:r>
      <w:r w:rsidR="003E5990">
        <w:rPr>
          <w:rFonts w:eastAsia="Arial" w:cs="Arial"/>
          <w:sz w:val="22"/>
          <w:szCs w:val="22"/>
        </w:rPr>
        <w:t>meet</w:t>
      </w:r>
      <w:r w:rsidR="001913B4">
        <w:rPr>
          <w:rFonts w:eastAsia="Arial" w:cs="Arial"/>
          <w:sz w:val="22"/>
          <w:szCs w:val="22"/>
        </w:rPr>
        <w:t xml:space="preserve"> risk appetites </w:t>
      </w:r>
      <w:r w:rsidR="003E5990">
        <w:rPr>
          <w:rFonts w:eastAsia="Arial" w:cs="Arial"/>
          <w:sz w:val="22"/>
          <w:szCs w:val="22"/>
        </w:rPr>
        <w:t>of</w:t>
      </w:r>
      <w:r w:rsidR="001913B4">
        <w:rPr>
          <w:rFonts w:eastAsia="Arial" w:cs="Arial"/>
          <w:sz w:val="22"/>
          <w:szCs w:val="22"/>
        </w:rPr>
        <w:t xml:space="preserve"> private investors.</w:t>
      </w:r>
      <w:r w:rsidR="00B84CD3">
        <w:rPr>
          <w:rFonts w:eastAsia="Arial" w:cs="Arial"/>
          <w:sz w:val="22"/>
          <w:szCs w:val="22"/>
        </w:rPr>
        <w:t xml:space="preserve"> </w:t>
      </w:r>
      <w:r w:rsidR="008A5CDA" w:rsidRPr="5976F19A">
        <w:rPr>
          <w:rFonts w:eastAsia="Arial" w:cs="Arial"/>
          <w:sz w:val="22"/>
          <w:szCs w:val="22"/>
        </w:rPr>
        <w:t>Th</w:t>
      </w:r>
      <w:r w:rsidR="00FB372F">
        <w:rPr>
          <w:rFonts w:eastAsia="Arial" w:cs="Arial"/>
          <w:sz w:val="22"/>
          <w:szCs w:val="22"/>
        </w:rPr>
        <w:t>e ‘Medium’</w:t>
      </w:r>
      <w:r w:rsidR="008A5CDA" w:rsidRPr="5976F19A">
        <w:rPr>
          <w:rFonts w:eastAsia="Arial" w:cs="Arial"/>
          <w:sz w:val="22"/>
          <w:szCs w:val="22"/>
        </w:rPr>
        <w:t xml:space="preserve"> rating is influenced by </w:t>
      </w:r>
      <w:r w:rsidR="00A1274D" w:rsidRPr="5976F19A">
        <w:rPr>
          <w:rFonts w:eastAsia="Arial" w:cs="Arial"/>
          <w:sz w:val="22"/>
          <w:szCs w:val="22"/>
        </w:rPr>
        <w:t xml:space="preserve">the high confidence we have in Mirova, to whom </w:t>
      </w:r>
      <w:r w:rsidR="001F3EEB" w:rsidRPr="5976F19A">
        <w:rPr>
          <w:rFonts w:eastAsia="Arial" w:cs="Arial"/>
          <w:sz w:val="22"/>
          <w:szCs w:val="22"/>
        </w:rPr>
        <w:t xml:space="preserve">fund (and </w:t>
      </w:r>
      <w:r w:rsidR="00A1274D" w:rsidRPr="5976F19A">
        <w:rPr>
          <w:rFonts w:eastAsia="Arial" w:cs="Arial"/>
          <w:sz w:val="22"/>
          <w:szCs w:val="22"/>
        </w:rPr>
        <w:t>risk</w:t>
      </w:r>
      <w:r w:rsidR="001F3EEB" w:rsidRPr="5976F19A">
        <w:rPr>
          <w:rFonts w:eastAsia="Arial" w:cs="Arial"/>
          <w:sz w:val="22"/>
          <w:szCs w:val="22"/>
        </w:rPr>
        <w:t>)</w:t>
      </w:r>
      <w:r w:rsidR="00A1274D" w:rsidRPr="5976F19A">
        <w:rPr>
          <w:rFonts w:eastAsia="Arial" w:cs="Arial"/>
          <w:sz w:val="22"/>
          <w:szCs w:val="22"/>
        </w:rPr>
        <w:t xml:space="preserve"> management is outsourced</w:t>
      </w:r>
      <w:r w:rsidR="008478F2" w:rsidRPr="5976F19A">
        <w:rPr>
          <w:rFonts w:eastAsia="Arial" w:cs="Arial"/>
          <w:sz w:val="22"/>
          <w:szCs w:val="22"/>
        </w:rPr>
        <w:t xml:space="preserve">, and who are themselves an </w:t>
      </w:r>
      <w:r w:rsidR="006E5B44" w:rsidRPr="5976F19A">
        <w:rPr>
          <w:rFonts w:eastAsia="Arial" w:cs="Arial"/>
          <w:sz w:val="22"/>
          <w:szCs w:val="22"/>
        </w:rPr>
        <w:t>independently</w:t>
      </w:r>
      <w:r w:rsidR="008478F2" w:rsidRPr="5976F19A">
        <w:rPr>
          <w:rFonts w:eastAsia="Arial" w:cs="Arial"/>
          <w:sz w:val="22"/>
          <w:szCs w:val="22"/>
        </w:rPr>
        <w:t xml:space="preserve"> certified B-Corp</w:t>
      </w:r>
      <w:r w:rsidR="00A1274D" w:rsidRPr="5976F19A">
        <w:rPr>
          <w:rFonts w:eastAsia="Arial" w:cs="Arial"/>
          <w:sz w:val="22"/>
          <w:szCs w:val="22"/>
        </w:rPr>
        <w:t>.</w:t>
      </w:r>
    </w:p>
    <w:p w14:paraId="7E424220" w14:textId="77777777" w:rsidR="00404FD8" w:rsidRPr="00742C51" w:rsidRDefault="00404FD8" w:rsidP="006110D9">
      <w:pPr>
        <w:tabs>
          <w:tab w:val="left" w:pos="720"/>
        </w:tabs>
        <w:jc w:val="both"/>
        <w:rPr>
          <w:rFonts w:eastAsia="Arial" w:cs="Arial"/>
          <w:sz w:val="22"/>
          <w:szCs w:val="22"/>
        </w:rPr>
      </w:pPr>
    </w:p>
    <w:p w14:paraId="6B869076" w14:textId="77777777" w:rsidR="000F5F51" w:rsidRPr="002055D4" w:rsidRDefault="000F5F51" w:rsidP="006110D9">
      <w:pPr>
        <w:jc w:val="both"/>
        <w:rPr>
          <w:rFonts w:cs="Arial"/>
          <w:color w:val="FF0000"/>
          <w:sz w:val="20"/>
          <w:szCs w:val="20"/>
        </w:rPr>
      </w:pPr>
    </w:p>
    <w:p w14:paraId="2460EB97" w14:textId="77777777" w:rsidR="000F5F51" w:rsidRPr="002055D4" w:rsidRDefault="000F5F51" w:rsidP="006110D9">
      <w:pPr>
        <w:pBdr>
          <w:top w:val="single" w:sz="4" w:space="1" w:color="auto"/>
          <w:left w:val="single" w:sz="4" w:space="4" w:color="auto"/>
          <w:bottom w:val="single" w:sz="4" w:space="1" w:color="auto"/>
          <w:right w:val="single" w:sz="4" w:space="4" w:color="auto"/>
        </w:pBdr>
        <w:shd w:val="clear" w:color="auto" w:fill="D9E2F3" w:themeFill="accent1" w:themeFillTint="33"/>
        <w:jc w:val="both"/>
        <w:rPr>
          <w:rFonts w:cs="Arial"/>
          <w:sz w:val="20"/>
          <w:szCs w:val="20"/>
        </w:rPr>
      </w:pPr>
      <w:r>
        <w:rPr>
          <w:rFonts w:cs="Arial"/>
          <w:b/>
          <w:bCs/>
          <w:sz w:val="28"/>
          <w:szCs w:val="28"/>
        </w:rPr>
        <w:t>E</w:t>
      </w:r>
      <w:r w:rsidRPr="00742C51">
        <w:rPr>
          <w:b/>
          <w:bCs/>
          <w:sz w:val="28"/>
          <w:szCs w:val="28"/>
        </w:rPr>
        <w:t>: PROGRAMME MANAGEMENT: DELIVERY, COMMERCIAL &amp; FINANCIAL PERFORMANCE</w:t>
      </w:r>
    </w:p>
    <w:p w14:paraId="7D57E15F" w14:textId="77777777" w:rsidR="00AE70E5" w:rsidRDefault="00AE70E5" w:rsidP="006110D9">
      <w:pPr>
        <w:pStyle w:val="Normal1"/>
        <w:spacing w:after="120"/>
        <w:jc w:val="both"/>
        <w:rPr>
          <w:rFonts w:eastAsia="Calibri"/>
          <w:b/>
          <w:bCs/>
          <w:sz w:val="22"/>
          <w:szCs w:val="22"/>
          <w:u w:val="single"/>
        </w:rPr>
      </w:pPr>
      <w:bookmarkStart w:id="0" w:name="_Hlk117002439"/>
    </w:p>
    <w:p w14:paraId="6A1B0932" w14:textId="50A05CEE" w:rsidR="001157B0" w:rsidRDefault="000B791E" w:rsidP="006110D9">
      <w:pPr>
        <w:pStyle w:val="Normal1"/>
        <w:spacing w:after="120"/>
        <w:jc w:val="both"/>
        <w:rPr>
          <w:rFonts w:eastAsia="Calibri"/>
          <w:sz w:val="22"/>
          <w:szCs w:val="22"/>
        </w:rPr>
      </w:pPr>
      <w:r>
        <w:rPr>
          <w:rFonts w:eastAsia="Calibri"/>
          <w:b/>
          <w:bCs/>
          <w:sz w:val="22"/>
          <w:szCs w:val="22"/>
          <w:u w:val="single"/>
        </w:rPr>
        <w:t>Summary of performance</w:t>
      </w:r>
    </w:p>
    <w:p w14:paraId="7681FC5E" w14:textId="0EC6700D" w:rsidR="00A91E3B" w:rsidRDefault="00A91E3B" w:rsidP="00A91E3B">
      <w:pPr>
        <w:spacing w:line="257" w:lineRule="auto"/>
        <w:jc w:val="both"/>
        <w:rPr>
          <w:rFonts w:eastAsia="Arial" w:cs="Arial"/>
          <w:sz w:val="22"/>
          <w:szCs w:val="22"/>
        </w:rPr>
      </w:pPr>
      <w:r>
        <w:rPr>
          <w:rFonts w:eastAsia="Arial" w:cs="Arial"/>
          <w:sz w:val="22"/>
          <w:szCs w:val="22"/>
        </w:rPr>
        <w:t xml:space="preserve">The Fund Manager (Mirova) performed well in 2024, </w:t>
      </w:r>
      <w:r w:rsidR="00635A61">
        <w:rPr>
          <w:rFonts w:eastAsia="Arial" w:cs="Arial"/>
          <w:sz w:val="22"/>
          <w:szCs w:val="22"/>
        </w:rPr>
        <w:t xml:space="preserve">managing </w:t>
      </w:r>
      <w:r w:rsidR="00950C30">
        <w:rPr>
          <w:rFonts w:eastAsia="Arial" w:cs="Arial"/>
          <w:sz w:val="22"/>
          <w:szCs w:val="22"/>
        </w:rPr>
        <w:t xml:space="preserve">challenging </w:t>
      </w:r>
      <w:r w:rsidR="004663B2">
        <w:rPr>
          <w:rFonts w:eastAsia="Arial" w:cs="Arial"/>
          <w:sz w:val="22"/>
          <w:szCs w:val="22"/>
        </w:rPr>
        <w:t>situations with</w:t>
      </w:r>
      <w:r w:rsidR="004A2A23">
        <w:rPr>
          <w:rFonts w:eastAsia="Arial" w:cs="Arial"/>
          <w:sz w:val="22"/>
          <w:szCs w:val="22"/>
        </w:rPr>
        <w:t xml:space="preserve"> some</w:t>
      </w:r>
      <w:r w:rsidR="004663B2">
        <w:rPr>
          <w:rFonts w:eastAsia="Arial" w:cs="Arial"/>
          <w:sz w:val="22"/>
          <w:szCs w:val="22"/>
        </w:rPr>
        <w:t xml:space="preserve"> individual projects to relatively good </w:t>
      </w:r>
      <w:r w:rsidR="007E6E4C">
        <w:rPr>
          <w:rFonts w:eastAsia="Arial" w:cs="Arial"/>
          <w:sz w:val="22"/>
          <w:szCs w:val="22"/>
        </w:rPr>
        <w:t>outcomes</w:t>
      </w:r>
      <w:r w:rsidR="004A2A23">
        <w:rPr>
          <w:rFonts w:eastAsia="Arial" w:cs="Arial"/>
          <w:sz w:val="22"/>
          <w:szCs w:val="22"/>
        </w:rPr>
        <w:t xml:space="preserve">, while also </w:t>
      </w:r>
      <w:r w:rsidR="00A81CFD">
        <w:rPr>
          <w:rFonts w:eastAsia="Arial" w:cs="Arial"/>
          <w:sz w:val="22"/>
          <w:szCs w:val="22"/>
        </w:rPr>
        <w:t>doing groundwork on successor fund SLF2</w:t>
      </w:r>
      <w:r>
        <w:rPr>
          <w:rFonts w:eastAsia="Arial" w:cs="Arial"/>
          <w:sz w:val="22"/>
          <w:szCs w:val="22"/>
        </w:rPr>
        <w:t xml:space="preserve">. </w:t>
      </w:r>
      <w:r w:rsidR="002C68D4">
        <w:rPr>
          <w:rFonts w:eastAsia="Arial" w:cs="Arial"/>
          <w:sz w:val="22"/>
          <w:szCs w:val="22"/>
        </w:rPr>
        <w:t>Mirova’s</w:t>
      </w:r>
      <w:r>
        <w:rPr>
          <w:rFonts w:eastAsia="Arial" w:cs="Arial"/>
          <w:sz w:val="22"/>
          <w:szCs w:val="22"/>
        </w:rPr>
        <w:t xml:space="preserve"> close collaboration with the programme team allowed us to make a strong case for further investment, with an additional £</w:t>
      </w:r>
      <w:r w:rsidR="002C68D4">
        <w:rPr>
          <w:rFonts w:eastAsia="Arial" w:cs="Arial"/>
          <w:sz w:val="22"/>
          <w:szCs w:val="22"/>
        </w:rPr>
        <w:t>10</w:t>
      </w:r>
      <w:r>
        <w:rPr>
          <w:rFonts w:eastAsia="Arial" w:cs="Arial"/>
          <w:sz w:val="22"/>
          <w:szCs w:val="22"/>
        </w:rPr>
        <w:t xml:space="preserve">m allocated (plus a contribution to TA) in the financial year 25/26. This will unlock up to four times that amount in senior </w:t>
      </w:r>
      <w:proofErr w:type="gramStart"/>
      <w:r>
        <w:rPr>
          <w:rFonts w:eastAsia="Arial" w:cs="Arial"/>
          <w:sz w:val="22"/>
          <w:szCs w:val="22"/>
        </w:rPr>
        <w:t>capital, and</w:t>
      </w:r>
      <w:proofErr w:type="gramEnd"/>
      <w:r>
        <w:rPr>
          <w:rFonts w:eastAsia="Arial" w:cs="Arial"/>
          <w:sz w:val="22"/>
          <w:szCs w:val="22"/>
        </w:rPr>
        <w:t xml:space="preserve"> extend the significant impact the programme is having more widely and for a longer </w:t>
      </w:r>
      <w:proofErr w:type="gramStart"/>
      <w:r>
        <w:rPr>
          <w:rFonts w:eastAsia="Arial" w:cs="Arial"/>
          <w:sz w:val="22"/>
          <w:szCs w:val="22"/>
        </w:rPr>
        <w:t>period of time</w:t>
      </w:r>
      <w:proofErr w:type="gramEnd"/>
      <w:r>
        <w:rPr>
          <w:rFonts w:eastAsia="Arial" w:cs="Arial"/>
          <w:sz w:val="22"/>
          <w:szCs w:val="22"/>
        </w:rPr>
        <w:t>.</w:t>
      </w:r>
    </w:p>
    <w:p w14:paraId="73BBA93E" w14:textId="77777777" w:rsidR="00A91E3B" w:rsidRDefault="00A91E3B" w:rsidP="00A91E3B">
      <w:pPr>
        <w:spacing w:line="257" w:lineRule="auto"/>
        <w:jc w:val="both"/>
        <w:rPr>
          <w:rFonts w:eastAsia="Arial" w:cs="Arial"/>
          <w:sz w:val="22"/>
          <w:szCs w:val="22"/>
        </w:rPr>
      </w:pPr>
    </w:p>
    <w:p w14:paraId="01589C8C" w14:textId="67EB6771" w:rsidR="00A91E3B" w:rsidRDefault="00A91E3B" w:rsidP="00A91E3B">
      <w:pPr>
        <w:spacing w:line="257" w:lineRule="auto"/>
        <w:jc w:val="both"/>
        <w:rPr>
          <w:rFonts w:eastAsia="Arial" w:cs="Arial"/>
          <w:sz w:val="22"/>
          <w:szCs w:val="22"/>
        </w:rPr>
      </w:pPr>
      <w:r>
        <w:rPr>
          <w:rFonts w:eastAsia="Arial" w:cs="Arial"/>
          <w:sz w:val="22"/>
          <w:szCs w:val="22"/>
        </w:rPr>
        <w:t xml:space="preserve">Defra’s field visit to </w:t>
      </w:r>
      <w:proofErr w:type="spellStart"/>
      <w:r w:rsidR="006E7464">
        <w:rPr>
          <w:rFonts w:eastAsia="Arial" w:cs="Arial"/>
          <w:sz w:val="22"/>
          <w:szCs w:val="22"/>
        </w:rPr>
        <w:t>Quillabamba</w:t>
      </w:r>
      <w:proofErr w:type="spellEnd"/>
      <w:r>
        <w:rPr>
          <w:rFonts w:eastAsia="Arial" w:cs="Arial"/>
          <w:sz w:val="22"/>
          <w:szCs w:val="22"/>
        </w:rPr>
        <w:t xml:space="preserve"> in Peru in June 2025 found </w:t>
      </w:r>
      <w:proofErr w:type="spellStart"/>
      <w:r w:rsidR="00B754F2">
        <w:rPr>
          <w:rFonts w:eastAsia="Arial" w:cs="Arial"/>
          <w:sz w:val="22"/>
          <w:szCs w:val="22"/>
        </w:rPr>
        <w:t>Urapi’s</w:t>
      </w:r>
      <w:proofErr w:type="spellEnd"/>
      <w:r>
        <w:rPr>
          <w:rFonts w:eastAsia="Arial" w:cs="Arial"/>
          <w:sz w:val="22"/>
          <w:szCs w:val="22"/>
        </w:rPr>
        <w:t xml:space="preserve"> new </w:t>
      </w:r>
      <w:r w:rsidR="006E7464">
        <w:rPr>
          <w:rFonts w:eastAsia="Arial" w:cs="Arial"/>
          <w:sz w:val="22"/>
          <w:szCs w:val="22"/>
        </w:rPr>
        <w:t>project</w:t>
      </w:r>
      <w:r>
        <w:rPr>
          <w:rFonts w:eastAsia="Arial" w:cs="Arial"/>
          <w:sz w:val="22"/>
          <w:szCs w:val="22"/>
        </w:rPr>
        <w:t xml:space="preserve"> </w:t>
      </w:r>
      <w:r w:rsidR="00B754F2">
        <w:rPr>
          <w:rFonts w:eastAsia="Arial" w:cs="Arial"/>
          <w:sz w:val="22"/>
          <w:szCs w:val="22"/>
        </w:rPr>
        <w:t xml:space="preserve">there </w:t>
      </w:r>
      <w:r>
        <w:rPr>
          <w:rFonts w:eastAsia="Arial" w:cs="Arial"/>
          <w:sz w:val="22"/>
          <w:szCs w:val="22"/>
        </w:rPr>
        <w:t>to be strongly aligned with Defra’s principles on climate, nature, gender equity and poverty</w:t>
      </w:r>
      <w:r w:rsidR="007D03A8">
        <w:rPr>
          <w:rFonts w:eastAsia="Arial" w:cs="Arial"/>
          <w:sz w:val="22"/>
          <w:szCs w:val="22"/>
        </w:rPr>
        <w:t xml:space="preserve"> (as set out above)</w:t>
      </w:r>
      <w:r>
        <w:rPr>
          <w:rFonts w:eastAsia="Arial" w:cs="Arial"/>
          <w:sz w:val="22"/>
          <w:szCs w:val="22"/>
        </w:rPr>
        <w:t xml:space="preserve">. This increased confidence that </w:t>
      </w:r>
      <w:r w:rsidR="00B754F2">
        <w:rPr>
          <w:rFonts w:eastAsia="Arial" w:cs="Arial"/>
          <w:sz w:val="22"/>
          <w:szCs w:val="22"/>
        </w:rPr>
        <w:t>Mirova</w:t>
      </w:r>
      <w:r>
        <w:rPr>
          <w:rFonts w:eastAsia="Arial" w:cs="Arial"/>
          <w:sz w:val="22"/>
          <w:szCs w:val="22"/>
        </w:rPr>
        <w:t xml:space="preserve"> is making good decisions about the </w:t>
      </w:r>
      <w:r w:rsidR="00B754F2">
        <w:rPr>
          <w:rFonts w:eastAsia="Arial" w:cs="Arial"/>
          <w:sz w:val="22"/>
          <w:szCs w:val="22"/>
        </w:rPr>
        <w:t>projects</w:t>
      </w:r>
      <w:r>
        <w:rPr>
          <w:rFonts w:eastAsia="Arial" w:cs="Arial"/>
          <w:sz w:val="22"/>
          <w:szCs w:val="22"/>
        </w:rPr>
        <w:t xml:space="preserve"> they lend to</w:t>
      </w:r>
      <w:r w:rsidR="00B754F2">
        <w:rPr>
          <w:rFonts w:eastAsia="Arial" w:cs="Arial"/>
          <w:sz w:val="22"/>
          <w:szCs w:val="22"/>
        </w:rPr>
        <w:t xml:space="preserve"> (including further investments in existing projects like this one)</w:t>
      </w:r>
      <w:r>
        <w:rPr>
          <w:rFonts w:eastAsia="Arial" w:cs="Arial"/>
          <w:sz w:val="22"/>
          <w:szCs w:val="22"/>
        </w:rPr>
        <w:t xml:space="preserve">, and that those </w:t>
      </w:r>
      <w:r w:rsidR="00B754F2">
        <w:rPr>
          <w:rFonts w:eastAsia="Arial" w:cs="Arial"/>
          <w:sz w:val="22"/>
          <w:szCs w:val="22"/>
        </w:rPr>
        <w:t>projects</w:t>
      </w:r>
      <w:r>
        <w:rPr>
          <w:rFonts w:eastAsia="Arial" w:cs="Arial"/>
          <w:sz w:val="22"/>
          <w:szCs w:val="22"/>
        </w:rPr>
        <w:t xml:space="preserve"> in turn are delivering value for money to Defra across a range of environmental and social metrics. The Fund is clearly aligned with the Paris principles, with climate and nature impact its primary goals</w:t>
      </w:r>
      <w:r w:rsidR="00977ECB" w:rsidRPr="00FC4E25">
        <w:rPr>
          <w:rFonts w:eastAsia="Arial" w:cs="Arial"/>
          <w:sz w:val="22"/>
          <w:szCs w:val="22"/>
        </w:rPr>
        <w:t>, and like all climate finance, benefits to the UK result indirectly from reduced migration pressures and climate change impacts, and from improved food and commodity supply chain security</w:t>
      </w:r>
      <w:r w:rsidRPr="00FC4E25">
        <w:rPr>
          <w:rFonts w:eastAsia="Arial" w:cs="Arial"/>
          <w:sz w:val="22"/>
          <w:szCs w:val="22"/>
        </w:rPr>
        <w:t>.</w:t>
      </w:r>
    </w:p>
    <w:p w14:paraId="3F7A656D" w14:textId="77777777" w:rsidR="00A91E3B" w:rsidRDefault="00A91E3B" w:rsidP="00A91E3B">
      <w:pPr>
        <w:spacing w:line="257" w:lineRule="auto"/>
        <w:jc w:val="both"/>
        <w:rPr>
          <w:rFonts w:eastAsia="Arial" w:cs="Arial"/>
          <w:sz w:val="22"/>
          <w:szCs w:val="22"/>
        </w:rPr>
      </w:pPr>
    </w:p>
    <w:p w14:paraId="1B6DAAF3" w14:textId="2E0F2DF5" w:rsidR="000B791E" w:rsidRPr="000B791E" w:rsidRDefault="00A91E3B" w:rsidP="007D03A8">
      <w:pPr>
        <w:pStyle w:val="Normal1"/>
        <w:jc w:val="both"/>
        <w:rPr>
          <w:rFonts w:eastAsia="Calibri"/>
          <w:sz w:val="22"/>
          <w:szCs w:val="22"/>
        </w:rPr>
      </w:pPr>
      <w:r w:rsidRPr="4BD2A488">
        <w:rPr>
          <w:sz w:val="22"/>
          <w:szCs w:val="22"/>
        </w:rPr>
        <w:lastRenderedPageBreak/>
        <w:t>Throughout 202</w:t>
      </w:r>
      <w:r>
        <w:rPr>
          <w:sz w:val="22"/>
          <w:szCs w:val="22"/>
        </w:rPr>
        <w:t>4</w:t>
      </w:r>
      <w:r w:rsidRPr="4BD2A488">
        <w:rPr>
          <w:sz w:val="22"/>
          <w:szCs w:val="22"/>
        </w:rPr>
        <w:t xml:space="preserve">, reporting timeliness and quality of reporting has been consistently good. Quarterly reports are sent to shareholders within three months of the quarter finishing, and the audited annual statement was provided within </w:t>
      </w:r>
      <w:r w:rsidR="002C1183">
        <w:rPr>
          <w:sz w:val="22"/>
          <w:szCs w:val="22"/>
        </w:rPr>
        <w:t>six</w:t>
      </w:r>
      <w:r w:rsidRPr="4BD2A488">
        <w:rPr>
          <w:sz w:val="22"/>
          <w:szCs w:val="22"/>
        </w:rPr>
        <w:t xml:space="preserve"> months of the end of the year. The Fund also produced an annual impact report. Defra is </w:t>
      </w:r>
      <w:r w:rsidR="00995446">
        <w:rPr>
          <w:sz w:val="22"/>
          <w:szCs w:val="22"/>
        </w:rPr>
        <w:t>a member of</w:t>
      </w:r>
      <w:r w:rsidRPr="4BD2A488">
        <w:rPr>
          <w:sz w:val="22"/>
          <w:szCs w:val="22"/>
        </w:rPr>
        <w:t xml:space="preserve"> the </w:t>
      </w:r>
      <w:r w:rsidR="00D26628">
        <w:rPr>
          <w:sz w:val="22"/>
          <w:szCs w:val="22"/>
        </w:rPr>
        <w:t>Advisory</w:t>
      </w:r>
      <w:r w:rsidRPr="4BD2A488">
        <w:rPr>
          <w:sz w:val="22"/>
          <w:szCs w:val="22"/>
        </w:rPr>
        <w:t xml:space="preserve"> Committee</w:t>
      </w:r>
      <w:r w:rsidR="001376BA">
        <w:rPr>
          <w:sz w:val="22"/>
          <w:szCs w:val="22"/>
        </w:rPr>
        <w:t xml:space="preserve">, which meets </w:t>
      </w:r>
      <w:r w:rsidR="00995446">
        <w:rPr>
          <w:sz w:val="22"/>
          <w:szCs w:val="22"/>
        </w:rPr>
        <w:t>twice a year</w:t>
      </w:r>
      <w:r w:rsidRPr="4BD2A488">
        <w:rPr>
          <w:color w:val="auto"/>
          <w:sz w:val="22"/>
          <w:szCs w:val="22"/>
        </w:rPr>
        <w:t>.</w:t>
      </w:r>
      <w:r>
        <w:rPr>
          <w:color w:val="auto"/>
          <w:sz w:val="22"/>
          <w:szCs w:val="22"/>
        </w:rPr>
        <w:t xml:space="preserve"> Positive feedback on Defra’s participation as a partner and investor was received from M</w:t>
      </w:r>
      <w:r w:rsidR="00654308">
        <w:rPr>
          <w:color w:val="auto"/>
          <w:sz w:val="22"/>
          <w:szCs w:val="22"/>
        </w:rPr>
        <w:t>irova</w:t>
      </w:r>
      <w:r>
        <w:rPr>
          <w:color w:val="auto"/>
          <w:sz w:val="22"/>
          <w:szCs w:val="22"/>
        </w:rPr>
        <w:t>, with Defra described as the most engaged investor</w:t>
      </w:r>
      <w:r w:rsidR="00654308">
        <w:rPr>
          <w:color w:val="auto"/>
          <w:sz w:val="22"/>
          <w:szCs w:val="22"/>
        </w:rPr>
        <w:t xml:space="preserve"> in the</w:t>
      </w:r>
      <w:r w:rsidR="00E673CF">
        <w:rPr>
          <w:color w:val="auto"/>
          <w:sz w:val="22"/>
          <w:szCs w:val="22"/>
        </w:rPr>
        <w:t xml:space="preserve"> Fund</w:t>
      </w:r>
      <w:r>
        <w:rPr>
          <w:color w:val="auto"/>
          <w:sz w:val="22"/>
          <w:szCs w:val="22"/>
        </w:rPr>
        <w:t xml:space="preserve"> and a valuable voice</w:t>
      </w:r>
      <w:r w:rsidR="00654308">
        <w:rPr>
          <w:color w:val="auto"/>
          <w:sz w:val="22"/>
          <w:szCs w:val="22"/>
        </w:rPr>
        <w:t xml:space="preserve"> in discussions</w:t>
      </w:r>
      <w:r>
        <w:rPr>
          <w:color w:val="auto"/>
          <w:sz w:val="22"/>
          <w:szCs w:val="22"/>
        </w:rPr>
        <w:t>, as well as demonstrating ongoing commitment to the Fund with new investment.</w:t>
      </w:r>
    </w:p>
    <w:p w14:paraId="73379755" w14:textId="77777777" w:rsidR="001157B0" w:rsidRDefault="001157B0" w:rsidP="006110D9">
      <w:pPr>
        <w:pStyle w:val="Normal1"/>
        <w:spacing w:after="120"/>
        <w:jc w:val="both"/>
        <w:rPr>
          <w:rFonts w:eastAsia="Calibri"/>
          <w:b/>
          <w:bCs/>
          <w:sz w:val="22"/>
          <w:szCs w:val="22"/>
          <w:u w:val="single"/>
        </w:rPr>
      </w:pPr>
    </w:p>
    <w:p w14:paraId="79DB50D5" w14:textId="77777777" w:rsidR="00476976" w:rsidRDefault="00476976" w:rsidP="006110D9">
      <w:pPr>
        <w:jc w:val="both"/>
        <w:rPr>
          <w:rFonts w:cs="Arial"/>
          <w:b/>
          <w:bCs/>
          <w:sz w:val="22"/>
          <w:szCs w:val="22"/>
        </w:rPr>
      </w:pPr>
      <w:r w:rsidRPr="69AE3331">
        <w:rPr>
          <w:rFonts w:cs="Arial"/>
          <w:b/>
          <w:bCs/>
          <w:sz w:val="22"/>
          <w:szCs w:val="22"/>
        </w:rPr>
        <w:t xml:space="preserve">E2. Assess the </w:t>
      </w:r>
      <w:proofErr w:type="spellStart"/>
      <w:r w:rsidRPr="69AE3331">
        <w:rPr>
          <w:rFonts w:cs="Arial"/>
          <w:b/>
          <w:bCs/>
          <w:sz w:val="22"/>
          <w:szCs w:val="22"/>
        </w:rPr>
        <w:t>VfM</w:t>
      </w:r>
      <w:proofErr w:type="spellEnd"/>
      <w:r w:rsidRPr="69AE3331">
        <w:rPr>
          <w:rFonts w:cs="Arial"/>
          <w:b/>
          <w:bCs/>
          <w:sz w:val="22"/>
          <w:szCs w:val="22"/>
        </w:rPr>
        <w:t xml:space="preserve"> of this output compared to the proposition in the Business Case, based on performance over the past year</w:t>
      </w:r>
    </w:p>
    <w:p w14:paraId="4E1520B0" w14:textId="77777777" w:rsidR="00795431" w:rsidRDefault="00795431" w:rsidP="006110D9">
      <w:pPr>
        <w:spacing w:after="160" w:line="259" w:lineRule="auto"/>
        <w:jc w:val="both"/>
        <w:rPr>
          <w:rFonts w:eastAsia="Arial" w:cs="Arial"/>
          <w:color w:val="000000" w:themeColor="text1"/>
          <w:sz w:val="20"/>
          <w:szCs w:val="20"/>
        </w:rPr>
      </w:pPr>
    </w:p>
    <w:p w14:paraId="2563DBAB" w14:textId="4C06D0F0" w:rsidR="00795431" w:rsidRDefault="00795431" w:rsidP="000C243E">
      <w:pPr>
        <w:spacing w:after="160" w:line="259" w:lineRule="auto"/>
        <w:jc w:val="both"/>
        <w:rPr>
          <w:rFonts w:eastAsia="Arial"/>
        </w:rPr>
      </w:pPr>
      <w:r w:rsidRPr="00A657D5">
        <w:rPr>
          <w:rFonts w:eastAsia="Arial" w:cs="Arial"/>
          <w:color w:val="000000" w:themeColor="text1"/>
          <w:sz w:val="22"/>
          <w:szCs w:val="22"/>
        </w:rPr>
        <w:t xml:space="preserve">A </w:t>
      </w:r>
      <w:proofErr w:type="spellStart"/>
      <w:r w:rsidRPr="00A657D5">
        <w:rPr>
          <w:rFonts w:eastAsia="Arial" w:cs="Arial"/>
          <w:color w:val="000000" w:themeColor="text1"/>
          <w:sz w:val="22"/>
          <w:szCs w:val="22"/>
        </w:rPr>
        <w:t>VfM</w:t>
      </w:r>
      <w:proofErr w:type="spellEnd"/>
      <w:r w:rsidRPr="00A657D5">
        <w:rPr>
          <w:rFonts w:eastAsia="Arial" w:cs="Arial"/>
          <w:color w:val="000000" w:themeColor="text1"/>
          <w:sz w:val="22"/>
          <w:szCs w:val="22"/>
        </w:rPr>
        <w:t xml:space="preserve"> assessment identifies whether the costs of the programme are proportional to the benefits achieved in terms of reaching the programme’s desired outcomes and objectives derived from the business case. The assessment uses the FCDO’s recommended structure which consists of the 5Es approach. These are economy, efficiency, effectiveness, equity and cost-effectiveness and are described below.</w:t>
      </w:r>
    </w:p>
    <w:p w14:paraId="58907463" w14:textId="5D831E1F" w:rsidR="00B230D1" w:rsidRDefault="00B230D1" w:rsidP="006110D9">
      <w:pPr>
        <w:jc w:val="both"/>
        <w:rPr>
          <w:sz w:val="22"/>
          <w:szCs w:val="22"/>
        </w:rPr>
      </w:pPr>
      <w:r>
        <w:rPr>
          <w:sz w:val="22"/>
          <w:szCs w:val="22"/>
        </w:rPr>
        <w:t>As a source of finance for adaptation and mitigation in more vulnerable countries, this programme is aligned with the Paris Agreement to pursue efforts to limit warming to 1.5</w:t>
      </w:r>
      <w:r w:rsidRPr="00F749A8">
        <w:rPr>
          <w:sz w:val="22"/>
          <w:szCs w:val="22"/>
          <w:shd w:val="clear" w:color="auto" w:fill="F5F7F6"/>
        </w:rPr>
        <w:t>°C</w:t>
      </w:r>
      <w:r w:rsidRPr="00F749A8">
        <w:rPr>
          <w:sz w:val="22"/>
          <w:szCs w:val="22"/>
        </w:rPr>
        <w:t xml:space="preserve"> </w:t>
      </w:r>
      <w:r>
        <w:rPr>
          <w:sz w:val="22"/>
          <w:szCs w:val="22"/>
        </w:rPr>
        <w:t>by the end of this century.</w:t>
      </w:r>
    </w:p>
    <w:p w14:paraId="4D0F42D1" w14:textId="77777777" w:rsidR="00B230D1" w:rsidRDefault="00B230D1" w:rsidP="006110D9">
      <w:pPr>
        <w:jc w:val="both"/>
        <w:rPr>
          <w:sz w:val="22"/>
          <w:szCs w:val="22"/>
        </w:rPr>
      </w:pPr>
    </w:p>
    <w:p w14:paraId="7C7647A6" w14:textId="384E3641" w:rsidR="00E41A4C" w:rsidRDefault="00E41A4C" w:rsidP="006110D9">
      <w:pPr>
        <w:jc w:val="both"/>
      </w:pPr>
      <w:r w:rsidRPr="428F1934">
        <w:rPr>
          <w:rFonts w:eastAsia="Arial" w:cs="Arial"/>
          <w:b/>
          <w:bCs/>
          <w:color w:val="000000" w:themeColor="text1"/>
          <w:sz w:val="22"/>
          <w:szCs w:val="22"/>
        </w:rPr>
        <w:t>Economy</w:t>
      </w:r>
      <w:r w:rsidR="00C672D8" w:rsidRPr="00C672D8">
        <w:rPr>
          <w:rFonts w:eastAsia="Arial" w:cs="Arial"/>
          <w:color w:val="000000" w:themeColor="text1"/>
          <w:sz w:val="22"/>
          <w:szCs w:val="22"/>
        </w:rPr>
        <w:t xml:space="preserve"> </w:t>
      </w:r>
      <w:r w:rsidR="00C672D8">
        <w:rPr>
          <w:rFonts w:eastAsia="Arial" w:cs="Arial"/>
          <w:color w:val="000000" w:themeColor="text1"/>
          <w:sz w:val="22"/>
          <w:szCs w:val="22"/>
        </w:rPr>
        <w:t xml:space="preserve">- </w:t>
      </w:r>
      <w:r w:rsidR="00C672D8" w:rsidRPr="000C243E">
        <w:rPr>
          <w:rFonts w:eastAsia="Arial" w:cs="Arial"/>
          <w:i/>
          <w:iCs/>
          <w:color w:val="000000" w:themeColor="text1"/>
          <w:sz w:val="22"/>
          <w:szCs w:val="22"/>
        </w:rPr>
        <w:t>Are we (or our agents) buying inputs of the appropriate quality at the right price?</w:t>
      </w:r>
    </w:p>
    <w:p w14:paraId="60A7ACB4" w14:textId="77777777" w:rsidR="00E41A4C" w:rsidRDefault="00E41A4C" w:rsidP="006110D9">
      <w:pPr>
        <w:jc w:val="both"/>
      </w:pPr>
      <w:r w:rsidRPr="428F1934">
        <w:rPr>
          <w:rFonts w:eastAsia="Arial" w:cs="Arial"/>
          <w:b/>
          <w:bCs/>
          <w:sz w:val="22"/>
          <w:szCs w:val="22"/>
        </w:rPr>
        <w:t xml:space="preserve"> </w:t>
      </w:r>
    </w:p>
    <w:p w14:paraId="1B9969E8" w14:textId="77777777" w:rsidR="00E41A4C" w:rsidRDefault="00E41A4C" w:rsidP="006110D9">
      <w:pPr>
        <w:jc w:val="both"/>
      </w:pPr>
      <w:r w:rsidRPr="1B3B62D8">
        <w:rPr>
          <w:rFonts w:eastAsia="Arial" w:cs="Arial"/>
          <w:sz w:val="22"/>
          <w:szCs w:val="22"/>
        </w:rPr>
        <w:t>As defined in the Theory of Change, the inputs into the fund consist of:</w:t>
      </w:r>
    </w:p>
    <w:p w14:paraId="6780AE10" w14:textId="77777777" w:rsidR="00E41A4C" w:rsidRDefault="00E41A4C" w:rsidP="006110D9">
      <w:pPr>
        <w:pStyle w:val="ListParagraph"/>
        <w:numPr>
          <w:ilvl w:val="0"/>
          <w:numId w:val="26"/>
        </w:numPr>
        <w:spacing w:after="0"/>
        <w:jc w:val="both"/>
        <w:rPr>
          <w:rFonts w:eastAsia="Arial" w:cs="Arial"/>
          <w:sz w:val="22"/>
          <w:szCs w:val="22"/>
        </w:rPr>
      </w:pPr>
      <w:r w:rsidRPr="428F1934">
        <w:rPr>
          <w:rFonts w:eastAsia="Arial" w:cs="Arial"/>
          <w:sz w:val="22"/>
          <w:szCs w:val="22"/>
        </w:rPr>
        <w:t>Public finance to catalyse the fund’s operational size by mobilising private investors.</w:t>
      </w:r>
    </w:p>
    <w:p w14:paraId="4EA29246" w14:textId="3D75DE47" w:rsidR="00E41A4C" w:rsidRDefault="00A64A9C" w:rsidP="006110D9">
      <w:pPr>
        <w:pStyle w:val="ListParagraph"/>
        <w:numPr>
          <w:ilvl w:val="0"/>
          <w:numId w:val="26"/>
        </w:numPr>
        <w:spacing w:after="0"/>
        <w:jc w:val="both"/>
        <w:rPr>
          <w:rFonts w:eastAsia="Arial" w:cs="Arial"/>
          <w:sz w:val="22"/>
          <w:szCs w:val="22"/>
        </w:rPr>
      </w:pPr>
      <w:r>
        <w:rPr>
          <w:rFonts w:eastAsia="Arial" w:cs="Arial"/>
          <w:sz w:val="22"/>
          <w:szCs w:val="22"/>
        </w:rPr>
        <w:t>Disbursement of</w:t>
      </w:r>
      <w:r w:rsidR="00E41A4C" w:rsidRPr="428F1934">
        <w:rPr>
          <w:rFonts w:eastAsia="Arial" w:cs="Arial"/>
          <w:sz w:val="22"/>
          <w:szCs w:val="22"/>
        </w:rPr>
        <w:t xml:space="preserve"> grant finance for </w:t>
      </w:r>
      <w:r>
        <w:rPr>
          <w:rFonts w:eastAsia="Arial" w:cs="Arial"/>
          <w:sz w:val="22"/>
          <w:szCs w:val="22"/>
        </w:rPr>
        <w:t>technical assistance</w:t>
      </w:r>
      <w:r w:rsidR="00E41A4C" w:rsidRPr="428F1934">
        <w:rPr>
          <w:rFonts w:eastAsia="Arial" w:cs="Arial"/>
          <w:sz w:val="22"/>
          <w:szCs w:val="22"/>
        </w:rPr>
        <w:t xml:space="preserve"> to support SLM business models.</w:t>
      </w:r>
    </w:p>
    <w:p w14:paraId="4DD267F0" w14:textId="77777777" w:rsidR="00E41A4C" w:rsidRDefault="00E41A4C" w:rsidP="006110D9">
      <w:pPr>
        <w:pStyle w:val="ListParagraph"/>
        <w:numPr>
          <w:ilvl w:val="0"/>
          <w:numId w:val="26"/>
        </w:numPr>
        <w:spacing w:after="0"/>
        <w:jc w:val="both"/>
        <w:rPr>
          <w:rFonts w:eastAsia="Arial" w:cs="Arial"/>
          <w:sz w:val="22"/>
          <w:szCs w:val="22"/>
        </w:rPr>
      </w:pPr>
      <w:r w:rsidRPr="428F1934">
        <w:rPr>
          <w:rFonts w:eastAsia="Arial" w:cs="Arial"/>
          <w:sz w:val="22"/>
          <w:szCs w:val="22"/>
        </w:rPr>
        <w:t>Learning and knowledge sharing activities.</w:t>
      </w:r>
    </w:p>
    <w:p w14:paraId="1BEA3A3B" w14:textId="77777777" w:rsidR="00E41A4C" w:rsidRDefault="00E41A4C" w:rsidP="006110D9">
      <w:pPr>
        <w:jc w:val="both"/>
      </w:pPr>
      <w:r w:rsidRPr="428F1934">
        <w:rPr>
          <w:rFonts w:eastAsia="Arial" w:cs="Arial"/>
          <w:sz w:val="22"/>
          <w:szCs w:val="22"/>
        </w:rPr>
        <w:t xml:space="preserve"> </w:t>
      </w:r>
    </w:p>
    <w:p w14:paraId="03C8AD53" w14:textId="4F8D9517" w:rsidR="00E41A4C" w:rsidRDefault="00E41A4C" w:rsidP="006110D9">
      <w:pPr>
        <w:jc w:val="both"/>
        <w:rPr>
          <w:rFonts w:eastAsia="Arial" w:cs="Arial"/>
          <w:sz w:val="22"/>
          <w:szCs w:val="22"/>
        </w:rPr>
      </w:pPr>
      <w:r w:rsidRPr="428F1934">
        <w:rPr>
          <w:rFonts w:eastAsia="Arial" w:cs="Arial"/>
          <w:sz w:val="22"/>
          <w:szCs w:val="22"/>
        </w:rPr>
        <w:t xml:space="preserve">Whilst costs for each of the inputs cannot be individually calculated, the overall size of Defra’s investment has been £10m. The inputs which DEFRA invest in have been designed so that they can have the maximum effect on the long-term outcomes to increase investment of SLM and sustainable supply chains, reduce GHG emissions, improve biodiversity and environmental conditions, and improve livelihoods of local communities. </w:t>
      </w:r>
    </w:p>
    <w:p w14:paraId="01BCA3EE" w14:textId="77777777" w:rsidR="00D229EE" w:rsidRDefault="00D229EE" w:rsidP="006110D9">
      <w:pPr>
        <w:jc w:val="both"/>
        <w:rPr>
          <w:rFonts w:eastAsia="Arial" w:cs="Arial"/>
          <w:sz w:val="22"/>
          <w:szCs w:val="22"/>
        </w:rPr>
      </w:pPr>
    </w:p>
    <w:p w14:paraId="6102496C" w14:textId="6273F6D0" w:rsidR="00DD57A6" w:rsidRDefault="003423B8" w:rsidP="006110D9">
      <w:pPr>
        <w:jc w:val="both"/>
        <w:rPr>
          <w:rFonts w:eastAsia="Arial" w:cs="Arial"/>
          <w:sz w:val="22"/>
          <w:szCs w:val="22"/>
        </w:rPr>
      </w:pPr>
      <w:r w:rsidRPr="0739F324">
        <w:rPr>
          <w:rFonts w:eastAsia="Arial" w:cs="Arial"/>
          <w:sz w:val="22"/>
          <w:szCs w:val="22"/>
        </w:rPr>
        <w:t>The choice to invest through the LDN Fund, managed by Mirova, continues to represent an economical approach. Mirova was competitively selected</w:t>
      </w:r>
      <w:r w:rsidR="003B7715">
        <w:rPr>
          <w:rFonts w:eastAsia="Arial" w:cs="Arial"/>
          <w:sz w:val="22"/>
          <w:szCs w:val="22"/>
        </w:rPr>
        <w:t xml:space="preserve"> through UNCCD processes</w:t>
      </w:r>
      <w:r w:rsidRPr="0739F324">
        <w:rPr>
          <w:rFonts w:eastAsia="Arial" w:cs="Arial"/>
          <w:sz w:val="22"/>
          <w:szCs w:val="22"/>
        </w:rPr>
        <w:t xml:space="preserve"> and is a certified B Corp, providing assurance that it meets recognised standards of social and environmental performance. By pooling Defra’s investment with those of other public and private investors, the Fund has been able to spread risk, reduce costs, and achieve greater scale than would likely have been possible through bilateral projects led directly by Defra</w:t>
      </w:r>
      <w:r w:rsidR="005148C0" w:rsidRPr="0739F324">
        <w:rPr>
          <w:rFonts w:eastAsia="Arial" w:cs="Arial"/>
          <w:sz w:val="22"/>
          <w:szCs w:val="22"/>
        </w:rPr>
        <w:t>.</w:t>
      </w:r>
    </w:p>
    <w:p w14:paraId="61747EE3" w14:textId="77777777" w:rsidR="005148C0" w:rsidRDefault="005148C0" w:rsidP="006110D9">
      <w:pPr>
        <w:jc w:val="both"/>
        <w:rPr>
          <w:rFonts w:eastAsia="Arial" w:cs="Arial"/>
          <w:sz w:val="22"/>
          <w:szCs w:val="22"/>
        </w:rPr>
      </w:pPr>
    </w:p>
    <w:p w14:paraId="1956ECE7" w14:textId="54EB09F4" w:rsidR="00DD57A6" w:rsidRPr="00D229EE" w:rsidRDefault="00DD57A6" w:rsidP="006110D9">
      <w:pPr>
        <w:jc w:val="both"/>
        <w:rPr>
          <w:rFonts w:eastAsia="Arial" w:cs="Arial"/>
          <w:sz w:val="22"/>
          <w:szCs w:val="22"/>
        </w:rPr>
      </w:pPr>
      <w:r>
        <w:rPr>
          <w:rFonts w:eastAsia="Arial" w:cs="Arial"/>
          <w:sz w:val="22"/>
          <w:szCs w:val="22"/>
        </w:rPr>
        <w:t xml:space="preserve">As set out in Section A, </w:t>
      </w:r>
      <w:r w:rsidRPr="00DD57A6">
        <w:rPr>
          <w:rFonts w:eastAsia="Arial" w:cs="Arial"/>
          <w:sz w:val="22"/>
          <w:szCs w:val="22"/>
        </w:rPr>
        <w:t xml:space="preserve">LDN </w:t>
      </w:r>
      <w:r w:rsidR="003962D3">
        <w:rPr>
          <w:rFonts w:eastAsia="Arial" w:cs="Arial"/>
          <w:sz w:val="22"/>
          <w:szCs w:val="22"/>
        </w:rPr>
        <w:t xml:space="preserve">has a strict governance process in place to ensure </w:t>
      </w:r>
      <w:r w:rsidR="00031293">
        <w:rPr>
          <w:rFonts w:eastAsia="Arial" w:cs="Arial"/>
          <w:sz w:val="22"/>
          <w:szCs w:val="22"/>
        </w:rPr>
        <w:t xml:space="preserve">only quality projects are invested in. LDN </w:t>
      </w:r>
      <w:r w:rsidRPr="00DD57A6">
        <w:rPr>
          <w:rFonts w:eastAsia="Arial" w:cs="Arial"/>
          <w:sz w:val="22"/>
          <w:szCs w:val="22"/>
        </w:rPr>
        <w:t xml:space="preserve">operates a thorough due diligence and pre-investment </w:t>
      </w:r>
      <w:proofErr w:type="gramStart"/>
      <w:r w:rsidRPr="00DD57A6">
        <w:rPr>
          <w:rFonts w:eastAsia="Arial" w:cs="Arial"/>
          <w:sz w:val="22"/>
          <w:szCs w:val="22"/>
        </w:rPr>
        <w:t>process</w:t>
      </w:r>
      <w:proofErr w:type="gramEnd"/>
      <w:r w:rsidRPr="00DD57A6">
        <w:rPr>
          <w:rFonts w:eastAsia="Arial" w:cs="Arial"/>
          <w:sz w:val="22"/>
          <w:szCs w:val="22"/>
        </w:rPr>
        <w:t xml:space="preserve"> </w:t>
      </w:r>
      <w:r w:rsidR="00031293">
        <w:rPr>
          <w:rFonts w:eastAsia="Arial" w:cs="Arial"/>
          <w:sz w:val="22"/>
          <w:szCs w:val="22"/>
        </w:rPr>
        <w:t xml:space="preserve">and each project must pass through </w:t>
      </w:r>
      <w:r w:rsidR="00DF7C83">
        <w:rPr>
          <w:rFonts w:eastAsia="Arial" w:cs="Arial"/>
          <w:sz w:val="22"/>
          <w:szCs w:val="22"/>
        </w:rPr>
        <w:t>three scrutiny committee stages</w:t>
      </w:r>
      <w:r w:rsidRPr="00DD57A6">
        <w:rPr>
          <w:rFonts w:eastAsia="Arial" w:cs="Arial"/>
          <w:sz w:val="22"/>
          <w:szCs w:val="22"/>
        </w:rPr>
        <w:t xml:space="preserve">, with </w:t>
      </w:r>
      <w:r w:rsidR="00DF7C83">
        <w:rPr>
          <w:rFonts w:eastAsia="Arial" w:cs="Arial"/>
          <w:sz w:val="22"/>
          <w:szCs w:val="22"/>
        </w:rPr>
        <w:t xml:space="preserve">only </w:t>
      </w:r>
      <w:r w:rsidR="00031293">
        <w:rPr>
          <w:rFonts w:eastAsia="Arial" w:cs="Arial"/>
          <w:sz w:val="22"/>
          <w:szCs w:val="22"/>
        </w:rPr>
        <w:t xml:space="preserve">those </w:t>
      </w:r>
      <w:r w:rsidR="003962D3">
        <w:rPr>
          <w:rFonts w:eastAsia="Arial" w:cs="Arial"/>
          <w:sz w:val="22"/>
          <w:szCs w:val="22"/>
        </w:rPr>
        <w:t>that best demonstrate value for money and impact progressing to investment</w:t>
      </w:r>
      <w:r w:rsidRPr="00DD57A6">
        <w:rPr>
          <w:rFonts w:eastAsia="Arial" w:cs="Arial"/>
          <w:sz w:val="22"/>
          <w:szCs w:val="22"/>
        </w:rPr>
        <w:t>.</w:t>
      </w:r>
    </w:p>
    <w:p w14:paraId="44ADEBFE" w14:textId="77777777" w:rsidR="00E41A4C" w:rsidRDefault="00E41A4C" w:rsidP="006110D9">
      <w:pPr>
        <w:jc w:val="both"/>
      </w:pPr>
      <w:r w:rsidRPr="428F1934">
        <w:rPr>
          <w:rFonts w:eastAsia="Arial" w:cs="Arial"/>
          <w:sz w:val="22"/>
          <w:szCs w:val="22"/>
        </w:rPr>
        <w:t xml:space="preserve"> </w:t>
      </w:r>
    </w:p>
    <w:p w14:paraId="6CCDBDB8" w14:textId="2123A9D4" w:rsidR="00C025FA" w:rsidRDefault="00C025FA" w:rsidP="006110D9">
      <w:pPr>
        <w:jc w:val="both"/>
        <w:rPr>
          <w:rFonts w:eastAsia="Arial" w:cs="Arial"/>
          <w:color w:val="000000" w:themeColor="text1"/>
          <w:sz w:val="22"/>
          <w:szCs w:val="22"/>
        </w:rPr>
      </w:pPr>
      <w:r w:rsidRPr="00C025FA">
        <w:rPr>
          <w:rFonts w:eastAsia="Arial" w:cs="Arial"/>
          <w:color w:val="000000" w:themeColor="text1"/>
          <w:sz w:val="22"/>
          <w:szCs w:val="22"/>
        </w:rPr>
        <w:t>To track the level of progress the fund is making in terms of economy, the total amount spent on expenses is monitored closely year-on-year</w:t>
      </w:r>
      <w:r w:rsidR="004E4D91">
        <w:rPr>
          <w:rFonts w:eastAsia="Arial" w:cs="Arial"/>
          <w:color w:val="000000" w:themeColor="text1"/>
          <w:sz w:val="22"/>
          <w:szCs w:val="22"/>
        </w:rPr>
        <w:t xml:space="preserve"> and was within Defra limits</w:t>
      </w:r>
      <w:r w:rsidRPr="00C025FA">
        <w:rPr>
          <w:rFonts w:eastAsia="Arial" w:cs="Arial"/>
          <w:color w:val="000000" w:themeColor="text1"/>
          <w:sz w:val="22"/>
          <w:szCs w:val="22"/>
        </w:rPr>
        <w:t>.</w:t>
      </w:r>
    </w:p>
    <w:p w14:paraId="6A7A6FFE" w14:textId="77777777" w:rsidR="006F2549" w:rsidRDefault="006F2549" w:rsidP="006110D9">
      <w:pPr>
        <w:jc w:val="both"/>
        <w:rPr>
          <w:rFonts w:eastAsia="Arial" w:cs="Arial"/>
          <w:color w:val="000000" w:themeColor="text1"/>
          <w:sz w:val="22"/>
          <w:szCs w:val="22"/>
        </w:rPr>
      </w:pPr>
    </w:p>
    <w:p w14:paraId="143F61E8" w14:textId="24E6D8FD" w:rsidR="001B75C2" w:rsidRPr="000C243E" w:rsidRDefault="001B75C2" w:rsidP="006110D9">
      <w:pPr>
        <w:jc w:val="both"/>
        <w:rPr>
          <w:i/>
          <w:iCs/>
        </w:rPr>
      </w:pPr>
      <w:r w:rsidRPr="428F1934">
        <w:rPr>
          <w:rFonts w:eastAsia="Arial" w:cs="Arial"/>
          <w:b/>
          <w:bCs/>
          <w:sz w:val="22"/>
          <w:szCs w:val="22"/>
        </w:rPr>
        <w:t>Efficiency</w:t>
      </w:r>
      <w:r w:rsidR="00340615">
        <w:rPr>
          <w:rFonts w:eastAsia="Arial" w:cs="Arial"/>
          <w:b/>
          <w:bCs/>
          <w:sz w:val="22"/>
          <w:szCs w:val="22"/>
        </w:rPr>
        <w:t xml:space="preserve"> -</w:t>
      </w:r>
      <w:r w:rsidR="00340615" w:rsidRPr="00340615">
        <w:rPr>
          <w:rFonts w:eastAsia="Arial" w:cs="Arial"/>
          <w:color w:val="000000" w:themeColor="text1"/>
          <w:sz w:val="22"/>
          <w:szCs w:val="22"/>
        </w:rPr>
        <w:t xml:space="preserve"> </w:t>
      </w:r>
      <w:r w:rsidR="00340615" w:rsidRPr="000C243E">
        <w:rPr>
          <w:rFonts w:eastAsia="Arial" w:cs="Arial"/>
          <w:i/>
          <w:iCs/>
          <w:color w:val="000000" w:themeColor="text1"/>
          <w:sz w:val="22"/>
          <w:szCs w:val="22"/>
        </w:rPr>
        <w:t>How well are we (or our agents) converting inputs into outputs? (‘Spending well’)</w:t>
      </w:r>
    </w:p>
    <w:p w14:paraId="5E9BCF6E" w14:textId="77777777" w:rsidR="001B75C2" w:rsidRDefault="001B75C2" w:rsidP="006110D9">
      <w:pPr>
        <w:jc w:val="both"/>
        <w:rPr>
          <w:rFonts w:eastAsia="Arial" w:cs="Arial"/>
          <w:sz w:val="22"/>
          <w:szCs w:val="22"/>
        </w:rPr>
      </w:pPr>
      <w:r w:rsidRPr="428F1934">
        <w:rPr>
          <w:rFonts w:eastAsia="Arial" w:cs="Arial"/>
          <w:sz w:val="22"/>
          <w:szCs w:val="22"/>
        </w:rPr>
        <w:t xml:space="preserve"> </w:t>
      </w:r>
    </w:p>
    <w:p w14:paraId="724686D2" w14:textId="40653D83" w:rsidR="00F75CDD" w:rsidRPr="00F75CDD" w:rsidRDefault="00F75CDD" w:rsidP="006110D9">
      <w:pPr>
        <w:jc w:val="both"/>
        <w:rPr>
          <w:rFonts w:eastAsia="Arial" w:cs="Arial"/>
          <w:color w:val="000000" w:themeColor="text1"/>
          <w:sz w:val="22"/>
          <w:szCs w:val="22"/>
        </w:rPr>
      </w:pPr>
      <w:r w:rsidRPr="34886710">
        <w:rPr>
          <w:rFonts w:eastAsia="Arial" w:cs="Arial"/>
          <w:color w:val="000000" w:themeColor="text1"/>
          <w:sz w:val="22"/>
          <w:szCs w:val="22"/>
        </w:rPr>
        <w:t>Several projects have received varying degree</w:t>
      </w:r>
      <w:r w:rsidR="54D61F8A" w:rsidRPr="34886710">
        <w:rPr>
          <w:rFonts w:eastAsia="Arial" w:cs="Arial"/>
          <w:color w:val="000000" w:themeColor="text1"/>
          <w:sz w:val="22"/>
          <w:szCs w:val="22"/>
        </w:rPr>
        <w:t>s</w:t>
      </w:r>
      <w:r w:rsidRPr="34886710">
        <w:rPr>
          <w:rFonts w:eastAsia="Arial" w:cs="Arial"/>
          <w:color w:val="000000" w:themeColor="text1"/>
          <w:sz w:val="22"/>
          <w:szCs w:val="22"/>
        </w:rPr>
        <w:t xml:space="preserve"> of support from the LDN fund and will spend the funding received at differing rates; however, all projects are required to have spent most of their current loan before the following tranche is paid. Because of this, it is assumed that most of the $171.8 million that has been disbursed has efficiently been converted to outputs.</w:t>
      </w:r>
    </w:p>
    <w:p w14:paraId="0B1B7D1B" w14:textId="0E2B1A7F" w:rsidR="34886710" w:rsidRDefault="34886710" w:rsidP="34886710">
      <w:pPr>
        <w:jc w:val="both"/>
        <w:rPr>
          <w:rFonts w:eastAsia="Arial" w:cs="Arial"/>
          <w:color w:val="000000" w:themeColor="text1"/>
          <w:sz w:val="22"/>
          <w:szCs w:val="22"/>
        </w:rPr>
      </w:pPr>
    </w:p>
    <w:p w14:paraId="16AF2D2A" w14:textId="77777777" w:rsidR="00F75CDD" w:rsidRPr="00F75CDD" w:rsidRDefault="00F75CDD" w:rsidP="006110D9">
      <w:pPr>
        <w:jc w:val="both"/>
        <w:rPr>
          <w:rFonts w:eastAsia="Arial" w:cs="Arial"/>
          <w:color w:val="000000" w:themeColor="text1"/>
          <w:sz w:val="22"/>
          <w:szCs w:val="22"/>
        </w:rPr>
      </w:pPr>
      <w:r w:rsidRPr="00F75CDD">
        <w:rPr>
          <w:rFonts w:eastAsia="Arial" w:cs="Arial"/>
          <w:color w:val="000000" w:themeColor="text1"/>
          <w:sz w:val="22"/>
          <w:szCs w:val="22"/>
        </w:rPr>
        <w:t>The programme has shown that it is generally efficient in converting its financial and technical inputs into measurable outputs across its portfolio. Defra’s £10 million input, combined with other public and private capital, was disbursed to projects through staged loans and complemented with technical assistance funding. These mechanisms ensured that money was only released once projects had demonstrated effective use of earlier tranches, creating a strong incentive for efficiency and accountability.</w:t>
      </w:r>
    </w:p>
    <w:p w14:paraId="367403AC" w14:textId="77777777" w:rsidR="004F62FF" w:rsidRDefault="004F62FF" w:rsidP="006110D9">
      <w:pPr>
        <w:jc w:val="both"/>
        <w:rPr>
          <w:rFonts w:eastAsia="Arial" w:cs="Arial"/>
          <w:color w:val="000000" w:themeColor="text1"/>
          <w:sz w:val="22"/>
          <w:szCs w:val="22"/>
        </w:rPr>
      </w:pPr>
    </w:p>
    <w:p w14:paraId="596455EF" w14:textId="2CF46283" w:rsidR="00F75CDD" w:rsidRPr="00F75CDD" w:rsidRDefault="00F75CDD" w:rsidP="006110D9">
      <w:pPr>
        <w:jc w:val="both"/>
        <w:rPr>
          <w:rFonts w:eastAsia="Arial" w:cs="Arial"/>
          <w:color w:val="000000" w:themeColor="text1"/>
          <w:sz w:val="22"/>
          <w:szCs w:val="22"/>
        </w:rPr>
      </w:pPr>
      <w:r w:rsidRPr="00F75CDD">
        <w:rPr>
          <w:rFonts w:eastAsia="Arial" w:cs="Arial"/>
          <w:color w:val="000000" w:themeColor="text1"/>
          <w:sz w:val="22"/>
          <w:szCs w:val="22"/>
        </w:rPr>
        <w:t>The results set out against Output 1 demonstrate how these inputs were translated into tangible outputs – meeting 60% of targets. Over $2.7 million in technical assistance funding (Output 1.1), compared to a target of $2.7 million.  $171.8 million of project investment has already been disbursed, compared to a target of £180 million (Output 1.2). 30 projects across 18 countries (Outputs 1.3 and 1.4, respectively), compared to a target of 29 projects in 19 countries, and producing 17 knowledge products that help spread best practice. This shows that the Fund’s financial resources and TA inputs have been efficiently channelled into projects, capacity-building, and knowledge-sharing.</w:t>
      </w:r>
    </w:p>
    <w:p w14:paraId="51C5D11F" w14:textId="77777777" w:rsidR="004F62FF" w:rsidRDefault="004F62FF" w:rsidP="006110D9">
      <w:pPr>
        <w:jc w:val="both"/>
        <w:rPr>
          <w:rFonts w:eastAsia="Arial" w:cs="Arial"/>
          <w:color w:val="000000" w:themeColor="text1"/>
          <w:sz w:val="22"/>
          <w:szCs w:val="22"/>
        </w:rPr>
      </w:pPr>
    </w:p>
    <w:p w14:paraId="79419C12" w14:textId="7B7EFD3C" w:rsidR="00F75CDD" w:rsidRPr="00F75CDD" w:rsidRDefault="00F75CDD" w:rsidP="006110D9">
      <w:pPr>
        <w:jc w:val="both"/>
        <w:rPr>
          <w:rFonts w:eastAsia="Arial" w:cs="Arial"/>
          <w:color w:val="000000" w:themeColor="text1"/>
          <w:sz w:val="22"/>
          <w:szCs w:val="22"/>
        </w:rPr>
      </w:pPr>
      <w:r w:rsidRPr="00F75CDD">
        <w:rPr>
          <w:rFonts w:eastAsia="Arial" w:cs="Arial"/>
          <w:color w:val="000000" w:themeColor="text1"/>
          <w:sz w:val="22"/>
          <w:szCs w:val="22"/>
        </w:rPr>
        <w:t xml:space="preserve">Output 2 indicators show that these investments translated into direct environmental and social gains. 150,281 hectares of land are now under sustainable management (Output 2.3). The Fund’s catalytic design also enhanced efficiency by leveraging Defra’s junior capital investment to mobilise private and public finance far beyond the initial contribution. This has multiplied the scale of outputs at no additional cost to Defra. For instance, projects achieved nine sustainability certifications (Output 2.2), showing that inputs were effectively converted into verifiable standards of good practice. </w:t>
      </w:r>
    </w:p>
    <w:p w14:paraId="6D348E9E" w14:textId="77777777" w:rsidR="004F62FF" w:rsidRDefault="004F62FF" w:rsidP="006110D9">
      <w:pPr>
        <w:jc w:val="both"/>
        <w:rPr>
          <w:rFonts w:eastAsia="Arial" w:cs="Arial"/>
          <w:color w:val="000000" w:themeColor="text1"/>
          <w:sz w:val="22"/>
          <w:szCs w:val="22"/>
        </w:rPr>
      </w:pPr>
    </w:p>
    <w:p w14:paraId="650D4E1B" w14:textId="56BFE379" w:rsidR="00F75CDD" w:rsidRPr="00F75CDD" w:rsidRDefault="00F75CDD" w:rsidP="006110D9">
      <w:pPr>
        <w:jc w:val="both"/>
        <w:rPr>
          <w:rFonts w:eastAsia="Arial" w:cs="Arial"/>
          <w:color w:val="000000" w:themeColor="text1"/>
          <w:sz w:val="22"/>
          <w:szCs w:val="22"/>
        </w:rPr>
      </w:pPr>
      <w:r w:rsidRPr="00F75CDD">
        <w:rPr>
          <w:rFonts w:eastAsia="Arial" w:cs="Arial"/>
          <w:color w:val="000000" w:themeColor="text1"/>
          <w:sz w:val="22"/>
          <w:szCs w:val="22"/>
        </w:rPr>
        <w:t xml:space="preserve">145,082 jobs have been created or supported by investment from the fund, exceeding the milestone for this stage of </w:t>
      </w:r>
      <w:r w:rsidR="668027C4" w:rsidRPr="06F171E8">
        <w:rPr>
          <w:rFonts w:eastAsia="Arial" w:cs="Arial"/>
          <w:color w:val="000000" w:themeColor="text1"/>
          <w:sz w:val="22"/>
          <w:szCs w:val="22"/>
        </w:rPr>
        <w:t xml:space="preserve">the </w:t>
      </w:r>
      <w:r w:rsidRPr="00F75CDD">
        <w:rPr>
          <w:rFonts w:eastAsia="Arial" w:cs="Arial"/>
          <w:color w:val="000000" w:themeColor="text1"/>
          <w:sz w:val="22"/>
          <w:szCs w:val="22"/>
        </w:rPr>
        <w:t>programme by 65,000 (Output 3.1) of which 55</w:t>
      </w:r>
      <w:r w:rsidR="00127577">
        <w:rPr>
          <w:rFonts w:eastAsia="Arial" w:cs="Arial"/>
          <w:color w:val="000000" w:themeColor="text1"/>
          <w:sz w:val="22"/>
          <w:szCs w:val="22"/>
        </w:rPr>
        <w:t>.8%</w:t>
      </w:r>
      <w:r w:rsidRPr="00F75CDD">
        <w:rPr>
          <w:rFonts w:eastAsia="Arial" w:cs="Arial"/>
          <w:color w:val="000000" w:themeColor="text1"/>
          <w:sz w:val="22"/>
          <w:szCs w:val="22"/>
        </w:rPr>
        <w:t xml:space="preserve"> were held by women (Outputs 3.3). Community engagement has been strong, with over 2,500 engagement events recorded (Output 3.2), ensuring local participation in project design and implementation.</w:t>
      </w:r>
    </w:p>
    <w:p w14:paraId="6175B3C8" w14:textId="77777777" w:rsidR="004F62FF" w:rsidRDefault="004F62FF" w:rsidP="006110D9">
      <w:pPr>
        <w:jc w:val="both"/>
        <w:rPr>
          <w:rFonts w:eastAsia="Arial" w:cs="Arial"/>
          <w:color w:val="000000" w:themeColor="text1"/>
          <w:sz w:val="22"/>
          <w:szCs w:val="22"/>
        </w:rPr>
      </w:pPr>
    </w:p>
    <w:p w14:paraId="2E49E07D" w14:textId="36ABBE95" w:rsidR="00F75CDD" w:rsidRDefault="00F75CDD" w:rsidP="006110D9">
      <w:pPr>
        <w:jc w:val="both"/>
        <w:rPr>
          <w:rFonts w:eastAsia="Arial" w:cs="Arial"/>
          <w:color w:val="000000" w:themeColor="text1"/>
          <w:sz w:val="22"/>
          <w:szCs w:val="22"/>
        </w:rPr>
      </w:pPr>
      <w:r w:rsidRPr="13A71BA9">
        <w:rPr>
          <w:rFonts w:eastAsia="Arial" w:cs="Arial"/>
          <w:color w:val="000000" w:themeColor="text1"/>
          <w:sz w:val="22"/>
          <w:szCs w:val="22"/>
        </w:rPr>
        <w:t xml:space="preserve">While some environmental outputs are slightly behind original milestones, these shortfalls reflect external constraints like </w:t>
      </w:r>
      <w:r w:rsidR="003B7715">
        <w:rPr>
          <w:rFonts w:eastAsia="Arial" w:cs="Arial"/>
          <w:color w:val="000000" w:themeColor="text1"/>
          <w:sz w:val="22"/>
          <w:szCs w:val="22"/>
        </w:rPr>
        <w:t xml:space="preserve">ongoing </w:t>
      </w:r>
      <w:r w:rsidRPr="13A71BA9">
        <w:rPr>
          <w:rFonts w:eastAsia="Arial" w:cs="Arial"/>
          <w:color w:val="000000" w:themeColor="text1"/>
          <w:sz w:val="22"/>
          <w:szCs w:val="22"/>
        </w:rPr>
        <w:t>COVID-19 disruptions, rather than inefficiencies in input use. The evidence suggests that the fund is largely efficient at transforming public finance and technical support into a broad set of outputs.</w:t>
      </w:r>
    </w:p>
    <w:p w14:paraId="60238DF7" w14:textId="77777777" w:rsidR="00F75CDD" w:rsidRPr="00F75CDD" w:rsidRDefault="00F75CDD" w:rsidP="006110D9">
      <w:pPr>
        <w:jc w:val="both"/>
        <w:rPr>
          <w:rFonts w:eastAsia="Arial" w:cs="Arial"/>
          <w:color w:val="000000" w:themeColor="text1"/>
          <w:sz w:val="22"/>
          <w:szCs w:val="22"/>
        </w:rPr>
      </w:pPr>
    </w:p>
    <w:p w14:paraId="467965C7" w14:textId="23B0EBBC" w:rsidR="00975C38" w:rsidRPr="00F75CDD" w:rsidRDefault="00975C38" w:rsidP="006110D9">
      <w:pPr>
        <w:pStyle w:val="Caption"/>
        <w:keepNext/>
        <w:jc w:val="both"/>
        <w:rPr>
          <w:rFonts w:eastAsia="Arial" w:cs="Arial"/>
          <w:i w:val="0"/>
          <w:color w:val="000000" w:themeColor="text1"/>
          <w:sz w:val="22"/>
          <w:szCs w:val="22"/>
        </w:rPr>
      </w:pPr>
      <w:r w:rsidRPr="00F75CDD">
        <w:rPr>
          <w:rFonts w:eastAsia="Arial" w:cs="Arial"/>
          <w:i w:val="0"/>
          <w:color w:val="000000" w:themeColor="text1"/>
          <w:sz w:val="22"/>
          <w:szCs w:val="22"/>
        </w:rPr>
        <w:t xml:space="preserve">Table </w:t>
      </w:r>
      <w:r w:rsidRPr="00F75CDD">
        <w:rPr>
          <w:rFonts w:eastAsia="Arial" w:cs="Arial"/>
          <w:color w:val="000000" w:themeColor="text1"/>
          <w:sz w:val="22"/>
          <w:szCs w:val="22"/>
        </w:rPr>
        <w:fldChar w:fldCharType="begin"/>
      </w:r>
      <w:r w:rsidRPr="00F75CDD">
        <w:rPr>
          <w:rFonts w:eastAsia="Arial" w:cs="Arial"/>
          <w:i w:val="0"/>
          <w:color w:val="000000" w:themeColor="text1"/>
          <w:sz w:val="22"/>
          <w:szCs w:val="22"/>
        </w:rPr>
        <w:instrText xml:space="preserve"> SEQ Table \* ARABIC </w:instrText>
      </w:r>
      <w:r w:rsidRPr="00F75CDD">
        <w:rPr>
          <w:rFonts w:eastAsia="Arial" w:cs="Arial"/>
          <w:color w:val="000000" w:themeColor="text1"/>
          <w:sz w:val="22"/>
          <w:szCs w:val="22"/>
        </w:rPr>
        <w:fldChar w:fldCharType="separate"/>
      </w:r>
      <w:r w:rsidRPr="00F75CDD">
        <w:rPr>
          <w:rFonts w:eastAsia="Arial" w:cs="Arial"/>
          <w:i w:val="0"/>
          <w:color w:val="000000" w:themeColor="text1"/>
          <w:sz w:val="22"/>
          <w:szCs w:val="22"/>
        </w:rPr>
        <w:t>1</w:t>
      </w:r>
      <w:r w:rsidRPr="00F75CDD">
        <w:rPr>
          <w:rFonts w:eastAsia="Arial" w:cs="Arial"/>
          <w:color w:val="000000" w:themeColor="text1"/>
          <w:sz w:val="22"/>
          <w:szCs w:val="22"/>
        </w:rPr>
        <w:fldChar w:fldCharType="end"/>
      </w:r>
      <w:r w:rsidRPr="00F75CDD">
        <w:rPr>
          <w:rFonts w:eastAsia="Arial" w:cs="Arial"/>
          <w:i w:val="0"/>
          <w:color w:val="000000" w:themeColor="text1"/>
          <w:sz w:val="22"/>
          <w:szCs w:val="22"/>
        </w:rPr>
        <w:t xml:space="preserve"> </w:t>
      </w:r>
      <w:r w:rsidR="005D3AC3" w:rsidRPr="00F75CDD">
        <w:rPr>
          <w:rFonts w:eastAsia="Arial" w:cs="Arial"/>
          <w:i w:val="0"/>
          <w:color w:val="000000" w:themeColor="text1"/>
          <w:sz w:val="22"/>
          <w:szCs w:val="22"/>
        </w:rPr>
        <w:t>–</w:t>
      </w:r>
      <w:r w:rsidRPr="00F75CDD">
        <w:rPr>
          <w:rFonts w:eastAsia="Arial" w:cs="Arial"/>
          <w:i w:val="0"/>
          <w:color w:val="000000" w:themeColor="text1"/>
          <w:sz w:val="22"/>
          <w:szCs w:val="22"/>
        </w:rPr>
        <w:t xml:space="preserve"> </w:t>
      </w:r>
      <w:r w:rsidR="005D3AC3" w:rsidRPr="00F75CDD">
        <w:rPr>
          <w:rFonts w:eastAsia="Arial" w:cs="Arial"/>
          <w:i w:val="0"/>
          <w:color w:val="000000" w:themeColor="text1"/>
          <w:sz w:val="22"/>
          <w:szCs w:val="22"/>
        </w:rPr>
        <w:t>Ratio of public and private finance mobilised</w:t>
      </w:r>
      <w:r w:rsidR="006C42EC" w:rsidRPr="00F75CDD">
        <w:rPr>
          <w:rFonts w:eastAsia="Arial" w:cs="Arial"/>
          <w:i w:val="0"/>
          <w:color w:val="000000" w:themeColor="text1"/>
          <w:sz w:val="22"/>
          <w:szCs w:val="22"/>
        </w:rPr>
        <w:t xml:space="preserve"> </w:t>
      </w:r>
      <w:proofErr w:type="gramStart"/>
      <w:r w:rsidR="006C42EC" w:rsidRPr="00F75CDD">
        <w:rPr>
          <w:rFonts w:eastAsia="Arial" w:cs="Arial"/>
          <w:i w:val="0"/>
          <w:color w:val="000000" w:themeColor="text1"/>
          <w:sz w:val="22"/>
          <w:szCs w:val="22"/>
        </w:rPr>
        <w:t>as a result of</w:t>
      </w:r>
      <w:proofErr w:type="gramEnd"/>
      <w:r w:rsidR="006C42EC" w:rsidRPr="00F75CDD">
        <w:rPr>
          <w:rFonts w:eastAsia="Arial" w:cs="Arial"/>
          <w:i w:val="0"/>
          <w:color w:val="000000" w:themeColor="text1"/>
          <w:sz w:val="22"/>
          <w:szCs w:val="22"/>
        </w:rPr>
        <w:t xml:space="preserve"> Defra’s investment</w:t>
      </w:r>
    </w:p>
    <w:tbl>
      <w:tblPr>
        <w:tblStyle w:val="TableGrid"/>
        <w:tblW w:w="9328" w:type="dxa"/>
        <w:tblInd w:w="-436" w:type="dxa"/>
        <w:tblLayout w:type="fixed"/>
        <w:tblLook w:val="04A0" w:firstRow="1" w:lastRow="0" w:firstColumn="1" w:lastColumn="0" w:noHBand="0" w:noVBand="1"/>
      </w:tblPr>
      <w:tblGrid>
        <w:gridCol w:w="7803"/>
        <w:gridCol w:w="1525"/>
      </w:tblGrid>
      <w:tr w:rsidR="008507EE" w14:paraId="0FC1DB78" w14:textId="638C5163" w:rsidTr="00EC4E49">
        <w:trPr>
          <w:trHeight w:val="365"/>
        </w:trPr>
        <w:tc>
          <w:tcPr>
            <w:tcW w:w="7803" w:type="dxa"/>
            <w:tcBorders>
              <w:top w:val="single" w:sz="8" w:space="0" w:color="auto"/>
              <w:left w:val="single" w:sz="8" w:space="0" w:color="auto"/>
              <w:bottom w:val="single" w:sz="8" w:space="0" w:color="auto"/>
              <w:right w:val="single" w:sz="8" w:space="0" w:color="auto"/>
            </w:tcBorders>
            <w:shd w:val="clear" w:color="auto" w:fill="BDD6EE" w:themeFill="accent5" w:themeFillTint="66"/>
            <w:tcMar>
              <w:left w:w="108" w:type="dxa"/>
              <w:right w:w="108" w:type="dxa"/>
            </w:tcMar>
          </w:tcPr>
          <w:p w14:paraId="333A4464" w14:textId="04622E23" w:rsidR="00025C47" w:rsidRPr="004658B8" w:rsidRDefault="00025C47" w:rsidP="006110D9">
            <w:pPr>
              <w:jc w:val="both"/>
            </w:pPr>
            <w:proofErr w:type="spellStart"/>
            <w:r w:rsidRPr="004658B8">
              <w:rPr>
                <w:rFonts w:eastAsia="Arial" w:cs="Arial"/>
                <w:b/>
                <w:bCs/>
                <w:color w:val="000000" w:themeColor="text1"/>
                <w:sz w:val="20"/>
                <w:szCs w:val="20"/>
              </w:rPr>
              <w:t>VfM</w:t>
            </w:r>
            <w:proofErr w:type="spellEnd"/>
            <w:r w:rsidRPr="004658B8">
              <w:rPr>
                <w:rFonts w:eastAsia="Arial" w:cs="Arial"/>
                <w:b/>
                <w:bCs/>
                <w:color w:val="000000" w:themeColor="text1"/>
                <w:sz w:val="20"/>
                <w:szCs w:val="20"/>
              </w:rPr>
              <w:t xml:space="preserve"> Metric</w:t>
            </w:r>
          </w:p>
        </w:tc>
        <w:tc>
          <w:tcPr>
            <w:tcW w:w="1525" w:type="dxa"/>
            <w:tcBorders>
              <w:top w:val="single" w:sz="8" w:space="0" w:color="auto"/>
              <w:left w:val="single" w:sz="8" w:space="0" w:color="auto"/>
              <w:bottom w:val="single" w:sz="8" w:space="0" w:color="auto"/>
              <w:right w:val="single" w:sz="8" w:space="0" w:color="auto"/>
            </w:tcBorders>
            <w:shd w:val="clear" w:color="auto" w:fill="BDD6EE" w:themeFill="accent5" w:themeFillTint="66"/>
            <w:tcMar>
              <w:left w:w="108" w:type="dxa"/>
              <w:right w:w="108" w:type="dxa"/>
            </w:tcMar>
          </w:tcPr>
          <w:p w14:paraId="5D5E8FDC" w14:textId="2824DF9A" w:rsidR="00025C47" w:rsidRPr="004658B8" w:rsidRDefault="00025C47" w:rsidP="006110D9">
            <w:pPr>
              <w:jc w:val="both"/>
            </w:pPr>
            <w:r w:rsidRPr="004658B8">
              <w:rPr>
                <w:rFonts w:eastAsia="Arial" w:cs="Arial"/>
                <w:b/>
                <w:bCs/>
                <w:color w:val="000000" w:themeColor="text1"/>
                <w:sz w:val="20"/>
                <w:szCs w:val="20"/>
              </w:rPr>
              <w:t>Result</w:t>
            </w:r>
            <w:r>
              <w:rPr>
                <w:rFonts w:eastAsia="Arial" w:cs="Arial"/>
                <w:b/>
                <w:bCs/>
                <w:color w:val="000000" w:themeColor="text1"/>
                <w:sz w:val="20"/>
                <w:szCs w:val="20"/>
              </w:rPr>
              <w:t xml:space="preserve"> (direct)</w:t>
            </w:r>
          </w:p>
        </w:tc>
      </w:tr>
      <w:tr w:rsidR="00E43970" w14:paraId="4C71A6D3" w14:textId="5ED103A3" w:rsidTr="00EC4E49">
        <w:trPr>
          <w:trHeight w:val="365"/>
        </w:trPr>
        <w:tc>
          <w:tcPr>
            <w:tcW w:w="7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9401E" w14:textId="58C29A6D" w:rsidR="00025C47" w:rsidRPr="004658B8" w:rsidRDefault="00025C47" w:rsidP="006110D9">
            <w:pPr>
              <w:jc w:val="both"/>
            </w:pPr>
            <w:r w:rsidRPr="428F1934">
              <w:rPr>
                <w:rFonts w:eastAsia="Arial" w:cs="Arial"/>
                <w:color w:val="000000" w:themeColor="text1"/>
                <w:sz w:val="20"/>
                <w:szCs w:val="20"/>
              </w:rPr>
              <w:t xml:space="preserve">Ratio of </w:t>
            </w:r>
            <w:r w:rsidRPr="004A1EAA">
              <w:rPr>
                <w:rFonts w:eastAsia="Arial" w:cs="Arial"/>
                <w:b/>
                <w:bCs/>
                <w:color w:val="000000" w:themeColor="text1"/>
                <w:sz w:val="20"/>
                <w:szCs w:val="20"/>
                <w:u w:val="single"/>
              </w:rPr>
              <w:t>private</w:t>
            </w:r>
            <w:r w:rsidRPr="428F1934">
              <w:rPr>
                <w:rFonts w:eastAsia="Arial" w:cs="Arial"/>
                <w:color w:val="000000" w:themeColor="text1"/>
                <w:sz w:val="20"/>
                <w:szCs w:val="20"/>
              </w:rPr>
              <w:t xml:space="preserve"> finance mobilised </w:t>
            </w:r>
            <w:proofErr w:type="gramStart"/>
            <w:r w:rsidRPr="428F1934">
              <w:rPr>
                <w:rFonts w:eastAsia="Arial" w:cs="Arial"/>
                <w:color w:val="000000" w:themeColor="text1"/>
                <w:sz w:val="20"/>
                <w:szCs w:val="20"/>
              </w:rPr>
              <w:t>as a result of</w:t>
            </w:r>
            <w:proofErr w:type="gramEnd"/>
            <w:r w:rsidRPr="428F1934">
              <w:rPr>
                <w:rFonts w:eastAsia="Arial" w:cs="Arial"/>
                <w:color w:val="000000" w:themeColor="text1"/>
                <w:sz w:val="20"/>
                <w:szCs w:val="20"/>
              </w:rPr>
              <w:t xml:space="preserve"> every £ of ICF support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D6D95" w14:textId="66D4503B" w:rsidR="00025C47" w:rsidRPr="00C340BE" w:rsidRDefault="00C340BE" w:rsidP="006110D9">
            <w:pPr>
              <w:jc w:val="both"/>
              <w:rPr>
                <w:sz w:val="20"/>
                <w:szCs w:val="20"/>
              </w:rPr>
            </w:pPr>
            <w:r w:rsidRPr="00C340BE">
              <w:rPr>
                <w:sz w:val="20"/>
                <w:szCs w:val="20"/>
              </w:rPr>
              <w:t>0.49</w:t>
            </w:r>
          </w:p>
        </w:tc>
      </w:tr>
      <w:tr w:rsidR="00E43970" w14:paraId="038CADF2" w14:textId="77777777" w:rsidTr="00EC4E49">
        <w:trPr>
          <w:trHeight w:val="365"/>
        </w:trPr>
        <w:tc>
          <w:tcPr>
            <w:tcW w:w="7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75EDAD" w14:textId="7048B903" w:rsidR="0074625F" w:rsidRPr="0074625F" w:rsidRDefault="0074625F" w:rsidP="006110D9">
            <w:pPr>
              <w:jc w:val="both"/>
              <w:rPr>
                <w:rFonts w:eastAsia="Arial" w:cs="Arial"/>
                <w:color w:val="000000" w:themeColor="text1"/>
                <w:sz w:val="20"/>
                <w:szCs w:val="20"/>
              </w:rPr>
            </w:pPr>
            <w:r>
              <w:rPr>
                <w:rFonts w:eastAsia="Arial" w:cs="Arial"/>
                <w:color w:val="000000" w:themeColor="text1"/>
                <w:sz w:val="20"/>
                <w:szCs w:val="20"/>
              </w:rPr>
              <w:t xml:space="preserve">Ratio of </w:t>
            </w:r>
            <w:r>
              <w:rPr>
                <w:rFonts w:eastAsia="Arial" w:cs="Arial"/>
                <w:b/>
                <w:bCs/>
                <w:color w:val="000000" w:themeColor="text1"/>
                <w:sz w:val="20"/>
                <w:szCs w:val="20"/>
                <w:u w:val="single"/>
              </w:rPr>
              <w:t>co-investment</w:t>
            </w:r>
            <w:r>
              <w:rPr>
                <w:rFonts w:eastAsia="Arial" w:cs="Arial"/>
                <w:color w:val="000000" w:themeColor="text1"/>
                <w:sz w:val="20"/>
                <w:szCs w:val="20"/>
              </w:rPr>
              <w:t xml:space="preserve"> mobilised </w:t>
            </w:r>
            <w:proofErr w:type="gramStart"/>
            <w:r>
              <w:rPr>
                <w:rFonts w:eastAsia="Arial" w:cs="Arial"/>
                <w:color w:val="000000" w:themeColor="text1"/>
                <w:sz w:val="20"/>
                <w:szCs w:val="20"/>
              </w:rPr>
              <w:t>as a result of</w:t>
            </w:r>
            <w:proofErr w:type="gramEnd"/>
            <w:r>
              <w:rPr>
                <w:rFonts w:eastAsia="Arial" w:cs="Arial"/>
                <w:color w:val="000000" w:themeColor="text1"/>
                <w:sz w:val="20"/>
                <w:szCs w:val="20"/>
              </w:rPr>
              <w:t xml:space="preserve"> every £ of ICF support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BF616" w14:textId="6E6A14D4" w:rsidR="0074625F" w:rsidRPr="00C340BE" w:rsidRDefault="00733CE3" w:rsidP="006110D9">
            <w:pPr>
              <w:jc w:val="both"/>
              <w:rPr>
                <w:sz w:val="20"/>
                <w:szCs w:val="20"/>
              </w:rPr>
            </w:pPr>
            <w:r>
              <w:rPr>
                <w:sz w:val="20"/>
                <w:szCs w:val="20"/>
              </w:rPr>
              <w:t>1.17</w:t>
            </w:r>
          </w:p>
        </w:tc>
      </w:tr>
      <w:tr w:rsidR="00E43970" w14:paraId="12BDC07F" w14:textId="283ACFAD" w:rsidTr="00EC4E49">
        <w:trPr>
          <w:trHeight w:val="365"/>
        </w:trPr>
        <w:tc>
          <w:tcPr>
            <w:tcW w:w="7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39BB9" w14:textId="0826E2D4" w:rsidR="00025C47" w:rsidRPr="428F1934" w:rsidRDefault="00025C47" w:rsidP="006110D9">
            <w:pPr>
              <w:jc w:val="both"/>
              <w:rPr>
                <w:rFonts w:eastAsia="Arial" w:cs="Arial"/>
                <w:b/>
                <w:bCs/>
                <w:i/>
                <w:iCs/>
                <w:color w:val="000000" w:themeColor="text1"/>
                <w:sz w:val="20"/>
                <w:szCs w:val="20"/>
              </w:rPr>
            </w:pPr>
            <w:r w:rsidRPr="428F1934">
              <w:rPr>
                <w:rFonts w:eastAsia="Arial" w:cs="Arial"/>
                <w:color w:val="000000" w:themeColor="text1"/>
                <w:sz w:val="20"/>
                <w:szCs w:val="20"/>
              </w:rPr>
              <w:t xml:space="preserve">Ratio of </w:t>
            </w:r>
            <w:r w:rsidRPr="004A1EAA">
              <w:rPr>
                <w:rFonts w:eastAsia="Arial" w:cs="Arial"/>
                <w:b/>
                <w:bCs/>
                <w:color w:val="000000" w:themeColor="text1"/>
                <w:sz w:val="20"/>
                <w:szCs w:val="20"/>
                <w:u w:val="single"/>
              </w:rPr>
              <w:t>public</w:t>
            </w:r>
            <w:r w:rsidRPr="428F1934">
              <w:rPr>
                <w:rFonts w:eastAsia="Arial" w:cs="Arial"/>
                <w:color w:val="000000" w:themeColor="text1"/>
                <w:sz w:val="20"/>
                <w:szCs w:val="20"/>
              </w:rPr>
              <w:t xml:space="preserve"> finance mobilised </w:t>
            </w:r>
            <w:proofErr w:type="gramStart"/>
            <w:r w:rsidRPr="428F1934">
              <w:rPr>
                <w:rFonts w:eastAsia="Arial" w:cs="Arial"/>
                <w:color w:val="000000" w:themeColor="text1"/>
                <w:sz w:val="20"/>
                <w:szCs w:val="20"/>
              </w:rPr>
              <w:t>as a result of</w:t>
            </w:r>
            <w:proofErr w:type="gramEnd"/>
            <w:r w:rsidRPr="428F1934">
              <w:rPr>
                <w:rFonts w:eastAsia="Arial" w:cs="Arial"/>
                <w:color w:val="000000" w:themeColor="text1"/>
                <w:sz w:val="20"/>
                <w:szCs w:val="20"/>
              </w:rPr>
              <w:t xml:space="preserve"> every £ of ICF support</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9D7EE" w14:textId="0715DAD0" w:rsidR="00025C47" w:rsidRPr="0063781E" w:rsidRDefault="0063781E" w:rsidP="006110D9">
            <w:pPr>
              <w:jc w:val="both"/>
              <w:rPr>
                <w:rFonts w:eastAsia="Arial" w:cs="Arial"/>
                <w:color w:val="000000" w:themeColor="text1"/>
                <w:sz w:val="20"/>
                <w:szCs w:val="20"/>
              </w:rPr>
            </w:pPr>
            <w:r w:rsidRPr="0063781E">
              <w:rPr>
                <w:rFonts w:eastAsia="Arial" w:cs="Arial"/>
                <w:color w:val="000000" w:themeColor="text1"/>
                <w:sz w:val="20"/>
                <w:szCs w:val="20"/>
              </w:rPr>
              <w:t>0.21</w:t>
            </w:r>
          </w:p>
        </w:tc>
      </w:tr>
    </w:tbl>
    <w:p w14:paraId="649B2A1A" w14:textId="7FC77C66" w:rsidR="00A43492" w:rsidRDefault="00A43492" w:rsidP="006110D9">
      <w:pPr>
        <w:spacing w:after="120"/>
        <w:jc w:val="both"/>
        <w:rPr>
          <w:rFonts w:eastAsia="Arial" w:cs="Arial"/>
          <w:color w:val="000000" w:themeColor="text1"/>
          <w:sz w:val="22"/>
          <w:szCs w:val="22"/>
        </w:rPr>
      </w:pPr>
      <w:r w:rsidRPr="14EB546F">
        <w:rPr>
          <w:rFonts w:eastAsia="Arial" w:cs="Arial"/>
          <w:i/>
          <w:iCs/>
          <w:color w:val="000000" w:themeColor="text1"/>
          <w:sz w:val="22"/>
          <w:szCs w:val="22"/>
        </w:rPr>
        <w:t xml:space="preserve">Note: the calculations for finance mobilised are based on growth in the fund </w:t>
      </w:r>
      <w:r w:rsidR="003449BE">
        <w:rPr>
          <w:rFonts w:eastAsia="Arial" w:cs="Arial"/>
          <w:i/>
          <w:iCs/>
          <w:color w:val="000000" w:themeColor="text1"/>
          <w:sz w:val="22"/>
          <w:szCs w:val="22"/>
        </w:rPr>
        <w:t xml:space="preserve">and co-investment </w:t>
      </w:r>
      <w:r w:rsidRPr="14EB546F">
        <w:rPr>
          <w:rFonts w:eastAsia="Arial" w:cs="Arial"/>
          <w:i/>
          <w:iCs/>
          <w:color w:val="000000" w:themeColor="text1"/>
          <w:sz w:val="22"/>
          <w:szCs w:val="22"/>
        </w:rPr>
        <w:t>following Defra’s investment, multiplied by Defra’s percentage share of the fund in each year</w:t>
      </w:r>
      <w:r w:rsidR="00775C23">
        <w:rPr>
          <w:rFonts w:eastAsia="Arial" w:cs="Arial"/>
          <w:i/>
          <w:iCs/>
          <w:color w:val="000000" w:themeColor="text1"/>
          <w:sz w:val="22"/>
          <w:szCs w:val="22"/>
        </w:rPr>
        <w:t xml:space="preserve">. The Fund </w:t>
      </w:r>
      <w:r w:rsidR="00211EBC">
        <w:rPr>
          <w:rFonts w:eastAsia="Arial" w:cs="Arial"/>
          <w:i/>
          <w:iCs/>
          <w:color w:val="000000" w:themeColor="text1"/>
          <w:sz w:val="22"/>
          <w:szCs w:val="22"/>
        </w:rPr>
        <w:t>has not raised capital directly since 2021</w:t>
      </w:r>
      <w:r w:rsidR="00775C23">
        <w:rPr>
          <w:rFonts w:eastAsia="Arial" w:cs="Arial"/>
          <w:i/>
          <w:iCs/>
          <w:color w:val="000000" w:themeColor="text1"/>
          <w:sz w:val="22"/>
          <w:szCs w:val="22"/>
        </w:rPr>
        <w:t>, so increases in finance mobilised are</w:t>
      </w:r>
      <w:r w:rsidR="00211EBC">
        <w:rPr>
          <w:rFonts w:eastAsia="Arial" w:cs="Arial"/>
          <w:i/>
          <w:iCs/>
          <w:color w:val="000000" w:themeColor="text1"/>
          <w:sz w:val="22"/>
          <w:szCs w:val="22"/>
        </w:rPr>
        <w:t xml:space="preserve"> all from co-investmen</w:t>
      </w:r>
      <w:r w:rsidR="009D2127">
        <w:rPr>
          <w:rFonts w:eastAsia="Arial" w:cs="Arial"/>
          <w:i/>
          <w:iCs/>
          <w:color w:val="000000" w:themeColor="text1"/>
          <w:sz w:val="22"/>
          <w:szCs w:val="22"/>
        </w:rPr>
        <w:t>t in individual projects</w:t>
      </w:r>
      <w:r w:rsidRPr="14EB546F">
        <w:rPr>
          <w:rFonts w:eastAsia="Arial" w:cs="Arial"/>
          <w:i/>
          <w:iCs/>
          <w:color w:val="000000" w:themeColor="text1"/>
          <w:sz w:val="22"/>
          <w:szCs w:val="22"/>
        </w:rPr>
        <w:t>.</w:t>
      </w:r>
      <w:r w:rsidR="002523F9">
        <w:rPr>
          <w:rFonts w:eastAsia="Arial" w:cs="Arial"/>
          <w:i/>
          <w:iCs/>
          <w:color w:val="000000" w:themeColor="text1"/>
          <w:sz w:val="22"/>
          <w:szCs w:val="22"/>
        </w:rPr>
        <w:t xml:space="preserve"> The </w:t>
      </w:r>
      <w:r w:rsidR="004E04CE">
        <w:rPr>
          <w:rFonts w:eastAsia="Arial" w:cs="Arial"/>
          <w:i/>
          <w:iCs/>
          <w:color w:val="000000" w:themeColor="text1"/>
          <w:sz w:val="22"/>
          <w:szCs w:val="22"/>
        </w:rPr>
        <w:t xml:space="preserve">methodology for </w:t>
      </w:r>
      <w:r w:rsidR="004727CF">
        <w:rPr>
          <w:rFonts w:eastAsia="Arial" w:cs="Arial"/>
          <w:i/>
          <w:iCs/>
          <w:color w:val="000000" w:themeColor="text1"/>
          <w:sz w:val="22"/>
          <w:szCs w:val="22"/>
        </w:rPr>
        <w:t>calculati</w:t>
      </w:r>
      <w:r w:rsidR="004E04CE">
        <w:rPr>
          <w:rFonts w:eastAsia="Arial" w:cs="Arial"/>
          <w:i/>
          <w:iCs/>
          <w:color w:val="000000" w:themeColor="text1"/>
          <w:sz w:val="22"/>
          <w:szCs w:val="22"/>
        </w:rPr>
        <w:t>ng</w:t>
      </w:r>
      <w:r w:rsidR="00220EA2">
        <w:rPr>
          <w:rFonts w:eastAsia="Arial" w:cs="Arial"/>
          <w:i/>
          <w:iCs/>
          <w:color w:val="000000" w:themeColor="text1"/>
          <w:sz w:val="22"/>
          <w:szCs w:val="22"/>
        </w:rPr>
        <w:t xml:space="preserve"> private and public finance mobilised</w:t>
      </w:r>
      <w:r w:rsidR="004727CF">
        <w:rPr>
          <w:rFonts w:eastAsia="Arial" w:cs="Arial"/>
          <w:i/>
          <w:iCs/>
          <w:color w:val="000000" w:themeColor="text1"/>
          <w:sz w:val="22"/>
          <w:szCs w:val="22"/>
        </w:rPr>
        <w:t xml:space="preserve"> </w:t>
      </w:r>
      <w:r w:rsidR="004E04CE">
        <w:rPr>
          <w:rFonts w:eastAsia="Arial" w:cs="Arial"/>
          <w:i/>
          <w:iCs/>
          <w:color w:val="000000" w:themeColor="text1"/>
          <w:sz w:val="22"/>
          <w:szCs w:val="22"/>
        </w:rPr>
        <w:t>will be updated for 2025 following latest ICF KPI guidance</w:t>
      </w:r>
      <w:r w:rsidR="00736873">
        <w:rPr>
          <w:rFonts w:eastAsia="Arial" w:cs="Arial"/>
          <w:i/>
          <w:iCs/>
          <w:color w:val="000000" w:themeColor="text1"/>
          <w:sz w:val="22"/>
          <w:szCs w:val="22"/>
        </w:rPr>
        <w:t>.</w:t>
      </w:r>
    </w:p>
    <w:p w14:paraId="6A9D42C8" w14:textId="77777777" w:rsidR="00C8499D" w:rsidRPr="00607A9D" w:rsidRDefault="00C8499D" w:rsidP="006110D9">
      <w:pPr>
        <w:spacing w:after="120"/>
        <w:jc w:val="both"/>
        <w:rPr>
          <w:rFonts w:eastAsia="Arial" w:cs="Arial"/>
          <w:color w:val="000000" w:themeColor="text1"/>
          <w:sz w:val="22"/>
          <w:szCs w:val="22"/>
        </w:rPr>
      </w:pPr>
    </w:p>
    <w:p w14:paraId="1C525693" w14:textId="40DCE241" w:rsidR="00C8499D" w:rsidRDefault="00607A9D" w:rsidP="006110D9">
      <w:pPr>
        <w:spacing w:after="120"/>
        <w:jc w:val="both"/>
        <w:rPr>
          <w:sz w:val="22"/>
          <w:szCs w:val="22"/>
        </w:rPr>
      </w:pPr>
      <w:r w:rsidRPr="00607A9D">
        <w:rPr>
          <w:sz w:val="22"/>
          <w:szCs w:val="22"/>
        </w:rPr>
        <w:t>As illustrated below</w:t>
      </w:r>
      <w:r>
        <w:rPr>
          <w:sz w:val="22"/>
          <w:szCs w:val="22"/>
        </w:rPr>
        <w:t xml:space="preserve"> (fig. 1)</w:t>
      </w:r>
      <w:r w:rsidR="00575919">
        <w:rPr>
          <w:sz w:val="22"/>
          <w:szCs w:val="22"/>
        </w:rPr>
        <w:t xml:space="preserve">, Defra’s initial investment decreased in comparison to the Fund’s size from 9% to 6% during the fundraising </w:t>
      </w:r>
      <w:r w:rsidR="00FF09CB">
        <w:rPr>
          <w:sz w:val="22"/>
          <w:szCs w:val="22"/>
        </w:rPr>
        <w:t>period. Attribution of impact, including leveraged finance, is in proportion to Defra’s share of the Fund in any given year</w:t>
      </w:r>
      <w:r w:rsidR="00E12F15">
        <w:rPr>
          <w:sz w:val="22"/>
          <w:szCs w:val="22"/>
        </w:rPr>
        <w:t xml:space="preserve">, and that leveraged finance in turn begins to accumulate impact, making Defra’s </w:t>
      </w:r>
      <w:r w:rsidR="0033619C">
        <w:rPr>
          <w:sz w:val="22"/>
          <w:szCs w:val="22"/>
        </w:rPr>
        <w:t xml:space="preserve">combined </w:t>
      </w:r>
      <w:r w:rsidR="00E12F15">
        <w:rPr>
          <w:sz w:val="22"/>
          <w:szCs w:val="22"/>
        </w:rPr>
        <w:t xml:space="preserve">direct and leveraged impact </w:t>
      </w:r>
      <w:r w:rsidR="0033619C">
        <w:rPr>
          <w:sz w:val="22"/>
          <w:szCs w:val="22"/>
        </w:rPr>
        <w:t>between 14% and 11.5% of the Fund’s total impacts. This includes co-investment</w:t>
      </w:r>
      <w:r w:rsidR="002234E8">
        <w:rPr>
          <w:sz w:val="22"/>
          <w:szCs w:val="22"/>
        </w:rPr>
        <w:t xml:space="preserve"> by third parties in projects, leading to a snowball effect of fundraising:</w:t>
      </w:r>
    </w:p>
    <w:p w14:paraId="1F3A383C" w14:textId="5C88395A" w:rsidR="00E85691" w:rsidRPr="00D5657B" w:rsidRDefault="00EE39F8" w:rsidP="00EE39F8">
      <w:pPr>
        <w:spacing w:after="120"/>
        <w:jc w:val="both"/>
        <w:rPr>
          <w:i/>
          <w:iCs/>
          <w:color w:val="44546A" w:themeColor="text2"/>
          <w:sz w:val="22"/>
          <w:szCs w:val="22"/>
        </w:rPr>
      </w:pPr>
      <w:r w:rsidRPr="00D5657B">
        <w:rPr>
          <w:rFonts w:eastAsia="Arial" w:cs="Arial"/>
          <w:noProof/>
          <w:color w:val="44546A" w:themeColor="text2"/>
          <w:sz w:val="22"/>
          <w:szCs w:val="22"/>
        </w:rPr>
        <w:lastRenderedPageBreak/>
        <w:drawing>
          <wp:anchor distT="0" distB="0" distL="114300" distR="114300" simplePos="0" relativeHeight="251658242" behindDoc="0" locked="0" layoutInCell="1" allowOverlap="1" wp14:anchorId="6CFEF98B" wp14:editId="3679FAD7">
            <wp:simplePos x="0" y="0"/>
            <wp:positionH relativeFrom="margin">
              <wp:align>center</wp:align>
            </wp:positionH>
            <wp:positionV relativeFrom="paragraph">
              <wp:posOffset>184785</wp:posOffset>
            </wp:positionV>
            <wp:extent cx="6572250" cy="2341880"/>
            <wp:effectExtent l="0" t="0" r="0" b="1270"/>
            <wp:wrapTopAndBottom/>
            <wp:docPr id="226158419"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58419" name="Picture 1" descr="A diagram of a graph&#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572250" cy="2341880"/>
                    </a:xfrm>
                    <a:prstGeom prst="rect">
                      <a:avLst/>
                    </a:prstGeom>
                  </pic:spPr>
                </pic:pic>
              </a:graphicData>
            </a:graphic>
            <wp14:sizeRelH relativeFrom="page">
              <wp14:pctWidth>0</wp14:pctWidth>
            </wp14:sizeRelH>
            <wp14:sizeRelV relativeFrom="page">
              <wp14:pctHeight>0</wp14:pctHeight>
            </wp14:sizeRelV>
          </wp:anchor>
        </w:drawing>
      </w:r>
      <w:r w:rsidR="009235B0" w:rsidRPr="00D5657B">
        <w:rPr>
          <w:i/>
          <w:iCs/>
          <w:color w:val="44546A" w:themeColor="text2"/>
          <w:sz w:val="22"/>
          <w:szCs w:val="22"/>
        </w:rPr>
        <w:t>Figure 1</w:t>
      </w:r>
      <w:r w:rsidR="006733A0">
        <w:rPr>
          <w:i/>
          <w:iCs/>
          <w:color w:val="44546A" w:themeColor="text2"/>
          <w:sz w:val="22"/>
          <w:szCs w:val="22"/>
        </w:rPr>
        <w:t xml:space="preserve"> –</w:t>
      </w:r>
      <w:r w:rsidR="009235B0" w:rsidRPr="00D5657B">
        <w:rPr>
          <w:i/>
          <w:iCs/>
          <w:color w:val="44546A" w:themeColor="text2"/>
          <w:sz w:val="22"/>
          <w:szCs w:val="22"/>
        </w:rPr>
        <w:t xml:space="preserve"> Snowballing effect of public investment</w:t>
      </w:r>
    </w:p>
    <w:p w14:paraId="143F6551" w14:textId="77777777" w:rsidR="00EE39F8" w:rsidRDefault="00EE39F8" w:rsidP="006110D9">
      <w:pPr>
        <w:jc w:val="both"/>
        <w:rPr>
          <w:rFonts w:eastAsia="Arial" w:cs="Arial"/>
          <w:color w:val="000000" w:themeColor="text1"/>
          <w:sz w:val="22"/>
          <w:szCs w:val="22"/>
        </w:rPr>
      </w:pPr>
    </w:p>
    <w:p w14:paraId="5870DE26" w14:textId="1C27726D" w:rsidR="00B06E88" w:rsidRDefault="00B72CDE" w:rsidP="006110D9">
      <w:pPr>
        <w:jc w:val="both"/>
        <w:rPr>
          <w:rFonts w:eastAsia="Arial" w:cs="Arial"/>
          <w:sz w:val="22"/>
          <w:szCs w:val="22"/>
        </w:rPr>
      </w:pPr>
      <w:r w:rsidRPr="62219804">
        <w:rPr>
          <w:rFonts w:eastAsia="Arial" w:cs="Arial"/>
          <w:color w:val="000000" w:themeColor="text1"/>
          <w:sz w:val="22"/>
          <w:szCs w:val="22"/>
        </w:rPr>
        <w:t>Reporting against output indicators for 202</w:t>
      </w:r>
      <w:r w:rsidR="00F75CDD" w:rsidRPr="62219804">
        <w:rPr>
          <w:rFonts w:eastAsia="Arial" w:cs="Arial"/>
          <w:color w:val="000000" w:themeColor="text1"/>
          <w:sz w:val="22"/>
          <w:szCs w:val="22"/>
        </w:rPr>
        <w:t>4</w:t>
      </w:r>
      <w:r w:rsidRPr="62219804">
        <w:rPr>
          <w:rFonts w:eastAsia="Arial" w:cs="Arial"/>
          <w:color w:val="000000" w:themeColor="text1"/>
          <w:sz w:val="22"/>
          <w:szCs w:val="22"/>
        </w:rPr>
        <w:t xml:space="preserve"> demonstrates relatively </w:t>
      </w:r>
      <w:r w:rsidR="0052572F" w:rsidRPr="62219804">
        <w:rPr>
          <w:rFonts w:eastAsia="Arial" w:cs="Arial"/>
          <w:color w:val="000000" w:themeColor="text1"/>
          <w:sz w:val="22"/>
          <w:szCs w:val="22"/>
        </w:rPr>
        <w:t>s</w:t>
      </w:r>
      <w:r w:rsidR="006A7432" w:rsidRPr="62219804">
        <w:rPr>
          <w:rFonts w:eastAsia="Arial" w:cs="Arial"/>
          <w:color w:val="000000" w:themeColor="text1"/>
          <w:sz w:val="22"/>
          <w:szCs w:val="22"/>
        </w:rPr>
        <w:t>tead</w:t>
      </w:r>
      <w:r w:rsidR="0052572F" w:rsidRPr="62219804">
        <w:rPr>
          <w:rFonts w:eastAsia="Arial" w:cs="Arial"/>
          <w:color w:val="000000" w:themeColor="text1"/>
          <w:sz w:val="22"/>
          <w:szCs w:val="22"/>
        </w:rPr>
        <w:t>y</w:t>
      </w:r>
      <w:r w:rsidRPr="62219804">
        <w:rPr>
          <w:rFonts w:eastAsia="Arial" w:cs="Arial"/>
          <w:color w:val="000000" w:themeColor="text1"/>
          <w:sz w:val="22"/>
          <w:szCs w:val="22"/>
        </w:rPr>
        <w:t xml:space="preserve"> conversion of </w:t>
      </w:r>
      <w:r w:rsidR="004531E3" w:rsidRPr="62219804">
        <w:rPr>
          <w:rFonts w:eastAsia="Arial" w:cs="Arial"/>
          <w:color w:val="000000" w:themeColor="text1"/>
          <w:sz w:val="22"/>
          <w:szCs w:val="22"/>
        </w:rPr>
        <w:t xml:space="preserve">inputs into outputs, with </w:t>
      </w:r>
      <w:r w:rsidR="009D0DE1" w:rsidRPr="62219804">
        <w:rPr>
          <w:rFonts w:eastAsia="Arial" w:cs="Arial"/>
          <w:color w:val="000000" w:themeColor="text1"/>
          <w:sz w:val="22"/>
          <w:szCs w:val="22"/>
        </w:rPr>
        <w:t>5</w:t>
      </w:r>
      <w:r w:rsidR="00A60B11">
        <w:rPr>
          <w:rFonts w:eastAsia="Arial" w:cs="Arial"/>
          <w:color w:val="000000" w:themeColor="text1"/>
          <w:sz w:val="22"/>
          <w:szCs w:val="22"/>
        </w:rPr>
        <w:t>9</w:t>
      </w:r>
      <w:r w:rsidR="004531E3" w:rsidRPr="62219804">
        <w:rPr>
          <w:rFonts w:eastAsia="Arial" w:cs="Arial"/>
          <w:color w:val="000000" w:themeColor="text1"/>
          <w:sz w:val="22"/>
          <w:szCs w:val="22"/>
        </w:rPr>
        <w:t>% of indicators</w:t>
      </w:r>
      <w:r w:rsidR="00902053" w:rsidRPr="62219804">
        <w:rPr>
          <w:rFonts w:eastAsia="Arial" w:cs="Arial"/>
          <w:color w:val="000000" w:themeColor="text1"/>
          <w:sz w:val="22"/>
          <w:szCs w:val="22"/>
        </w:rPr>
        <w:t>, meeting or exceeding their targets for 202</w:t>
      </w:r>
      <w:r w:rsidR="006D2279" w:rsidRPr="62219804">
        <w:rPr>
          <w:rFonts w:eastAsia="Arial" w:cs="Arial"/>
          <w:color w:val="000000" w:themeColor="text1"/>
          <w:sz w:val="22"/>
          <w:szCs w:val="22"/>
        </w:rPr>
        <w:t>4</w:t>
      </w:r>
      <w:r w:rsidR="00902053" w:rsidRPr="62219804">
        <w:rPr>
          <w:rFonts w:eastAsia="Arial" w:cs="Arial"/>
          <w:color w:val="000000" w:themeColor="text1"/>
          <w:sz w:val="22"/>
          <w:szCs w:val="22"/>
        </w:rPr>
        <w:t xml:space="preserve">. </w:t>
      </w:r>
      <w:proofErr w:type="gramStart"/>
      <w:r w:rsidR="008F4948" w:rsidRPr="62219804">
        <w:rPr>
          <w:rFonts w:eastAsia="Arial" w:cs="Arial"/>
          <w:color w:val="000000" w:themeColor="text1"/>
          <w:sz w:val="22"/>
          <w:szCs w:val="22"/>
        </w:rPr>
        <w:t>B</w:t>
      </w:r>
      <w:r w:rsidR="002F4481" w:rsidRPr="62219804">
        <w:rPr>
          <w:rFonts w:eastAsia="Arial" w:cs="Arial"/>
          <w:color w:val="000000" w:themeColor="text1"/>
          <w:sz w:val="22"/>
          <w:szCs w:val="22"/>
        </w:rPr>
        <w:t>oth</w:t>
      </w:r>
      <w:r w:rsidR="00C1576A" w:rsidRPr="62219804">
        <w:rPr>
          <w:rFonts w:eastAsia="Arial" w:cs="Arial"/>
          <w:color w:val="000000" w:themeColor="text1"/>
          <w:sz w:val="22"/>
          <w:szCs w:val="22"/>
        </w:rPr>
        <w:t xml:space="preserve"> of the</w:t>
      </w:r>
      <w:r w:rsidR="002F4481" w:rsidRPr="62219804">
        <w:rPr>
          <w:rFonts w:eastAsia="Arial" w:cs="Arial"/>
          <w:color w:val="000000" w:themeColor="text1"/>
          <w:sz w:val="22"/>
          <w:szCs w:val="22"/>
        </w:rPr>
        <w:t xml:space="preserve"> </w:t>
      </w:r>
      <w:r w:rsidR="00C3181E" w:rsidRPr="62219804">
        <w:rPr>
          <w:rFonts w:eastAsia="Arial" w:cs="Arial"/>
          <w:color w:val="000000" w:themeColor="text1"/>
          <w:sz w:val="22"/>
          <w:szCs w:val="22"/>
        </w:rPr>
        <w:t>two</w:t>
      </w:r>
      <w:proofErr w:type="gramEnd"/>
      <w:r w:rsidR="00C3181E" w:rsidRPr="62219804">
        <w:rPr>
          <w:rFonts w:eastAsia="Arial" w:cs="Arial"/>
          <w:color w:val="000000" w:themeColor="text1"/>
          <w:sz w:val="22"/>
          <w:szCs w:val="22"/>
        </w:rPr>
        <w:t xml:space="preserve"> </w:t>
      </w:r>
      <w:r w:rsidR="002F4481" w:rsidRPr="62219804">
        <w:rPr>
          <w:rFonts w:eastAsia="Arial" w:cs="Arial"/>
          <w:color w:val="000000" w:themeColor="text1"/>
          <w:sz w:val="22"/>
          <w:szCs w:val="22"/>
        </w:rPr>
        <w:t xml:space="preserve">indicators </w:t>
      </w:r>
      <w:r w:rsidR="00C3181E" w:rsidRPr="62219804">
        <w:rPr>
          <w:rFonts w:eastAsia="Arial" w:cs="Arial"/>
          <w:color w:val="000000" w:themeColor="text1"/>
          <w:sz w:val="22"/>
          <w:szCs w:val="22"/>
        </w:rPr>
        <w:t xml:space="preserve">reported against </w:t>
      </w:r>
      <w:r w:rsidR="00675CC6" w:rsidRPr="62219804">
        <w:rPr>
          <w:rFonts w:eastAsia="Arial" w:cs="Arial"/>
          <w:color w:val="000000" w:themeColor="text1"/>
          <w:sz w:val="22"/>
          <w:szCs w:val="22"/>
        </w:rPr>
        <w:t xml:space="preserve">Output </w:t>
      </w:r>
      <w:r w:rsidR="00CA086A" w:rsidRPr="62219804">
        <w:rPr>
          <w:rFonts w:eastAsia="Arial" w:cs="Arial"/>
          <w:color w:val="000000" w:themeColor="text1"/>
          <w:sz w:val="22"/>
          <w:szCs w:val="22"/>
        </w:rPr>
        <w:t xml:space="preserve">3 </w:t>
      </w:r>
      <w:r w:rsidR="002F4481" w:rsidRPr="62219804">
        <w:rPr>
          <w:rFonts w:eastAsia="Arial" w:cs="Arial"/>
          <w:color w:val="000000" w:themeColor="text1"/>
          <w:sz w:val="22"/>
          <w:szCs w:val="22"/>
        </w:rPr>
        <w:t>demonstrat</w:t>
      </w:r>
      <w:r w:rsidR="00CA086A" w:rsidRPr="62219804">
        <w:rPr>
          <w:rFonts w:eastAsia="Arial" w:cs="Arial"/>
          <w:color w:val="000000" w:themeColor="text1"/>
          <w:sz w:val="22"/>
          <w:szCs w:val="22"/>
        </w:rPr>
        <w:t>ed</w:t>
      </w:r>
      <w:r w:rsidR="002F4481" w:rsidRPr="62219804">
        <w:rPr>
          <w:rFonts w:eastAsia="Arial" w:cs="Arial"/>
          <w:color w:val="000000" w:themeColor="text1"/>
          <w:sz w:val="22"/>
          <w:szCs w:val="22"/>
        </w:rPr>
        <w:t xml:space="preserve"> </w:t>
      </w:r>
      <w:r w:rsidR="0008370E" w:rsidRPr="62219804">
        <w:rPr>
          <w:rFonts w:eastAsia="Arial" w:cs="Arial"/>
          <w:color w:val="000000" w:themeColor="text1"/>
          <w:sz w:val="22"/>
          <w:szCs w:val="22"/>
        </w:rPr>
        <w:t>str</w:t>
      </w:r>
      <w:r w:rsidR="00F84953" w:rsidRPr="62219804">
        <w:rPr>
          <w:rFonts w:eastAsia="Arial" w:cs="Arial"/>
          <w:color w:val="000000" w:themeColor="text1"/>
          <w:sz w:val="22"/>
          <w:szCs w:val="22"/>
        </w:rPr>
        <w:t xml:space="preserve">ong progress on </w:t>
      </w:r>
      <w:r w:rsidR="00236270" w:rsidRPr="62219804">
        <w:rPr>
          <w:rFonts w:eastAsia="Arial" w:cs="Arial"/>
          <w:color w:val="000000" w:themeColor="text1"/>
          <w:sz w:val="22"/>
          <w:szCs w:val="22"/>
        </w:rPr>
        <w:t>social outputs</w:t>
      </w:r>
      <w:r w:rsidR="0036083A" w:rsidRPr="62219804">
        <w:rPr>
          <w:rFonts w:eastAsia="Arial" w:cs="Arial"/>
          <w:color w:val="000000" w:themeColor="text1"/>
          <w:sz w:val="22"/>
          <w:szCs w:val="22"/>
        </w:rPr>
        <w:t>, with</w:t>
      </w:r>
      <w:r w:rsidR="00236270" w:rsidRPr="62219804">
        <w:rPr>
          <w:rFonts w:eastAsia="Arial" w:cs="Arial"/>
          <w:color w:val="000000" w:themeColor="text1"/>
          <w:sz w:val="22"/>
          <w:szCs w:val="22"/>
        </w:rPr>
        <w:t xml:space="preserve"> </w:t>
      </w:r>
      <w:r w:rsidR="0052572F" w:rsidRPr="62219804">
        <w:rPr>
          <w:rFonts w:eastAsia="Arial" w:cs="Arial"/>
          <w:sz w:val="22"/>
          <w:szCs w:val="22"/>
        </w:rPr>
        <w:t>145,082</w:t>
      </w:r>
      <w:r w:rsidR="00D504EF" w:rsidRPr="62219804">
        <w:rPr>
          <w:rFonts w:eastAsia="Arial" w:cs="Arial"/>
          <w:sz w:val="22"/>
          <w:szCs w:val="22"/>
        </w:rPr>
        <w:t xml:space="preserve"> jobs created or supported through the LDN fund</w:t>
      </w:r>
      <w:r w:rsidR="002B0580" w:rsidRPr="62219804">
        <w:rPr>
          <w:rFonts w:eastAsia="Arial" w:cs="Arial"/>
          <w:sz w:val="22"/>
          <w:szCs w:val="22"/>
        </w:rPr>
        <w:t xml:space="preserve"> –</w:t>
      </w:r>
      <w:r w:rsidR="00B06E88" w:rsidRPr="62219804">
        <w:rPr>
          <w:rFonts w:eastAsia="Arial" w:cs="Arial"/>
          <w:sz w:val="22"/>
          <w:szCs w:val="22"/>
        </w:rPr>
        <w:t xml:space="preserve"> a notable overachievement at this stage.</w:t>
      </w:r>
    </w:p>
    <w:p w14:paraId="455EC2C4" w14:textId="77777777" w:rsidR="00A43492" w:rsidRDefault="00A43492" w:rsidP="006110D9">
      <w:pPr>
        <w:jc w:val="both"/>
        <w:rPr>
          <w:rFonts w:eastAsia="Arial" w:cs="Arial"/>
          <w:color w:val="000000" w:themeColor="text1"/>
          <w:sz w:val="22"/>
          <w:szCs w:val="22"/>
        </w:rPr>
      </w:pPr>
    </w:p>
    <w:p w14:paraId="1B9406AD" w14:textId="1F2F90F4" w:rsidR="004A2A07" w:rsidRPr="00975C38" w:rsidRDefault="004A2A07" w:rsidP="006110D9">
      <w:pPr>
        <w:pStyle w:val="Caption"/>
        <w:keepNext/>
        <w:jc w:val="both"/>
        <w:rPr>
          <w:sz w:val="22"/>
          <w:szCs w:val="22"/>
        </w:rPr>
      </w:pPr>
      <w:r w:rsidRPr="00975C38">
        <w:rPr>
          <w:sz w:val="22"/>
          <w:szCs w:val="22"/>
        </w:rPr>
        <w:t xml:space="preserve">Table </w:t>
      </w:r>
      <w:r w:rsidRPr="00975C38">
        <w:rPr>
          <w:sz w:val="22"/>
          <w:szCs w:val="22"/>
        </w:rPr>
        <w:fldChar w:fldCharType="begin"/>
      </w:r>
      <w:r w:rsidRPr="00975C38">
        <w:rPr>
          <w:sz w:val="22"/>
          <w:szCs w:val="22"/>
        </w:rPr>
        <w:instrText xml:space="preserve"> SEQ Table \* ARABIC </w:instrText>
      </w:r>
      <w:r w:rsidRPr="00975C38">
        <w:rPr>
          <w:sz w:val="22"/>
          <w:szCs w:val="22"/>
        </w:rPr>
        <w:fldChar w:fldCharType="separate"/>
      </w:r>
      <w:r w:rsidR="00975C38" w:rsidRPr="00975C38">
        <w:rPr>
          <w:noProof/>
          <w:sz w:val="22"/>
          <w:szCs w:val="22"/>
        </w:rPr>
        <w:t>2</w:t>
      </w:r>
      <w:r w:rsidRPr="00975C38">
        <w:rPr>
          <w:sz w:val="22"/>
          <w:szCs w:val="22"/>
        </w:rPr>
        <w:fldChar w:fldCharType="end"/>
      </w:r>
      <w:r w:rsidRPr="00975C38">
        <w:rPr>
          <w:sz w:val="22"/>
          <w:szCs w:val="22"/>
        </w:rPr>
        <w:t xml:space="preserve"> - Summary table of programme performance against 202</w:t>
      </w:r>
      <w:r w:rsidR="00CA086A">
        <w:rPr>
          <w:sz w:val="22"/>
          <w:szCs w:val="22"/>
        </w:rPr>
        <w:t>4</w:t>
      </w:r>
      <w:r w:rsidRPr="00975C38">
        <w:rPr>
          <w:sz w:val="22"/>
          <w:szCs w:val="22"/>
        </w:rPr>
        <w:t xml:space="preserve"> indicator targets</w:t>
      </w:r>
      <w:r w:rsidR="00975C38">
        <w:rPr>
          <w:rStyle w:val="FootnoteReference"/>
          <w:rFonts w:eastAsia="Arial" w:cs="Arial"/>
          <w:color w:val="000000" w:themeColor="text1"/>
          <w:sz w:val="22"/>
          <w:szCs w:val="22"/>
        </w:rPr>
        <w:footnoteReference w:id="2"/>
      </w: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24"/>
        <w:gridCol w:w="1597"/>
        <w:gridCol w:w="1597"/>
        <w:gridCol w:w="1597"/>
      </w:tblGrid>
      <w:tr w:rsidR="006B1DBE" w:rsidRPr="00D10F90" w14:paraId="3FF9EB0C" w14:textId="77777777" w:rsidTr="00EC4E49">
        <w:trPr>
          <w:trHeight w:val="300"/>
        </w:trPr>
        <w:tc>
          <w:tcPr>
            <w:tcW w:w="4224" w:type="dxa"/>
            <w:shd w:val="clear" w:color="auto" w:fill="BDD6EE" w:themeFill="accent5" w:themeFillTint="66"/>
            <w:tcMar>
              <w:left w:w="105" w:type="dxa"/>
              <w:right w:w="105" w:type="dxa"/>
            </w:tcMar>
            <w:vAlign w:val="center"/>
          </w:tcPr>
          <w:p w14:paraId="3C96A01A" w14:textId="77777777" w:rsidR="006B1DBE" w:rsidRPr="00D10F90" w:rsidRDefault="006B1DBE" w:rsidP="006110D9">
            <w:pPr>
              <w:spacing w:line="259" w:lineRule="auto"/>
              <w:jc w:val="both"/>
              <w:rPr>
                <w:rFonts w:eastAsia="Aptos" w:cs="Arial"/>
                <w:b/>
                <w:sz w:val="20"/>
                <w:szCs w:val="20"/>
              </w:rPr>
            </w:pPr>
          </w:p>
        </w:tc>
        <w:tc>
          <w:tcPr>
            <w:tcW w:w="1597" w:type="dxa"/>
            <w:shd w:val="clear" w:color="auto" w:fill="BDD6EE" w:themeFill="accent5" w:themeFillTint="66"/>
            <w:tcMar>
              <w:left w:w="105" w:type="dxa"/>
              <w:right w:w="105" w:type="dxa"/>
            </w:tcMar>
            <w:vAlign w:val="center"/>
          </w:tcPr>
          <w:p w14:paraId="7988CBCD" w14:textId="77777777" w:rsidR="006B1DBE" w:rsidRPr="00D10F90" w:rsidRDefault="006B1DBE" w:rsidP="006110D9">
            <w:pPr>
              <w:spacing w:line="259" w:lineRule="auto"/>
              <w:jc w:val="both"/>
              <w:rPr>
                <w:rFonts w:eastAsia="Aptos" w:cs="Arial"/>
                <w:b/>
                <w:sz w:val="20"/>
                <w:szCs w:val="20"/>
              </w:rPr>
            </w:pPr>
            <w:r w:rsidRPr="00D10F90">
              <w:rPr>
                <w:rFonts w:eastAsia="Aptos" w:cs="Arial"/>
                <w:b/>
                <w:sz w:val="20"/>
                <w:szCs w:val="20"/>
              </w:rPr>
              <w:t>Output Indicators</w:t>
            </w:r>
          </w:p>
        </w:tc>
        <w:tc>
          <w:tcPr>
            <w:tcW w:w="1597" w:type="dxa"/>
            <w:shd w:val="clear" w:color="auto" w:fill="BDD6EE" w:themeFill="accent5" w:themeFillTint="66"/>
            <w:tcMar>
              <w:left w:w="105" w:type="dxa"/>
              <w:right w:w="105" w:type="dxa"/>
            </w:tcMar>
            <w:vAlign w:val="center"/>
          </w:tcPr>
          <w:p w14:paraId="0FFF66D2" w14:textId="4087FEEF" w:rsidR="006B1DBE" w:rsidRPr="00D10F90" w:rsidRDefault="006B1DBE" w:rsidP="006110D9">
            <w:pPr>
              <w:spacing w:line="259" w:lineRule="auto"/>
              <w:jc w:val="both"/>
              <w:rPr>
                <w:rFonts w:eastAsia="Aptos" w:cs="Arial"/>
                <w:b/>
                <w:sz w:val="20"/>
                <w:szCs w:val="20"/>
              </w:rPr>
            </w:pPr>
            <w:r w:rsidRPr="00D10F90">
              <w:rPr>
                <w:rFonts w:eastAsia="Aptos" w:cs="Arial"/>
                <w:b/>
                <w:sz w:val="20"/>
                <w:szCs w:val="20"/>
              </w:rPr>
              <w:t>Outcome</w:t>
            </w:r>
            <w:r w:rsidR="002F2917">
              <w:rPr>
                <w:rFonts w:eastAsia="Aptos" w:cs="Arial"/>
                <w:b/>
                <w:sz w:val="20"/>
                <w:szCs w:val="20"/>
              </w:rPr>
              <w:t xml:space="preserve"> indicators</w:t>
            </w:r>
          </w:p>
        </w:tc>
        <w:tc>
          <w:tcPr>
            <w:tcW w:w="1597" w:type="dxa"/>
            <w:shd w:val="clear" w:color="auto" w:fill="BDD6EE" w:themeFill="accent5" w:themeFillTint="66"/>
            <w:tcMar>
              <w:left w:w="105" w:type="dxa"/>
              <w:right w:w="105" w:type="dxa"/>
            </w:tcMar>
            <w:vAlign w:val="center"/>
          </w:tcPr>
          <w:p w14:paraId="541836C4" w14:textId="77777777" w:rsidR="006B1DBE" w:rsidRPr="00D10F90" w:rsidRDefault="006B1DBE" w:rsidP="006110D9">
            <w:pPr>
              <w:spacing w:line="259" w:lineRule="auto"/>
              <w:jc w:val="both"/>
              <w:rPr>
                <w:rFonts w:eastAsia="Aptos" w:cs="Arial"/>
                <w:b/>
                <w:sz w:val="20"/>
                <w:szCs w:val="20"/>
              </w:rPr>
            </w:pPr>
            <w:r w:rsidRPr="00D10F90">
              <w:rPr>
                <w:rFonts w:eastAsia="Aptos" w:cs="Arial"/>
                <w:b/>
                <w:sz w:val="20"/>
                <w:szCs w:val="20"/>
              </w:rPr>
              <w:t>Total</w:t>
            </w:r>
          </w:p>
        </w:tc>
      </w:tr>
      <w:tr w:rsidR="006B1DBE" w:rsidRPr="00D10F90" w14:paraId="08B5E65D" w14:textId="77777777" w:rsidTr="00EC4E49">
        <w:trPr>
          <w:trHeight w:val="75"/>
        </w:trPr>
        <w:tc>
          <w:tcPr>
            <w:tcW w:w="4224" w:type="dxa"/>
            <w:tcMar>
              <w:left w:w="105" w:type="dxa"/>
              <w:right w:w="105" w:type="dxa"/>
            </w:tcMar>
            <w:vAlign w:val="center"/>
          </w:tcPr>
          <w:p w14:paraId="71BB1023" w14:textId="5DFA1B5E" w:rsidR="006B1DBE" w:rsidRPr="00D10F90" w:rsidRDefault="006B1DBE" w:rsidP="006110D9">
            <w:pPr>
              <w:spacing w:line="259" w:lineRule="auto"/>
              <w:jc w:val="both"/>
              <w:rPr>
                <w:rFonts w:eastAsia="Aptos" w:cs="Arial"/>
                <w:sz w:val="20"/>
                <w:szCs w:val="20"/>
              </w:rPr>
            </w:pPr>
            <w:r w:rsidRPr="00D10F90">
              <w:rPr>
                <w:rFonts w:eastAsia="Aptos" w:cs="Arial"/>
                <w:sz w:val="20"/>
                <w:szCs w:val="20"/>
              </w:rPr>
              <w:t xml:space="preserve">Number of </w:t>
            </w:r>
            <w:r w:rsidR="00CD0B58">
              <w:rPr>
                <w:rFonts w:eastAsia="Aptos" w:cs="Arial"/>
                <w:sz w:val="20"/>
                <w:szCs w:val="20"/>
              </w:rPr>
              <w:t xml:space="preserve">targets </w:t>
            </w:r>
            <w:r w:rsidRPr="009C5F1D">
              <w:rPr>
                <w:rFonts w:eastAsia="Aptos" w:cs="Arial"/>
                <w:color w:val="00B050"/>
                <w:sz w:val="20"/>
                <w:szCs w:val="20"/>
              </w:rPr>
              <w:t xml:space="preserve">met or </w:t>
            </w:r>
            <w:r w:rsidRPr="00D10F90">
              <w:rPr>
                <w:rFonts w:eastAsia="Aptos" w:cs="Arial"/>
                <w:color w:val="00B050"/>
                <w:sz w:val="20"/>
                <w:szCs w:val="20"/>
              </w:rPr>
              <w:t>exceeded</w:t>
            </w:r>
          </w:p>
        </w:tc>
        <w:tc>
          <w:tcPr>
            <w:tcW w:w="1597" w:type="dxa"/>
            <w:tcMar>
              <w:left w:w="105" w:type="dxa"/>
              <w:right w:w="105" w:type="dxa"/>
            </w:tcMar>
            <w:vAlign w:val="center"/>
          </w:tcPr>
          <w:p w14:paraId="3066F452" w14:textId="08766FA8" w:rsidR="006B1DBE" w:rsidRPr="00D10F90" w:rsidRDefault="00D41665" w:rsidP="006110D9">
            <w:pPr>
              <w:spacing w:line="259" w:lineRule="auto"/>
              <w:jc w:val="both"/>
              <w:rPr>
                <w:rFonts w:eastAsia="Aptos" w:cs="Arial"/>
                <w:sz w:val="20"/>
                <w:szCs w:val="20"/>
              </w:rPr>
            </w:pPr>
            <w:r>
              <w:rPr>
                <w:rFonts w:eastAsia="Aptos" w:cs="Arial"/>
                <w:sz w:val="20"/>
                <w:szCs w:val="20"/>
              </w:rPr>
              <w:t>7</w:t>
            </w:r>
          </w:p>
        </w:tc>
        <w:tc>
          <w:tcPr>
            <w:tcW w:w="1597" w:type="dxa"/>
            <w:tcMar>
              <w:left w:w="105" w:type="dxa"/>
              <w:right w:w="105" w:type="dxa"/>
            </w:tcMar>
            <w:vAlign w:val="center"/>
          </w:tcPr>
          <w:p w14:paraId="78B7ACF3" w14:textId="1E0CC4B9" w:rsidR="006B1DBE" w:rsidRPr="00D10F90" w:rsidRDefault="00C05AC1" w:rsidP="006110D9">
            <w:pPr>
              <w:spacing w:line="259" w:lineRule="auto"/>
              <w:jc w:val="both"/>
              <w:rPr>
                <w:rFonts w:eastAsia="Aptos" w:cs="Arial"/>
                <w:sz w:val="20"/>
                <w:szCs w:val="20"/>
              </w:rPr>
            </w:pPr>
            <w:r>
              <w:rPr>
                <w:rFonts w:eastAsia="Aptos" w:cs="Arial"/>
                <w:sz w:val="20"/>
                <w:szCs w:val="20"/>
              </w:rPr>
              <w:t>3</w:t>
            </w:r>
          </w:p>
        </w:tc>
        <w:tc>
          <w:tcPr>
            <w:tcW w:w="1597" w:type="dxa"/>
            <w:tcMar>
              <w:left w:w="105" w:type="dxa"/>
              <w:right w:w="105" w:type="dxa"/>
            </w:tcMar>
            <w:vAlign w:val="center"/>
          </w:tcPr>
          <w:p w14:paraId="3972EB33" w14:textId="6980C37B" w:rsidR="006B1DBE" w:rsidRPr="00D10F90" w:rsidRDefault="006B1DBE" w:rsidP="006110D9">
            <w:pPr>
              <w:spacing w:line="259" w:lineRule="auto"/>
              <w:jc w:val="both"/>
              <w:rPr>
                <w:rFonts w:eastAsia="Aptos" w:cs="Arial"/>
                <w:sz w:val="20"/>
                <w:szCs w:val="20"/>
              </w:rPr>
            </w:pPr>
            <w:r>
              <w:rPr>
                <w:rFonts w:eastAsia="Aptos" w:cs="Arial"/>
                <w:sz w:val="20"/>
                <w:szCs w:val="20"/>
              </w:rPr>
              <w:t>10</w:t>
            </w:r>
          </w:p>
        </w:tc>
      </w:tr>
      <w:tr w:rsidR="006B1DBE" w:rsidRPr="00D10F90" w14:paraId="401E49E0" w14:textId="77777777" w:rsidTr="00EC4E49">
        <w:trPr>
          <w:trHeight w:val="75"/>
        </w:trPr>
        <w:tc>
          <w:tcPr>
            <w:tcW w:w="4224" w:type="dxa"/>
            <w:tcMar>
              <w:left w:w="105" w:type="dxa"/>
              <w:right w:w="105" w:type="dxa"/>
            </w:tcMar>
            <w:vAlign w:val="center"/>
          </w:tcPr>
          <w:p w14:paraId="4553214D" w14:textId="5EF8C115" w:rsidR="006B1DBE" w:rsidRPr="00D10F90" w:rsidRDefault="006B1DBE" w:rsidP="006110D9">
            <w:pPr>
              <w:spacing w:line="259" w:lineRule="auto"/>
              <w:jc w:val="both"/>
              <w:rPr>
                <w:rFonts w:eastAsia="Aptos" w:cs="Arial"/>
                <w:sz w:val="20"/>
                <w:szCs w:val="20"/>
              </w:rPr>
            </w:pPr>
            <w:r w:rsidRPr="00D10F90">
              <w:rPr>
                <w:rFonts w:eastAsia="Aptos" w:cs="Arial"/>
                <w:sz w:val="20"/>
                <w:szCs w:val="20"/>
              </w:rPr>
              <w:t xml:space="preserve">Number of </w:t>
            </w:r>
            <w:r w:rsidR="00CD0B58">
              <w:rPr>
                <w:rFonts w:eastAsia="Aptos" w:cs="Arial"/>
                <w:sz w:val="20"/>
                <w:szCs w:val="20"/>
              </w:rPr>
              <w:t xml:space="preserve">targets </w:t>
            </w:r>
            <w:r w:rsidRPr="00D10F90">
              <w:rPr>
                <w:rFonts w:eastAsia="Aptos" w:cs="Arial"/>
                <w:color w:val="C00000"/>
                <w:sz w:val="20"/>
                <w:szCs w:val="20"/>
              </w:rPr>
              <w:t>not delivered</w:t>
            </w:r>
          </w:p>
        </w:tc>
        <w:tc>
          <w:tcPr>
            <w:tcW w:w="1597" w:type="dxa"/>
            <w:tcMar>
              <w:left w:w="105" w:type="dxa"/>
              <w:right w:w="105" w:type="dxa"/>
            </w:tcMar>
            <w:vAlign w:val="center"/>
          </w:tcPr>
          <w:p w14:paraId="2131648F" w14:textId="65C7BEFB" w:rsidR="006B1DBE" w:rsidRPr="00D10F90" w:rsidRDefault="00C05AC1" w:rsidP="006110D9">
            <w:pPr>
              <w:spacing w:line="259" w:lineRule="auto"/>
              <w:jc w:val="both"/>
              <w:rPr>
                <w:rFonts w:eastAsia="Aptos" w:cs="Arial"/>
                <w:sz w:val="20"/>
                <w:szCs w:val="20"/>
              </w:rPr>
            </w:pPr>
            <w:r>
              <w:rPr>
                <w:rFonts w:eastAsia="Aptos" w:cs="Arial"/>
                <w:sz w:val="20"/>
                <w:szCs w:val="20"/>
              </w:rPr>
              <w:t>4</w:t>
            </w:r>
          </w:p>
        </w:tc>
        <w:tc>
          <w:tcPr>
            <w:tcW w:w="1597" w:type="dxa"/>
            <w:tcMar>
              <w:left w:w="105" w:type="dxa"/>
              <w:right w:w="105" w:type="dxa"/>
            </w:tcMar>
            <w:vAlign w:val="center"/>
          </w:tcPr>
          <w:p w14:paraId="7EEB96C4" w14:textId="631AB05C" w:rsidR="006B1DBE" w:rsidRPr="00D10F90" w:rsidRDefault="006B1DBE" w:rsidP="006110D9">
            <w:pPr>
              <w:spacing w:line="259" w:lineRule="auto"/>
              <w:jc w:val="both"/>
              <w:rPr>
                <w:rFonts w:eastAsia="Aptos" w:cs="Arial"/>
                <w:sz w:val="20"/>
                <w:szCs w:val="20"/>
              </w:rPr>
            </w:pPr>
            <w:r>
              <w:rPr>
                <w:rFonts w:eastAsia="Aptos" w:cs="Arial"/>
                <w:sz w:val="20"/>
                <w:szCs w:val="20"/>
              </w:rPr>
              <w:t>3</w:t>
            </w:r>
          </w:p>
        </w:tc>
        <w:tc>
          <w:tcPr>
            <w:tcW w:w="1597" w:type="dxa"/>
            <w:tcMar>
              <w:left w:w="105" w:type="dxa"/>
              <w:right w:w="105" w:type="dxa"/>
            </w:tcMar>
            <w:vAlign w:val="center"/>
          </w:tcPr>
          <w:p w14:paraId="2F03CEB9" w14:textId="7E82FABC" w:rsidR="006B1DBE" w:rsidRPr="00D10F90" w:rsidRDefault="00D41665" w:rsidP="006110D9">
            <w:pPr>
              <w:spacing w:line="259" w:lineRule="auto"/>
              <w:jc w:val="both"/>
              <w:rPr>
                <w:rFonts w:eastAsia="Aptos" w:cs="Arial"/>
                <w:sz w:val="20"/>
                <w:szCs w:val="20"/>
              </w:rPr>
            </w:pPr>
            <w:r>
              <w:rPr>
                <w:rFonts w:eastAsia="Aptos" w:cs="Arial"/>
                <w:sz w:val="20"/>
                <w:szCs w:val="20"/>
              </w:rPr>
              <w:t>7</w:t>
            </w:r>
          </w:p>
        </w:tc>
      </w:tr>
      <w:tr w:rsidR="006B1DBE" w:rsidRPr="00D10F90" w14:paraId="5AA34C09" w14:textId="77777777" w:rsidTr="00EC4E49">
        <w:trPr>
          <w:trHeight w:val="75"/>
        </w:trPr>
        <w:tc>
          <w:tcPr>
            <w:tcW w:w="4224" w:type="dxa"/>
            <w:tcMar>
              <w:left w:w="105" w:type="dxa"/>
              <w:right w:w="105" w:type="dxa"/>
            </w:tcMar>
            <w:vAlign w:val="center"/>
          </w:tcPr>
          <w:p w14:paraId="6504F8D4" w14:textId="77777777" w:rsidR="006B1DBE" w:rsidRPr="00D10F90" w:rsidRDefault="006B1DBE" w:rsidP="006110D9">
            <w:pPr>
              <w:spacing w:line="259" w:lineRule="auto"/>
              <w:jc w:val="both"/>
              <w:rPr>
                <w:rFonts w:eastAsia="Aptos" w:cs="Arial"/>
                <w:b/>
                <w:sz w:val="20"/>
                <w:szCs w:val="20"/>
              </w:rPr>
            </w:pPr>
            <w:r w:rsidRPr="00D10F90">
              <w:rPr>
                <w:rFonts w:eastAsia="Aptos" w:cs="Arial"/>
                <w:b/>
                <w:sz w:val="20"/>
                <w:szCs w:val="20"/>
              </w:rPr>
              <w:t>Total</w:t>
            </w:r>
          </w:p>
        </w:tc>
        <w:tc>
          <w:tcPr>
            <w:tcW w:w="1597" w:type="dxa"/>
            <w:tcMar>
              <w:left w:w="105" w:type="dxa"/>
              <w:right w:w="105" w:type="dxa"/>
            </w:tcMar>
            <w:vAlign w:val="center"/>
          </w:tcPr>
          <w:p w14:paraId="0ACAD0C9" w14:textId="7C88DA1A" w:rsidR="006B1DBE" w:rsidRPr="00D10F90" w:rsidRDefault="006B1DBE" w:rsidP="006110D9">
            <w:pPr>
              <w:spacing w:line="259" w:lineRule="auto"/>
              <w:jc w:val="both"/>
              <w:rPr>
                <w:rFonts w:eastAsia="Aptos" w:cs="Arial"/>
                <w:b/>
                <w:sz w:val="20"/>
                <w:szCs w:val="20"/>
              </w:rPr>
            </w:pPr>
            <w:r>
              <w:rPr>
                <w:rFonts w:eastAsia="Aptos" w:cs="Arial"/>
                <w:b/>
                <w:sz w:val="20"/>
                <w:szCs w:val="20"/>
              </w:rPr>
              <w:t>11</w:t>
            </w:r>
          </w:p>
        </w:tc>
        <w:tc>
          <w:tcPr>
            <w:tcW w:w="1597" w:type="dxa"/>
            <w:tcMar>
              <w:left w:w="105" w:type="dxa"/>
              <w:right w:w="105" w:type="dxa"/>
            </w:tcMar>
            <w:vAlign w:val="center"/>
          </w:tcPr>
          <w:p w14:paraId="21B8547C" w14:textId="3BA68557" w:rsidR="006B1DBE" w:rsidRPr="00CA7DD4" w:rsidRDefault="00006257" w:rsidP="006110D9">
            <w:pPr>
              <w:spacing w:line="259" w:lineRule="auto"/>
              <w:jc w:val="both"/>
              <w:rPr>
                <w:rFonts w:eastAsia="Aptos" w:cs="Arial"/>
                <w:b/>
                <w:sz w:val="20"/>
                <w:szCs w:val="20"/>
              </w:rPr>
            </w:pPr>
            <w:r>
              <w:rPr>
                <w:rFonts w:eastAsia="Aptos" w:cs="Arial"/>
                <w:b/>
                <w:sz w:val="20"/>
                <w:szCs w:val="20"/>
              </w:rPr>
              <w:t>6</w:t>
            </w:r>
          </w:p>
        </w:tc>
        <w:tc>
          <w:tcPr>
            <w:tcW w:w="1597" w:type="dxa"/>
            <w:tcMar>
              <w:left w:w="105" w:type="dxa"/>
              <w:right w:w="105" w:type="dxa"/>
            </w:tcMar>
            <w:vAlign w:val="center"/>
          </w:tcPr>
          <w:p w14:paraId="378DEBFE" w14:textId="79928B99" w:rsidR="006B1DBE" w:rsidRPr="00D10F90" w:rsidRDefault="00095A7F" w:rsidP="006110D9">
            <w:pPr>
              <w:spacing w:line="259" w:lineRule="auto"/>
              <w:jc w:val="both"/>
              <w:rPr>
                <w:rFonts w:eastAsia="Aptos" w:cs="Arial"/>
                <w:b/>
                <w:sz w:val="20"/>
                <w:szCs w:val="20"/>
              </w:rPr>
            </w:pPr>
            <w:r>
              <w:rPr>
                <w:rFonts w:eastAsia="Aptos" w:cs="Arial"/>
                <w:b/>
                <w:sz w:val="20"/>
                <w:szCs w:val="20"/>
              </w:rPr>
              <w:t>1</w:t>
            </w:r>
            <w:r w:rsidR="002A67CD">
              <w:rPr>
                <w:rFonts w:eastAsia="Aptos" w:cs="Arial"/>
                <w:b/>
                <w:sz w:val="20"/>
                <w:szCs w:val="20"/>
              </w:rPr>
              <w:t>7</w:t>
            </w:r>
          </w:p>
        </w:tc>
      </w:tr>
    </w:tbl>
    <w:p w14:paraId="6AA365D6" w14:textId="77777777" w:rsidR="00A43492" w:rsidRDefault="00A43492" w:rsidP="006110D9">
      <w:pPr>
        <w:jc w:val="both"/>
        <w:rPr>
          <w:rFonts w:eastAsia="Arial" w:cs="Arial"/>
          <w:color w:val="000000" w:themeColor="text1"/>
          <w:sz w:val="22"/>
          <w:szCs w:val="22"/>
        </w:rPr>
      </w:pPr>
    </w:p>
    <w:p w14:paraId="6FA960CB" w14:textId="596CA522" w:rsidR="1DCB4072" w:rsidRDefault="1DCB4072" w:rsidP="006110D9">
      <w:pPr>
        <w:jc w:val="both"/>
      </w:pPr>
      <w:r w:rsidRPr="1B54C50C">
        <w:rPr>
          <w:rFonts w:eastAsia="Arial" w:cs="Arial"/>
          <w:b/>
          <w:bCs/>
          <w:sz w:val="22"/>
          <w:szCs w:val="22"/>
        </w:rPr>
        <w:t>Effectiveness</w:t>
      </w:r>
      <w:r w:rsidR="00340615">
        <w:rPr>
          <w:rFonts w:eastAsia="Arial" w:cs="Arial"/>
          <w:b/>
          <w:bCs/>
          <w:sz w:val="22"/>
          <w:szCs w:val="22"/>
        </w:rPr>
        <w:t xml:space="preserve"> - </w:t>
      </w:r>
      <w:r w:rsidR="00340615" w:rsidRPr="00E1734E">
        <w:rPr>
          <w:rFonts w:eastAsia="Arial" w:cs="Arial"/>
          <w:i/>
          <w:iCs/>
          <w:color w:val="000000" w:themeColor="text1"/>
          <w:sz w:val="22"/>
          <w:szCs w:val="22"/>
        </w:rPr>
        <w:t>How well are the outputs produced by an intervention having the intended effect? (‘Spending wisely’)</w:t>
      </w:r>
    </w:p>
    <w:p w14:paraId="3A227279" w14:textId="5284E73D" w:rsidR="1DCB4072" w:rsidRDefault="1DCB4072" w:rsidP="006110D9">
      <w:pPr>
        <w:jc w:val="both"/>
      </w:pPr>
      <w:r w:rsidRPr="428F1934">
        <w:rPr>
          <w:rFonts w:eastAsia="Arial" w:cs="Arial"/>
          <w:sz w:val="22"/>
          <w:szCs w:val="22"/>
        </w:rPr>
        <w:t xml:space="preserve"> </w:t>
      </w:r>
    </w:p>
    <w:p w14:paraId="3B0825DB" w14:textId="77777777" w:rsidR="00D335B6" w:rsidRDefault="00DE3F35" w:rsidP="006110D9">
      <w:pPr>
        <w:spacing w:after="160" w:line="259" w:lineRule="auto"/>
        <w:jc w:val="both"/>
        <w:rPr>
          <w:rFonts w:eastAsia="Arial" w:cs="Arial"/>
          <w:sz w:val="22"/>
          <w:szCs w:val="22"/>
        </w:rPr>
      </w:pPr>
      <w:r w:rsidRPr="00DE3F35">
        <w:rPr>
          <w:rFonts w:eastAsia="Arial" w:cs="Arial"/>
          <w:sz w:val="22"/>
          <w:szCs w:val="22"/>
        </w:rPr>
        <w:t>The programme has been effective at converting its outputs into measurable outcomes, particularly in mobilising finance, improving land management, and contributing to climate mitigation.</w:t>
      </w:r>
    </w:p>
    <w:p w14:paraId="42A1101C" w14:textId="2E61D41E" w:rsidR="00DE3F35" w:rsidRPr="00DE3F35" w:rsidRDefault="00DE3F35" w:rsidP="006110D9">
      <w:pPr>
        <w:spacing w:after="160" w:line="259" w:lineRule="auto"/>
        <w:jc w:val="both"/>
        <w:rPr>
          <w:rFonts w:eastAsia="Arial" w:cs="Arial"/>
          <w:sz w:val="22"/>
          <w:szCs w:val="22"/>
        </w:rPr>
      </w:pPr>
      <w:r w:rsidRPr="00DE3F35">
        <w:rPr>
          <w:rFonts w:eastAsia="Arial" w:cs="Arial"/>
          <w:sz w:val="22"/>
          <w:szCs w:val="22"/>
        </w:rPr>
        <w:t>Output 1</w:t>
      </w:r>
      <w:r w:rsidR="00D335B6">
        <w:rPr>
          <w:rFonts w:eastAsia="Arial" w:cs="Arial"/>
          <w:sz w:val="22"/>
          <w:szCs w:val="22"/>
        </w:rPr>
        <w:t xml:space="preserve"> </w:t>
      </w:r>
      <w:r w:rsidR="00A55AD7">
        <w:rPr>
          <w:rFonts w:eastAsia="Arial" w:cs="Arial"/>
          <w:sz w:val="22"/>
          <w:szCs w:val="22"/>
        </w:rPr>
        <w:t>indicators</w:t>
      </w:r>
      <w:r w:rsidRPr="00DE3F35">
        <w:rPr>
          <w:rFonts w:eastAsia="Arial" w:cs="Arial"/>
          <w:sz w:val="22"/>
          <w:szCs w:val="22"/>
        </w:rPr>
        <w:t xml:space="preserve"> have enabled strong progress on leveraging wider capital. The $171.8 million invested in projects and $2.7 million in </w:t>
      </w:r>
      <w:r w:rsidR="00A55AD7">
        <w:rPr>
          <w:rFonts w:eastAsia="Arial" w:cs="Arial"/>
          <w:sz w:val="22"/>
          <w:szCs w:val="22"/>
        </w:rPr>
        <w:t>t</w:t>
      </w:r>
      <w:r w:rsidRPr="00DE3F35">
        <w:rPr>
          <w:rFonts w:eastAsia="Arial" w:cs="Arial"/>
          <w:sz w:val="22"/>
          <w:szCs w:val="22"/>
        </w:rPr>
        <w:t xml:space="preserve">echnical </w:t>
      </w:r>
      <w:r w:rsidR="00A55AD7">
        <w:rPr>
          <w:rFonts w:eastAsia="Arial" w:cs="Arial"/>
          <w:sz w:val="22"/>
          <w:szCs w:val="22"/>
        </w:rPr>
        <w:t>a</w:t>
      </w:r>
      <w:r w:rsidRPr="00DE3F35">
        <w:rPr>
          <w:rFonts w:eastAsia="Arial" w:cs="Arial"/>
          <w:sz w:val="22"/>
          <w:szCs w:val="22"/>
        </w:rPr>
        <w:t>ssistance funding have built robust pipelines and strengthened project delivery capacity. These outputs directly contributed to outcomes such as $128 million in private finance leveraged and $216 million in co-investment,</w:t>
      </w:r>
      <w:r w:rsidR="00183C99">
        <w:rPr>
          <w:rFonts w:eastAsia="Arial" w:cs="Arial"/>
          <w:sz w:val="22"/>
          <w:szCs w:val="22"/>
        </w:rPr>
        <w:t xml:space="preserve"> exceeding </w:t>
      </w:r>
      <w:r w:rsidR="005220E1">
        <w:rPr>
          <w:rFonts w:eastAsia="Arial" w:cs="Arial"/>
          <w:sz w:val="22"/>
          <w:szCs w:val="22"/>
        </w:rPr>
        <w:t xml:space="preserve">the milestone target of </w:t>
      </w:r>
      <w:r w:rsidR="001D1F69">
        <w:rPr>
          <w:rFonts w:eastAsia="Arial" w:cs="Arial"/>
          <w:sz w:val="22"/>
          <w:szCs w:val="22"/>
        </w:rPr>
        <w:t>$135 million,</w:t>
      </w:r>
      <w:r w:rsidRPr="00DE3F35">
        <w:rPr>
          <w:rFonts w:eastAsia="Arial" w:cs="Arial"/>
          <w:sz w:val="22"/>
          <w:szCs w:val="22"/>
        </w:rPr>
        <w:t xml:space="preserve"> confirming that the </w:t>
      </w:r>
      <w:r w:rsidR="00151695">
        <w:rPr>
          <w:rFonts w:eastAsia="Arial" w:cs="Arial"/>
          <w:sz w:val="22"/>
          <w:szCs w:val="22"/>
        </w:rPr>
        <w:t>f</w:t>
      </w:r>
      <w:r w:rsidRPr="00DE3F35">
        <w:rPr>
          <w:rFonts w:eastAsia="Arial" w:cs="Arial"/>
          <w:sz w:val="22"/>
          <w:szCs w:val="22"/>
        </w:rPr>
        <w:t>und’s catalytic model has been successful in turning outputs into systemic financial mobilisation.</w:t>
      </w:r>
      <w:r w:rsidR="001203B9">
        <w:rPr>
          <w:rFonts w:eastAsia="Arial" w:cs="Arial"/>
          <w:sz w:val="22"/>
          <w:szCs w:val="22"/>
        </w:rPr>
        <w:t xml:space="preserve"> </w:t>
      </w:r>
    </w:p>
    <w:p w14:paraId="37F3DBF0" w14:textId="77777777" w:rsidR="00DE3F35" w:rsidRPr="00DE3F35" w:rsidRDefault="00DE3F35" w:rsidP="006110D9">
      <w:pPr>
        <w:spacing w:after="160" w:line="259" w:lineRule="auto"/>
        <w:jc w:val="both"/>
        <w:rPr>
          <w:rFonts w:eastAsia="Arial" w:cs="Arial"/>
          <w:sz w:val="22"/>
          <w:szCs w:val="22"/>
        </w:rPr>
      </w:pPr>
      <w:r w:rsidRPr="00DE3F35">
        <w:rPr>
          <w:rFonts w:eastAsia="Arial" w:cs="Arial"/>
          <w:sz w:val="22"/>
          <w:szCs w:val="22"/>
        </w:rPr>
        <w:t>Environmental outputs (Output 2) have translated into outcome-level progress on land restoration and carbon emissions. The 150,281 hectares under sustainable management (Output 2.3) underpin outcome indicators on land contributing towards Land Degradation Neutrality and reforestation, resulting in 75,560 hectares reforested and 2.69 million tonnes of CO</w:t>
      </w:r>
      <w:r w:rsidRPr="00DE3F35">
        <w:rPr>
          <w:rFonts w:ascii="Cambria Math" w:eastAsia="Arial" w:hAnsi="Cambria Math" w:cs="Cambria Math"/>
          <w:sz w:val="22"/>
          <w:szCs w:val="22"/>
        </w:rPr>
        <w:t>₂</w:t>
      </w:r>
      <w:r w:rsidRPr="00DE3F35">
        <w:rPr>
          <w:rFonts w:eastAsia="Arial" w:cs="Arial"/>
          <w:sz w:val="22"/>
          <w:szCs w:val="22"/>
        </w:rPr>
        <w:t xml:space="preserve"> emissions avoided in 2024. While these remain slightly below original milestones, they represent substantial gains given the external challenges faced. The nine sustainability </w:t>
      </w:r>
      <w:r w:rsidRPr="00DE3F35">
        <w:rPr>
          <w:rFonts w:eastAsia="Arial" w:cs="Arial"/>
          <w:sz w:val="22"/>
          <w:szCs w:val="22"/>
        </w:rPr>
        <w:lastRenderedPageBreak/>
        <w:t>certifications achieved by projects further reinforce these environmental outcomes by embedding credible standards of land use and resource management.</w:t>
      </w:r>
    </w:p>
    <w:p w14:paraId="214950E5" w14:textId="77777777" w:rsidR="00DE3F35" w:rsidRPr="00DE3F35" w:rsidRDefault="00DE3F35" w:rsidP="006110D9">
      <w:pPr>
        <w:spacing w:after="160" w:line="259" w:lineRule="auto"/>
        <w:jc w:val="both"/>
        <w:rPr>
          <w:rFonts w:eastAsia="Arial" w:cs="Arial"/>
          <w:sz w:val="22"/>
          <w:szCs w:val="22"/>
        </w:rPr>
      </w:pPr>
      <w:r w:rsidRPr="00DE3F35">
        <w:rPr>
          <w:rFonts w:eastAsia="Arial" w:cs="Arial"/>
          <w:sz w:val="22"/>
          <w:szCs w:val="22"/>
        </w:rPr>
        <w:t>Knowledge-sharing outputs (Output 4), including eight reports published and 11 external events hosted, have supported wider uptake of sustainable land management practices and impact investment approaches. These outputs feed directly into the outcome indicator on transformational change, helping scale the Fund’s influence beyond its immediate portfolio.</w:t>
      </w:r>
    </w:p>
    <w:p w14:paraId="14B11857" w14:textId="77777777" w:rsidR="00DE3F35" w:rsidRPr="00DE3F35" w:rsidRDefault="00DE3F35" w:rsidP="006110D9">
      <w:pPr>
        <w:spacing w:after="160" w:line="259" w:lineRule="auto"/>
        <w:jc w:val="both"/>
        <w:rPr>
          <w:rFonts w:eastAsia="Arial" w:cs="Arial"/>
          <w:sz w:val="22"/>
          <w:szCs w:val="22"/>
        </w:rPr>
      </w:pPr>
      <w:proofErr w:type="gramStart"/>
      <w:r w:rsidRPr="00DE3F35">
        <w:rPr>
          <w:rFonts w:eastAsia="Arial" w:cs="Arial"/>
          <w:sz w:val="22"/>
          <w:szCs w:val="22"/>
        </w:rPr>
        <w:t>Overall</w:t>
      </w:r>
      <w:proofErr w:type="gramEnd"/>
      <w:r w:rsidRPr="00DE3F35">
        <w:rPr>
          <w:rFonts w:eastAsia="Arial" w:cs="Arial"/>
          <w:sz w:val="22"/>
          <w:szCs w:val="22"/>
        </w:rPr>
        <w:t xml:space="preserve"> the programme demonstrates that financial, environmental and knowledge outputs are being effectively converted into outcomes. Although some environmental targets remain just short of milestones, progress on finance mobilisation, land restoration and climate change mitigation shows that outputs are broadly achieving their intended effects.</w:t>
      </w:r>
    </w:p>
    <w:p w14:paraId="40189C4E" w14:textId="77777777" w:rsidR="00E903E8" w:rsidRPr="00E04EBF" w:rsidRDefault="00E903E8" w:rsidP="006110D9">
      <w:pPr>
        <w:jc w:val="both"/>
        <w:rPr>
          <w:sz w:val="20"/>
          <w:szCs w:val="20"/>
        </w:rPr>
      </w:pPr>
      <w:r w:rsidRPr="00E04EBF">
        <w:rPr>
          <w:sz w:val="22"/>
          <w:szCs w:val="22"/>
        </w:rPr>
        <w:t>Overall</w:t>
      </w:r>
      <w:r>
        <w:rPr>
          <w:sz w:val="22"/>
          <w:szCs w:val="22"/>
        </w:rPr>
        <w:t xml:space="preserve">, the programme is demonstrating relatively robust progress towards its targeted outcomes. Whilst progress needs to be made on the outcome indicators not currently reaching their targets to ensure complete effectiveness, they miss their targets only by a small percentage that does not differ significantly to the proposition in the business case. </w:t>
      </w:r>
    </w:p>
    <w:p w14:paraId="3B9D3128" w14:textId="77777777" w:rsidR="00342183" w:rsidRDefault="00342183" w:rsidP="006110D9">
      <w:pPr>
        <w:jc w:val="both"/>
        <w:rPr>
          <w:rFonts w:eastAsia="Arial" w:cs="Arial"/>
          <w:sz w:val="22"/>
          <w:szCs w:val="22"/>
        </w:rPr>
      </w:pPr>
    </w:p>
    <w:p w14:paraId="7C4E23D9" w14:textId="3EA3CF7A" w:rsidR="00342183" w:rsidRPr="00342183" w:rsidRDefault="006442CB" w:rsidP="006110D9">
      <w:pPr>
        <w:jc w:val="both"/>
        <w:rPr>
          <w:rFonts w:eastAsia="Arial" w:cs="Arial"/>
          <w:sz w:val="22"/>
          <w:szCs w:val="22"/>
        </w:rPr>
      </w:pPr>
      <w:r>
        <w:rPr>
          <w:noProof/>
        </w:rPr>
        <w:drawing>
          <wp:anchor distT="0" distB="0" distL="114300" distR="114300" simplePos="0" relativeHeight="251658243" behindDoc="1" locked="0" layoutInCell="1" allowOverlap="1" wp14:anchorId="302A1327" wp14:editId="0D4D7DB3">
            <wp:simplePos x="0" y="0"/>
            <wp:positionH relativeFrom="margin">
              <wp:align>right</wp:align>
            </wp:positionH>
            <wp:positionV relativeFrom="paragraph">
              <wp:posOffset>490855</wp:posOffset>
            </wp:positionV>
            <wp:extent cx="2781300" cy="2486025"/>
            <wp:effectExtent l="0" t="0" r="0" b="9525"/>
            <wp:wrapTight wrapText="bothSides">
              <wp:wrapPolygon edited="0">
                <wp:start x="0" y="0"/>
                <wp:lineTo x="0" y="21517"/>
                <wp:lineTo x="21452" y="21517"/>
                <wp:lineTo x="21452" y="0"/>
                <wp:lineTo x="0" y="0"/>
              </wp:wrapPolygon>
            </wp:wrapTight>
            <wp:docPr id="746184356" name="Chart 1">
              <a:extLst xmlns:a="http://schemas.openxmlformats.org/drawingml/2006/main">
                <a:ext uri="{FF2B5EF4-FFF2-40B4-BE49-F238E27FC236}">
                  <a16:creationId xmlns:a16="http://schemas.microsoft.com/office/drawing/2014/main" id="{5C3D183D-F811-C9D0-3B84-3DE5E095AA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342183" w:rsidRPr="33F01D54">
        <w:rPr>
          <w:rFonts w:eastAsia="Arial" w:cs="Arial"/>
          <w:i/>
          <w:iCs/>
          <w:sz w:val="22"/>
          <w:szCs w:val="22"/>
          <w:u w:val="single"/>
        </w:rPr>
        <w:t xml:space="preserve">Graphs showing progress made on outcome indicators between </w:t>
      </w:r>
      <w:r w:rsidR="00F22912">
        <w:rPr>
          <w:rFonts w:eastAsia="Arial" w:cs="Arial"/>
          <w:i/>
          <w:iCs/>
          <w:sz w:val="22"/>
          <w:szCs w:val="22"/>
          <w:u w:val="single"/>
        </w:rPr>
        <w:t xml:space="preserve">the baseline in </w:t>
      </w:r>
      <w:r w:rsidR="00342183" w:rsidRPr="33F01D54">
        <w:rPr>
          <w:rFonts w:eastAsia="Arial" w:cs="Arial"/>
          <w:i/>
          <w:iCs/>
          <w:sz w:val="22"/>
          <w:szCs w:val="22"/>
          <w:u w:val="single"/>
        </w:rPr>
        <w:t xml:space="preserve">2019 </w:t>
      </w:r>
      <w:r w:rsidR="00F22912">
        <w:rPr>
          <w:rFonts w:eastAsia="Arial" w:cs="Arial"/>
          <w:i/>
          <w:iCs/>
          <w:sz w:val="22"/>
          <w:szCs w:val="22"/>
          <w:u w:val="single"/>
        </w:rPr>
        <w:t xml:space="preserve">(when Defra invested) </w:t>
      </w:r>
      <w:r w:rsidR="00342183" w:rsidRPr="33F01D54">
        <w:rPr>
          <w:rFonts w:eastAsia="Arial" w:cs="Arial"/>
          <w:i/>
          <w:iCs/>
          <w:sz w:val="22"/>
          <w:szCs w:val="22"/>
          <w:u w:val="single"/>
        </w:rPr>
        <w:t>and 202</w:t>
      </w:r>
      <w:r w:rsidR="00070076" w:rsidRPr="33F01D54">
        <w:rPr>
          <w:rFonts w:eastAsia="Arial" w:cs="Arial"/>
          <w:i/>
          <w:iCs/>
          <w:sz w:val="22"/>
          <w:szCs w:val="22"/>
          <w:u w:val="single"/>
        </w:rPr>
        <w:t>4</w:t>
      </w:r>
      <w:r w:rsidR="00342183" w:rsidRPr="33F01D54">
        <w:rPr>
          <w:rFonts w:eastAsia="Arial" w:cs="Arial"/>
          <w:i/>
          <w:iCs/>
          <w:sz w:val="22"/>
          <w:szCs w:val="22"/>
        </w:rPr>
        <w:t> </w:t>
      </w:r>
      <w:r w:rsidR="00342183" w:rsidRPr="33F01D54">
        <w:rPr>
          <w:rFonts w:eastAsia="Arial" w:cs="Arial"/>
          <w:sz w:val="22"/>
          <w:szCs w:val="22"/>
        </w:rPr>
        <w:t> </w:t>
      </w:r>
    </w:p>
    <w:p w14:paraId="5CC23A3C" w14:textId="717F6071" w:rsidR="00342183" w:rsidRPr="00342183" w:rsidRDefault="006442CB" w:rsidP="006110D9">
      <w:pPr>
        <w:jc w:val="both"/>
        <w:rPr>
          <w:rFonts w:eastAsia="Arial" w:cs="Arial"/>
          <w:sz w:val="22"/>
          <w:szCs w:val="22"/>
        </w:rPr>
      </w:pPr>
      <w:r>
        <w:rPr>
          <w:noProof/>
        </w:rPr>
        <w:drawing>
          <wp:anchor distT="0" distB="0" distL="114300" distR="114300" simplePos="0" relativeHeight="251658240" behindDoc="0" locked="0" layoutInCell="1" allowOverlap="1" wp14:anchorId="10C48B33" wp14:editId="546E6B4D">
            <wp:simplePos x="0" y="0"/>
            <wp:positionH relativeFrom="column">
              <wp:posOffset>-104775</wp:posOffset>
            </wp:positionH>
            <wp:positionV relativeFrom="paragraph">
              <wp:posOffset>147320</wp:posOffset>
            </wp:positionV>
            <wp:extent cx="2828925" cy="2486025"/>
            <wp:effectExtent l="0" t="0" r="9525" b="9525"/>
            <wp:wrapSquare wrapText="bothSides"/>
            <wp:docPr id="91240190" name="Chart 1">
              <a:extLst xmlns:a="http://schemas.openxmlformats.org/drawingml/2006/main">
                <a:ext uri="{FF2B5EF4-FFF2-40B4-BE49-F238E27FC236}">
                  <a16:creationId xmlns:a16="http://schemas.microsoft.com/office/drawing/2014/main" id="{C2D6288F-2CE8-E764-E6A2-AD89994A5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342183" w:rsidRPr="00342183">
        <w:rPr>
          <w:rFonts w:eastAsia="Arial" w:cs="Arial"/>
          <w:sz w:val="22"/>
          <w:szCs w:val="22"/>
        </w:rPr>
        <w:t> </w:t>
      </w:r>
    </w:p>
    <w:p w14:paraId="0C34797F" w14:textId="1FF9E742" w:rsidR="00342183" w:rsidRDefault="00342183" w:rsidP="006110D9">
      <w:pPr>
        <w:jc w:val="both"/>
        <w:rPr>
          <w:rFonts w:eastAsia="Arial" w:cs="Arial"/>
          <w:sz w:val="22"/>
          <w:szCs w:val="22"/>
        </w:rPr>
      </w:pPr>
    </w:p>
    <w:p w14:paraId="66C9A4C8" w14:textId="6969AAAB" w:rsidR="00BB6C84" w:rsidRDefault="00DA766F" w:rsidP="006110D9">
      <w:pPr>
        <w:jc w:val="both"/>
        <w:rPr>
          <w:rFonts w:eastAsia="Arial" w:cs="Arial"/>
          <w:sz w:val="22"/>
          <w:szCs w:val="22"/>
        </w:rPr>
      </w:pPr>
      <w:r>
        <w:rPr>
          <w:noProof/>
        </w:rPr>
        <w:drawing>
          <wp:anchor distT="0" distB="0" distL="114300" distR="114300" simplePos="0" relativeHeight="251658245" behindDoc="1" locked="0" layoutInCell="1" allowOverlap="1" wp14:anchorId="1F065CDE" wp14:editId="488FC078">
            <wp:simplePos x="0" y="0"/>
            <wp:positionH relativeFrom="column">
              <wp:posOffset>2857500</wp:posOffset>
            </wp:positionH>
            <wp:positionV relativeFrom="paragraph">
              <wp:posOffset>157480</wp:posOffset>
            </wp:positionV>
            <wp:extent cx="2838450" cy="2324100"/>
            <wp:effectExtent l="0" t="0" r="0" b="0"/>
            <wp:wrapTight wrapText="bothSides">
              <wp:wrapPolygon edited="0">
                <wp:start x="0" y="0"/>
                <wp:lineTo x="0" y="21423"/>
                <wp:lineTo x="21455" y="21423"/>
                <wp:lineTo x="21455" y="0"/>
                <wp:lineTo x="0" y="0"/>
              </wp:wrapPolygon>
            </wp:wrapTight>
            <wp:docPr id="854306545" name="Chart 1">
              <a:extLst xmlns:a="http://schemas.openxmlformats.org/drawingml/2006/main">
                <a:ext uri="{FF2B5EF4-FFF2-40B4-BE49-F238E27FC236}">
                  <a16:creationId xmlns:a16="http://schemas.microsoft.com/office/drawing/2014/main" id="{9D2CEBCD-0ADA-5FD5-6BA4-379F9F4A9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C5A4A92" wp14:editId="0F60E56F">
            <wp:simplePos x="0" y="0"/>
            <wp:positionH relativeFrom="column">
              <wp:posOffset>-161925</wp:posOffset>
            </wp:positionH>
            <wp:positionV relativeFrom="paragraph">
              <wp:posOffset>167005</wp:posOffset>
            </wp:positionV>
            <wp:extent cx="2819400" cy="2343150"/>
            <wp:effectExtent l="0" t="0" r="0" b="0"/>
            <wp:wrapTight wrapText="bothSides">
              <wp:wrapPolygon edited="0">
                <wp:start x="0" y="0"/>
                <wp:lineTo x="0" y="21424"/>
                <wp:lineTo x="21454" y="21424"/>
                <wp:lineTo x="21454" y="0"/>
                <wp:lineTo x="0" y="0"/>
              </wp:wrapPolygon>
            </wp:wrapTight>
            <wp:docPr id="496941697" name="Chart 1">
              <a:extLst xmlns:a="http://schemas.openxmlformats.org/drawingml/2006/main">
                <a:ext uri="{FF2B5EF4-FFF2-40B4-BE49-F238E27FC236}">
                  <a16:creationId xmlns:a16="http://schemas.microsoft.com/office/drawing/2014/main" id="{CEA09870-CC49-BBB8-DD51-9E032813D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2F448762" w14:textId="63630A45" w:rsidR="00EC299F" w:rsidRDefault="00C407EE" w:rsidP="006110D9">
      <w:pPr>
        <w:jc w:val="both"/>
        <w:rPr>
          <w:noProof/>
        </w:rPr>
      </w:pPr>
      <w:r w:rsidRPr="00C407EE">
        <w:rPr>
          <w:noProof/>
        </w:rPr>
        <w:t xml:space="preserve"> </w:t>
      </w:r>
    </w:p>
    <w:p w14:paraId="639E4461" w14:textId="5F803413" w:rsidR="1DCB4072" w:rsidRDefault="1DCB4072" w:rsidP="006110D9">
      <w:pPr>
        <w:spacing w:after="160" w:line="257" w:lineRule="auto"/>
        <w:jc w:val="both"/>
      </w:pPr>
      <w:r w:rsidRPr="57ED6F9D">
        <w:rPr>
          <w:rFonts w:eastAsia="Arial" w:cs="Arial"/>
          <w:b/>
          <w:bCs/>
          <w:sz w:val="22"/>
          <w:szCs w:val="22"/>
        </w:rPr>
        <w:t>Equity</w:t>
      </w:r>
      <w:r w:rsidR="00340615">
        <w:rPr>
          <w:rFonts w:eastAsia="Arial" w:cs="Arial"/>
          <w:b/>
          <w:bCs/>
          <w:sz w:val="22"/>
          <w:szCs w:val="22"/>
        </w:rPr>
        <w:t xml:space="preserve"> - </w:t>
      </w:r>
      <w:r w:rsidR="00340615" w:rsidRPr="00BD1D04">
        <w:rPr>
          <w:rFonts w:eastAsia="Arial" w:cs="Arial"/>
          <w:i/>
          <w:iCs/>
          <w:sz w:val="22"/>
          <w:szCs w:val="22"/>
        </w:rPr>
        <w:t>How fairly are the benefits distributed? To what extent will we reach marginalised groups? (“spending fairly”)</w:t>
      </w:r>
      <w:r w:rsidR="00340615" w:rsidRPr="00340615">
        <w:rPr>
          <w:rFonts w:eastAsia="Arial" w:cs="Arial"/>
          <w:b/>
          <w:bCs/>
          <w:sz w:val="22"/>
          <w:szCs w:val="22"/>
        </w:rPr>
        <w:t xml:space="preserve"> </w:t>
      </w:r>
    </w:p>
    <w:p w14:paraId="5A14AD66" w14:textId="1F651692" w:rsidR="00817273" w:rsidRPr="00817273" w:rsidRDefault="00817273" w:rsidP="006110D9">
      <w:pPr>
        <w:spacing w:after="160" w:line="257" w:lineRule="auto"/>
        <w:jc w:val="both"/>
        <w:rPr>
          <w:rFonts w:eastAsia="Arial" w:cs="Arial"/>
          <w:sz w:val="22"/>
          <w:szCs w:val="22"/>
        </w:rPr>
      </w:pPr>
      <w:r w:rsidRPr="00817273">
        <w:rPr>
          <w:rFonts w:eastAsia="Arial" w:cs="Arial"/>
          <w:sz w:val="22"/>
          <w:szCs w:val="22"/>
        </w:rPr>
        <w:lastRenderedPageBreak/>
        <w:t>The programme has made strong progress in embedding gender equality</w:t>
      </w:r>
      <w:r w:rsidR="005A5C57">
        <w:rPr>
          <w:rFonts w:eastAsia="Arial" w:cs="Arial"/>
          <w:sz w:val="22"/>
          <w:szCs w:val="22"/>
        </w:rPr>
        <w:t>, disabilities</w:t>
      </w:r>
      <w:r w:rsidRPr="00817273">
        <w:rPr>
          <w:rFonts w:eastAsia="Arial" w:cs="Arial"/>
          <w:sz w:val="22"/>
          <w:szCs w:val="22"/>
        </w:rPr>
        <w:t xml:space="preserve"> and social inclusion (GE</w:t>
      </w:r>
      <w:r w:rsidR="005A5C57">
        <w:rPr>
          <w:rFonts w:eastAsia="Arial" w:cs="Arial"/>
          <w:sz w:val="22"/>
          <w:szCs w:val="22"/>
        </w:rPr>
        <w:t>D</w:t>
      </w:r>
      <w:r w:rsidRPr="00817273">
        <w:rPr>
          <w:rFonts w:eastAsia="Arial" w:cs="Arial"/>
          <w:sz w:val="22"/>
          <w:szCs w:val="22"/>
        </w:rPr>
        <w:t>SI) within its portfolio, ensuring benefits are distributed fairly and reaching vulnerable groups.</w:t>
      </w:r>
    </w:p>
    <w:p w14:paraId="664CF84C" w14:textId="4F0F49EE" w:rsidR="00817273" w:rsidRPr="00817273" w:rsidRDefault="00817273" w:rsidP="006110D9">
      <w:pPr>
        <w:spacing w:after="160" w:line="257" w:lineRule="auto"/>
        <w:jc w:val="both"/>
        <w:rPr>
          <w:rFonts w:eastAsia="Arial" w:cs="Arial"/>
          <w:sz w:val="22"/>
          <w:szCs w:val="22"/>
        </w:rPr>
      </w:pPr>
      <w:r w:rsidRPr="00817273">
        <w:rPr>
          <w:rFonts w:eastAsia="Arial" w:cs="Arial"/>
          <w:sz w:val="22"/>
          <w:szCs w:val="22"/>
        </w:rPr>
        <w:t>Outputs under community and livelihoods have delivered significant equity outcomes. The Fund has supported 145,082 jobs across its portfolio, with over 55,000 women benefiting directly. In 2024, 55% of all employees and smallholders supported were women, continuing a steady year-on-year increase</w:t>
      </w:r>
      <w:r w:rsidR="009C59AE">
        <w:rPr>
          <w:rFonts w:eastAsia="Arial" w:cs="Arial"/>
          <w:sz w:val="22"/>
          <w:szCs w:val="22"/>
        </w:rPr>
        <w:t xml:space="preserve"> from 53% in 2023 and exceeding the milestone target of </w:t>
      </w:r>
      <w:r w:rsidR="00C6709A">
        <w:rPr>
          <w:rFonts w:eastAsia="Arial" w:cs="Arial"/>
          <w:sz w:val="22"/>
          <w:szCs w:val="22"/>
        </w:rPr>
        <w:t>47% for 2024</w:t>
      </w:r>
      <w:r w:rsidRPr="00817273">
        <w:rPr>
          <w:rFonts w:eastAsia="Arial" w:cs="Arial"/>
          <w:sz w:val="22"/>
          <w:szCs w:val="22"/>
        </w:rPr>
        <w:t xml:space="preserve">. This reflects the </w:t>
      </w:r>
      <w:r w:rsidR="00C6709A">
        <w:rPr>
          <w:rFonts w:eastAsia="Arial" w:cs="Arial"/>
          <w:sz w:val="22"/>
          <w:szCs w:val="22"/>
        </w:rPr>
        <w:t>f</w:t>
      </w:r>
      <w:r w:rsidRPr="00817273">
        <w:rPr>
          <w:rFonts w:eastAsia="Arial" w:cs="Arial"/>
          <w:sz w:val="22"/>
          <w:szCs w:val="22"/>
        </w:rPr>
        <w:t>und’s emphasis on gender-sensitive approaches</w:t>
      </w:r>
      <w:r w:rsidR="0064335C">
        <w:rPr>
          <w:rFonts w:eastAsia="Arial" w:cs="Arial"/>
          <w:sz w:val="22"/>
          <w:szCs w:val="22"/>
        </w:rPr>
        <w:t xml:space="preserve"> as</w:t>
      </w:r>
      <w:r w:rsidRPr="00817273">
        <w:rPr>
          <w:rFonts w:eastAsia="Arial" w:cs="Arial"/>
          <w:sz w:val="22"/>
          <w:szCs w:val="22"/>
        </w:rPr>
        <w:t xml:space="preserve"> </w:t>
      </w:r>
      <w:r w:rsidR="00C6709A">
        <w:rPr>
          <w:rFonts w:eastAsia="Arial" w:cs="Arial"/>
          <w:sz w:val="22"/>
          <w:szCs w:val="22"/>
        </w:rPr>
        <w:t>the fund has made gender equity a greater focus of its engagement with investees, in line with its Gender Policy Annex and 2X Challenge commitment. M</w:t>
      </w:r>
      <w:r w:rsidR="00C6709A" w:rsidRPr="428F1934">
        <w:rPr>
          <w:rFonts w:eastAsia="Arial" w:cs="Arial"/>
          <w:sz w:val="22"/>
          <w:szCs w:val="22"/>
        </w:rPr>
        <w:t>any of the projects have either developed or are still developing a gender assessment and action plan, following the request for all projects to create them, which could be part of the reason for the increase of the equity metric.</w:t>
      </w:r>
    </w:p>
    <w:p w14:paraId="294B2BC9" w14:textId="511A7211" w:rsidR="00342183" w:rsidRDefault="0064335C" w:rsidP="006110D9">
      <w:pPr>
        <w:spacing w:after="160" w:line="257" w:lineRule="auto"/>
        <w:jc w:val="both"/>
        <w:rPr>
          <w:rFonts w:eastAsia="Arial" w:cs="Arial"/>
          <w:sz w:val="22"/>
          <w:szCs w:val="22"/>
        </w:rPr>
      </w:pPr>
      <w:r w:rsidRPr="13A71BA9">
        <w:rPr>
          <w:rFonts w:eastAsia="Arial" w:cs="Arial"/>
          <w:sz w:val="22"/>
          <w:szCs w:val="22"/>
        </w:rPr>
        <w:t>T</w:t>
      </w:r>
      <w:r w:rsidR="00817273" w:rsidRPr="13A71BA9">
        <w:rPr>
          <w:rFonts w:eastAsia="Arial" w:cs="Arial"/>
          <w:sz w:val="22"/>
          <w:szCs w:val="22"/>
        </w:rPr>
        <w:t>he 2X Challenge criteria</w:t>
      </w:r>
      <w:r w:rsidR="3D10672B" w:rsidRPr="13A71BA9">
        <w:rPr>
          <w:rFonts w:eastAsia="Arial" w:cs="Arial"/>
          <w:sz w:val="22"/>
          <w:szCs w:val="22"/>
        </w:rPr>
        <w:t>,</w:t>
      </w:r>
      <w:r w:rsidR="00817273" w:rsidRPr="13A71BA9">
        <w:rPr>
          <w:rFonts w:eastAsia="Arial" w:cs="Arial"/>
          <w:sz w:val="22"/>
          <w:szCs w:val="22"/>
        </w:rPr>
        <w:t xml:space="preserve"> with seven projects qualifying on leadership, employment, or ownership</w:t>
      </w:r>
      <w:r w:rsidRPr="13A71BA9">
        <w:rPr>
          <w:rFonts w:eastAsia="Arial" w:cs="Arial"/>
          <w:sz w:val="22"/>
          <w:szCs w:val="22"/>
        </w:rPr>
        <w:t>,</w:t>
      </w:r>
      <w:r w:rsidR="00817273" w:rsidRPr="13A71BA9">
        <w:rPr>
          <w:rFonts w:eastAsia="Arial" w:cs="Arial"/>
          <w:sz w:val="22"/>
          <w:szCs w:val="22"/>
        </w:rPr>
        <w:t xml:space="preserve"> provides external validation that equity considerations are embedded across the portfolio. Many projects have adapted their engagement models to ensure that women and marginalised groups can participate in, and benefit from, sustainable land management activities.</w:t>
      </w:r>
    </w:p>
    <w:p w14:paraId="345F0D3A" w14:textId="041FAA45" w:rsidR="1DCB4072" w:rsidRDefault="1DCB4072" w:rsidP="006110D9">
      <w:pPr>
        <w:jc w:val="both"/>
        <w:rPr>
          <w:rFonts w:eastAsia="Arial" w:cs="Arial"/>
          <w:sz w:val="22"/>
          <w:szCs w:val="22"/>
        </w:rPr>
      </w:pPr>
      <w:r w:rsidRPr="13A71BA9">
        <w:rPr>
          <w:rFonts w:eastAsia="Arial" w:cs="Arial"/>
          <w:sz w:val="22"/>
          <w:szCs w:val="22"/>
        </w:rPr>
        <w:t>Overall, it is apparent that the LDN fund is actively encouraging projects to place GE</w:t>
      </w:r>
      <w:r w:rsidR="005A5C57">
        <w:rPr>
          <w:rFonts w:eastAsia="Arial" w:cs="Arial"/>
          <w:sz w:val="22"/>
          <w:szCs w:val="22"/>
        </w:rPr>
        <w:t>D</w:t>
      </w:r>
      <w:r w:rsidRPr="13A71BA9">
        <w:rPr>
          <w:rFonts w:eastAsia="Arial" w:cs="Arial"/>
          <w:sz w:val="22"/>
          <w:szCs w:val="22"/>
        </w:rPr>
        <w:t xml:space="preserve">SI at the forefront of their priorities, evidenced through an increase in the percentage of women employed by or with </w:t>
      </w:r>
      <w:r w:rsidR="3CC70FC1" w:rsidRPr="13A71BA9">
        <w:rPr>
          <w:rFonts w:eastAsia="Arial" w:cs="Arial"/>
          <w:sz w:val="22"/>
          <w:szCs w:val="22"/>
        </w:rPr>
        <w:t xml:space="preserve">their </w:t>
      </w:r>
      <w:r w:rsidRPr="13A71BA9">
        <w:rPr>
          <w:rFonts w:eastAsia="Arial" w:cs="Arial"/>
          <w:sz w:val="22"/>
          <w:szCs w:val="22"/>
        </w:rPr>
        <w:t>main livelihood supported by LDN Fund projects and through project</w:t>
      </w:r>
      <w:r w:rsidR="00965E9F">
        <w:rPr>
          <w:rFonts w:eastAsia="Arial" w:cs="Arial"/>
          <w:sz w:val="22"/>
          <w:szCs w:val="22"/>
        </w:rPr>
        <w:t>s</w:t>
      </w:r>
      <w:r w:rsidRPr="13A71BA9">
        <w:rPr>
          <w:rFonts w:eastAsia="Arial" w:cs="Arial"/>
          <w:sz w:val="22"/>
          <w:szCs w:val="22"/>
        </w:rPr>
        <w:t xml:space="preserve"> meeting the 2</w:t>
      </w:r>
      <w:r w:rsidR="00AC0824" w:rsidRPr="13A71BA9">
        <w:rPr>
          <w:rFonts w:eastAsia="Arial" w:cs="Arial"/>
          <w:sz w:val="22"/>
          <w:szCs w:val="22"/>
        </w:rPr>
        <w:t>X</w:t>
      </w:r>
      <w:r w:rsidRPr="13A71BA9">
        <w:rPr>
          <w:rFonts w:eastAsia="Arial" w:cs="Arial"/>
          <w:sz w:val="22"/>
          <w:szCs w:val="22"/>
        </w:rPr>
        <w:t xml:space="preserve"> Challenge eligibility criteria</w:t>
      </w:r>
      <w:r w:rsidR="00CF59D0" w:rsidRPr="13A71BA9">
        <w:rPr>
          <w:rFonts w:eastAsia="Arial" w:cs="Arial"/>
          <w:sz w:val="22"/>
          <w:szCs w:val="22"/>
        </w:rPr>
        <w:t>, all without additional funding</w:t>
      </w:r>
      <w:r w:rsidRPr="13A71BA9">
        <w:rPr>
          <w:rFonts w:eastAsia="Arial" w:cs="Arial"/>
          <w:sz w:val="22"/>
          <w:szCs w:val="22"/>
        </w:rPr>
        <w:t>.</w:t>
      </w:r>
    </w:p>
    <w:p w14:paraId="03A6036B" w14:textId="77777777" w:rsidR="005271A9" w:rsidRDefault="005271A9" w:rsidP="006110D9">
      <w:pPr>
        <w:jc w:val="both"/>
      </w:pPr>
    </w:p>
    <w:p w14:paraId="31D270C2" w14:textId="09128D65" w:rsidR="1DCB4072" w:rsidRPr="00BD1D04" w:rsidRDefault="1DCB4072" w:rsidP="006110D9">
      <w:pPr>
        <w:tabs>
          <w:tab w:val="left" w:pos="5014"/>
        </w:tabs>
        <w:jc w:val="both"/>
        <w:rPr>
          <w:i/>
          <w:iCs/>
        </w:rPr>
      </w:pPr>
      <w:r w:rsidRPr="428F1934">
        <w:rPr>
          <w:rFonts w:eastAsia="Arial" w:cs="Arial"/>
          <w:b/>
          <w:bCs/>
          <w:sz w:val="22"/>
          <w:szCs w:val="22"/>
        </w:rPr>
        <w:t>Cost Effectivene</w:t>
      </w:r>
      <w:r w:rsidR="00F92DB0">
        <w:rPr>
          <w:rFonts w:eastAsia="Arial" w:cs="Arial"/>
          <w:b/>
          <w:bCs/>
          <w:sz w:val="22"/>
          <w:szCs w:val="22"/>
        </w:rPr>
        <w:t>ss</w:t>
      </w:r>
      <w:r w:rsidR="00340615">
        <w:rPr>
          <w:rFonts w:eastAsia="Arial" w:cs="Arial"/>
          <w:b/>
          <w:bCs/>
          <w:sz w:val="22"/>
          <w:szCs w:val="22"/>
        </w:rPr>
        <w:t xml:space="preserve"> - </w:t>
      </w:r>
      <w:r w:rsidR="00340615" w:rsidRPr="00BD1D04">
        <w:rPr>
          <w:rFonts w:eastAsia="Arial" w:cs="Arial"/>
          <w:i/>
          <w:iCs/>
          <w:sz w:val="22"/>
          <w:szCs w:val="22"/>
        </w:rPr>
        <w:t>What is the intervention’s ultimate impact on the long-term transformational change, relative to the inputs that our agents or we invest in it?</w:t>
      </w:r>
    </w:p>
    <w:p w14:paraId="361BDDD3" w14:textId="77777777" w:rsidR="00A65793" w:rsidRDefault="00A65793" w:rsidP="006110D9">
      <w:pPr>
        <w:tabs>
          <w:tab w:val="left" w:pos="5014"/>
        </w:tabs>
        <w:jc w:val="both"/>
        <w:rPr>
          <w:sz w:val="22"/>
          <w:szCs w:val="18"/>
        </w:rPr>
      </w:pPr>
    </w:p>
    <w:p w14:paraId="6A8A366A" w14:textId="10E5DA0D" w:rsidR="00C7429F" w:rsidRDefault="00C04A9A" w:rsidP="006110D9">
      <w:pPr>
        <w:tabs>
          <w:tab w:val="left" w:pos="5014"/>
        </w:tabs>
        <w:jc w:val="both"/>
        <w:rPr>
          <w:sz w:val="22"/>
          <w:szCs w:val="22"/>
        </w:rPr>
      </w:pPr>
      <w:r w:rsidRPr="45A4AAAF">
        <w:rPr>
          <w:sz w:val="22"/>
          <w:szCs w:val="22"/>
        </w:rPr>
        <w:t xml:space="preserve">The </w:t>
      </w:r>
      <w:r w:rsidR="006C7F4A" w:rsidRPr="45A4AAAF">
        <w:rPr>
          <w:sz w:val="22"/>
          <w:szCs w:val="22"/>
        </w:rPr>
        <w:t xml:space="preserve">intended </w:t>
      </w:r>
      <w:r w:rsidR="00974C19" w:rsidRPr="45A4AAAF">
        <w:rPr>
          <w:sz w:val="22"/>
          <w:szCs w:val="22"/>
        </w:rPr>
        <w:t>long-term</w:t>
      </w:r>
      <w:r w:rsidRPr="45A4AAAF">
        <w:rPr>
          <w:sz w:val="22"/>
          <w:szCs w:val="22"/>
        </w:rPr>
        <w:t xml:space="preserve"> impact of the scheme</w:t>
      </w:r>
      <w:r w:rsidR="00974C19" w:rsidRPr="45A4AAAF">
        <w:rPr>
          <w:sz w:val="22"/>
          <w:szCs w:val="22"/>
        </w:rPr>
        <w:t xml:space="preserve"> </w:t>
      </w:r>
      <w:r w:rsidR="006C7F4A" w:rsidRPr="45A4AAAF">
        <w:rPr>
          <w:sz w:val="22"/>
          <w:szCs w:val="22"/>
        </w:rPr>
        <w:t xml:space="preserve">is </w:t>
      </w:r>
      <w:r w:rsidR="00974C19" w:rsidRPr="45A4AAAF">
        <w:rPr>
          <w:sz w:val="22"/>
          <w:szCs w:val="22"/>
        </w:rPr>
        <w:t xml:space="preserve">to </w:t>
      </w:r>
      <w:r w:rsidR="00DD11A7" w:rsidRPr="45A4AAAF">
        <w:rPr>
          <w:sz w:val="22"/>
          <w:szCs w:val="22"/>
        </w:rPr>
        <w:t>drive transformational change</w:t>
      </w:r>
      <w:r w:rsidR="006C7F4A" w:rsidRPr="45A4AAAF">
        <w:rPr>
          <w:sz w:val="22"/>
          <w:szCs w:val="22"/>
        </w:rPr>
        <w:t>,</w:t>
      </w:r>
      <w:r w:rsidR="00E86BE2" w:rsidRPr="45A4AAAF">
        <w:rPr>
          <w:sz w:val="22"/>
          <w:szCs w:val="22"/>
        </w:rPr>
        <w:t xml:space="preserve"> by </w:t>
      </w:r>
      <w:r w:rsidR="00510CEC" w:rsidRPr="45A4AAAF">
        <w:rPr>
          <w:sz w:val="22"/>
          <w:szCs w:val="22"/>
        </w:rPr>
        <w:t>facilitating and maximising the flow of finance towards sustainable land management projects and practices</w:t>
      </w:r>
      <w:r w:rsidR="006C7F4A" w:rsidRPr="45A4AAAF">
        <w:rPr>
          <w:sz w:val="22"/>
          <w:szCs w:val="22"/>
        </w:rPr>
        <w:t>,</w:t>
      </w:r>
      <w:r w:rsidR="00510CEC" w:rsidRPr="45A4AAAF">
        <w:rPr>
          <w:sz w:val="22"/>
          <w:szCs w:val="22"/>
        </w:rPr>
        <w:t xml:space="preserve"> to</w:t>
      </w:r>
      <w:r w:rsidR="00DD11A7" w:rsidRPr="45A4AAAF">
        <w:rPr>
          <w:sz w:val="22"/>
          <w:szCs w:val="22"/>
        </w:rPr>
        <w:t xml:space="preserve"> contribute to minimising climate change</w:t>
      </w:r>
      <w:r w:rsidR="008051BF" w:rsidRPr="45A4AAAF">
        <w:rPr>
          <w:sz w:val="22"/>
          <w:szCs w:val="22"/>
        </w:rPr>
        <w:t xml:space="preserve"> and wider environmental impacts. Key environmental </w:t>
      </w:r>
      <w:r w:rsidR="008077DA" w:rsidRPr="45A4AAAF">
        <w:rPr>
          <w:sz w:val="22"/>
          <w:szCs w:val="22"/>
        </w:rPr>
        <w:t xml:space="preserve">outcomes </w:t>
      </w:r>
      <w:r w:rsidR="008051BF" w:rsidRPr="45A4AAAF">
        <w:rPr>
          <w:sz w:val="22"/>
          <w:szCs w:val="22"/>
        </w:rPr>
        <w:t>include land</w:t>
      </w:r>
      <w:r w:rsidR="008077DA" w:rsidRPr="45A4AAAF">
        <w:rPr>
          <w:sz w:val="22"/>
          <w:szCs w:val="22"/>
        </w:rPr>
        <w:t xml:space="preserve"> contributing towards land degradation neutrality</w:t>
      </w:r>
      <w:r w:rsidR="008051BF" w:rsidRPr="45A4AAAF">
        <w:rPr>
          <w:sz w:val="22"/>
          <w:szCs w:val="22"/>
        </w:rPr>
        <w:t xml:space="preserve">, </w:t>
      </w:r>
      <w:r w:rsidR="008077DA" w:rsidRPr="45A4AAAF">
        <w:rPr>
          <w:sz w:val="22"/>
          <w:szCs w:val="22"/>
        </w:rPr>
        <w:t xml:space="preserve">reforestation and </w:t>
      </w:r>
      <w:r w:rsidR="008051BF" w:rsidRPr="45A4AAAF">
        <w:rPr>
          <w:sz w:val="22"/>
          <w:szCs w:val="22"/>
        </w:rPr>
        <w:t>tonnes of CO2e emissions avoided</w:t>
      </w:r>
      <w:r w:rsidR="008077DA" w:rsidRPr="45A4AAAF">
        <w:rPr>
          <w:sz w:val="22"/>
          <w:szCs w:val="22"/>
        </w:rPr>
        <w:t xml:space="preserve">. </w:t>
      </w:r>
      <w:proofErr w:type="gramStart"/>
      <w:r w:rsidR="00342183" w:rsidRPr="45A4AAAF">
        <w:rPr>
          <w:sz w:val="22"/>
          <w:szCs w:val="22"/>
        </w:rPr>
        <w:t>All of</w:t>
      </w:r>
      <w:proofErr w:type="gramEnd"/>
      <w:r w:rsidR="00342183" w:rsidRPr="45A4AAAF">
        <w:rPr>
          <w:sz w:val="22"/>
          <w:szCs w:val="22"/>
        </w:rPr>
        <w:t xml:space="preserve"> </w:t>
      </w:r>
      <w:r w:rsidR="00EA2D5A" w:rsidRPr="45A4AAAF">
        <w:rPr>
          <w:sz w:val="22"/>
          <w:szCs w:val="22"/>
        </w:rPr>
        <w:t>these outcomes</w:t>
      </w:r>
      <w:r w:rsidR="00342183" w:rsidRPr="45A4AAAF">
        <w:rPr>
          <w:sz w:val="22"/>
          <w:szCs w:val="22"/>
        </w:rPr>
        <w:t xml:space="preserve"> contribute to value for money. </w:t>
      </w:r>
      <w:r w:rsidR="00F614B2" w:rsidRPr="45A4AAAF">
        <w:rPr>
          <w:sz w:val="22"/>
          <w:szCs w:val="22"/>
        </w:rPr>
        <w:t>While a full cost-benefit analysis has not been conducted</w:t>
      </w:r>
      <w:r w:rsidR="296D9DB4" w:rsidRPr="45A4AAAF">
        <w:rPr>
          <w:sz w:val="22"/>
          <w:szCs w:val="22"/>
        </w:rPr>
        <w:t xml:space="preserve"> and this therefore does not account for risks such as additionality and leakage</w:t>
      </w:r>
      <w:r w:rsidR="00F614B2" w:rsidRPr="45A4AAAF">
        <w:rPr>
          <w:sz w:val="22"/>
          <w:szCs w:val="22"/>
        </w:rPr>
        <w:t>,</w:t>
      </w:r>
      <w:r w:rsidR="56D5E6F1" w:rsidRPr="45A4AAAF">
        <w:rPr>
          <w:sz w:val="22"/>
          <w:szCs w:val="22"/>
        </w:rPr>
        <w:t xml:space="preserve"> an indication of the value of benefits can be shown using</w:t>
      </w:r>
      <w:r w:rsidR="00F614B2" w:rsidRPr="45A4AAAF">
        <w:rPr>
          <w:sz w:val="22"/>
          <w:szCs w:val="22"/>
        </w:rPr>
        <w:t xml:space="preserve"> </w:t>
      </w:r>
      <w:r w:rsidR="00342183" w:rsidRPr="45A4AAAF">
        <w:rPr>
          <w:sz w:val="22"/>
          <w:szCs w:val="22"/>
        </w:rPr>
        <w:t>the value of the</w:t>
      </w:r>
      <w:r w:rsidR="00D73314" w:rsidRPr="45A4AAAF">
        <w:rPr>
          <w:sz w:val="22"/>
          <w:szCs w:val="22"/>
        </w:rPr>
        <w:t xml:space="preserve"> reductions in CO2e emissions </w:t>
      </w:r>
      <w:r w:rsidR="1C12094C" w:rsidRPr="45A4AAAF">
        <w:rPr>
          <w:sz w:val="22"/>
          <w:szCs w:val="22"/>
        </w:rPr>
        <w:t>as an example.</w:t>
      </w:r>
      <w:r w:rsidR="00D73314" w:rsidRPr="45A4AAAF">
        <w:rPr>
          <w:sz w:val="22"/>
          <w:szCs w:val="22"/>
        </w:rPr>
        <w:t xml:space="preserve"> </w:t>
      </w:r>
      <w:r w:rsidR="55AFD73B" w:rsidRPr="45A4AAAF">
        <w:rPr>
          <w:sz w:val="22"/>
          <w:szCs w:val="22"/>
        </w:rPr>
        <w:t xml:space="preserve">A reduction of </w:t>
      </w:r>
      <w:r w:rsidR="00863F73">
        <w:rPr>
          <w:sz w:val="22"/>
          <w:szCs w:val="22"/>
        </w:rPr>
        <w:t>173</w:t>
      </w:r>
      <w:r w:rsidR="009D409E" w:rsidRPr="45A4AAAF">
        <w:rPr>
          <w:sz w:val="22"/>
          <w:szCs w:val="22"/>
        </w:rPr>
        <w:t>,000tCO2e</w:t>
      </w:r>
      <w:r w:rsidR="00835CD5" w:rsidRPr="45A4AAAF">
        <w:rPr>
          <w:sz w:val="22"/>
          <w:szCs w:val="22"/>
        </w:rPr>
        <w:t xml:space="preserve"> </w:t>
      </w:r>
      <w:r w:rsidR="5C12441A" w:rsidRPr="45A4AAAF">
        <w:rPr>
          <w:sz w:val="22"/>
          <w:szCs w:val="22"/>
        </w:rPr>
        <w:t xml:space="preserve">is </w:t>
      </w:r>
      <w:r w:rsidR="00863F73">
        <w:rPr>
          <w:sz w:val="22"/>
          <w:szCs w:val="22"/>
        </w:rPr>
        <w:t xml:space="preserve">directly </w:t>
      </w:r>
      <w:r w:rsidR="7DFD32A0" w:rsidRPr="45A4AAAF">
        <w:rPr>
          <w:sz w:val="22"/>
          <w:szCs w:val="22"/>
        </w:rPr>
        <w:t>attributed to Defra’s investment</w:t>
      </w:r>
      <w:r w:rsidR="00555DFC" w:rsidRPr="45A4AAAF">
        <w:rPr>
          <w:sz w:val="22"/>
          <w:szCs w:val="22"/>
        </w:rPr>
        <w:t>,</w:t>
      </w:r>
      <w:r w:rsidR="00F614B2" w:rsidRPr="45A4AAAF">
        <w:rPr>
          <w:sz w:val="22"/>
          <w:szCs w:val="22"/>
        </w:rPr>
        <w:t xml:space="preserve"> </w:t>
      </w:r>
      <w:r w:rsidR="12184107" w:rsidRPr="45A4AAAF">
        <w:rPr>
          <w:sz w:val="22"/>
          <w:szCs w:val="22"/>
        </w:rPr>
        <w:t>which, using the</w:t>
      </w:r>
      <w:r w:rsidR="004D26F8" w:rsidRPr="45A4AAAF">
        <w:rPr>
          <w:sz w:val="22"/>
          <w:szCs w:val="22"/>
        </w:rPr>
        <w:t xml:space="preserve"> 2024 estimated </w:t>
      </w:r>
      <w:r w:rsidR="00555DFC" w:rsidRPr="45A4AAAF">
        <w:rPr>
          <w:sz w:val="22"/>
          <w:szCs w:val="22"/>
        </w:rPr>
        <w:t xml:space="preserve">CO2e value of £256/tonne, </w:t>
      </w:r>
      <w:r w:rsidR="00342183" w:rsidRPr="45A4AAAF">
        <w:rPr>
          <w:sz w:val="22"/>
          <w:szCs w:val="22"/>
        </w:rPr>
        <w:t>result</w:t>
      </w:r>
      <w:r w:rsidR="00C10381" w:rsidRPr="45A4AAAF">
        <w:rPr>
          <w:sz w:val="22"/>
          <w:szCs w:val="22"/>
        </w:rPr>
        <w:t>s</w:t>
      </w:r>
      <w:r w:rsidR="00342183" w:rsidRPr="45A4AAAF">
        <w:rPr>
          <w:sz w:val="22"/>
          <w:szCs w:val="22"/>
        </w:rPr>
        <w:t xml:space="preserve"> in </w:t>
      </w:r>
      <w:r w:rsidR="30138E64" w:rsidRPr="45A4AAAF">
        <w:rPr>
          <w:sz w:val="22"/>
          <w:szCs w:val="22"/>
        </w:rPr>
        <w:t xml:space="preserve">a benefit of </w:t>
      </w:r>
      <w:r w:rsidR="00342183" w:rsidRPr="45A4AAAF">
        <w:rPr>
          <w:sz w:val="22"/>
          <w:szCs w:val="22"/>
        </w:rPr>
        <w:t>more than £</w:t>
      </w:r>
      <w:r w:rsidR="00B8224E">
        <w:rPr>
          <w:sz w:val="22"/>
          <w:szCs w:val="22"/>
        </w:rPr>
        <w:t>44.3</w:t>
      </w:r>
      <w:r w:rsidR="00342183" w:rsidRPr="45A4AAAF">
        <w:rPr>
          <w:sz w:val="22"/>
          <w:szCs w:val="22"/>
        </w:rPr>
        <w:t xml:space="preserve">m so far </w:t>
      </w:r>
      <w:r w:rsidR="00C7429F" w:rsidRPr="45A4AAAF">
        <w:rPr>
          <w:sz w:val="22"/>
          <w:szCs w:val="22"/>
        </w:rPr>
        <w:t xml:space="preserve">with many projects not yet complete. </w:t>
      </w:r>
    </w:p>
    <w:p w14:paraId="276C5112" w14:textId="549DE5C1" w:rsidR="7CF57807" w:rsidRDefault="7CF57807" w:rsidP="7CF57807">
      <w:pPr>
        <w:tabs>
          <w:tab w:val="left" w:pos="5014"/>
        </w:tabs>
        <w:jc w:val="both"/>
        <w:rPr>
          <w:sz w:val="22"/>
          <w:szCs w:val="22"/>
        </w:rPr>
      </w:pPr>
    </w:p>
    <w:p w14:paraId="2C601010" w14:textId="291A4DBD" w:rsidR="4725E3B5" w:rsidRDefault="4725E3B5" w:rsidP="19A34464">
      <w:pPr>
        <w:spacing w:after="160" w:line="257" w:lineRule="auto"/>
        <w:jc w:val="both"/>
        <w:rPr>
          <w:rFonts w:eastAsia="Arial" w:cs="Arial"/>
          <w:sz w:val="22"/>
          <w:szCs w:val="22"/>
        </w:rPr>
      </w:pPr>
      <w:r w:rsidRPr="19A34464">
        <w:rPr>
          <w:rFonts w:eastAsia="Arial" w:cs="Arial"/>
          <w:color w:val="000000" w:themeColor="text1"/>
          <w:sz w:val="22"/>
          <w:szCs w:val="22"/>
        </w:rPr>
        <w:t xml:space="preserve">While this is just an indicative value for </w:t>
      </w:r>
      <w:r w:rsidRPr="63C6EED5">
        <w:rPr>
          <w:rFonts w:eastAsia="Arial" w:cs="Arial"/>
          <w:color w:val="000000" w:themeColor="text1"/>
          <w:sz w:val="22"/>
          <w:szCs w:val="22"/>
        </w:rPr>
        <w:t>one</w:t>
      </w:r>
      <w:r w:rsidRPr="19A34464">
        <w:rPr>
          <w:rFonts w:eastAsia="Arial" w:cs="Arial"/>
          <w:color w:val="000000" w:themeColor="text1"/>
          <w:sz w:val="22"/>
          <w:szCs w:val="22"/>
        </w:rPr>
        <w:t xml:space="preserve"> </w:t>
      </w:r>
      <w:r w:rsidRPr="231873F5">
        <w:rPr>
          <w:rFonts w:eastAsia="Arial" w:cs="Arial"/>
          <w:color w:val="000000" w:themeColor="text1"/>
          <w:sz w:val="22"/>
          <w:szCs w:val="22"/>
        </w:rPr>
        <w:t>benefit</w:t>
      </w:r>
      <w:r w:rsidRPr="19A34464">
        <w:rPr>
          <w:rFonts w:eastAsia="Arial" w:cs="Arial"/>
          <w:color w:val="000000" w:themeColor="text1"/>
          <w:sz w:val="22"/>
          <w:szCs w:val="22"/>
        </w:rPr>
        <w:t xml:space="preserve"> and does not account for risks such as additionality and leakage, </w:t>
      </w:r>
      <w:r w:rsidRPr="0658B441">
        <w:rPr>
          <w:rFonts w:eastAsia="Arial" w:cs="Arial"/>
          <w:color w:val="000000" w:themeColor="text1"/>
          <w:sz w:val="22"/>
          <w:szCs w:val="22"/>
        </w:rPr>
        <w:t>it indicates</w:t>
      </w:r>
      <w:r w:rsidRPr="19A34464">
        <w:rPr>
          <w:rFonts w:eastAsia="Arial" w:cs="Arial"/>
          <w:color w:val="000000" w:themeColor="text1"/>
          <w:sz w:val="22"/>
          <w:szCs w:val="22"/>
        </w:rPr>
        <w:t xml:space="preserve"> benefits already (likely to continue to grow over the implementation and appraisal period) several times greater than the cost of Defra’s investment of </w:t>
      </w:r>
      <w:r w:rsidRPr="486BF210">
        <w:rPr>
          <w:rFonts w:eastAsia="Arial" w:cs="Arial"/>
          <w:color w:val="000000" w:themeColor="text1"/>
          <w:sz w:val="22"/>
          <w:szCs w:val="22"/>
        </w:rPr>
        <w:t>£10</w:t>
      </w:r>
      <w:r w:rsidRPr="19A34464">
        <w:rPr>
          <w:rFonts w:eastAsia="Arial" w:cs="Arial"/>
          <w:color w:val="000000" w:themeColor="text1"/>
          <w:sz w:val="22"/>
          <w:szCs w:val="22"/>
        </w:rPr>
        <w:t xml:space="preserve"> million into the </w:t>
      </w:r>
      <w:r w:rsidRPr="02329508">
        <w:rPr>
          <w:rFonts w:eastAsia="Arial" w:cs="Arial"/>
          <w:color w:val="000000" w:themeColor="text1"/>
          <w:sz w:val="22"/>
          <w:szCs w:val="22"/>
        </w:rPr>
        <w:t>LDNF</w:t>
      </w:r>
      <w:r w:rsidRPr="19A34464">
        <w:rPr>
          <w:rFonts w:eastAsia="Arial" w:cs="Arial"/>
          <w:color w:val="000000" w:themeColor="text1"/>
          <w:sz w:val="22"/>
          <w:szCs w:val="22"/>
        </w:rPr>
        <w:t>, indicating a BCR above 2, with likely value for money of at least high, per Defra’s Value for Money Framework.</w:t>
      </w:r>
    </w:p>
    <w:p w14:paraId="5CC0C2C1" w14:textId="3E7B332E" w:rsidR="002578FD" w:rsidRDefault="002578FD" w:rsidP="006110D9">
      <w:pPr>
        <w:tabs>
          <w:tab w:val="left" w:pos="5014"/>
        </w:tabs>
        <w:jc w:val="both"/>
        <w:rPr>
          <w:sz w:val="22"/>
          <w:szCs w:val="18"/>
        </w:rPr>
      </w:pPr>
      <w:r>
        <w:rPr>
          <w:sz w:val="22"/>
          <w:szCs w:val="18"/>
        </w:rPr>
        <w:t xml:space="preserve">Cost effectiveness may be slightly below initial expectations in the business case </w:t>
      </w:r>
      <w:proofErr w:type="gramStart"/>
      <w:r>
        <w:rPr>
          <w:sz w:val="22"/>
          <w:szCs w:val="18"/>
        </w:rPr>
        <w:t>as a result of</w:t>
      </w:r>
      <w:proofErr w:type="gramEnd"/>
      <w:r>
        <w:rPr>
          <w:sz w:val="22"/>
          <w:szCs w:val="18"/>
        </w:rPr>
        <w:t xml:space="preserve"> underperformance against key environmental outcome indicators</w:t>
      </w:r>
      <w:r w:rsidR="00FC7B62">
        <w:rPr>
          <w:sz w:val="22"/>
          <w:szCs w:val="18"/>
        </w:rPr>
        <w:t xml:space="preserve">, although areas of overperformance also exist in areas such as job creation. However, while </w:t>
      </w:r>
      <w:r w:rsidR="00EB71CA">
        <w:rPr>
          <w:sz w:val="22"/>
          <w:szCs w:val="18"/>
        </w:rPr>
        <w:t xml:space="preserve">private funding has exceeded targets, </w:t>
      </w:r>
      <w:r w:rsidR="003F49F0">
        <w:rPr>
          <w:sz w:val="22"/>
          <w:szCs w:val="18"/>
        </w:rPr>
        <w:t xml:space="preserve">there is limited evidence to date that this is driving greater </w:t>
      </w:r>
      <w:r w:rsidR="00EB6077">
        <w:rPr>
          <w:sz w:val="22"/>
          <w:szCs w:val="18"/>
        </w:rPr>
        <w:t xml:space="preserve">environmental outcomes and impacts. This suggests </w:t>
      </w:r>
      <w:r w:rsidR="0019436E">
        <w:rPr>
          <w:sz w:val="22"/>
          <w:szCs w:val="18"/>
        </w:rPr>
        <w:t>impacts at a slightly lower level per pound invested by Defra</w:t>
      </w:r>
      <w:r w:rsidR="00A77584">
        <w:rPr>
          <w:sz w:val="22"/>
          <w:szCs w:val="18"/>
        </w:rPr>
        <w:t xml:space="preserve"> and partners</w:t>
      </w:r>
      <w:r w:rsidR="0019436E">
        <w:rPr>
          <w:sz w:val="22"/>
          <w:szCs w:val="18"/>
        </w:rPr>
        <w:t xml:space="preserve"> than targeted,</w:t>
      </w:r>
      <w:r w:rsidR="00D349F5">
        <w:rPr>
          <w:sz w:val="22"/>
          <w:szCs w:val="18"/>
        </w:rPr>
        <w:t xml:space="preserve"> or signs of diminishing returns,</w:t>
      </w:r>
      <w:r w:rsidR="0019436E">
        <w:rPr>
          <w:sz w:val="22"/>
          <w:szCs w:val="18"/>
        </w:rPr>
        <w:t xml:space="preserve"> as with greater funding</w:t>
      </w:r>
      <w:r w:rsidR="00E91B7D">
        <w:rPr>
          <w:sz w:val="22"/>
          <w:szCs w:val="18"/>
        </w:rPr>
        <w:t xml:space="preserve"> catalysed,</w:t>
      </w:r>
      <w:r w:rsidR="0019436E">
        <w:rPr>
          <w:sz w:val="22"/>
          <w:szCs w:val="18"/>
        </w:rPr>
        <w:t xml:space="preserve"> </w:t>
      </w:r>
      <w:r w:rsidR="00DB1DE5">
        <w:rPr>
          <w:sz w:val="22"/>
          <w:szCs w:val="18"/>
        </w:rPr>
        <w:t xml:space="preserve">the programme may be expected to deliver greater results. Not all funding has yet been disbursed </w:t>
      </w:r>
      <w:r w:rsidR="00E91B7D">
        <w:rPr>
          <w:sz w:val="22"/>
          <w:szCs w:val="18"/>
        </w:rPr>
        <w:t xml:space="preserve">to projects </w:t>
      </w:r>
      <w:r w:rsidR="00DB1DE5">
        <w:rPr>
          <w:sz w:val="22"/>
          <w:szCs w:val="18"/>
        </w:rPr>
        <w:t xml:space="preserve">so </w:t>
      </w:r>
      <w:r w:rsidR="00A65793">
        <w:rPr>
          <w:sz w:val="22"/>
          <w:szCs w:val="18"/>
        </w:rPr>
        <w:t xml:space="preserve">any additional </w:t>
      </w:r>
      <w:r w:rsidR="00DB1DE5">
        <w:rPr>
          <w:sz w:val="22"/>
          <w:szCs w:val="18"/>
        </w:rPr>
        <w:t xml:space="preserve">impacts </w:t>
      </w:r>
      <w:proofErr w:type="gramStart"/>
      <w:r w:rsidR="00A65793">
        <w:rPr>
          <w:sz w:val="22"/>
          <w:szCs w:val="18"/>
        </w:rPr>
        <w:t>as a result of</w:t>
      </w:r>
      <w:proofErr w:type="gramEnd"/>
      <w:r w:rsidR="00A65793">
        <w:rPr>
          <w:sz w:val="22"/>
          <w:szCs w:val="18"/>
        </w:rPr>
        <w:t xml:space="preserve"> greater funding </w:t>
      </w:r>
      <w:r w:rsidR="00DB1DE5">
        <w:rPr>
          <w:sz w:val="22"/>
          <w:szCs w:val="18"/>
        </w:rPr>
        <w:t xml:space="preserve">may </w:t>
      </w:r>
      <w:r w:rsidR="00A65793">
        <w:rPr>
          <w:sz w:val="22"/>
          <w:szCs w:val="18"/>
        </w:rPr>
        <w:t>become more apparent in the latter years of the programme.</w:t>
      </w:r>
      <w:r w:rsidR="00B72A79">
        <w:rPr>
          <w:sz w:val="22"/>
          <w:szCs w:val="18"/>
        </w:rPr>
        <w:t xml:space="preserve"> </w:t>
      </w:r>
    </w:p>
    <w:p w14:paraId="0F45E709" w14:textId="77777777" w:rsidR="002A793D" w:rsidRPr="002A793D" w:rsidRDefault="002A793D" w:rsidP="006110D9">
      <w:pPr>
        <w:tabs>
          <w:tab w:val="left" w:pos="5014"/>
        </w:tabs>
        <w:jc w:val="both"/>
        <w:rPr>
          <w:sz w:val="22"/>
          <w:szCs w:val="18"/>
        </w:rPr>
      </w:pPr>
    </w:p>
    <w:p w14:paraId="5A77F22C" w14:textId="77777777" w:rsidR="002A793D" w:rsidRPr="002A793D" w:rsidRDefault="002A793D" w:rsidP="006110D9">
      <w:pPr>
        <w:keepNext/>
        <w:jc w:val="both"/>
        <w:rPr>
          <w:b/>
          <w:bCs/>
          <w:noProof/>
          <w:sz w:val="22"/>
          <w:szCs w:val="22"/>
        </w:rPr>
      </w:pPr>
      <w:r w:rsidRPr="002A793D">
        <w:rPr>
          <w:b/>
          <w:bCs/>
          <w:noProof/>
          <w:sz w:val="22"/>
          <w:szCs w:val="22"/>
        </w:rPr>
        <w:lastRenderedPageBreak/>
        <w:t>Value for money summary</w:t>
      </w:r>
    </w:p>
    <w:p w14:paraId="6BEBC670" w14:textId="77777777" w:rsidR="002A793D" w:rsidRDefault="002A793D" w:rsidP="006110D9">
      <w:pPr>
        <w:keepNext/>
        <w:jc w:val="both"/>
        <w:rPr>
          <w:noProof/>
          <w:sz w:val="22"/>
          <w:szCs w:val="22"/>
        </w:rPr>
      </w:pPr>
    </w:p>
    <w:p w14:paraId="28B51206" w14:textId="22BDF1AC" w:rsidR="002A793D" w:rsidRPr="002A793D" w:rsidRDefault="002A793D" w:rsidP="006110D9">
      <w:pPr>
        <w:keepNext/>
        <w:jc w:val="both"/>
        <w:rPr>
          <w:noProof/>
          <w:sz w:val="22"/>
          <w:szCs w:val="22"/>
        </w:rPr>
        <w:sectPr w:rsidR="002A793D" w:rsidRPr="002A793D" w:rsidSect="00476976">
          <w:headerReference w:type="even" r:id="rId26"/>
          <w:headerReference w:type="default" r:id="rId27"/>
          <w:footerReference w:type="even" r:id="rId28"/>
          <w:footerReference w:type="default" r:id="rId29"/>
          <w:headerReference w:type="first" r:id="rId30"/>
          <w:footerReference w:type="first" r:id="rId31"/>
          <w:pgSz w:w="11906" w:h="16838"/>
          <w:pgMar w:top="709" w:right="1440" w:bottom="709" w:left="1440" w:header="708" w:footer="708" w:gutter="0"/>
          <w:cols w:space="708"/>
          <w:docGrid w:linePitch="360"/>
        </w:sectPr>
      </w:pPr>
      <w:r w:rsidRPr="002A793D">
        <w:rPr>
          <w:noProof/>
          <w:sz w:val="22"/>
          <w:szCs w:val="22"/>
        </w:rPr>
        <w:t>At present there is no evidence that the economic arguments for funding LDNF have changed significantly since Business Case approval, with current results indicating that Defra’s funding of LDNF represents value for money. There has also not been any significant change to the design of the programme which will prevent the programme from delivering value for money in future.</w:t>
      </w:r>
    </w:p>
    <w:p w14:paraId="3BBB4226" w14:textId="44CC2D61" w:rsidR="00543FF3" w:rsidRPr="00543FF3" w:rsidRDefault="00543FF3" w:rsidP="006110D9">
      <w:pPr>
        <w:jc w:val="both"/>
        <w:rPr>
          <w:rFonts w:asciiTheme="minorHAnsi" w:eastAsiaTheme="minorEastAsia" w:hAnsiTheme="minorHAnsi" w:cstheme="minorBidi"/>
          <w:sz w:val="22"/>
          <w:szCs w:val="22"/>
          <w:lang w:val="en-US"/>
        </w:rPr>
        <w:sectPr w:rsidR="00543FF3" w:rsidRPr="00543FF3" w:rsidSect="00C87438">
          <w:type w:val="continuous"/>
          <w:pgSz w:w="11906" w:h="16838"/>
          <w:pgMar w:top="709" w:right="1440" w:bottom="709" w:left="1440" w:header="708" w:footer="708" w:gutter="0"/>
          <w:cols w:num="2" w:space="708"/>
          <w:docGrid w:linePitch="360"/>
        </w:sectPr>
      </w:pPr>
    </w:p>
    <w:bookmarkEnd w:id="0"/>
    <w:p w14:paraId="54601539" w14:textId="77777777" w:rsidR="004C3B5E" w:rsidRPr="004C3B5E" w:rsidRDefault="004C3B5E" w:rsidP="006110D9">
      <w:pPr>
        <w:keepNext/>
        <w:jc w:val="both"/>
        <w:rPr>
          <w:noProof/>
          <w:sz w:val="22"/>
          <w:szCs w:val="22"/>
        </w:rPr>
      </w:pPr>
    </w:p>
    <w:sectPr w:rsidR="004C3B5E" w:rsidRPr="004C3B5E" w:rsidSect="00C87438">
      <w:headerReference w:type="even" r:id="rId32"/>
      <w:headerReference w:type="default" r:id="rId33"/>
      <w:footerReference w:type="even" r:id="rId34"/>
      <w:footerReference w:type="default" r:id="rId35"/>
      <w:headerReference w:type="first" r:id="rId36"/>
      <w:footerReference w:type="first" r:id="rId37"/>
      <w:type w:val="continuous"/>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7765" w14:textId="77777777" w:rsidR="000B035D" w:rsidRDefault="000B035D" w:rsidP="006E5785">
      <w:r>
        <w:separator/>
      </w:r>
    </w:p>
  </w:endnote>
  <w:endnote w:type="continuationSeparator" w:id="0">
    <w:p w14:paraId="2DD77171" w14:textId="77777777" w:rsidR="000B035D" w:rsidRDefault="000B035D" w:rsidP="006E5785">
      <w:r>
        <w:continuationSeparator/>
      </w:r>
    </w:p>
  </w:endnote>
  <w:endnote w:type="continuationNotice" w:id="1">
    <w:p w14:paraId="3B036BFC" w14:textId="77777777" w:rsidR="000B035D" w:rsidRDefault="000B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742E" w14:textId="77777777" w:rsidR="00F27E1A" w:rsidRDefault="00F27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942907"/>
      <w:docPartObj>
        <w:docPartGallery w:val="Page Numbers (Bottom of Page)"/>
        <w:docPartUnique/>
      </w:docPartObj>
    </w:sdtPr>
    <w:sdtEndPr>
      <w:rPr>
        <w:noProof/>
        <w:color w:val="767171" w:themeColor="background2" w:themeShade="80"/>
        <w:sz w:val="20"/>
        <w:szCs w:val="20"/>
      </w:rPr>
    </w:sdtEndPr>
    <w:sdtContent>
      <w:p w14:paraId="1BFFDCD6" w14:textId="62109514" w:rsidR="00F27E1A" w:rsidRPr="00F27E1A" w:rsidRDefault="00F27E1A">
        <w:pPr>
          <w:pStyle w:val="Footer"/>
          <w:jc w:val="right"/>
          <w:rPr>
            <w:color w:val="767171" w:themeColor="background2" w:themeShade="80"/>
            <w:sz w:val="20"/>
            <w:szCs w:val="20"/>
          </w:rPr>
        </w:pPr>
        <w:r w:rsidRPr="00F27E1A">
          <w:rPr>
            <w:color w:val="767171" w:themeColor="background2" w:themeShade="80"/>
            <w:sz w:val="20"/>
            <w:szCs w:val="20"/>
          </w:rPr>
          <w:fldChar w:fldCharType="begin"/>
        </w:r>
        <w:r w:rsidRPr="00F27E1A">
          <w:rPr>
            <w:color w:val="767171" w:themeColor="background2" w:themeShade="80"/>
            <w:sz w:val="20"/>
            <w:szCs w:val="20"/>
          </w:rPr>
          <w:instrText xml:space="preserve"> PAGE   \* MERGEFORMAT </w:instrText>
        </w:r>
        <w:r w:rsidRPr="00F27E1A">
          <w:rPr>
            <w:color w:val="767171" w:themeColor="background2" w:themeShade="80"/>
            <w:sz w:val="20"/>
            <w:szCs w:val="20"/>
          </w:rPr>
          <w:fldChar w:fldCharType="separate"/>
        </w:r>
        <w:r w:rsidRPr="00F27E1A">
          <w:rPr>
            <w:noProof/>
            <w:color w:val="767171" w:themeColor="background2" w:themeShade="80"/>
            <w:sz w:val="20"/>
            <w:szCs w:val="20"/>
          </w:rPr>
          <w:t>2</w:t>
        </w:r>
        <w:r w:rsidRPr="00F27E1A">
          <w:rPr>
            <w:noProof/>
            <w:color w:val="767171" w:themeColor="background2" w:themeShade="80"/>
            <w:sz w:val="20"/>
            <w:szCs w:val="20"/>
          </w:rPr>
          <w:fldChar w:fldCharType="end"/>
        </w:r>
      </w:p>
    </w:sdtContent>
  </w:sdt>
  <w:p w14:paraId="45CA5E12" w14:textId="705F8861" w:rsidR="00A7650A" w:rsidRDefault="00A76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DACD" w14:textId="77777777" w:rsidR="00F27E1A" w:rsidRDefault="00F27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C5F2" w14:textId="77777777" w:rsidR="00F97230" w:rsidRDefault="00F972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325603"/>
      <w:docPartObj>
        <w:docPartGallery w:val="Page Numbers (Bottom of Page)"/>
        <w:docPartUnique/>
      </w:docPartObj>
    </w:sdtPr>
    <w:sdtEndPr>
      <w:rPr>
        <w:noProof/>
      </w:rPr>
    </w:sdtEndPr>
    <w:sdtContent>
      <w:p w14:paraId="146B727E" w14:textId="49B1C9D2" w:rsidR="000C40BD" w:rsidRDefault="000C40BD">
        <w:pPr>
          <w:pStyle w:val="Footer"/>
          <w:jc w:val="right"/>
        </w:pPr>
        <w:r w:rsidRPr="000C40BD">
          <w:rPr>
            <w:sz w:val="20"/>
            <w:szCs w:val="20"/>
          </w:rPr>
          <w:fldChar w:fldCharType="begin"/>
        </w:r>
        <w:r w:rsidRPr="000C40BD">
          <w:rPr>
            <w:sz w:val="20"/>
            <w:szCs w:val="20"/>
          </w:rPr>
          <w:instrText xml:space="preserve"> PAGE   \* MERGEFORMAT </w:instrText>
        </w:r>
        <w:r w:rsidRPr="000C40BD">
          <w:rPr>
            <w:sz w:val="20"/>
            <w:szCs w:val="20"/>
          </w:rPr>
          <w:fldChar w:fldCharType="separate"/>
        </w:r>
        <w:r w:rsidRPr="000C40BD">
          <w:rPr>
            <w:noProof/>
            <w:sz w:val="20"/>
            <w:szCs w:val="20"/>
          </w:rPr>
          <w:t>2</w:t>
        </w:r>
        <w:r w:rsidRPr="000C40BD">
          <w:rPr>
            <w:noProof/>
            <w:sz w:val="20"/>
            <w:szCs w:val="20"/>
          </w:rPr>
          <w:fldChar w:fldCharType="end"/>
        </w:r>
      </w:p>
    </w:sdtContent>
  </w:sdt>
  <w:p w14:paraId="4368A0E7" w14:textId="29F418E2" w:rsidR="00F97230" w:rsidRDefault="00F972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A205" w14:textId="77777777" w:rsidR="00F97230" w:rsidRDefault="00F9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7BE7" w14:textId="77777777" w:rsidR="000B035D" w:rsidRDefault="000B035D" w:rsidP="006E5785">
      <w:r>
        <w:separator/>
      </w:r>
    </w:p>
  </w:footnote>
  <w:footnote w:type="continuationSeparator" w:id="0">
    <w:p w14:paraId="5714B532" w14:textId="77777777" w:rsidR="000B035D" w:rsidRDefault="000B035D" w:rsidP="006E5785">
      <w:r>
        <w:continuationSeparator/>
      </w:r>
    </w:p>
  </w:footnote>
  <w:footnote w:type="continuationNotice" w:id="1">
    <w:p w14:paraId="2AF6BD72" w14:textId="77777777" w:rsidR="000B035D" w:rsidRDefault="000B035D"/>
  </w:footnote>
  <w:footnote w:id="2">
    <w:p w14:paraId="2653DE7D" w14:textId="56090CA0" w:rsidR="00975C38" w:rsidRDefault="00975C38" w:rsidP="00975C38">
      <w:pPr>
        <w:spacing w:after="120"/>
        <w:jc w:val="both"/>
      </w:pPr>
      <w:r>
        <w:rPr>
          <w:rStyle w:val="FootnoteReference"/>
        </w:rPr>
        <w:footnoteRef/>
      </w:r>
      <w:r>
        <w:t xml:space="preserve"> </w:t>
      </w:r>
      <w:r w:rsidRPr="00A27181">
        <w:rPr>
          <w:i/>
          <w:iCs/>
        </w:rPr>
        <w:t>N</w:t>
      </w:r>
      <w:r w:rsidRPr="428F1934">
        <w:rPr>
          <w:rFonts w:eastAsia="Arial" w:cs="Arial"/>
          <w:i/>
          <w:iCs/>
          <w:color w:val="000000" w:themeColor="text1"/>
          <w:sz w:val="20"/>
          <w:szCs w:val="20"/>
        </w:rPr>
        <w:t xml:space="preserve">ote the </w:t>
      </w:r>
      <w:r w:rsidR="00B62554">
        <w:rPr>
          <w:rFonts w:eastAsia="Arial" w:cs="Arial"/>
          <w:i/>
          <w:iCs/>
          <w:color w:val="000000" w:themeColor="text1"/>
          <w:sz w:val="20"/>
          <w:szCs w:val="20"/>
        </w:rPr>
        <w:t>indicators assessed</w:t>
      </w:r>
      <w:r w:rsidRPr="428F1934">
        <w:rPr>
          <w:rFonts w:eastAsia="Arial" w:cs="Arial"/>
          <w:i/>
          <w:iCs/>
          <w:color w:val="000000" w:themeColor="text1"/>
          <w:sz w:val="20"/>
          <w:szCs w:val="20"/>
        </w:rPr>
        <w:t xml:space="preserve"> in this table are </w:t>
      </w:r>
      <w:r w:rsidR="00B62554">
        <w:rPr>
          <w:rFonts w:eastAsia="Arial" w:cs="Arial"/>
          <w:i/>
          <w:iCs/>
          <w:color w:val="000000" w:themeColor="text1"/>
          <w:sz w:val="20"/>
          <w:szCs w:val="20"/>
        </w:rPr>
        <w:t xml:space="preserve">those </w:t>
      </w:r>
      <w:r w:rsidRPr="428F1934">
        <w:rPr>
          <w:rFonts w:eastAsia="Arial" w:cs="Arial"/>
          <w:i/>
          <w:iCs/>
          <w:color w:val="000000" w:themeColor="text1"/>
          <w:sz w:val="20"/>
          <w:szCs w:val="20"/>
        </w:rPr>
        <w:t>that have both a planned target and achieved figure in the log frame; other indicators that do not contain both pieces of information are excluded from</w:t>
      </w:r>
      <w:r w:rsidR="00B62554">
        <w:rPr>
          <w:rFonts w:eastAsia="Arial" w:cs="Arial"/>
          <w:i/>
          <w:iCs/>
          <w:color w:val="000000" w:themeColor="text1"/>
          <w:sz w:val="20"/>
          <w:szCs w:val="20"/>
        </w:rPr>
        <w:t xml:space="preserve"> the table</w:t>
      </w:r>
      <w:r w:rsidRPr="428F1934">
        <w:rPr>
          <w:rFonts w:eastAsia="Arial" w:cs="Arial"/>
          <w:i/>
          <w:iCs/>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3947" w14:textId="77777777" w:rsidR="00F27E1A" w:rsidRDefault="00F27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D41E" w14:textId="77777777" w:rsidR="00A7650A" w:rsidRDefault="00A7650A">
    <w:pPr>
      <w:pStyle w:val="Header"/>
    </w:pPr>
    <w:r>
      <w:rPr>
        <w:noProof/>
      </w:rPr>
      <mc:AlternateContent>
        <mc:Choice Requires="wps">
          <w:drawing>
            <wp:anchor distT="0" distB="0" distL="114300" distR="114300" simplePos="0" relativeHeight="251658241" behindDoc="0" locked="0" layoutInCell="0" allowOverlap="1" wp14:anchorId="6980FD7E" wp14:editId="1489C5E2">
              <wp:simplePos x="0" y="0"/>
              <wp:positionH relativeFrom="page">
                <wp:posOffset>0</wp:posOffset>
              </wp:positionH>
              <wp:positionV relativeFrom="page">
                <wp:posOffset>190500</wp:posOffset>
              </wp:positionV>
              <wp:extent cx="7560310" cy="273050"/>
              <wp:effectExtent l="0" t="0" r="0" b="12700"/>
              <wp:wrapNone/>
              <wp:docPr id="5" name="Zone de texte 5"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E81AC" w14:textId="77777777" w:rsidR="00A7650A" w:rsidRPr="006E5785" w:rsidRDefault="00A7650A" w:rsidP="006E5785">
                          <w:pPr>
                            <w:rPr>
                              <w:rFonts w:ascii="Calibri" w:hAnsi="Calibri" w:cs="Calibri"/>
                              <w:color w:val="000000"/>
                              <w:sz w:val="20"/>
                            </w:rPr>
                          </w:pPr>
                          <w:r w:rsidRPr="006E578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80FD7E" id="_x0000_t202" coordsize="21600,21600" o:spt="202" path="m,l,21600r21600,l21600,xe">
              <v:stroke joinstyle="miter"/>
              <v:path gradientshapeok="t" o:connecttype="rect"/>
            </v:shapetype>
            <v:shape id="Zone de texte 5"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AFE81AC" w14:textId="77777777" w:rsidR="00A7650A" w:rsidRPr="006E5785" w:rsidRDefault="00A7650A" w:rsidP="006E5785">
                    <w:pPr>
                      <w:rPr>
                        <w:rFonts w:ascii="Calibri" w:hAnsi="Calibri" w:cs="Calibri"/>
                        <w:color w:val="000000"/>
                        <w:sz w:val="20"/>
                      </w:rPr>
                    </w:pPr>
                    <w:r w:rsidRPr="006E5785">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7AFA" w14:textId="77777777" w:rsidR="00F27E1A" w:rsidRDefault="00F27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E587" w14:textId="77777777" w:rsidR="00F97230" w:rsidRDefault="00F972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92EF" w14:textId="5B953D0D" w:rsidR="000E1AA3" w:rsidRDefault="000E1AA3">
    <w:pPr>
      <w:pStyle w:val="Header"/>
    </w:pPr>
    <w:r>
      <w:rPr>
        <w:noProof/>
      </w:rPr>
      <mc:AlternateContent>
        <mc:Choice Requires="wps">
          <w:drawing>
            <wp:anchor distT="0" distB="0" distL="114300" distR="114300" simplePos="0" relativeHeight="251658240" behindDoc="0" locked="0" layoutInCell="0" allowOverlap="1" wp14:anchorId="075411E3" wp14:editId="2B8A39F1">
              <wp:simplePos x="0" y="0"/>
              <wp:positionH relativeFrom="page">
                <wp:posOffset>0</wp:posOffset>
              </wp:positionH>
              <wp:positionV relativeFrom="page">
                <wp:posOffset>190500</wp:posOffset>
              </wp:positionV>
              <wp:extent cx="7560310" cy="273050"/>
              <wp:effectExtent l="0" t="0" r="0" b="12700"/>
              <wp:wrapNone/>
              <wp:docPr id="1" name="Zone de texte 1"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ABAE4" w14:textId="5DE5ECEF" w:rsidR="000E1AA3" w:rsidRPr="006E5785" w:rsidRDefault="000E1AA3" w:rsidP="006E5785">
                          <w:pPr>
                            <w:rPr>
                              <w:rFonts w:ascii="Calibri" w:hAnsi="Calibri" w:cs="Calibri"/>
                              <w:color w:val="000000"/>
                              <w:sz w:val="20"/>
                            </w:rPr>
                          </w:pPr>
                          <w:r w:rsidRPr="006E578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5411E3" id="_x0000_t202" coordsize="21600,21600" o:spt="202" path="m,l,21600r21600,l21600,xe">
              <v:stroke joinstyle="miter"/>
              <v:path gradientshapeok="t" o:connecttype="rect"/>
            </v:shapetype>
            <v:shape id="Zone de texte 1" o:spid="_x0000_s1027" type="#_x0000_t202" alt="{&quot;HashCode&quot;:-12918245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272ABAE4" w14:textId="5DE5ECEF" w:rsidR="000E1AA3" w:rsidRPr="006E5785" w:rsidRDefault="000E1AA3" w:rsidP="006E5785">
                    <w:pPr>
                      <w:rPr>
                        <w:rFonts w:ascii="Calibri" w:hAnsi="Calibri" w:cs="Calibri"/>
                        <w:color w:val="000000"/>
                        <w:sz w:val="20"/>
                      </w:rPr>
                    </w:pPr>
                    <w:r w:rsidRPr="006E5785">
                      <w:rPr>
                        <w:rFonts w:ascii="Calibri" w:hAnsi="Calibri" w:cs="Calibri"/>
                        <w:color w:val="000000"/>
                        <w:sz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AFA" w14:textId="77777777" w:rsidR="00F97230" w:rsidRDefault="00F97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9A0"/>
    <w:multiLevelType w:val="hybridMultilevel"/>
    <w:tmpl w:val="A18C2036"/>
    <w:lvl w:ilvl="0" w:tplc="04326D70">
      <w:start w:val="1"/>
      <w:numFmt w:val="decimal"/>
      <w:lvlText w:val="%1."/>
      <w:lvlJc w:val="left"/>
      <w:pPr>
        <w:ind w:left="349" w:hanging="360"/>
      </w:pPr>
      <w:rPr>
        <w:rFonts w:hint="default"/>
        <w:b w:val="0"/>
        <w:bCs w:val="0"/>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15:restartNumberingAfterBreak="0">
    <w:nsid w:val="08183850"/>
    <w:multiLevelType w:val="hybridMultilevel"/>
    <w:tmpl w:val="F946BBAA"/>
    <w:lvl w:ilvl="0" w:tplc="073E5824">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5CB340E"/>
    <w:multiLevelType w:val="hybridMultilevel"/>
    <w:tmpl w:val="56463ABC"/>
    <w:lvl w:ilvl="0" w:tplc="9C04B6A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B43400"/>
    <w:multiLevelType w:val="hybridMultilevel"/>
    <w:tmpl w:val="34948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D639C0"/>
    <w:multiLevelType w:val="hybridMultilevel"/>
    <w:tmpl w:val="796CA8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E281A31"/>
    <w:multiLevelType w:val="hybridMultilevel"/>
    <w:tmpl w:val="DA0C78B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E641945"/>
    <w:multiLevelType w:val="hybridMultilevel"/>
    <w:tmpl w:val="1A2A1970"/>
    <w:lvl w:ilvl="0" w:tplc="8FC85AE2">
      <w:numFmt w:val="bullet"/>
      <w:lvlText w:val="-"/>
      <w:lvlJc w:val="left"/>
      <w:pPr>
        <w:ind w:left="1440" w:hanging="360"/>
      </w:pPr>
      <w:rPr>
        <w:rFonts w:ascii="Arial" w:eastAsia="Times New Roman" w:hAnsi="Arial" w:cs="Arial" w:hint="default"/>
        <w: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AF12BF2"/>
    <w:multiLevelType w:val="hybridMultilevel"/>
    <w:tmpl w:val="16506A6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15:restartNumberingAfterBreak="0">
    <w:nsid w:val="316249C6"/>
    <w:multiLevelType w:val="hybridMultilevel"/>
    <w:tmpl w:val="FFFFFFFF"/>
    <w:lvl w:ilvl="0" w:tplc="FC48E16A">
      <w:start w:val="1"/>
      <w:numFmt w:val="bullet"/>
      <w:lvlText w:val=""/>
      <w:lvlJc w:val="left"/>
      <w:pPr>
        <w:ind w:left="720" w:hanging="360"/>
      </w:pPr>
      <w:rPr>
        <w:rFonts w:ascii="Symbol" w:hAnsi="Symbol" w:hint="default"/>
      </w:rPr>
    </w:lvl>
    <w:lvl w:ilvl="1" w:tplc="60F29D80">
      <w:start w:val="1"/>
      <w:numFmt w:val="bullet"/>
      <w:lvlText w:val="o"/>
      <w:lvlJc w:val="left"/>
      <w:pPr>
        <w:ind w:left="1440" w:hanging="360"/>
      </w:pPr>
      <w:rPr>
        <w:rFonts w:ascii="Courier New" w:hAnsi="Courier New" w:hint="default"/>
      </w:rPr>
    </w:lvl>
    <w:lvl w:ilvl="2" w:tplc="CB1449B6">
      <w:start w:val="1"/>
      <w:numFmt w:val="bullet"/>
      <w:lvlText w:val=""/>
      <w:lvlJc w:val="left"/>
      <w:pPr>
        <w:ind w:left="2160" w:hanging="360"/>
      </w:pPr>
      <w:rPr>
        <w:rFonts w:ascii="Wingdings" w:hAnsi="Wingdings" w:hint="default"/>
      </w:rPr>
    </w:lvl>
    <w:lvl w:ilvl="3" w:tplc="2A30C9A2">
      <w:start w:val="1"/>
      <w:numFmt w:val="bullet"/>
      <w:lvlText w:val=""/>
      <w:lvlJc w:val="left"/>
      <w:pPr>
        <w:ind w:left="2880" w:hanging="360"/>
      </w:pPr>
      <w:rPr>
        <w:rFonts w:ascii="Symbol" w:hAnsi="Symbol" w:hint="default"/>
      </w:rPr>
    </w:lvl>
    <w:lvl w:ilvl="4" w:tplc="C6B8FE10">
      <w:start w:val="1"/>
      <w:numFmt w:val="bullet"/>
      <w:lvlText w:val="o"/>
      <w:lvlJc w:val="left"/>
      <w:pPr>
        <w:ind w:left="3600" w:hanging="360"/>
      </w:pPr>
      <w:rPr>
        <w:rFonts w:ascii="Courier New" w:hAnsi="Courier New" w:hint="default"/>
      </w:rPr>
    </w:lvl>
    <w:lvl w:ilvl="5" w:tplc="62944948">
      <w:start w:val="1"/>
      <w:numFmt w:val="bullet"/>
      <w:lvlText w:val=""/>
      <w:lvlJc w:val="left"/>
      <w:pPr>
        <w:ind w:left="4320" w:hanging="360"/>
      </w:pPr>
      <w:rPr>
        <w:rFonts w:ascii="Wingdings" w:hAnsi="Wingdings" w:hint="default"/>
      </w:rPr>
    </w:lvl>
    <w:lvl w:ilvl="6" w:tplc="DB90B0C2">
      <w:start w:val="1"/>
      <w:numFmt w:val="bullet"/>
      <w:lvlText w:val=""/>
      <w:lvlJc w:val="left"/>
      <w:pPr>
        <w:ind w:left="5040" w:hanging="360"/>
      </w:pPr>
      <w:rPr>
        <w:rFonts w:ascii="Symbol" w:hAnsi="Symbol" w:hint="default"/>
      </w:rPr>
    </w:lvl>
    <w:lvl w:ilvl="7" w:tplc="6E7C0F9E">
      <w:start w:val="1"/>
      <w:numFmt w:val="bullet"/>
      <w:lvlText w:val="o"/>
      <w:lvlJc w:val="left"/>
      <w:pPr>
        <w:ind w:left="5760" w:hanging="360"/>
      </w:pPr>
      <w:rPr>
        <w:rFonts w:ascii="Courier New" w:hAnsi="Courier New" w:hint="default"/>
      </w:rPr>
    </w:lvl>
    <w:lvl w:ilvl="8" w:tplc="6824986C">
      <w:start w:val="1"/>
      <w:numFmt w:val="bullet"/>
      <w:lvlText w:val=""/>
      <w:lvlJc w:val="left"/>
      <w:pPr>
        <w:ind w:left="6480" w:hanging="360"/>
      </w:pPr>
      <w:rPr>
        <w:rFonts w:ascii="Wingdings" w:hAnsi="Wingdings" w:hint="default"/>
      </w:rPr>
    </w:lvl>
  </w:abstractNum>
  <w:abstractNum w:abstractNumId="9" w15:restartNumberingAfterBreak="0">
    <w:nsid w:val="31AC5961"/>
    <w:multiLevelType w:val="hybridMultilevel"/>
    <w:tmpl w:val="34CCFB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398185F"/>
    <w:multiLevelType w:val="hybridMultilevel"/>
    <w:tmpl w:val="DBA4D7EA"/>
    <w:lvl w:ilvl="0" w:tplc="42BA4ADA">
      <w:start w:val="1"/>
      <w:numFmt w:val="bullet"/>
      <w:lvlText w:val=""/>
      <w:lvlJc w:val="left"/>
      <w:pPr>
        <w:ind w:left="360" w:hanging="360"/>
      </w:pPr>
      <w:rPr>
        <w:rFonts w:ascii="Symbol" w:hAnsi="Symbol" w:hint="default"/>
        <w:color w:val="auto"/>
      </w:rPr>
    </w:lvl>
    <w:lvl w:ilvl="1" w:tplc="DAAEE230">
      <w:start w:val="1"/>
      <w:numFmt w:val="bullet"/>
      <w:lvlText w:val="o"/>
      <w:lvlJc w:val="left"/>
      <w:pPr>
        <w:ind w:left="785" w:hanging="360"/>
      </w:pPr>
      <w:rPr>
        <w:rFonts w:ascii="Courier New" w:hAnsi="Courier New" w:hint="default"/>
        <w:color w:val="auto"/>
      </w:rPr>
    </w:lvl>
    <w:lvl w:ilvl="2" w:tplc="C20CF42C">
      <w:start w:val="1"/>
      <w:numFmt w:val="bullet"/>
      <w:lvlText w:val=""/>
      <w:lvlJc w:val="left"/>
      <w:pPr>
        <w:ind w:left="1800" w:hanging="360"/>
      </w:pPr>
      <w:rPr>
        <w:rFonts w:ascii="Wingdings" w:hAnsi="Wingdings" w:hint="default"/>
      </w:rPr>
    </w:lvl>
    <w:lvl w:ilvl="3" w:tplc="F8940E7A">
      <w:start w:val="1"/>
      <w:numFmt w:val="bullet"/>
      <w:lvlText w:val=""/>
      <w:lvlJc w:val="left"/>
      <w:pPr>
        <w:ind w:left="2520" w:hanging="360"/>
      </w:pPr>
      <w:rPr>
        <w:rFonts w:ascii="Symbol" w:hAnsi="Symbol" w:hint="default"/>
      </w:rPr>
    </w:lvl>
    <w:lvl w:ilvl="4" w:tplc="C89ED15E">
      <w:start w:val="1"/>
      <w:numFmt w:val="bullet"/>
      <w:lvlText w:val="o"/>
      <w:lvlJc w:val="left"/>
      <w:pPr>
        <w:ind w:left="3240" w:hanging="360"/>
      </w:pPr>
      <w:rPr>
        <w:rFonts w:ascii="Courier New" w:hAnsi="Courier New" w:hint="default"/>
      </w:rPr>
    </w:lvl>
    <w:lvl w:ilvl="5" w:tplc="B916F362">
      <w:start w:val="1"/>
      <w:numFmt w:val="bullet"/>
      <w:lvlText w:val=""/>
      <w:lvlJc w:val="left"/>
      <w:pPr>
        <w:ind w:left="3960" w:hanging="360"/>
      </w:pPr>
      <w:rPr>
        <w:rFonts w:ascii="Wingdings" w:hAnsi="Wingdings" w:hint="default"/>
      </w:rPr>
    </w:lvl>
    <w:lvl w:ilvl="6" w:tplc="A33EF62C">
      <w:start w:val="1"/>
      <w:numFmt w:val="bullet"/>
      <w:lvlText w:val=""/>
      <w:lvlJc w:val="left"/>
      <w:pPr>
        <w:ind w:left="4680" w:hanging="360"/>
      </w:pPr>
      <w:rPr>
        <w:rFonts w:ascii="Symbol" w:hAnsi="Symbol" w:hint="default"/>
      </w:rPr>
    </w:lvl>
    <w:lvl w:ilvl="7" w:tplc="868AF2DA">
      <w:start w:val="1"/>
      <w:numFmt w:val="bullet"/>
      <w:lvlText w:val="o"/>
      <w:lvlJc w:val="left"/>
      <w:pPr>
        <w:ind w:left="5400" w:hanging="360"/>
      </w:pPr>
      <w:rPr>
        <w:rFonts w:ascii="Courier New" w:hAnsi="Courier New" w:hint="default"/>
      </w:rPr>
    </w:lvl>
    <w:lvl w:ilvl="8" w:tplc="3DB017AE">
      <w:start w:val="1"/>
      <w:numFmt w:val="bullet"/>
      <w:lvlText w:val=""/>
      <w:lvlJc w:val="left"/>
      <w:pPr>
        <w:ind w:left="6120" w:hanging="360"/>
      </w:pPr>
      <w:rPr>
        <w:rFonts w:ascii="Wingdings" w:hAnsi="Wingdings" w:hint="default"/>
      </w:rPr>
    </w:lvl>
  </w:abstractNum>
  <w:abstractNum w:abstractNumId="11" w15:restartNumberingAfterBreak="0">
    <w:nsid w:val="34776F9F"/>
    <w:multiLevelType w:val="hybridMultilevel"/>
    <w:tmpl w:val="D3D4F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50734"/>
    <w:multiLevelType w:val="hybridMultilevel"/>
    <w:tmpl w:val="5D8403CA"/>
    <w:lvl w:ilvl="0" w:tplc="F9FCBAC2">
      <w:start w:val="1"/>
      <w:numFmt w:val="bullet"/>
      <w:lvlText w:val=""/>
      <w:lvlJc w:val="left"/>
      <w:pPr>
        <w:ind w:left="360" w:hanging="360"/>
      </w:pPr>
      <w:rPr>
        <w:rFonts w:ascii="Symbol" w:hAnsi="Symbol" w:hint="default"/>
      </w:rPr>
    </w:lvl>
    <w:lvl w:ilvl="1" w:tplc="409E6A2E">
      <w:start w:val="1"/>
      <w:numFmt w:val="bullet"/>
      <w:lvlText w:val="o"/>
      <w:lvlJc w:val="left"/>
      <w:pPr>
        <w:ind w:left="785" w:hanging="360"/>
      </w:pPr>
      <w:rPr>
        <w:rFonts w:ascii="Courier New" w:hAnsi="Courier New" w:hint="default"/>
      </w:rPr>
    </w:lvl>
    <w:lvl w:ilvl="2" w:tplc="C6DA1922">
      <w:start w:val="1"/>
      <w:numFmt w:val="bullet"/>
      <w:lvlText w:val=""/>
      <w:lvlJc w:val="left"/>
      <w:pPr>
        <w:ind w:left="1800" w:hanging="360"/>
      </w:pPr>
      <w:rPr>
        <w:rFonts w:ascii="Wingdings" w:hAnsi="Wingdings" w:hint="default"/>
      </w:rPr>
    </w:lvl>
    <w:lvl w:ilvl="3" w:tplc="A64642F6">
      <w:start w:val="1"/>
      <w:numFmt w:val="bullet"/>
      <w:lvlText w:val=""/>
      <w:lvlJc w:val="left"/>
      <w:pPr>
        <w:ind w:left="2520" w:hanging="360"/>
      </w:pPr>
      <w:rPr>
        <w:rFonts w:ascii="Symbol" w:hAnsi="Symbol" w:hint="default"/>
      </w:rPr>
    </w:lvl>
    <w:lvl w:ilvl="4" w:tplc="5694D260">
      <w:start w:val="1"/>
      <w:numFmt w:val="bullet"/>
      <w:lvlText w:val="o"/>
      <w:lvlJc w:val="left"/>
      <w:pPr>
        <w:ind w:left="3240" w:hanging="360"/>
      </w:pPr>
      <w:rPr>
        <w:rFonts w:ascii="Courier New" w:hAnsi="Courier New" w:hint="default"/>
      </w:rPr>
    </w:lvl>
    <w:lvl w:ilvl="5" w:tplc="6220CF52">
      <w:start w:val="1"/>
      <w:numFmt w:val="bullet"/>
      <w:lvlText w:val=""/>
      <w:lvlJc w:val="left"/>
      <w:pPr>
        <w:ind w:left="3960" w:hanging="360"/>
      </w:pPr>
      <w:rPr>
        <w:rFonts w:ascii="Wingdings" w:hAnsi="Wingdings" w:hint="default"/>
      </w:rPr>
    </w:lvl>
    <w:lvl w:ilvl="6" w:tplc="2FD0AAB6">
      <w:start w:val="1"/>
      <w:numFmt w:val="bullet"/>
      <w:lvlText w:val=""/>
      <w:lvlJc w:val="left"/>
      <w:pPr>
        <w:ind w:left="4680" w:hanging="360"/>
      </w:pPr>
      <w:rPr>
        <w:rFonts w:ascii="Symbol" w:hAnsi="Symbol" w:hint="default"/>
      </w:rPr>
    </w:lvl>
    <w:lvl w:ilvl="7" w:tplc="9CB8CF30">
      <w:start w:val="1"/>
      <w:numFmt w:val="bullet"/>
      <w:lvlText w:val="o"/>
      <w:lvlJc w:val="left"/>
      <w:pPr>
        <w:ind w:left="5400" w:hanging="360"/>
      </w:pPr>
      <w:rPr>
        <w:rFonts w:ascii="Courier New" w:hAnsi="Courier New" w:hint="default"/>
      </w:rPr>
    </w:lvl>
    <w:lvl w:ilvl="8" w:tplc="F6164FD4">
      <w:start w:val="1"/>
      <w:numFmt w:val="bullet"/>
      <w:lvlText w:val=""/>
      <w:lvlJc w:val="left"/>
      <w:pPr>
        <w:ind w:left="6120" w:hanging="360"/>
      </w:pPr>
      <w:rPr>
        <w:rFonts w:ascii="Wingdings" w:hAnsi="Wingdings" w:hint="default"/>
      </w:rPr>
    </w:lvl>
  </w:abstractNum>
  <w:abstractNum w:abstractNumId="13" w15:restartNumberingAfterBreak="0">
    <w:nsid w:val="40A83923"/>
    <w:multiLevelType w:val="hybridMultilevel"/>
    <w:tmpl w:val="73CCF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F6F04"/>
    <w:multiLevelType w:val="hybridMultilevel"/>
    <w:tmpl w:val="FFFFFFFF"/>
    <w:lvl w:ilvl="0" w:tplc="CFEC0622">
      <w:start w:val="1"/>
      <w:numFmt w:val="bullet"/>
      <w:lvlText w:val="·"/>
      <w:lvlJc w:val="left"/>
      <w:pPr>
        <w:ind w:left="502" w:hanging="360"/>
      </w:pPr>
      <w:rPr>
        <w:rFonts w:ascii="Symbol" w:hAnsi="Symbol" w:hint="default"/>
      </w:rPr>
    </w:lvl>
    <w:lvl w:ilvl="1" w:tplc="B3BA67E0">
      <w:start w:val="1"/>
      <w:numFmt w:val="bullet"/>
      <w:lvlText w:val="o"/>
      <w:lvlJc w:val="left"/>
      <w:pPr>
        <w:ind w:left="1222" w:hanging="360"/>
      </w:pPr>
      <w:rPr>
        <w:rFonts w:ascii="Courier New" w:hAnsi="Courier New" w:cs="Times New Roman" w:hint="default"/>
      </w:rPr>
    </w:lvl>
    <w:lvl w:ilvl="2" w:tplc="92B011C4">
      <w:start w:val="1"/>
      <w:numFmt w:val="bullet"/>
      <w:lvlText w:val=""/>
      <w:lvlJc w:val="left"/>
      <w:pPr>
        <w:ind w:left="1942" w:hanging="360"/>
      </w:pPr>
      <w:rPr>
        <w:rFonts w:ascii="Wingdings" w:hAnsi="Wingdings" w:hint="default"/>
      </w:rPr>
    </w:lvl>
    <w:lvl w:ilvl="3" w:tplc="EC46EAA4">
      <w:start w:val="1"/>
      <w:numFmt w:val="bullet"/>
      <w:lvlText w:val=""/>
      <w:lvlJc w:val="left"/>
      <w:pPr>
        <w:ind w:left="2662" w:hanging="360"/>
      </w:pPr>
      <w:rPr>
        <w:rFonts w:ascii="Symbol" w:hAnsi="Symbol" w:hint="default"/>
      </w:rPr>
    </w:lvl>
    <w:lvl w:ilvl="4" w:tplc="4BEAAC06">
      <w:start w:val="1"/>
      <w:numFmt w:val="bullet"/>
      <w:lvlText w:val="o"/>
      <w:lvlJc w:val="left"/>
      <w:pPr>
        <w:ind w:left="3382" w:hanging="360"/>
      </w:pPr>
      <w:rPr>
        <w:rFonts w:ascii="Courier New" w:hAnsi="Courier New" w:cs="Times New Roman" w:hint="default"/>
      </w:rPr>
    </w:lvl>
    <w:lvl w:ilvl="5" w:tplc="D396A61A">
      <w:start w:val="1"/>
      <w:numFmt w:val="bullet"/>
      <w:lvlText w:val=""/>
      <w:lvlJc w:val="left"/>
      <w:pPr>
        <w:ind w:left="4102" w:hanging="360"/>
      </w:pPr>
      <w:rPr>
        <w:rFonts w:ascii="Wingdings" w:hAnsi="Wingdings" w:hint="default"/>
      </w:rPr>
    </w:lvl>
    <w:lvl w:ilvl="6" w:tplc="D81C47BE">
      <w:start w:val="1"/>
      <w:numFmt w:val="bullet"/>
      <w:lvlText w:val=""/>
      <w:lvlJc w:val="left"/>
      <w:pPr>
        <w:ind w:left="4822" w:hanging="360"/>
      </w:pPr>
      <w:rPr>
        <w:rFonts w:ascii="Symbol" w:hAnsi="Symbol" w:hint="default"/>
      </w:rPr>
    </w:lvl>
    <w:lvl w:ilvl="7" w:tplc="96DAC988">
      <w:start w:val="1"/>
      <w:numFmt w:val="bullet"/>
      <w:lvlText w:val="o"/>
      <w:lvlJc w:val="left"/>
      <w:pPr>
        <w:ind w:left="5542" w:hanging="360"/>
      </w:pPr>
      <w:rPr>
        <w:rFonts w:ascii="Courier New" w:hAnsi="Courier New" w:cs="Times New Roman" w:hint="default"/>
      </w:rPr>
    </w:lvl>
    <w:lvl w:ilvl="8" w:tplc="21DC36D0">
      <w:start w:val="1"/>
      <w:numFmt w:val="bullet"/>
      <w:lvlText w:val=""/>
      <w:lvlJc w:val="left"/>
      <w:pPr>
        <w:ind w:left="6262" w:hanging="360"/>
      </w:pPr>
      <w:rPr>
        <w:rFonts w:ascii="Wingdings" w:hAnsi="Wingdings" w:hint="default"/>
      </w:rPr>
    </w:lvl>
  </w:abstractNum>
  <w:abstractNum w:abstractNumId="15" w15:restartNumberingAfterBreak="0">
    <w:nsid w:val="47361569"/>
    <w:multiLevelType w:val="hybridMultilevel"/>
    <w:tmpl w:val="29F03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D150AB"/>
    <w:multiLevelType w:val="hybridMultilevel"/>
    <w:tmpl w:val="FCFA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C2EF1"/>
    <w:multiLevelType w:val="hybridMultilevel"/>
    <w:tmpl w:val="2FC058EA"/>
    <w:lvl w:ilvl="0" w:tplc="6172E11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08"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DA52A7"/>
    <w:multiLevelType w:val="hybridMultilevel"/>
    <w:tmpl w:val="0FD6D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E5BD6"/>
    <w:multiLevelType w:val="hybridMultilevel"/>
    <w:tmpl w:val="B03ED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F7B0D"/>
    <w:multiLevelType w:val="hybridMultilevel"/>
    <w:tmpl w:val="DDB86478"/>
    <w:lvl w:ilvl="0" w:tplc="893C22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6638C7"/>
    <w:multiLevelType w:val="hybridMultilevel"/>
    <w:tmpl w:val="C8C4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54790"/>
    <w:multiLevelType w:val="hybridMultilevel"/>
    <w:tmpl w:val="9CCA89D2"/>
    <w:lvl w:ilvl="0" w:tplc="B14E93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26D7203"/>
    <w:multiLevelType w:val="hybridMultilevel"/>
    <w:tmpl w:val="70F876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986602"/>
    <w:multiLevelType w:val="hybridMultilevel"/>
    <w:tmpl w:val="1D12C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D42D41"/>
    <w:multiLevelType w:val="hybridMultilevel"/>
    <w:tmpl w:val="FFFFFFFF"/>
    <w:lvl w:ilvl="0" w:tplc="893C224C">
      <w:start w:val="1"/>
      <w:numFmt w:val="bullet"/>
      <w:lvlText w:val=""/>
      <w:lvlJc w:val="left"/>
      <w:pPr>
        <w:ind w:left="720" w:hanging="360"/>
      </w:pPr>
      <w:rPr>
        <w:rFonts w:ascii="Symbol" w:hAnsi="Symbol" w:hint="default"/>
      </w:rPr>
    </w:lvl>
    <w:lvl w:ilvl="1" w:tplc="38EE55D4">
      <w:start w:val="1"/>
      <w:numFmt w:val="bullet"/>
      <w:lvlText w:val="o"/>
      <w:lvlJc w:val="left"/>
      <w:pPr>
        <w:ind w:left="1440" w:hanging="360"/>
      </w:pPr>
      <w:rPr>
        <w:rFonts w:ascii="Courier New" w:hAnsi="Courier New" w:hint="default"/>
      </w:rPr>
    </w:lvl>
    <w:lvl w:ilvl="2" w:tplc="3342FD10">
      <w:start w:val="1"/>
      <w:numFmt w:val="bullet"/>
      <w:lvlText w:val=""/>
      <w:lvlJc w:val="left"/>
      <w:pPr>
        <w:ind w:left="2160" w:hanging="360"/>
      </w:pPr>
      <w:rPr>
        <w:rFonts w:ascii="Wingdings" w:hAnsi="Wingdings" w:hint="default"/>
      </w:rPr>
    </w:lvl>
    <w:lvl w:ilvl="3" w:tplc="D4D48AD4">
      <w:start w:val="1"/>
      <w:numFmt w:val="bullet"/>
      <w:lvlText w:val=""/>
      <w:lvlJc w:val="left"/>
      <w:pPr>
        <w:ind w:left="2880" w:hanging="360"/>
      </w:pPr>
      <w:rPr>
        <w:rFonts w:ascii="Symbol" w:hAnsi="Symbol" w:hint="default"/>
      </w:rPr>
    </w:lvl>
    <w:lvl w:ilvl="4" w:tplc="7E18DE3C">
      <w:start w:val="1"/>
      <w:numFmt w:val="bullet"/>
      <w:lvlText w:val="o"/>
      <w:lvlJc w:val="left"/>
      <w:pPr>
        <w:ind w:left="3600" w:hanging="360"/>
      </w:pPr>
      <w:rPr>
        <w:rFonts w:ascii="Courier New" w:hAnsi="Courier New" w:hint="default"/>
      </w:rPr>
    </w:lvl>
    <w:lvl w:ilvl="5" w:tplc="3E20A8BA">
      <w:start w:val="1"/>
      <w:numFmt w:val="bullet"/>
      <w:lvlText w:val=""/>
      <w:lvlJc w:val="left"/>
      <w:pPr>
        <w:ind w:left="4320" w:hanging="360"/>
      </w:pPr>
      <w:rPr>
        <w:rFonts w:ascii="Wingdings" w:hAnsi="Wingdings" w:hint="default"/>
      </w:rPr>
    </w:lvl>
    <w:lvl w:ilvl="6" w:tplc="66AA26B2">
      <w:start w:val="1"/>
      <w:numFmt w:val="bullet"/>
      <w:lvlText w:val=""/>
      <w:lvlJc w:val="left"/>
      <w:pPr>
        <w:ind w:left="5040" w:hanging="360"/>
      </w:pPr>
      <w:rPr>
        <w:rFonts w:ascii="Symbol" w:hAnsi="Symbol" w:hint="default"/>
      </w:rPr>
    </w:lvl>
    <w:lvl w:ilvl="7" w:tplc="F634DF12">
      <w:start w:val="1"/>
      <w:numFmt w:val="bullet"/>
      <w:lvlText w:val="o"/>
      <w:lvlJc w:val="left"/>
      <w:pPr>
        <w:ind w:left="5760" w:hanging="360"/>
      </w:pPr>
      <w:rPr>
        <w:rFonts w:ascii="Courier New" w:hAnsi="Courier New" w:hint="default"/>
      </w:rPr>
    </w:lvl>
    <w:lvl w:ilvl="8" w:tplc="5BAAEEDE">
      <w:start w:val="1"/>
      <w:numFmt w:val="bullet"/>
      <w:lvlText w:val=""/>
      <w:lvlJc w:val="left"/>
      <w:pPr>
        <w:ind w:left="6480" w:hanging="360"/>
      </w:pPr>
      <w:rPr>
        <w:rFonts w:ascii="Wingdings" w:hAnsi="Wingdings" w:hint="default"/>
      </w:rPr>
    </w:lvl>
  </w:abstractNum>
  <w:abstractNum w:abstractNumId="26" w15:restartNumberingAfterBreak="0">
    <w:nsid w:val="5DD740FB"/>
    <w:multiLevelType w:val="hybridMultilevel"/>
    <w:tmpl w:val="57081E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837B57"/>
    <w:multiLevelType w:val="hybridMultilevel"/>
    <w:tmpl w:val="6C4AB384"/>
    <w:lvl w:ilvl="0" w:tplc="0809000F">
      <w:start w:val="1"/>
      <w:numFmt w:val="decimal"/>
      <w:lvlText w:val="%1."/>
      <w:lvlJc w:val="left"/>
      <w:pPr>
        <w:ind w:left="502" w:hanging="360"/>
      </w:pPr>
      <w:rPr>
        <w:rFonts w:hint="default"/>
      </w:rPr>
    </w:lvl>
    <w:lvl w:ilvl="1" w:tplc="08090019">
      <w:start w:val="1"/>
      <w:numFmt w:val="lowerLetter"/>
      <w:lvlText w:val="%2."/>
      <w:lvlJc w:val="left"/>
      <w:pPr>
        <w:ind w:left="785"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63057E9F"/>
    <w:multiLevelType w:val="hybridMultilevel"/>
    <w:tmpl w:val="1F6A98D4"/>
    <w:lvl w:ilvl="0" w:tplc="0D2EF34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C195C"/>
    <w:multiLevelType w:val="hybridMultilevel"/>
    <w:tmpl w:val="FFFFFFFF"/>
    <w:lvl w:ilvl="0" w:tplc="3BF460DC">
      <w:start w:val="1"/>
      <w:numFmt w:val="bullet"/>
      <w:lvlText w:val=""/>
      <w:lvlJc w:val="left"/>
      <w:pPr>
        <w:ind w:left="720" w:hanging="360"/>
      </w:pPr>
      <w:rPr>
        <w:rFonts w:ascii="Symbol" w:hAnsi="Symbol" w:hint="default"/>
      </w:rPr>
    </w:lvl>
    <w:lvl w:ilvl="1" w:tplc="6B5AFAE8">
      <w:start w:val="1"/>
      <w:numFmt w:val="bullet"/>
      <w:lvlText w:val="o"/>
      <w:lvlJc w:val="left"/>
      <w:pPr>
        <w:ind w:left="1440" w:hanging="360"/>
      </w:pPr>
      <w:rPr>
        <w:rFonts w:ascii="Courier New" w:hAnsi="Courier New" w:hint="default"/>
      </w:rPr>
    </w:lvl>
    <w:lvl w:ilvl="2" w:tplc="2CEA583A">
      <w:start w:val="1"/>
      <w:numFmt w:val="bullet"/>
      <w:lvlText w:val=""/>
      <w:lvlJc w:val="left"/>
      <w:pPr>
        <w:ind w:left="2160" w:hanging="360"/>
      </w:pPr>
      <w:rPr>
        <w:rFonts w:ascii="Wingdings" w:hAnsi="Wingdings" w:hint="default"/>
      </w:rPr>
    </w:lvl>
    <w:lvl w:ilvl="3" w:tplc="3E4A27F8">
      <w:start w:val="1"/>
      <w:numFmt w:val="bullet"/>
      <w:lvlText w:val=""/>
      <w:lvlJc w:val="left"/>
      <w:pPr>
        <w:ind w:left="2880" w:hanging="360"/>
      </w:pPr>
      <w:rPr>
        <w:rFonts w:ascii="Symbol" w:hAnsi="Symbol" w:hint="default"/>
      </w:rPr>
    </w:lvl>
    <w:lvl w:ilvl="4" w:tplc="A4BEAF5E">
      <w:start w:val="1"/>
      <w:numFmt w:val="bullet"/>
      <w:lvlText w:val="o"/>
      <w:lvlJc w:val="left"/>
      <w:pPr>
        <w:ind w:left="3600" w:hanging="360"/>
      </w:pPr>
      <w:rPr>
        <w:rFonts w:ascii="Courier New" w:hAnsi="Courier New" w:hint="default"/>
      </w:rPr>
    </w:lvl>
    <w:lvl w:ilvl="5" w:tplc="56044916">
      <w:start w:val="1"/>
      <w:numFmt w:val="bullet"/>
      <w:lvlText w:val=""/>
      <w:lvlJc w:val="left"/>
      <w:pPr>
        <w:ind w:left="4320" w:hanging="360"/>
      </w:pPr>
      <w:rPr>
        <w:rFonts w:ascii="Wingdings" w:hAnsi="Wingdings" w:hint="default"/>
      </w:rPr>
    </w:lvl>
    <w:lvl w:ilvl="6" w:tplc="45D67500">
      <w:start w:val="1"/>
      <w:numFmt w:val="bullet"/>
      <w:lvlText w:val=""/>
      <w:lvlJc w:val="left"/>
      <w:pPr>
        <w:ind w:left="5040" w:hanging="360"/>
      </w:pPr>
      <w:rPr>
        <w:rFonts w:ascii="Symbol" w:hAnsi="Symbol" w:hint="default"/>
      </w:rPr>
    </w:lvl>
    <w:lvl w:ilvl="7" w:tplc="216EE75A">
      <w:start w:val="1"/>
      <w:numFmt w:val="bullet"/>
      <w:lvlText w:val="o"/>
      <w:lvlJc w:val="left"/>
      <w:pPr>
        <w:ind w:left="5760" w:hanging="360"/>
      </w:pPr>
      <w:rPr>
        <w:rFonts w:ascii="Courier New" w:hAnsi="Courier New" w:hint="default"/>
      </w:rPr>
    </w:lvl>
    <w:lvl w:ilvl="8" w:tplc="F7F4F7C2">
      <w:start w:val="1"/>
      <w:numFmt w:val="bullet"/>
      <w:lvlText w:val=""/>
      <w:lvlJc w:val="left"/>
      <w:pPr>
        <w:ind w:left="6480" w:hanging="360"/>
      </w:pPr>
      <w:rPr>
        <w:rFonts w:ascii="Wingdings" w:hAnsi="Wingdings" w:hint="default"/>
      </w:rPr>
    </w:lvl>
  </w:abstractNum>
  <w:abstractNum w:abstractNumId="30" w15:restartNumberingAfterBreak="0">
    <w:nsid w:val="69BA6F10"/>
    <w:multiLevelType w:val="hybridMultilevel"/>
    <w:tmpl w:val="D1DC81C8"/>
    <w:lvl w:ilvl="0" w:tplc="587E5C3A">
      <w:start w:val="1"/>
      <w:numFmt w:val="bullet"/>
      <w:lvlText w:val=""/>
      <w:lvlJc w:val="left"/>
      <w:pPr>
        <w:ind w:left="720" w:hanging="360"/>
      </w:pPr>
      <w:rPr>
        <w:rFonts w:ascii="Symbol" w:hAnsi="Symbol" w:hint="default"/>
      </w:rPr>
    </w:lvl>
    <w:lvl w:ilvl="1" w:tplc="73560F4C">
      <w:start w:val="1"/>
      <w:numFmt w:val="bullet"/>
      <w:lvlText w:val="o"/>
      <w:lvlJc w:val="left"/>
      <w:pPr>
        <w:ind w:left="1440" w:hanging="360"/>
      </w:pPr>
      <w:rPr>
        <w:rFonts w:ascii="Courier New" w:hAnsi="Courier New" w:hint="default"/>
      </w:rPr>
    </w:lvl>
    <w:lvl w:ilvl="2" w:tplc="3D568850">
      <w:start w:val="1"/>
      <w:numFmt w:val="bullet"/>
      <w:lvlText w:val=""/>
      <w:lvlJc w:val="left"/>
      <w:pPr>
        <w:ind w:left="2160" w:hanging="360"/>
      </w:pPr>
      <w:rPr>
        <w:rFonts w:ascii="Wingdings" w:hAnsi="Wingdings" w:hint="default"/>
      </w:rPr>
    </w:lvl>
    <w:lvl w:ilvl="3" w:tplc="F6C0ECA4">
      <w:start w:val="1"/>
      <w:numFmt w:val="bullet"/>
      <w:lvlText w:val=""/>
      <w:lvlJc w:val="left"/>
      <w:pPr>
        <w:ind w:left="2880" w:hanging="360"/>
      </w:pPr>
      <w:rPr>
        <w:rFonts w:ascii="Symbol" w:hAnsi="Symbol" w:hint="default"/>
      </w:rPr>
    </w:lvl>
    <w:lvl w:ilvl="4" w:tplc="CFE89462">
      <w:start w:val="1"/>
      <w:numFmt w:val="bullet"/>
      <w:lvlText w:val="o"/>
      <w:lvlJc w:val="left"/>
      <w:pPr>
        <w:ind w:left="3600" w:hanging="360"/>
      </w:pPr>
      <w:rPr>
        <w:rFonts w:ascii="Courier New" w:hAnsi="Courier New" w:hint="default"/>
      </w:rPr>
    </w:lvl>
    <w:lvl w:ilvl="5" w:tplc="D8D881F2">
      <w:start w:val="1"/>
      <w:numFmt w:val="bullet"/>
      <w:lvlText w:val=""/>
      <w:lvlJc w:val="left"/>
      <w:pPr>
        <w:ind w:left="4320" w:hanging="360"/>
      </w:pPr>
      <w:rPr>
        <w:rFonts w:ascii="Wingdings" w:hAnsi="Wingdings" w:hint="default"/>
      </w:rPr>
    </w:lvl>
    <w:lvl w:ilvl="6" w:tplc="C59C7624">
      <w:start w:val="1"/>
      <w:numFmt w:val="bullet"/>
      <w:lvlText w:val=""/>
      <w:lvlJc w:val="left"/>
      <w:pPr>
        <w:ind w:left="5040" w:hanging="360"/>
      </w:pPr>
      <w:rPr>
        <w:rFonts w:ascii="Symbol" w:hAnsi="Symbol" w:hint="default"/>
      </w:rPr>
    </w:lvl>
    <w:lvl w:ilvl="7" w:tplc="E55C848A">
      <w:start w:val="1"/>
      <w:numFmt w:val="bullet"/>
      <w:lvlText w:val="o"/>
      <w:lvlJc w:val="left"/>
      <w:pPr>
        <w:ind w:left="5760" w:hanging="360"/>
      </w:pPr>
      <w:rPr>
        <w:rFonts w:ascii="Courier New" w:hAnsi="Courier New" w:hint="default"/>
      </w:rPr>
    </w:lvl>
    <w:lvl w:ilvl="8" w:tplc="410021F8">
      <w:start w:val="1"/>
      <w:numFmt w:val="bullet"/>
      <w:lvlText w:val=""/>
      <w:lvlJc w:val="left"/>
      <w:pPr>
        <w:ind w:left="6480" w:hanging="360"/>
      </w:pPr>
      <w:rPr>
        <w:rFonts w:ascii="Wingdings" w:hAnsi="Wingdings" w:hint="default"/>
      </w:rPr>
    </w:lvl>
  </w:abstractNum>
  <w:abstractNum w:abstractNumId="31" w15:restartNumberingAfterBreak="0">
    <w:nsid w:val="6E893DA4"/>
    <w:multiLevelType w:val="hybridMultilevel"/>
    <w:tmpl w:val="EB78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FF036B"/>
    <w:multiLevelType w:val="hybridMultilevel"/>
    <w:tmpl w:val="9600F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89360B"/>
    <w:multiLevelType w:val="hybridMultilevel"/>
    <w:tmpl w:val="825A3C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A36E7"/>
    <w:multiLevelType w:val="hybridMultilevel"/>
    <w:tmpl w:val="EF74C268"/>
    <w:lvl w:ilvl="0" w:tplc="C896D320">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6381EF4"/>
    <w:multiLevelType w:val="hybridMultilevel"/>
    <w:tmpl w:val="1C426EE4"/>
    <w:lvl w:ilvl="0" w:tplc="B26C589C">
      <w:start w:val="1"/>
      <w:numFmt w:val="decimal"/>
      <w:lvlText w:val="%1."/>
      <w:lvlJc w:val="left"/>
      <w:pPr>
        <w:ind w:left="720" w:hanging="360"/>
      </w:pPr>
      <w:rPr>
        <w:b w:val="0"/>
        <w:bCs w:val="0"/>
        <w:sz w:val="22"/>
        <w:szCs w:val="22"/>
      </w:rPr>
    </w:lvl>
    <w:lvl w:ilvl="1" w:tplc="B7361A84">
      <w:start w:val="1"/>
      <w:numFmt w:val="lowerLetter"/>
      <w:lvlText w:val="%2."/>
      <w:lvlJc w:val="left"/>
      <w:pPr>
        <w:ind w:left="1440" w:hanging="360"/>
      </w:pPr>
    </w:lvl>
    <w:lvl w:ilvl="2" w:tplc="A37AE80E">
      <w:start w:val="1"/>
      <w:numFmt w:val="lowerRoman"/>
      <w:lvlText w:val="%3."/>
      <w:lvlJc w:val="right"/>
      <w:pPr>
        <w:ind w:left="2160" w:hanging="180"/>
      </w:pPr>
    </w:lvl>
    <w:lvl w:ilvl="3" w:tplc="08286AF2">
      <w:start w:val="1"/>
      <w:numFmt w:val="decimal"/>
      <w:lvlText w:val="%4."/>
      <w:lvlJc w:val="left"/>
      <w:pPr>
        <w:ind w:left="2880" w:hanging="360"/>
      </w:pPr>
    </w:lvl>
    <w:lvl w:ilvl="4" w:tplc="58C61F02">
      <w:start w:val="1"/>
      <w:numFmt w:val="lowerLetter"/>
      <w:lvlText w:val="%5."/>
      <w:lvlJc w:val="left"/>
      <w:pPr>
        <w:ind w:left="3600" w:hanging="360"/>
      </w:pPr>
    </w:lvl>
    <w:lvl w:ilvl="5" w:tplc="FB0C8612">
      <w:start w:val="1"/>
      <w:numFmt w:val="lowerRoman"/>
      <w:lvlText w:val="%6."/>
      <w:lvlJc w:val="right"/>
      <w:pPr>
        <w:ind w:left="4320" w:hanging="180"/>
      </w:pPr>
    </w:lvl>
    <w:lvl w:ilvl="6" w:tplc="FE8A76B0">
      <w:start w:val="1"/>
      <w:numFmt w:val="decimal"/>
      <w:lvlText w:val="%7."/>
      <w:lvlJc w:val="left"/>
      <w:pPr>
        <w:ind w:left="5040" w:hanging="360"/>
      </w:pPr>
    </w:lvl>
    <w:lvl w:ilvl="7" w:tplc="A476DD56">
      <w:start w:val="1"/>
      <w:numFmt w:val="lowerLetter"/>
      <w:lvlText w:val="%8."/>
      <w:lvlJc w:val="left"/>
      <w:pPr>
        <w:ind w:left="5760" w:hanging="360"/>
      </w:pPr>
    </w:lvl>
    <w:lvl w:ilvl="8" w:tplc="B97E931C">
      <w:start w:val="1"/>
      <w:numFmt w:val="lowerRoman"/>
      <w:lvlText w:val="%9."/>
      <w:lvlJc w:val="right"/>
      <w:pPr>
        <w:ind w:left="6480" w:hanging="180"/>
      </w:pPr>
    </w:lvl>
  </w:abstractNum>
  <w:abstractNum w:abstractNumId="36" w15:restartNumberingAfterBreak="0">
    <w:nsid w:val="789E2661"/>
    <w:multiLevelType w:val="hybridMultilevel"/>
    <w:tmpl w:val="57D601D2"/>
    <w:lvl w:ilvl="0" w:tplc="3740FC7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C16E0"/>
    <w:multiLevelType w:val="hybridMultilevel"/>
    <w:tmpl w:val="05C00DFE"/>
    <w:lvl w:ilvl="0" w:tplc="067E4DD6">
      <w:start w:val="1"/>
      <w:numFmt w:val="bullet"/>
      <w:lvlText w:val=""/>
      <w:lvlJc w:val="left"/>
      <w:pPr>
        <w:ind w:left="720" w:hanging="360"/>
      </w:pPr>
      <w:rPr>
        <w:rFonts w:ascii="Symbol" w:hAnsi="Symbol" w:hint="default"/>
        <w:sz w:val="22"/>
        <w:szCs w:val="22"/>
      </w:rPr>
    </w:lvl>
    <w:lvl w:ilvl="1" w:tplc="93E41C7C">
      <w:start w:val="1"/>
      <w:numFmt w:val="bullet"/>
      <w:lvlText w:val="o"/>
      <w:lvlJc w:val="left"/>
      <w:pPr>
        <w:ind w:left="1440" w:hanging="360"/>
      </w:pPr>
      <w:rPr>
        <w:rFonts w:ascii="Courier New" w:hAnsi="Courier New" w:hint="default"/>
        <w:color w:val="auto"/>
      </w:rPr>
    </w:lvl>
    <w:lvl w:ilvl="2" w:tplc="92C65432">
      <w:start w:val="1"/>
      <w:numFmt w:val="bullet"/>
      <w:lvlText w:val=""/>
      <w:lvlJc w:val="left"/>
      <w:pPr>
        <w:ind w:left="2160" w:hanging="360"/>
      </w:pPr>
      <w:rPr>
        <w:rFonts w:ascii="Wingdings" w:hAnsi="Wingdings" w:hint="default"/>
      </w:rPr>
    </w:lvl>
    <w:lvl w:ilvl="3" w:tplc="993C015A">
      <w:start w:val="1"/>
      <w:numFmt w:val="bullet"/>
      <w:lvlText w:val=""/>
      <w:lvlJc w:val="left"/>
      <w:pPr>
        <w:ind w:left="2880" w:hanging="360"/>
      </w:pPr>
      <w:rPr>
        <w:rFonts w:ascii="Symbol" w:hAnsi="Symbol" w:hint="default"/>
      </w:rPr>
    </w:lvl>
    <w:lvl w:ilvl="4" w:tplc="55EA6122">
      <w:start w:val="1"/>
      <w:numFmt w:val="bullet"/>
      <w:lvlText w:val="o"/>
      <w:lvlJc w:val="left"/>
      <w:pPr>
        <w:ind w:left="3600" w:hanging="360"/>
      </w:pPr>
      <w:rPr>
        <w:rFonts w:ascii="Courier New" w:hAnsi="Courier New" w:hint="default"/>
      </w:rPr>
    </w:lvl>
    <w:lvl w:ilvl="5" w:tplc="D0446F3E">
      <w:start w:val="1"/>
      <w:numFmt w:val="bullet"/>
      <w:lvlText w:val=""/>
      <w:lvlJc w:val="left"/>
      <w:pPr>
        <w:ind w:left="4320" w:hanging="360"/>
      </w:pPr>
      <w:rPr>
        <w:rFonts w:ascii="Wingdings" w:hAnsi="Wingdings" w:hint="default"/>
      </w:rPr>
    </w:lvl>
    <w:lvl w:ilvl="6" w:tplc="0F06C0CC">
      <w:start w:val="1"/>
      <w:numFmt w:val="bullet"/>
      <w:lvlText w:val=""/>
      <w:lvlJc w:val="left"/>
      <w:pPr>
        <w:ind w:left="5040" w:hanging="360"/>
      </w:pPr>
      <w:rPr>
        <w:rFonts w:ascii="Symbol" w:hAnsi="Symbol" w:hint="default"/>
      </w:rPr>
    </w:lvl>
    <w:lvl w:ilvl="7" w:tplc="CBD65246">
      <w:start w:val="1"/>
      <w:numFmt w:val="bullet"/>
      <w:lvlText w:val="o"/>
      <w:lvlJc w:val="left"/>
      <w:pPr>
        <w:ind w:left="5760" w:hanging="360"/>
      </w:pPr>
      <w:rPr>
        <w:rFonts w:ascii="Courier New" w:hAnsi="Courier New" w:hint="default"/>
      </w:rPr>
    </w:lvl>
    <w:lvl w:ilvl="8" w:tplc="A9AE0560">
      <w:start w:val="1"/>
      <w:numFmt w:val="bullet"/>
      <w:lvlText w:val=""/>
      <w:lvlJc w:val="left"/>
      <w:pPr>
        <w:ind w:left="6480" w:hanging="360"/>
      </w:pPr>
      <w:rPr>
        <w:rFonts w:ascii="Wingdings" w:hAnsi="Wingdings" w:hint="default"/>
      </w:rPr>
    </w:lvl>
  </w:abstractNum>
  <w:abstractNum w:abstractNumId="38" w15:restartNumberingAfterBreak="0">
    <w:nsid w:val="7C052310"/>
    <w:multiLevelType w:val="hybridMultilevel"/>
    <w:tmpl w:val="15AE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813E4"/>
    <w:multiLevelType w:val="hybridMultilevel"/>
    <w:tmpl w:val="711242E6"/>
    <w:lvl w:ilvl="0" w:tplc="50D69FA8">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E2E0966"/>
    <w:multiLevelType w:val="hybridMultilevel"/>
    <w:tmpl w:val="7C0EAC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3214862">
    <w:abstractNumId w:val="30"/>
  </w:num>
  <w:num w:numId="2" w16cid:durableId="1571649208">
    <w:abstractNumId w:val="10"/>
  </w:num>
  <w:num w:numId="3" w16cid:durableId="2005040464">
    <w:abstractNumId w:val="35"/>
  </w:num>
  <w:num w:numId="4" w16cid:durableId="1962883180">
    <w:abstractNumId w:val="25"/>
  </w:num>
  <w:num w:numId="5" w16cid:durableId="90441671">
    <w:abstractNumId w:val="8"/>
  </w:num>
  <w:num w:numId="6" w16cid:durableId="618338849">
    <w:abstractNumId w:val="29"/>
  </w:num>
  <w:num w:numId="7" w16cid:durableId="1416321648">
    <w:abstractNumId w:val="12"/>
  </w:num>
  <w:num w:numId="8" w16cid:durableId="731385492">
    <w:abstractNumId w:val="37"/>
  </w:num>
  <w:num w:numId="9" w16cid:durableId="739597684">
    <w:abstractNumId w:val="2"/>
  </w:num>
  <w:num w:numId="10" w16cid:durableId="590511822">
    <w:abstractNumId w:val="36"/>
  </w:num>
  <w:num w:numId="11" w16cid:durableId="1434860347">
    <w:abstractNumId w:val="11"/>
  </w:num>
  <w:num w:numId="12" w16cid:durableId="1319920042">
    <w:abstractNumId w:val="17"/>
  </w:num>
  <w:num w:numId="13" w16cid:durableId="59989979">
    <w:abstractNumId w:val="38"/>
  </w:num>
  <w:num w:numId="14" w16cid:durableId="1342972668">
    <w:abstractNumId w:val="14"/>
  </w:num>
  <w:num w:numId="15" w16cid:durableId="588777814">
    <w:abstractNumId w:val="13"/>
  </w:num>
  <w:num w:numId="16" w16cid:durableId="2072193972">
    <w:abstractNumId w:val="20"/>
  </w:num>
  <w:num w:numId="17" w16cid:durableId="812254019">
    <w:abstractNumId w:val="21"/>
  </w:num>
  <w:num w:numId="18" w16cid:durableId="1645357814">
    <w:abstractNumId w:val="16"/>
  </w:num>
  <w:num w:numId="19" w16cid:durableId="295454485">
    <w:abstractNumId w:val="0"/>
  </w:num>
  <w:num w:numId="20" w16cid:durableId="1024794999">
    <w:abstractNumId w:val="28"/>
  </w:num>
  <w:num w:numId="21" w16cid:durableId="890726105">
    <w:abstractNumId w:val="24"/>
  </w:num>
  <w:num w:numId="22" w16cid:durableId="2084402604">
    <w:abstractNumId w:val="7"/>
  </w:num>
  <w:num w:numId="23" w16cid:durableId="1134981487">
    <w:abstractNumId w:val="40"/>
  </w:num>
  <w:num w:numId="24" w16cid:durableId="2113089423">
    <w:abstractNumId w:val="9"/>
  </w:num>
  <w:num w:numId="25" w16cid:durableId="1205406460">
    <w:abstractNumId w:val="4"/>
  </w:num>
  <w:num w:numId="26" w16cid:durableId="988481131">
    <w:abstractNumId w:val="32"/>
  </w:num>
  <w:num w:numId="27" w16cid:durableId="1354958239">
    <w:abstractNumId w:val="6"/>
  </w:num>
  <w:num w:numId="28" w16cid:durableId="925728234">
    <w:abstractNumId w:val="26"/>
  </w:num>
  <w:num w:numId="29" w16cid:durableId="640692614">
    <w:abstractNumId w:val="3"/>
  </w:num>
  <w:num w:numId="30" w16cid:durableId="1268776963">
    <w:abstractNumId w:val="39"/>
  </w:num>
  <w:num w:numId="31" w16cid:durableId="1813714206">
    <w:abstractNumId w:val="34"/>
  </w:num>
  <w:num w:numId="32" w16cid:durableId="1439913412">
    <w:abstractNumId w:val="1"/>
  </w:num>
  <w:num w:numId="33" w16cid:durableId="2082406409">
    <w:abstractNumId w:val="18"/>
  </w:num>
  <w:num w:numId="34" w16cid:durableId="730739693">
    <w:abstractNumId w:val="27"/>
  </w:num>
  <w:num w:numId="35" w16cid:durableId="2016955177">
    <w:abstractNumId w:val="5"/>
  </w:num>
  <w:num w:numId="36" w16cid:durableId="1593508115">
    <w:abstractNumId w:val="33"/>
  </w:num>
  <w:num w:numId="37" w16cid:durableId="1288508735">
    <w:abstractNumId w:val="15"/>
  </w:num>
  <w:num w:numId="38" w16cid:durableId="769621706">
    <w:abstractNumId w:val="31"/>
  </w:num>
  <w:num w:numId="39" w16cid:durableId="1812552978">
    <w:abstractNumId w:val="23"/>
  </w:num>
  <w:num w:numId="40" w16cid:durableId="726495665">
    <w:abstractNumId w:val="22"/>
  </w:num>
  <w:num w:numId="41" w16cid:durableId="75277620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CF"/>
    <w:rsid w:val="000001CC"/>
    <w:rsid w:val="00000D86"/>
    <w:rsid w:val="00002327"/>
    <w:rsid w:val="00002444"/>
    <w:rsid w:val="000026F7"/>
    <w:rsid w:val="0000282D"/>
    <w:rsid w:val="00002F1F"/>
    <w:rsid w:val="00003E6F"/>
    <w:rsid w:val="0000447D"/>
    <w:rsid w:val="0000505F"/>
    <w:rsid w:val="0000537C"/>
    <w:rsid w:val="00005551"/>
    <w:rsid w:val="00006257"/>
    <w:rsid w:val="00007E8C"/>
    <w:rsid w:val="00010C08"/>
    <w:rsid w:val="0001234A"/>
    <w:rsid w:val="00013682"/>
    <w:rsid w:val="00013D4F"/>
    <w:rsid w:val="000144D7"/>
    <w:rsid w:val="00014BED"/>
    <w:rsid w:val="00015127"/>
    <w:rsid w:val="000157FB"/>
    <w:rsid w:val="00015D64"/>
    <w:rsid w:val="00016089"/>
    <w:rsid w:val="000168DD"/>
    <w:rsid w:val="000172F5"/>
    <w:rsid w:val="00017A90"/>
    <w:rsid w:val="00020F9E"/>
    <w:rsid w:val="00021111"/>
    <w:rsid w:val="0002130C"/>
    <w:rsid w:val="00021579"/>
    <w:rsid w:val="00021A37"/>
    <w:rsid w:val="00021D12"/>
    <w:rsid w:val="00022116"/>
    <w:rsid w:val="00022DC4"/>
    <w:rsid w:val="0002322E"/>
    <w:rsid w:val="00024585"/>
    <w:rsid w:val="00024DA8"/>
    <w:rsid w:val="00025404"/>
    <w:rsid w:val="000257BC"/>
    <w:rsid w:val="00025C47"/>
    <w:rsid w:val="000267F7"/>
    <w:rsid w:val="00026C40"/>
    <w:rsid w:val="000304F3"/>
    <w:rsid w:val="00030C62"/>
    <w:rsid w:val="00031293"/>
    <w:rsid w:val="00031914"/>
    <w:rsid w:val="00032D35"/>
    <w:rsid w:val="00032D98"/>
    <w:rsid w:val="00033140"/>
    <w:rsid w:val="000332CA"/>
    <w:rsid w:val="0003360D"/>
    <w:rsid w:val="00033D99"/>
    <w:rsid w:val="0003417D"/>
    <w:rsid w:val="00034B4B"/>
    <w:rsid w:val="00035145"/>
    <w:rsid w:val="000360F0"/>
    <w:rsid w:val="00036C9D"/>
    <w:rsid w:val="00036D2D"/>
    <w:rsid w:val="00036EBC"/>
    <w:rsid w:val="0003702A"/>
    <w:rsid w:val="000372DC"/>
    <w:rsid w:val="00037CDA"/>
    <w:rsid w:val="00040FF0"/>
    <w:rsid w:val="00041497"/>
    <w:rsid w:val="00041698"/>
    <w:rsid w:val="00041ABB"/>
    <w:rsid w:val="00041F84"/>
    <w:rsid w:val="00042121"/>
    <w:rsid w:val="000426CF"/>
    <w:rsid w:val="000428D0"/>
    <w:rsid w:val="0004401A"/>
    <w:rsid w:val="000443AB"/>
    <w:rsid w:val="0004475B"/>
    <w:rsid w:val="00044F01"/>
    <w:rsid w:val="00045546"/>
    <w:rsid w:val="00047030"/>
    <w:rsid w:val="0004708D"/>
    <w:rsid w:val="00050C3B"/>
    <w:rsid w:val="000524A4"/>
    <w:rsid w:val="0005265A"/>
    <w:rsid w:val="000529D0"/>
    <w:rsid w:val="00053D04"/>
    <w:rsid w:val="00053EF0"/>
    <w:rsid w:val="000550FC"/>
    <w:rsid w:val="00055477"/>
    <w:rsid w:val="0005564C"/>
    <w:rsid w:val="00055B06"/>
    <w:rsid w:val="00055B3D"/>
    <w:rsid w:val="00056D5D"/>
    <w:rsid w:val="00056E81"/>
    <w:rsid w:val="00057202"/>
    <w:rsid w:val="000579CB"/>
    <w:rsid w:val="00060258"/>
    <w:rsid w:val="00060285"/>
    <w:rsid w:val="00060591"/>
    <w:rsid w:val="0006108B"/>
    <w:rsid w:val="00061CEF"/>
    <w:rsid w:val="00063087"/>
    <w:rsid w:val="00063A1B"/>
    <w:rsid w:val="00063E1E"/>
    <w:rsid w:val="000649C0"/>
    <w:rsid w:val="00064E7B"/>
    <w:rsid w:val="000650D6"/>
    <w:rsid w:val="0006572C"/>
    <w:rsid w:val="0006582B"/>
    <w:rsid w:val="0006719C"/>
    <w:rsid w:val="00067EFD"/>
    <w:rsid w:val="00070076"/>
    <w:rsid w:val="0007086A"/>
    <w:rsid w:val="0007125A"/>
    <w:rsid w:val="000716AA"/>
    <w:rsid w:val="000717C2"/>
    <w:rsid w:val="0007182C"/>
    <w:rsid w:val="000718E7"/>
    <w:rsid w:val="0007195F"/>
    <w:rsid w:val="00072A88"/>
    <w:rsid w:val="0007363F"/>
    <w:rsid w:val="00073C12"/>
    <w:rsid w:val="00073DB9"/>
    <w:rsid w:val="000765E8"/>
    <w:rsid w:val="00076BD7"/>
    <w:rsid w:val="00076D9F"/>
    <w:rsid w:val="00080DD7"/>
    <w:rsid w:val="00080EFA"/>
    <w:rsid w:val="00081943"/>
    <w:rsid w:val="00081CF9"/>
    <w:rsid w:val="00082569"/>
    <w:rsid w:val="00082B14"/>
    <w:rsid w:val="00083482"/>
    <w:rsid w:val="0008370E"/>
    <w:rsid w:val="00083BFC"/>
    <w:rsid w:val="0008429F"/>
    <w:rsid w:val="00084619"/>
    <w:rsid w:val="00084AFA"/>
    <w:rsid w:val="00084B90"/>
    <w:rsid w:val="00085561"/>
    <w:rsid w:val="00086771"/>
    <w:rsid w:val="000867AE"/>
    <w:rsid w:val="0009006B"/>
    <w:rsid w:val="0009094D"/>
    <w:rsid w:val="00090E18"/>
    <w:rsid w:val="000913E7"/>
    <w:rsid w:val="0009190D"/>
    <w:rsid w:val="00091E7D"/>
    <w:rsid w:val="0009200C"/>
    <w:rsid w:val="00093B41"/>
    <w:rsid w:val="0009452A"/>
    <w:rsid w:val="000945C0"/>
    <w:rsid w:val="00094A02"/>
    <w:rsid w:val="000951B8"/>
    <w:rsid w:val="000951FD"/>
    <w:rsid w:val="000958AA"/>
    <w:rsid w:val="00095A7F"/>
    <w:rsid w:val="00095B96"/>
    <w:rsid w:val="00096418"/>
    <w:rsid w:val="0009688F"/>
    <w:rsid w:val="00097532"/>
    <w:rsid w:val="000A216E"/>
    <w:rsid w:val="000A245E"/>
    <w:rsid w:val="000A247E"/>
    <w:rsid w:val="000A3A67"/>
    <w:rsid w:val="000A50AC"/>
    <w:rsid w:val="000A6AEC"/>
    <w:rsid w:val="000B02B8"/>
    <w:rsid w:val="000B035D"/>
    <w:rsid w:val="000B037E"/>
    <w:rsid w:val="000B0A2E"/>
    <w:rsid w:val="000B0BD0"/>
    <w:rsid w:val="000B0FAA"/>
    <w:rsid w:val="000B1854"/>
    <w:rsid w:val="000B1BD1"/>
    <w:rsid w:val="000B2B57"/>
    <w:rsid w:val="000B2E6C"/>
    <w:rsid w:val="000B2F74"/>
    <w:rsid w:val="000B342E"/>
    <w:rsid w:val="000B35E7"/>
    <w:rsid w:val="000B39AD"/>
    <w:rsid w:val="000B3DFD"/>
    <w:rsid w:val="000B4BB4"/>
    <w:rsid w:val="000B4FCB"/>
    <w:rsid w:val="000B5BFD"/>
    <w:rsid w:val="000B6A64"/>
    <w:rsid w:val="000B6C48"/>
    <w:rsid w:val="000B6DB1"/>
    <w:rsid w:val="000B6DC0"/>
    <w:rsid w:val="000B746D"/>
    <w:rsid w:val="000B791E"/>
    <w:rsid w:val="000B7A55"/>
    <w:rsid w:val="000B7DA1"/>
    <w:rsid w:val="000C044F"/>
    <w:rsid w:val="000C0AFA"/>
    <w:rsid w:val="000C0B1B"/>
    <w:rsid w:val="000C1299"/>
    <w:rsid w:val="000C1482"/>
    <w:rsid w:val="000C1A0B"/>
    <w:rsid w:val="000C1A3F"/>
    <w:rsid w:val="000C1B5B"/>
    <w:rsid w:val="000C1D2A"/>
    <w:rsid w:val="000C1D55"/>
    <w:rsid w:val="000C21D9"/>
    <w:rsid w:val="000C243E"/>
    <w:rsid w:val="000C26C4"/>
    <w:rsid w:val="000C28C8"/>
    <w:rsid w:val="000C2ED6"/>
    <w:rsid w:val="000C40BD"/>
    <w:rsid w:val="000C4117"/>
    <w:rsid w:val="000C4741"/>
    <w:rsid w:val="000C4A24"/>
    <w:rsid w:val="000C6663"/>
    <w:rsid w:val="000C6AEE"/>
    <w:rsid w:val="000C7435"/>
    <w:rsid w:val="000C7B98"/>
    <w:rsid w:val="000C7CBA"/>
    <w:rsid w:val="000C7DD2"/>
    <w:rsid w:val="000C7EB4"/>
    <w:rsid w:val="000C7EC5"/>
    <w:rsid w:val="000D1C62"/>
    <w:rsid w:val="000D1DFC"/>
    <w:rsid w:val="000D202C"/>
    <w:rsid w:val="000D2103"/>
    <w:rsid w:val="000D291C"/>
    <w:rsid w:val="000D2F09"/>
    <w:rsid w:val="000D33AA"/>
    <w:rsid w:val="000D3447"/>
    <w:rsid w:val="000D5606"/>
    <w:rsid w:val="000D62D1"/>
    <w:rsid w:val="000D6466"/>
    <w:rsid w:val="000D6CAC"/>
    <w:rsid w:val="000D6FB6"/>
    <w:rsid w:val="000D7073"/>
    <w:rsid w:val="000E003C"/>
    <w:rsid w:val="000E0045"/>
    <w:rsid w:val="000E00AF"/>
    <w:rsid w:val="000E02E5"/>
    <w:rsid w:val="000E0A49"/>
    <w:rsid w:val="000E0DAE"/>
    <w:rsid w:val="000E1AA3"/>
    <w:rsid w:val="000E1E1A"/>
    <w:rsid w:val="000E2077"/>
    <w:rsid w:val="000E2CCF"/>
    <w:rsid w:val="000E2E3B"/>
    <w:rsid w:val="000E34AB"/>
    <w:rsid w:val="000E3B93"/>
    <w:rsid w:val="000E3FBB"/>
    <w:rsid w:val="000E41F8"/>
    <w:rsid w:val="000E46E8"/>
    <w:rsid w:val="000E4743"/>
    <w:rsid w:val="000E554D"/>
    <w:rsid w:val="000E6837"/>
    <w:rsid w:val="000E68B9"/>
    <w:rsid w:val="000E747C"/>
    <w:rsid w:val="000E7BD7"/>
    <w:rsid w:val="000F0A83"/>
    <w:rsid w:val="000F2126"/>
    <w:rsid w:val="000F334C"/>
    <w:rsid w:val="000F5ADB"/>
    <w:rsid w:val="000F5F51"/>
    <w:rsid w:val="000F6223"/>
    <w:rsid w:val="000F79E8"/>
    <w:rsid w:val="000F7CDB"/>
    <w:rsid w:val="00100365"/>
    <w:rsid w:val="00100C29"/>
    <w:rsid w:val="00101ACE"/>
    <w:rsid w:val="00103779"/>
    <w:rsid w:val="0010412A"/>
    <w:rsid w:val="00104421"/>
    <w:rsid w:val="00104A6B"/>
    <w:rsid w:val="00105347"/>
    <w:rsid w:val="0010553F"/>
    <w:rsid w:val="0010590C"/>
    <w:rsid w:val="00105BB3"/>
    <w:rsid w:val="00105FBE"/>
    <w:rsid w:val="00106BC0"/>
    <w:rsid w:val="0010771D"/>
    <w:rsid w:val="001078F6"/>
    <w:rsid w:val="00107AF7"/>
    <w:rsid w:val="00111461"/>
    <w:rsid w:val="00111729"/>
    <w:rsid w:val="001117EC"/>
    <w:rsid w:val="00111D41"/>
    <w:rsid w:val="001123A3"/>
    <w:rsid w:val="00112A81"/>
    <w:rsid w:val="00112C49"/>
    <w:rsid w:val="00113021"/>
    <w:rsid w:val="00113A61"/>
    <w:rsid w:val="00113EC7"/>
    <w:rsid w:val="0011458B"/>
    <w:rsid w:val="0011492F"/>
    <w:rsid w:val="001155D8"/>
    <w:rsid w:val="001157B0"/>
    <w:rsid w:val="00115EEF"/>
    <w:rsid w:val="00116C1F"/>
    <w:rsid w:val="00116C91"/>
    <w:rsid w:val="00117419"/>
    <w:rsid w:val="00117823"/>
    <w:rsid w:val="00117B22"/>
    <w:rsid w:val="00117C89"/>
    <w:rsid w:val="00117F60"/>
    <w:rsid w:val="001200D5"/>
    <w:rsid w:val="001203B9"/>
    <w:rsid w:val="00121130"/>
    <w:rsid w:val="001214AB"/>
    <w:rsid w:val="0012151C"/>
    <w:rsid w:val="001217E0"/>
    <w:rsid w:val="00121BF3"/>
    <w:rsid w:val="0012272A"/>
    <w:rsid w:val="00122C67"/>
    <w:rsid w:val="0012365E"/>
    <w:rsid w:val="0012417D"/>
    <w:rsid w:val="001241E3"/>
    <w:rsid w:val="001244F1"/>
    <w:rsid w:val="00124CE6"/>
    <w:rsid w:val="00124D8E"/>
    <w:rsid w:val="00124EA2"/>
    <w:rsid w:val="00124F2D"/>
    <w:rsid w:val="00125CB5"/>
    <w:rsid w:val="00126285"/>
    <w:rsid w:val="0012697C"/>
    <w:rsid w:val="00126C05"/>
    <w:rsid w:val="00127577"/>
    <w:rsid w:val="00131162"/>
    <w:rsid w:val="001313CC"/>
    <w:rsid w:val="00131B27"/>
    <w:rsid w:val="00132038"/>
    <w:rsid w:val="001331A5"/>
    <w:rsid w:val="001333BC"/>
    <w:rsid w:val="00134330"/>
    <w:rsid w:val="00134B1C"/>
    <w:rsid w:val="00135212"/>
    <w:rsid w:val="001354CD"/>
    <w:rsid w:val="00135602"/>
    <w:rsid w:val="00136665"/>
    <w:rsid w:val="0013713E"/>
    <w:rsid w:val="001376BA"/>
    <w:rsid w:val="001378F6"/>
    <w:rsid w:val="00137CAF"/>
    <w:rsid w:val="0014009F"/>
    <w:rsid w:val="001403A4"/>
    <w:rsid w:val="001405E5"/>
    <w:rsid w:val="001407B5"/>
    <w:rsid w:val="001412F3"/>
    <w:rsid w:val="00141846"/>
    <w:rsid w:val="00142DFA"/>
    <w:rsid w:val="0014353C"/>
    <w:rsid w:val="00143D7D"/>
    <w:rsid w:val="00143F05"/>
    <w:rsid w:val="00146482"/>
    <w:rsid w:val="00146BB4"/>
    <w:rsid w:val="00147C53"/>
    <w:rsid w:val="0015080A"/>
    <w:rsid w:val="00150AB3"/>
    <w:rsid w:val="00150EB4"/>
    <w:rsid w:val="001513A2"/>
    <w:rsid w:val="00151533"/>
    <w:rsid w:val="00151695"/>
    <w:rsid w:val="00152612"/>
    <w:rsid w:val="001536F5"/>
    <w:rsid w:val="00154C44"/>
    <w:rsid w:val="00154F51"/>
    <w:rsid w:val="001550FC"/>
    <w:rsid w:val="0015589B"/>
    <w:rsid w:val="001558A3"/>
    <w:rsid w:val="00156E8F"/>
    <w:rsid w:val="00157535"/>
    <w:rsid w:val="00157BA7"/>
    <w:rsid w:val="00157CE1"/>
    <w:rsid w:val="001604BD"/>
    <w:rsid w:val="001605B2"/>
    <w:rsid w:val="00160610"/>
    <w:rsid w:val="00161557"/>
    <w:rsid w:val="00161792"/>
    <w:rsid w:val="00161ADB"/>
    <w:rsid w:val="00162655"/>
    <w:rsid w:val="001633C5"/>
    <w:rsid w:val="001638D9"/>
    <w:rsid w:val="00165066"/>
    <w:rsid w:val="001659DC"/>
    <w:rsid w:val="00166C25"/>
    <w:rsid w:val="001670B6"/>
    <w:rsid w:val="001673A6"/>
    <w:rsid w:val="00167475"/>
    <w:rsid w:val="00167693"/>
    <w:rsid w:val="0017009B"/>
    <w:rsid w:val="00171326"/>
    <w:rsid w:val="00171455"/>
    <w:rsid w:val="00171838"/>
    <w:rsid w:val="00171886"/>
    <w:rsid w:val="00171DEC"/>
    <w:rsid w:val="00173AB0"/>
    <w:rsid w:val="001745C1"/>
    <w:rsid w:val="001746D7"/>
    <w:rsid w:val="00175D53"/>
    <w:rsid w:val="00176CB1"/>
    <w:rsid w:val="0018058A"/>
    <w:rsid w:val="00180B57"/>
    <w:rsid w:val="00180BB2"/>
    <w:rsid w:val="00181260"/>
    <w:rsid w:val="0018153F"/>
    <w:rsid w:val="00182A18"/>
    <w:rsid w:val="00183C66"/>
    <w:rsid w:val="00183C99"/>
    <w:rsid w:val="00184296"/>
    <w:rsid w:val="00184874"/>
    <w:rsid w:val="001849EE"/>
    <w:rsid w:val="001856BB"/>
    <w:rsid w:val="00186231"/>
    <w:rsid w:val="001864B3"/>
    <w:rsid w:val="001867D6"/>
    <w:rsid w:val="00186D46"/>
    <w:rsid w:val="001872F5"/>
    <w:rsid w:val="0018760F"/>
    <w:rsid w:val="001910DD"/>
    <w:rsid w:val="00191205"/>
    <w:rsid w:val="001913B4"/>
    <w:rsid w:val="00191714"/>
    <w:rsid w:val="0019232D"/>
    <w:rsid w:val="001935B7"/>
    <w:rsid w:val="00193844"/>
    <w:rsid w:val="001941C4"/>
    <w:rsid w:val="0019436E"/>
    <w:rsid w:val="001947AE"/>
    <w:rsid w:val="001949CE"/>
    <w:rsid w:val="00194DC2"/>
    <w:rsid w:val="00194FF1"/>
    <w:rsid w:val="00195337"/>
    <w:rsid w:val="00195445"/>
    <w:rsid w:val="001969C3"/>
    <w:rsid w:val="00196A2E"/>
    <w:rsid w:val="001A1311"/>
    <w:rsid w:val="001A1452"/>
    <w:rsid w:val="001A3594"/>
    <w:rsid w:val="001A418B"/>
    <w:rsid w:val="001A44C5"/>
    <w:rsid w:val="001A45CD"/>
    <w:rsid w:val="001A4B0E"/>
    <w:rsid w:val="001A4D1D"/>
    <w:rsid w:val="001A5274"/>
    <w:rsid w:val="001A5532"/>
    <w:rsid w:val="001A55B2"/>
    <w:rsid w:val="001A6464"/>
    <w:rsid w:val="001A656C"/>
    <w:rsid w:val="001A6DC0"/>
    <w:rsid w:val="001A760A"/>
    <w:rsid w:val="001A7668"/>
    <w:rsid w:val="001A7A99"/>
    <w:rsid w:val="001AFD80"/>
    <w:rsid w:val="001B0404"/>
    <w:rsid w:val="001B064F"/>
    <w:rsid w:val="001B0999"/>
    <w:rsid w:val="001B1923"/>
    <w:rsid w:val="001B1A97"/>
    <w:rsid w:val="001B34F0"/>
    <w:rsid w:val="001B394D"/>
    <w:rsid w:val="001B397F"/>
    <w:rsid w:val="001B3F5E"/>
    <w:rsid w:val="001B4C1A"/>
    <w:rsid w:val="001B50C0"/>
    <w:rsid w:val="001B5408"/>
    <w:rsid w:val="001B55B8"/>
    <w:rsid w:val="001B5BED"/>
    <w:rsid w:val="001B6ABF"/>
    <w:rsid w:val="001B7203"/>
    <w:rsid w:val="001B75C2"/>
    <w:rsid w:val="001B7939"/>
    <w:rsid w:val="001B79F6"/>
    <w:rsid w:val="001C0361"/>
    <w:rsid w:val="001C04B7"/>
    <w:rsid w:val="001C1824"/>
    <w:rsid w:val="001C2996"/>
    <w:rsid w:val="001C29F2"/>
    <w:rsid w:val="001C2D07"/>
    <w:rsid w:val="001C2E97"/>
    <w:rsid w:val="001C2F41"/>
    <w:rsid w:val="001C3066"/>
    <w:rsid w:val="001C359F"/>
    <w:rsid w:val="001C36FB"/>
    <w:rsid w:val="001C3823"/>
    <w:rsid w:val="001C53A6"/>
    <w:rsid w:val="001C57A4"/>
    <w:rsid w:val="001C58A1"/>
    <w:rsid w:val="001C5906"/>
    <w:rsid w:val="001C5FFB"/>
    <w:rsid w:val="001C6144"/>
    <w:rsid w:val="001C65C1"/>
    <w:rsid w:val="001C6909"/>
    <w:rsid w:val="001C69E6"/>
    <w:rsid w:val="001C6EC3"/>
    <w:rsid w:val="001C7614"/>
    <w:rsid w:val="001C7D97"/>
    <w:rsid w:val="001D02A3"/>
    <w:rsid w:val="001D0596"/>
    <w:rsid w:val="001D0640"/>
    <w:rsid w:val="001D0747"/>
    <w:rsid w:val="001D12B0"/>
    <w:rsid w:val="001D1F69"/>
    <w:rsid w:val="001D23A7"/>
    <w:rsid w:val="001D23CD"/>
    <w:rsid w:val="001D2D88"/>
    <w:rsid w:val="001D4725"/>
    <w:rsid w:val="001D4D92"/>
    <w:rsid w:val="001D5551"/>
    <w:rsid w:val="001D56C3"/>
    <w:rsid w:val="001D5831"/>
    <w:rsid w:val="001D5AD2"/>
    <w:rsid w:val="001D66B9"/>
    <w:rsid w:val="001D6A5B"/>
    <w:rsid w:val="001D6C76"/>
    <w:rsid w:val="001D6CDF"/>
    <w:rsid w:val="001D6E70"/>
    <w:rsid w:val="001D7167"/>
    <w:rsid w:val="001E14A0"/>
    <w:rsid w:val="001E1B10"/>
    <w:rsid w:val="001E20E2"/>
    <w:rsid w:val="001E2696"/>
    <w:rsid w:val="001E29F6"/>
    <w:rsid w:val="001E2E09"/>
    <w:rsid w:val="001E31BD"/>
    <w:rsid w:val="001E3E09"/>
    <w:rsid w:val="001E3E0D"/>
    <w:rsid w:val="001E5069"/>
    <w:rsid w:val="001E54B7"/>
    <w:rsid w:val="001E674C"/>
    <w:rsid w:val="001E69A7"/>
    <w:rsid w:val="001E6FB3"/>
    <w:rsid w:val="001E777C"/>
    <w:rsid w:val="001F273A"/>
    <w:rsid w:val="001F30D4"/>
    <w:rsid w:val="001F3EEB"/>
    <w:rsid w:val="001F45CF"/>
    <w:rsid w:val="001F5632"/>
    <w:rsid w:val="001F67F9"/>
    <w:rsid w:val="002004C5"/>
    <w:rsid w:val="00200BAB"/>
    <w:rsid w:val="002010BE"/>
    <w:rsid w:val="00201641"/>
    <w:rsid w:val="002025E1"/>
    <w:rsid w:val="002025E4"/>
    <w:rsid w:val="0020331E"/>
    <w:rsid w:val="00203985"/>
    <w:rsid w:val="00203E66"/>
    <w:rsid w:val="00204BB5"/>
    <w:rsid w:val="002055D4"/>
    <w:rsid w:val="00205F77"/>
    <w:rsid w:val="00206362"/>
    <w:rsid w:val="00206E0A"/>
    <w:rsid w:val="002076FB"/>
    <w:rsid w:val="00207C9F"/>
    <w:rsid w:val="00207D91"/>
    <w:rsid w:val="002106BC"/>
    <w:rsid w:val="00210844"/>
    <w:rsid w:val="00210B00"/>
    <w:rsid w:val="0021133B"/>
    <w:rsid w:val="002116C1"/>
    <w:rsid w:val="00211843"/>
    <w:rsid w:val="002118DA"/>
    <w:rsid w:val="00211EBC"/>
    <w:rsid w:val="00211F68"/>
    <w:rsid w:val="002124C8"/>
    <w:rsid w:val="002127F4"/>
    <w:rsid w:val="00213930"/>
    <w:rsid w:val="00214289"/>
    <w:rsid w:val="00215466"/>
    <w:rsid w:val="00215A66"/>
    <w:rsid w:val="00216699"/>
    <w:rsid w:val="00216C83"/>
    <w:rsid w:val="00216CBB"/>
    <w:rsid w:val="00217A9B"/>
    <w:rsid w:val="00220273"/>
    <w:rsid w:val="00220395"/>
    <w:rsid w:val="00220458"/>
    <w:rsid w:val="0022061C"/>
    <w:rsid w:val="0022091D"/>
    <w:rsid w:val="00220E1A"/>
    <w:rsid w:val="00220EA2"/>
    <w:rsid w:val="00220F11"/>
    <w:rsid w:val="002215E7"/>
    <w:rsid w:val="00221961"/>
    <w:rsid w:val="002231B8"/>
    <w:rsid w:val="002234E8"/>
    <w:rsid w:val="00223BAD"/>
    <w:rsid w:val="00223D6E"/>
    <w:rsid w:val="00223E7E"/>
    <w:rsid w:val="00224911"/>
    <w:rsid w:val="00224F9F"/>
    <w:rsid w:val="002252B9"/>
    <w:rsid w:val="002257BB"/>
    <w:rsid w:val="002259CD"/>
    <w:rsid w:val="00226409"/>
    <w:rsid w:val="00226B8E"/>
    <w:rsid w:val="00226E8F"/>
    <w:rsid w:val="0022708F"/>
    <w:rsid w:val="002270A4"/>
    <w:rsid w:val="00227210"/>
    <w:rsid w:val="002276F4"/>
    <w:rsid w:val="00227797"/>
    <w:rsid w:val="002302F7"/>
    <w:rsid w:val="002308B3"/>
    <w:rsid w:val="0023101B"/>
    <w:rsid w:val="00231A33"/>
    <w:rsid w:val="00231E96"/>
    <w:rsid w:val="0023386A"/>
    <w:rsid w:val="002339E0"/>
    <w:rsid w:val="00234304"/>
    <w:rsid w:val="002347B4"/>
    <w:rsid w:val="00235096"/>
    <w:rsid w:val="00235786"/>
    <w:rsid w:val="00236270"/>
    <w:rsid w:val="0023631B"/>
    <w:rsid w:val="002365B1"/>
    <w:rsid w:val="00236BE4"/>
    <w:rsid w:val="0023754F"/>
    <w:rsid w:val="002376DF"/>
    <w:rsid w:val="002379E7"/>
    <w:rsid w:val="00237BDB"/>
    <w:rsid w:val="00240486"/>
    <w:rsid w:val="00240695"/>
    <w:rsid w:val="0024399C"/>
    <w:rsid w:val="00243B0E"/>
    <w:rsid w:val="00243E36"/>
    <w:rsid w:val="0024499B"/>
    <w:rsid w:val="00244EB2"/>
    <w:rsid w:val="00244FF0"/>
    <w:rsid w:val="0024569C"/>
    <w:rsid w:val="0024580B"/>
    <w:rsid w:val="00245980"/>
    <w:rsid w:val="0024598F"/>
    <w:rsid w:val="002460C9"/>
    <w:rsid w:val="00246C00"/>
    <w:rsid w:val="00246F95"/>
    <w:rsid w:val="0024741C"/>
    <w:rsid w:val="00250B0A"/>
    <w:rsid w:val="00251250"/>
    <w:rsid w:val="00251387"/>
    <w:rsid w:val="00251453"/>
    <w:rsid w:val="00251B71"/>
    <w:rsid w:val="00252263"/>
    <w:rsid w:val="0025229C"/>
    <w:rsid w:val="00252372"/>
    <w:rsid w:val="002523F9"/>
    <w:rsid w:val="00252DE4"/>
    <w:rsid w:val="002535A3"/>
    <w:rsid w:val="0025364B"/>
    <w:rsid w:val="002544EF"/>
    <w:rsid w:val="00255539"/>
    <w:rsid w:val="00256732"/>
    <w:rsid w:val="00256B27"/>
    <w:rsid w:val="00256FCC"/>
    <w:rsid w:val="002578FD"/>
    <w:rsid w:val="00257B27"/>
    <w:rsid w:val="00257BFD"/>
    <w:rsid w:val="002601FF"/>
    <w:rsid w:val="002602D3"/>
    <w:rsid w:val="00260D4E"/>
    <w:rsid w:val="0026136A"/>
    <w:rsid w:val="00261F81"/>
    <w:rsid w:val="00262865"/>
    <w:rsid w:val="00263058"/>
    <w:rsid w:val="002637A9"/>
    <w:rsid w:val="00263FD2"/>
    <w:rsid w:val="002641FE"/>
    <w:rsid w:val="00264D9C"/>
    <w:rsid w:val="00264F48"/>
    <w:rsid w:val="00265B9C"/>
    <w:rsid w:val="00266AFD"/>
    <w:rsid w:val="0026747B"/>
    <w:rsid w:val="002674B7"/>
    <w:rsid w:val="002675C5"/>
    <w:rsid w:val="00267637"/>
    <w:rsid w:val="00267C07"/>
    <w:rsid w:val="00267C50"/>
    <w:rsid w:val="00267EE2"/>
    <w:rsid w:val="00270178"/>
    <w:rsid w:val="00273B95"/>
    <w:rsid w:val="00273D47"/>
    <w:rsid w:val="00274B22"/>
    <w:rsid w:val="00274B58"/>
    <w:rsid w:val="00274BA5"/>
    <w:rsid w:val="002759E1"/>
    <w:rsid w:val="00276721"/>
    <w:rsid w:val="00276C8A"/>
    <w:rsid w:val="00277097"/>
    <w:rsid w:val="00277820"/>
    <w:rsid w:val="0027E36A"/>
    <w:rsid w:val="0028045B"/>
    <w:rsid w:val="00280701"/>
    <w:rsid w:val="002808E1"/>
    <w:rsid w:val="002816BC"/>
    <w:rsid w:val="0028377C"/>
    <w:rsid w:val="002837F7"/>
    <w:rsid w:val="0028413A"/>
    <w:rsid w:val="00284A0F"/>
    <w:rsid w:val="00284D6F"/>
    <w:rsid w:val="00285CC9"/>
    <w:rsid w:val="00286041"/>
    <w:rsid w:val="00286AB9"/>
    <w:rsid w:val="00286B5F"/>
    <w:rsid w:val="00290713"/>
    <w:rsid w:val="002915FB"/>
    <w:rsid w:val="00291964"/>
    <w:rsid w:val="002920BA"/>
    <w:rsid w:val="00293154"/>
    <w:rsid w:val="00293990"/>
    <w:rsid w:val="002956AC"/>
    <w:rsid w:val="002959B3"/>
    <w:rsid w:val="0029641F"/>
    <w:rsid w:val="002966D9"/>
    <w:rsid w:val="00297901"/>
    <w:rsid w:val="002A0666"/>
    <w:rsid w:val="002A0A27"/>
    <w:rsid w:val="002A0B31"/>
    <w:rsid w:val="002A173F"/>
    <w:rsid w:val="002A1986"/>
    <w:rsid w:val="002A19B5"/>
    <w:rsid w:val="002A1AF5"/>
    <w:rsid w:val="002A1C15"/>
    <w:rsid w:val="002A221E"/>
    <w:rsid w:val="002A2726"/>
    <w:rsid w:val="002A2CB2"/>
    <w:rsid w:val="002A3185"/>
    <w:rsid w:val="002A3502"/>
    <w:rsid w:val="002A3945"/>
    <w:rsid w:val="002A41B7"/>
    <w:rsid w:val="002A4550"/>
    <w:rsid w:val="002A5F28"/>
    <w:rsid w:val="002A67CD"/>
    <w:rsid w:val="002A6F69"/>
    <w:rsid w:val="002A793D"/>
    <w:rsid w:val="002B0580"/>
    <w:rsid w:val="002B1E65"/>
    <w:rsid w:val="002B1F59"/>
    <w:rsid w:val="002B224C"/>
    <w:rsid w:val="002B239F"/>
    <w:rsid w:val="002B2ADC"/>
    <w:rsid w:val="002B2B3D"/>
    <w:rsid w:val="002B30CE"/>
    <w:rsid w:val="002B31BE"/>
    <w:rsid w:val="002B33DC"/>
    <w:rsid w:val="002B4D03"/>
    <w:rsid w:val="002B4F3C"/>
    <w:rsid w:val="002B57F8"/>
    <w:rsid w:val="002B5A06"/>
    <w:rsid w:val="002B6907"/>
    <w:rsid w:val="002B759D"/>
    <w:rsid w:val="002B7878"/>
    <w:rsid w:val="002C0255"/>
    <w:rsid w:val="002C1183"/>
    <w:rsid w:val="002C19B6"/>
    <w:rsid w:val="002C1F60"/>
    <w:rsid w:val="002C201B"/>
    <w:rsid w:val="002C20BD"/>
    <w:rsid w:val="002C2611"/>
    <w:rsid w:val="002C3EBC"/>
    <w:rsid w:val="002C47D2"/>
    <w:rsid w:val="002C5785"/>
    <w:rsid w:val="002C68D4"/>
    <w:rsid w:val="002C702F"/>
    <w:rsid w:val="002D0336"/>
    <w:rsid w:val="002D05E8"/>
    <w:rsid w:val="002D12BD"/>
    <w:rsid w:val="002D2AF3"/>
    <w:rsid w:val="002D32C0"/>
    <w:rsid w:val="002D3700"/>
    <w:rsid w:val="002D3F66"/>
    <w:rsid w:val="002D47E9"/>
    <w:rsid w:val="002D535C"/>
    <w:rsid w:val="002D55F0"/>
    <w:rsid w:val="002D6F7C"/>
    <w:rsid w:val="002D70CB"/>
    <w:rsid w:val="002E02A9"/>
    <w:rsid w:val="002E09CE"/>
    <w:rsid w:val="002E13C6"/>
    <w:rsid w:val="002E1F69"/>
    <w:rsid w:val="002E21C1"/>
    <w:rsid w:val="002E4482"/>
    <w:rsid w:val="002E455B"/>
    <w:rsid w:val="002E48A2"/>
    <w:rsid w:val="002E4B4F"/>
    <w:rsid w:val="002E516C"/>
    <w:rsid w:val="002E5AEB"/>
    <w:rsid w:val="002E608C"/>
    <w:rsid w:val="002E617F"/>
    <w:rsid w:val="002E6BEC"/>
    <w:rsid w:val="002E7575"/>
    <w:rsid w:val="002E7BFE"/>
    <w:rsid w:val="002E7D72"/>
    <w:rsid w:val="002E7D98"/>
    <w:rsid w:val="002E9440"/>
    <w:rsid w:val="002F0BD8"/>
    <w:rsid w:val="002F1449"/>
    <w:rsid w:val="002F1BD6"/>
    <w:rsid w:val="002F1DD4"/>
    <w:rsid w:val="002F2639"/>
    <w:rsid w:val="002F26CD"/>
    <w:rsid w:val="002F2917"/>
    <w:rsid w:val="002F3B8F"/>
    <w:rsid w:val="002F4481"/>
    <w:rsid w:val="002F4ADA"/>
    <w:rsid w:val="002F5C2D"/>
    <w:rsid w:val="002F628E"/>
    <w:rsid w:val="002F62FC"/>
    <w:rsid w:val="002F6357"/>
    <w:rsid w:val="002F7057"/>
    <w:rsid w:val="002F7258"/>
    <w:rsid w:val="00300DD8"/>
    <w:rsid w:val="003013C0"/>
    <w:rsid w:val="0030198C"/>
    <w:rsid w:val="00301EC1"/>
    <w:rsid w:val="00302D94"/>
    <w:rsid w:val="00304398"/>
    <w:rsid w:val="0030453E"/>
    <w:rsid w:val="00305569"/>
    <w:rsid w:val="00305EBE"/>
    <w:rsid w:val="00306641"/>
    <w:rsid w:val="003068F8"/>
    <w:rsid w:val="0030782E"/>
    <w:rsid w:val="0031191F"/>
    <w:rsid w:val="00312019"/>
    <w:rsid w:val="0031234C"/>
    <w:rsid w:val="003136B8"/>
    <w:rsid w:val="00313987"/>
    <w:rsid w:val="00313AB6"/>
    <w:rsid w:val="00313BDA"/>
    <w:rsid w:val="00314BC3"/>
    <w:rsid w:val="0031516B"/>
    <w:rsid w:val="003155CB"/>
    <w:rsid w:val="00315746"/>
    <w:rsid w:val="00316BC6"/>
    <w:rsid w:val="00316DC8"/>
    <w:rsid w:val="00316DDE"/>
    <w:rsid w:val="003200B6"/>
    <w:rsid w:val="003200D7"/>
    <w:rsid w:val="003203C1"/>
    <w:rsid w:val="00321BB1"/>
    <w:rsid w:val="00321C38"/>
    <w:rsid w:val="00323487"/>
    <w:rsid w:val="003234F3"/>
    <w:rsid w:val="00323983"/>
    <w:rsid w:val="00323F4C"/>
    <w:rsid w:val="00324277"/>
    <w:rsid w:val="003247FF"/>
    <w:rsid w:val="003248BC"/>
    <w:rsid w:val="00324FE7"/>
    <w:rsid w:val="0032508C"/>
    <w:rsid w:val="003257FD"/>
    <w:rsid w:val="003263E8"/>
    <w:rsid w:val="00326EE4"/>
    <w:rsid w:val="0032740E"/>
    <w:rsid w:val="003304DE"/>
    <w:rsid w:val="00330EE4"/>
    <w:rsid w:val="00333167"/>
    <w:rsid w:val="00334046"/>
    <w:rsid w:val="003340C6"/>
    <w:rsid w:val="003343C1"/>
    <w:rsid w:val="003352B5"/>
    <w:rsid w:val="00335723"/>
    <w:rsid w:val="003360E8"/>
    <w:rsid w:val="0033619C"/>
    <w:rsid w:val="00336279"/>
    <w:rsid w:val="003365FF"/>
    <w:rsid w:val="00337438"/>
    <w:rsid w:val="003400BD"/>
    <w:rsid w:val="00340370"/>
    <w:rsid w:val="00340615"/>
    <w:rsid w:val="0034127D"/>
    <w:rsid w:val="003417F1"/>
    <w:rsid w:val="00342183"/>
    <w:rsid w:val="003423B8"/>
    <w:rsid w:val="00342BDA"/>
    <w:rsid w:val="00343070"/>
    <w:rsid w:val="00343435"/>
    <w:rsid w:val="00343596"/>
    <w:rsid w:val="003449BE"/>
    <w:rsid w:val="00344FE3"/>
    <w:rsid w:val="00345311"/>
    <w:rsid w:val="003461D4"/>
    <w:rsid w:val="00346F56"/>
    <w:rsid w:val="0034740A"/>
    <w:rsid w:val="00347D23"/>
    <w:rsid w:val="0035028F"/>
    <w:rsid w:val="0035052F"/>
    <w:rsid w:val="003507A1"/>
    <w:rsid w:val="00350806"/>
    <w:rsid w:val="00350816"/>
    <w:rsid w:val="0035191D"/>
    <w:rsid w:val="00352757"/>
    <w:rsid w:val="003533EC"/>
    <w:rsid w:val="003537DF"/>
    <w:rsid w:val="00353800"/>
    <w:rsid w:val="0035380D"/>
    <w:rsid w:val="00353949"/>
    <w:rsid w:val="00353D3F"/>
    <w:rsid w:val="003546CD"/>
    <w:rsid w:val="00354FC3"/>
    <w:rsid w:val="003554E4"/>
    <w:rsid w:val="00355E39"/>
    <w:rsid w:val="00355FE8"/>
    <w:rsid w:val="003578B5"/>
    <w:rsid w:val="0035C3A5"/>
    <w:rsid w:val="0036026E"/>
    <w:rsid w:val="003602AA"/>
    <w:rsid w:val="0036082F"/>
    <w:rsid w:val="0036083A"/>
    <w:rsid w:val="00360E20"/>
    <w:rsid w:val="0036108B"/>
    <w:rsid w:val="003611D5"/>
    <w:rsid w:val="003613A7"/>
    <w:rsid w:val="003614BF"/>
    <w:rsid w:val="003623A7"/>
    <w:rsid w:val="00363267"/>
    <w:rsid w:val="00363415"/>
    <w:rsid w:val="0036347D"/>
    <w:rsid w:val="003646D5"/>
    <w:rsid w:val="003653D3"/>
    <w:rsid w:val="00366920"/>
    <w:rsid w:val="00367D7A"/>
    <w:rsid w:val="00370462"/>
    <w:rsid w:val="003715A4"/>
    <w:rsid w:val="003716B6"/>
    <w:rsid w:val="003721C6"/>
    <w:rsid w:val="00372884"/>
    <w:rsid w:val="00372A9C"/>
    <w:rsid w:val="00373412"/>
    <w:rsid w:val="00373960"/>
    <w:rsid w:val="00373C1A"/>
    <w:rsid w:val="003742D9"/>
    <w:rsid w:val="0037434E"/>
    <w:rsid w:val="0037461E"/>
    <w:rsid w:val="00375734"/>
    <w:rsid w:val="00375A79"/>
    <w:rsid w:val="00375B27"/>
    <w:rsid w:val="003763F5"/>
    <w:rsid w:val="00376593"/>
    <w:rsid w:val="003766F1"/>
    <w:rsid w:val="00376A8A"/>
    <w:rsid w:val="00376F7B"/>
    <w:rsid w:val="0037720F"/>
    <w:rsid w:val="00377B54"/>
    <w:rsid w:val="0038002C"/>
    <w:rsid w:val="00380165"/>
    <w:rsid w:val="0038123F"/>
    <w:rsid w:val="003818A8"/>
    <w:rsid w:val="00381DC5"/>
    <w:rsid w:val="0038265D"/>
    <w:rsid w:val="00382E5B"/>
    <w:rsid w:val="00383784"/>
    <w:rsid w:val="00383DC1"/>
    <w:rsid w:val="00383E92"/>
    <w:rsid w:val="00384475"/>
    <w:rsid w:val="0038496E"/>
    <w:rsid w:val="003853A6"/>
    <w:rsid w:val="00390789"/>
    <w:rsid w:val="003907A0"/>
    <w:rsid w:val="00391503"/>
    <w:rsid w:val="003923A9"/>
    <w:rsid w:val="00392731"/>
    <w:rsid w:val="00392C31"/>
    <w:rsid w:val="003936A0"/>
    <w:rsid w:val="0039393D"/>
    <w:rsid w:val="00393D3C"/>
    <w:rsid w:val="00393E7D"/>
    <w:rsid w:val="0039443A"/>
    <w:rsid w:val="003962D3"/>
    <w:rsid w:val="00396991"/>
    <w:rsid w:val="00396B1B"/>
    <w:rsid w:val="00396C83"/>
    <w:rsid w:val="00397C81"/>
    <w:rsid w:val="003A0D1C"/>
    <w:rsid w:val="003A1BAA"/>
    <w:rsid w:val="003A1FB9"/>
    <w:rsid w:val="003A2A31"/>
    <w:rsid w:val="003A37C0"/>
    <w:rsid w:val="003A3F69"/>
    <w:rsid w:val="003A495F"/>
    <w:rsid w:val="003A4AA2"/>
    <w:rsid w:val="003A5EB9"/>
    <w:rsid w:val="003A6117"/>
    <w:rsid w:val="003A6173"/>
    <w:rsid w:val="003A6255"/>
    <w:rsid w:val="003A660D"/>
    <w:rsid w:val="003A67D0"/>
    <w:rsid w:val="003A6AC4"/>
    <w:rsid w:val="003A7A92"/>
    <w:rsid w:val="003B0563"/>
    <w:rsid w:val="003B0919"/>
    <w:rsid w:val="003B1008"/>
    <w:rsid w:val="003B10E1"/>
    <w:rsid w:val="003B13F3"/>
    <w:rsid w:val="003B147B"/>
    <w:rsid w:val="003B17B0"/>
    <w:rsid w:val="003B1E7C"/>
    <w:rsid w:val="003B2496"/>
    <w:rsid w:val="003B2568"/>
    <w:rsid w:val="003B2595"/>
    <w:rsid w:val="003B2A19"/>
    <w:rsid w:val="003B3DF1"/>
    <w:rsid w:val="003B4203"/>
    <w:rsid w:val="003B4939"/>
    <w:rsid w:val="003B4D2F"/>
    <w:rsid w:val="003B4F84"/>
    <w:rsid w:val="003B5007"/>
    <w:rsid w:val="003B5755"/>
    <w:rsid w:val="003B5C60"/>
    <w:rsid w:val="003B60AC"/>
    <w:rsid w:val="003B6902"/>
    <w:rsid w:val="003B7715"/>
    <w:rsid w:val="003B7AD2"/>
    <w:rsid w:val="003C068D"/>
    <w:rsid w:val="003C0827"/>
    <w:rsid w:val="003C149E"/>
    <w:rsid w:val="003C17FC"/>
    <w:rsid w:val="003C281F"/>
    <w:rsid w:val="003C3179"/>
    <w:rsid w:val="003C31A9"/>
    <w:rsid w:val="003C35C2"/>
    <w:rsid w:val="003C35C7"/>
    <w:rsid w:val="003C36D9"/>
    <w:rsid w:val="003C3F64"/>
    <w:rsid w:val="003C454E"/>
    <w:rsid w:val="003C460E"/>
    <w:rsid w:val="003C4B6E"/>
    <w:rsid w:val="003C4C88"/>
    <w:rsid w:val="003C700A"/>
    <w:rsid w:val="003C736B"/>
    <w:rsid w:val="003C7417"/>
    <w:rsid w:val="003C77F3"/>
    <w:rsid w:val="003C7B40"/>
    <w:rsid w:val="003D0D62"/>
    <w:rsid w:val="003D2552"/>
    <w:rsid w:val="003D2591"/>
    <w:rsid w:val="003D263C"/>
    <w:rsid w:val="003D3EAB"/>
    <w:rsid w:val="003D410C"/>
    <w:rsid w:val="003D4276"/>
    <w:rsid w:val="003D44C9"/>
    <w:rsid w:val="003D5104"/>
    <w:rsid w:val="003D556F"/>
    <w:rsid w:val="003D5857"/>
    <w:rsid w:val="003D6505"/>
    <w:rsid w:val="003D65E2"/>
    <w:rsid w:val="003D71CA"/>
    <w:rsid w:val="003D7753"/>
    <w:rsid w:val="003E00CC"/>
    <w:rsid w:val="003E032D"/>
    <w:rsid w:val="003E045A"/>
    <w:rsid w:val="003E05DA"/>
    <w:rsid w:val="003E1876"/>
    <w:rsid w:val="003E25C5"/>
    <w:rsid w:val="003E25D3"/>
    <w:rsid w:val="003E2CE0"/>
    <w:rsid w:val="003E3E56"/>
    <w:rsid w:val="003E3EA4"/>
    <w:rsid w:val="003E41BA"/>
    <w:rsid w:val="003E41C4"/>
    <w:rsid w:val="003E589C"/>
    <w:rsid w:val="003E5990"/>
    <w:rsid w:val="003E6246"/>
    <w:rsid w:val="003E644E"/>
    <w:rsid w:val="003E7051"/>
    <w:rsid w:val="003E717E"/>
    <w:rsid w:val="003E72A4"/>
    <w:rsid w:val="003E761B"/>
    <w:rsid w:val="003F02CC"/>
    <w:rsid w:val="003F09B2"/>
    <w:rsid w:val="003F0D3A"/>
    <w:rsid w:val="003F1006"/>
    <w:rsid w:val="003F1524"/>
    <w:rsid w:val="003F1A4D"/>
    <w:rsid w:val="003F28DD"/>
    <w:rsid w:val="003F4631"/>
    <w:rsid w:val="003F4987"/>
    <w:rsid w:val="003F49F0"/>
    <w:rsid w:val="003F4EAA"/>
    <w:rsid w:val="003F5843"/>
    <w:rsid w:val="003F63D1"/>
    <w:rsid w:val="003F6C99"/>
    <w:rsid w:val="003F7C24"/>
    <w:rsid w:val="00400B29"/>
    <w:rsid w:val="00400BBD"/>
    <w:rsid w:val="00401DC8"/>
    <w:rsid w:val="0040209F"/>
    <w:rsid w:val="00402398"/>
    <w:rsid w:val="00403B59"/>
    <w:rsid w:val="0040456E"/>
    <w:rsid w:val="00404CB9"/>
    <w:rsid w:val="00404FD8"/>
    <w:rsid w:val="0040568A"/>
    <w:rsid w:val="00405DAA"/>
    <w:rsid w:val="0040635E"/>
    <w:rsid w:val="0040711D"/>
    <w:rsid w:val="0041004D"/>
    <w:rsid w:val="00412155"/>
    <w:rsid w:val="00413E77"/>
    <w:rsid w:val="004140BD"/>
    <w:rsid w:val="0041411A"/>
    <w:rsid w:val="0041490A"/>
    <w:rsid w:val="00416378"/>
    <w:rsid w:val="0041734C"/>
    <w:rsid w:val="00417422"/>
    <w:rsid w:val="00420F14"/>
    <w:rsid w:val="004212AB"/>
    <w:rsid w:val="004220F6"/>
    <w:rsid w:val="00422A95"/>
    <w:rsid w:val="004234B2"/>
    <w:rsid w:val="00423C75"/>
    <w:rsid w:val="00423FE3"/>
    <w:rsid w:val="0042494E"/>
    <w:rsid w:val="00425365"/>
    <w:rsid w:val="00426A2C"/>
    <w:rsid w:val="004279BF"/>
    <w:rsid w:val="004302D0"/>
    <w:rsid w:val="00430A0A"/>
    <w:rsid w:val="00431025"/>
    <w:rsid w:val="0043137F"/>
    <w:rsid w:val="00431B40"/>
    <w:rsid w:val="004324E3"/>
    <w:rsid w:val="00432B1E"/>
    <w:rsid w:val="00432C58"/>
    <w:rsid w:val="004337F5"/>
    <w:rsid w:val="004338F1"/>
    <w:rsid w:val="00433C62"/>
    <w:rsid w:val="00435322"/>
    <w:rsid w:val="00436027"/>
    <w:rsid w:val="004367DF"/>
    <w:rsid w:val="004371FA"/>
    <w:rsid w:val="004417F0"/>
    <w:rsid w:val="00441B21"/>
    <w:rsid w:val="00441BD7"/>
    <w:rsid w:val="00441ED0"/>
    <w:rsid w:val="00442533"/>
    <w:rsid w:val="00442BE3"/>
    <w:rsid w:val="00443112"/>
    <w:rsid w:val="00443E56"/>
    <w:rsid w:val="00444F25"/>
    <w:rsid w:val="00444F65"/>
    <w:rsid w:val="0044533D"/>
    <w:rsid w:val="00446CFF"/>
    <w:rsid w:val="00446EB3"/>
    <w:rsid w:val="00451461"/>
    <w:rsid w:val="00451E5D"/>
    <w:rsid w:val="00452691"/>
    <w:rsid w:val="00452D19"/>
    <w:rsid w:val="0045310F"/>
    <w:rsid w:val="004531E3"/>
    <w:rsid w:val="00453422"/>
    <w:rsid w:val="00453829"/>
    <w:rsid w:val="00453F6A"/>
    <w:rsid w:val="00454063"/>
    <w:rsid w:val="00454200"/>
    <w:rsid w:val="0045474F"/>
    <w:rsid w:val="00455BAA"/>
    <w:rsid w:val="00455FD8"/>
    <w:rsid w:val="0045607D"/>
    <w:rsid w:val="0045634E"/>
    <w:rsid w:val="00456531"/>
    <w:rsid w:val="004567CA"/>
    <w:rsid w:val="0046052E"/>
    <w:rsid w:val="00460AC0"/>
    <w:rsid w:val="00460D0C"/>
    <w:rsid w:val="00460E59"/>
    <w:rsid w:val="00461334"/>
    <w:rsid w:val="0046138B"/>
    <w:rsid w:val="004615E5"/>
    <w:rsid w:val="00461D0D"/>
    <w:rsid w:val="00462976"/>
    <w:rsid w:val="004629C9"/>
    <w:rsid w:val="00462F17"/>
    <w:rsid w:val="00463586"/>
    <w:rsid w:val="00463999"/>
    <w:rsid w:val="00463EA7"/>
    <w:rsid w:val="00464656"/>
    <w:rsid w:val="004646E1"/>
    <w:rsid w:val="00464FD7"/>
    <w:rsid w:val="004658B8"/>
    <w:rsid w:val="00465995"/>
    <w:rsid w:val="00465C29"/>
    <w:rsid w:val="00465F57"/>
    <w:rsid w:val="004663B2"/>
    <w:rsid w:val="004677BC"/>
    <w:rsid w:val="00467C06"/>
    <w:rsid w:val="00467D99"/>
    <w:rsid w:val="00470799"/>
    <w:rsid w:val="00471246"/>
    <w:rsid w:val="00471EF4"/>
    <w:rsid w:val="0047235F"/>
    <w:rsid w:val="004723D3"/>
    <w:rsid w:val="00472710"/>
    <w:rsid w:val="004727CF"/>
    <w:rsid w:val="00473666"/>
    <w:rsid w:val="0047368D"/>
    <w:rsid w:val="0047374D"/>
    <w:rsid w:val="0047389E"/>
    <w:rsid w:val="004738B1"/>
    <w:rsid w:val="00473974"/>
    <w:rsid w:val="00473F57"/>
    <w:rsid w:val="0047508F"/>
    <w:rsid w:val="004756FE"/>
    <w:rsid w:val="00475C39"/>
    <w:rsid w:val="00476235"/>
    <w:rsid w:val="004762E7"/>
    <w:rsid w:val="00476976"/>
    <w:rsid w:val="00477087"/>
    <w:rsid w:val="0047726C"/>
    <w:rsid w:val="004778C5"/>
    <w:rsid w:val="00477D7F"/>
    <w:rsid w:val="004807B6"/>
    <w:rsid w:val="004811EE"/>
    <w:rsid w:val="00481DFF"/>
    <w:rsid w:val="00482409"/>
    <w:rsid w:val="004825DE"/>
    <w:rsid w:val="00482665"/>
    <w:rsid w:val="0048277D"/>
    <w:rsid w:val="004835B3"/>
    <w:rsid w:val="00483CFE"/>
    <w:rsid w:val="00483FB7"/>
    <w:rsid w:val="0048417D"/>
    <w:rsid w:val="00484C9E"/>
    <w:rsid w:val="0048530C"/>
    <w:rsid w:val="0048629B"/>
    <w:rsid w:val="004862F0"/>
    <w:rsid w:val="00486A48"/>
    <w:rsid w:val="004871FE"/>
    <w:rsid w:val="00487503"/>
    <w:rsid w:val="00490BA1"/>
    <w:rsid w:val="00490DA1"/>
    <w:rsid w:val="00491488"/>
    <w:rsid w:val="00491B24"/>
    <w:rsid w:val="00491BDD"/>
    <w:rsid w:val="00493BD5"/>
    <w:rsid w:val="00494858"/>
    <w:rsid w:val="00494D2B"/>
    <w:rsid w:val="00494E9B"/>
    <w:rsid w:val="00494FCA"/>
    <w:rsid w:val="00495685"/>
    <w:rsid w:val="004960D9"/>
    <w:rsid w:val="00496317"/>
    <w:rsid w:val="004968B7"/>
    <w:rsid w:val="00496B25"/>
    <w:rsid w:val="00496E8A"/>
    <w:rsid w:val="00496ECF"/>
    <w:rsid w:val="0049736F"/>
    <w:rsid w:val="0049737C"/>
    <w:rsid w:val="004975A2"/>
    <w:rsid w:val="004A038F"/>
    <w:rsid w:val="004A067A"/>
    <w:rsid w:val="004A11A6"/>
    <w:rsid w:val="004A1EAA"/>
    <w:rsid w:val="004A2735"/>
    <w:rsid w:val="004A2A07"/>
    <w:rsid w:val="004A2A23"/>
    <w:rsid w:val="004A2D9C"/>
    <w:rsid w:val="004A2E76"/>
    <w:rsid w:val="004A3022"/>
    <w:rsid w:val="004A4B83"/>
    <w:rsid w:val="004A4F1A"/>
    <w:rsid w:val="004A5F2E"/>
    <w:rsid w:val="004A6083"/>
    <w:rsid w:val="004A63F0"/>
    <w:rsid w:val="004A694A"/>
    <w:rsid w:val="004A7099"/>
    <w:rsid w:val="004A70BF"/>
    <w:rsid w:val="004A7CE6"/>
    <w:rsid w:val="004B0B7F"/>
    <w:rsid w:val="004B1D98"/>
    <w:rsid w:val="004B1E41"/>
    <w:rsid w:val="004B21AF"/>
    <w:rsid w:val="004B22D1"/>
    <w:rsid w:val="004B2A25"/>
    <w:rsid w:val="004B3012"/>
    <w:rsid w:val="004B3925"/>
    <w:rsid w:val="004B3ACC"/>
    <w:rsid w:val="004B43CE"/>
    <w:rsid w:val="004B4829"/>
    <w:rsid w:val="004B5706"/>
    <w:rsid w:val="004B5AB9"/>
    <w:rsid w:val="004B750B"/>
    <w:rsid w:val="004B76C4"/>
    <w:rsid w:val="004B7A81"/>
    <w:rsid w:val="004B7D45"/>
    <w:rsid w:val="004C0126"/>
    <w:rsid w:val="004C072E"/>
    <w:rsid w:val="004C0A4E"/>
    <w:rsid w:val="004C14A3"/>
    <w:rsid w:val="004C17B4"/>
    <w:rsid w:val="004C19C4"/>
    <w:rsid w:val="004C22BB"/>
    <w:rsid w:val="004C2387"/>
    <w:rsid w:val="004C3341"/>
    <w:rsid w:val="004C367B"/>
    <w:rsid w:val="004C3B5E"/>
    <w:rsid w:val="004C40B0"/>
    <w:rsid w:val="004C4C1C"/>
    <w:rsid w:val="004C6CFD"/>
    <w:rsid w:val="004C73C8"/>
    <w:rsid w:val="004C7C71"/>
    <w:rsid w:val="004C7C81"/>
    <w:rsid w:val="004CB6F8"/>
    <w:rsid w:val="004D0145"/>
    <w:rsid w:val="004D04D0"/>
    <w:rsid w:val="004D0BC9"/>
    <w:rsid w:val="004D0C6C"/>
    <w:rsid w:val="004D0FEE"/>
    <w:rsid w:val="004D1952"/>
    <w:rsid w:val="004D1C6C"/>
    <w:rsid w:val="004D1CAD"/>
    <w:rsid w:val="004D26F8"/>
    <w:rsid w:val="004D3FB6"/>
    <w:rsid w:val="004D4308"/>
    <w:rsid w:val="004D4760"/>
    <w:rsid w:val="004D4944"/>
    <w:rsid w:val="004D52E0"/>
    <w:rsid w:val="004D5939"/>
    <w:rsid w:val="004D5EF3"/>
    <w:rsid w:val="004D68C7"/>
    <w:rsid w:val="004D79D2"/>
    <w:rsid w:val="004E0439"/>
    <w:rsid w:val="004E04CE"/>
    <w:rsid w:val="004E09D6"/>
    <w:rsid w:val="004E1426"/>
    <w:rsid w:val="004E1B14"/>
    <w:rsid w:val="004E1E47"/>
    <w:rsid w:val="004E1E5E"/>
    <w:rsid w:val="004E29C6"/>
    <w:rsid w:val="004E29D8"/>
    <w:rsid w:val="004E2AA0"/>
    <w:rsid w:val="004E2D81"/>
    <w:rsid w:val="004E3112"/>
    <w:rsid w:val="004E428C"/>
    <w:rsid w:val="004E45AF"/>
    <w:rsid w:val="004E481D"/>
    <w:rsid w:val="004E4854"/>
    <w:rsid w:val="004E485D"/>
    <w:rsid w:val="004E4D91"/>
    <w:rsid w:val="004E5492"/>
    <w:rsid w:val="004E57EB"/>
    <w:rsid w:val="004E6485"/>
    <w:rsid w:val="004E6EAF"/>
    <w:rsid w:val="004E7262"/>
    <w:rsid w:val="004E7B69"/>
    <w:rsid w:val="004F0367"/>
    <w:rsid w:val="004F0673"/>
    <w:rsid w:val="004F13BC"/>
    <w:rsid w:val="004F1736"/>
    <w:rsid w:val="004F1746"/>
    <w:rsid w:val="004F25E8"/>
    <w:rsid w:val="004F2AC5"/>
    <w:rsid w:val="004F320C"/>
    <w:rsid w:val="004F37AF"/>
    <w:rsid w:val="004F39C5"/>
    <w:rsid w:val="004F3A2A"/>
    <w:rsid w:val="004F4050"/>
    <w:rsid w:val="004F546A"/>
    <w:rsid w:val="004F561F"/>
    <w:rsid w:val="004F62FF"/>
    <w:rsid w:val="004F719C"/>
    <w:rsid w:val="004F73DF"/>
    <w:rsid w:val="004F7781"/>
    <w:rsid w:val="0050079D"/>
    <w:rsid w:val="00500B20"/>
    <w:rsid w:val="005012CE"/>
    <w:rsid w:val="005014D9"/>
    <w:rsid w:val="0050187C"/>
    <w:rsid w:val="00501A7A"/>
    <w:rsid w:val="00501D38"/>
    <w:rsid w:val="00501F49"/>
    <w:rsid w:val="005038CF"/>
    <w:rsid w:val="00503E85"/>
    <w:rsid w:val="005041E7"/>
    <w:rsid w:val="0050444D"/>
    <w:rsid w:val="00504A9E"/>
    <w:rsid w:val="00504B50"/>
    <w:rsid w:val="00505026"/>
    <w:rsid w:val="00505CDA"/>
    <w:rsid w:val="0050619F"/>
    <w:rsid w:val="005077DF"/>
    <w:rsid w:val="0051055A"/>
    <w:rsid w:val="00510CEC"/>
    <w:rsid w:val="00510E0E"/>
    <w:rsid w:val="00511008"/>
    <w:rsid w:val="0051127D"/>
    <w:rsid w:val="005120E2"/>
    <w:rsid w:val="00512237"/>
    <w:rsid w:val="00512661"/>
    <w:rsid w:val="00512B1B"/>
    <w:rsid w:val="005130FE"/>
    <w:rsid w:val="00513137"/>
    <w:rsid w:val="00513441"/>
    <w:rsid w:val="00513481"/>
    <w:rsid w:val="005136BE"/>
    <w:rsid w:val="00513FA4"/>
    <w:rsid w:val="00514469"/>
    <w:rsid w:val="00514614"/>
    <w:rsid w:val="00514773"/>
    <w:rsid w:val="005148C0"/>
    <w:rsid w:val="00514F90"/>
    <w:rsid w:val="00515219"/>
    <w:rsid w:val="00516169"/>
    <w:rsid w:val="00517422"/>
    <w:rsid w:val="00517475"/>
    <w:rsid w:val="00517942"/>
    <w:rsid w:val="0052090F"/>
    <w:rsid w:val="00521B09"/>
    <w:rsid w:val="00521CFC"/>
    <w:rsid w:val="00521F90"/>
    <w:rsid w:val="005220E1"/>
    <w:rsid w:val="00522119"/>
    <w:rsid w:val="005221FD"/>
    <w:rsid w:val="0052272A"/>
    <w:rsid w:val="00522C49"/>
    <w:rsid w:val="00523080"/>
    <w:rsid w:val="00523607"/>
    <w:rsid w:val="005237B4"/>
    <w:rsid w:val="00523FE0"/>
    <w:rsid w:val="005247A6"/>
    <w:rsid w:val="00525173"/>
    <w:rsid w:val="0052535B"/>
    <w:rsid w:val="0052572F"/>
    <w:rsid w:val="005259F4"/>
    <w:rsid w:val="005271A9"/>
    <w:rsid w:val="0053061C"/>
    <w:rsid w:val="00530661"/>
    <w:rsid w:val="00530C0E"/>
    <w:rsid w:val="00531347"/>
    <w:rsid w:val="00531EE6"/>
    <w:rsid w:val="0053274E"/>
    <w:rsid w:val="00533FC6"/>
    <w:rsid w:val="00534752"/>
    <w:rsid w:val="00534CAD"/>
    <w:rsid w:val="0053655F"/>
    <w:rsid w:val="00537681"/>
    <w:rsid w:val="005378ED"/>
    <w:rsid w:val="00541490"/>
    <w:rsid w:val="00541FAD"/>
    <w:rsid w:val="00542742"/>
    <w:rsid w:val="00542A99"/>
    <w:rsid w:val="00543ACF"/>
    <w:rsid w:val="00543FF3"/>
    <w:rsid w:val="00544B47"/>
    <w:rsid w:val="00544C98"/>
    <w:rsid w:val="005453C7"/>
    <w:rsid w:val="005457DE"/>
    <w:rsid w:val="00545D12"/>
    <w:rsid w:val="00546050"/>
    <w:rsid w:val="0054617D"/>
    <w:rsid w:val="0054634C"/>
    <w:rsid w:val="005463A3"/>
    <w:rsid w:val="005463FE"/>
    <w:rsid w:val="00546D42"/>
    <w:rsid w:val="00547478"/>
    <w:rsid w:val="0054773E"/>
    <w:rsid w:val="005478A7"/>
    <w:rsid w:val="00547D42"/>
    <w:rsid w:val="00547F31"/>
    <w:rsid w:val="005500CF"/>
    <w:rsid w:val="005501AE"/>
    <w:rsid w:val="005503DE"/>
    <w:rsid w:val="00550D5F"/>
    <w:rsid w:val="005519E6"/>
    <w:rsid w:val="005527CE"/>
    <w:rsid w:val="0055391F"/>
    <w:rsid w:val="005550E9"/>
    <w:rsid w:val="00555DFC"/>
    <w:rsid w:val="00556C52"/>
    <w:rsid w:val="00556FA2"/>
    <w:rsid w:val="00557169"/>
    <w:rsid w:val="0055731F"/>
    <w:rsid w:val="0055771E"/>
    <w:rsid w:val="00560775"/>
    <w:rsid w:val="00560BA9"/>
    <w:rsid w:val="005616AD"/>
    <w:rsid w:val="00562055"/>
    <w:rsid w:val="0056254F"/>
    <w:rsid w:val="00562F71"/>
    <w:rsid w:val="00562FF8"/>
    <w:rsid w:val="00563117"/>
    <w:rsid w:val="005640EF"/>
    <w:rsid w:val="00564B35"/>
    <w:rsid w:val="00565A93"/>
    <w:rsid w:val="00565DC5"/>
    <w:rsid w:val="00565F53"/>
    <w:rsid w:val="00566ABC"/>
    <w:rsid w:val="00566D8B"/>
    <w:rsid w:val="00567022"/>
    <w:rsid w:val="00570843"/>
    <w:rsid w:val="005708D7"/>
    <w:rsid w:val="00571C50"/>
    <w:rsid w:val="00573F38"/>
    <w:rsid w:val="0057444E"/>
    <w:rsid w:val="00575919"/>
    <w:rsid w:val="0057599B"/>
    <w:rsid w:val="00575D00"/>
    <w:rsid w:val="00575D1B"/>
    <w:rsid w:val="005771D4"/>
    <w:rsid w:val="0057724A"/>
    <w:rsid w:val="00577BBC"/>
    <w:rsid w:val="00580F6E"/>
    <w:rsid w:val="005811EB"/>
    <w:rsid w:val="005819D7"/>
    <w:rsid w:val="00581E27"/>
    <w:rsid w:val="00581F79"/>
    <w:rsid w:val="00582378"/>
    <w:rsid w:val="005831F7"/>
    <w:rsid w:val="00583B43"/>
    <w:rsid w:val="00584577"/>
    <w:rsid w:val="00584AB2"/>
    <w:rsid w:val="0058520C"/>
    <w:rsid w:val="00585ED9"/>
    <w:rsid w:val="00586195"/>
    <w:rsid w:val="005869C2"/>
    <w:rsid w:val="00586B93"/>
    <w:rsid w:val="00586FD3"/>
    <w:rsid w:val="00590049"/>
    <w:rsid w:val="005901B7"/>
    <w:rsid w:val="0059165D"/>
    <w:rsid w:val="00592778"/>
    <w:rsid w:val="00592904"/>
    <w:rsid w:val="00592DC8"/>
    <w:rsid w:val="00593132"/>
    <w:rsid w:val="00594A70"/>
    <w:rsid w:val="00594C46"/>
    <w:rsid w:val="00594D16"/>
    <w:rsid w:val="00594DB6"/>
    <w:rsid w:val="00594E95"/>
    <w:rsid w:val="00595225"/>
    <w:rsid w:val="00595866"/>
    <w:rsid w:val="00596564"/>
    <w:rsid w:val="00596659"/>
    <w:rsid w:val="005977BA"/>
    <w:rsid w:val="005A0377"/>
    <w:rsid w:val="005A0DBD"/>
    <w:rsid w:val="005A12C9"/>
    <w:rsid w:val="005A16FD"/>
    <w:rsid w:val="005A1E0D"/>
    <w:rsid w:val="005A2AA9"/>
    <w:rsid w:val="005A42AE"/>
    <w:rsid w:val="005A4910"/>
    <w:rsid w:val="005A4BB2"/>
    <w:rsid w:val="005A4C4E"/>
    <w:rsid w:val="005A59DA"/>
    <w:rsid w:val="005A5C57"/>
    <w:rsid w:val="005A5F25"/>
    <w:rsid w:val="005A6D81"/>
    <w:rsid w:val="005A78BF"/>
    <w:rsid w:val="005B0246"/>
    <w:rsid w:val="005B1419"/>
    <w:rsid w:val="005B17C7"/>
    <w:rsid w:val="005B1B0C"/>
    <w:rsid w:val="005B2177"/>
    <w:rsid w:val="005B373B"/>
    <w:rsid w:val="005B51BF"/>
    <w:rsid w:val="005B5439"/>
    <w:rsid w:val="005B5A5B"/>
    <w:rsid w:val="005B6F05"/>
    <w:rsid w:val="005B7D24"/>
    <w:rsid w:val="005B7D9E"/>
    <w:rsid w:val="005C0461"/>
    <w:rsid w:val="005C0557"/>
    <w:rsid w:val="005C06AD"/>
    <w:rsid w:val="005C2399"/>
    <w:rsid w:val="005C2401"/>
    <w:rsid w:val="005C397A"/>
    <w:rsid w:val="005C4277"/>
    <w:rsid w:val="005C4417"/>
    <w:rsid w:val="005C5821"/>
    <w:rsid w:val="005C682A"/>
    <w:rsid w:val="005D02C7"/>
    <w:rsid w:val="005D0850"/>
    <w:rsid w:val="005D0CDB"/>
    <w:rsid w:val="005D0D5E"/>
    <w:rsid w:val="005D164B"/>
    <w:rsid w:val="005D1841"/>
    <w:rsid w:val="005D28CE"/>
    <w:rsid w:val="005D294A"/>
    <w:rsid w:val="005D3AC3"/>
    <w:rsid w:val="005D3D9E"/>
    <w:rsid w:val="005D47AE"/>
    <w:rsid w:val="005D4A33"/>
    <w:rsid w:val="005D536A"/>
    <w:rsid w:val="005D5D4D"/>
    <w:rsid w:val="005D62EB"/>
    <w:rsid w:val="005D6494"/>
    <w:rsid w:val="005D6AB6"/>
    <w:rsid w:val="005D6D25"/>
    <w:rsid w:val="005D6E9B"/>
    <w:rsid w:val="005D7154"/>
    <w:rsid w:val="005D71F7"/>
    <w:rsid w:val="005D748E"/>
    <w:rsid w:val="005D758E"/>
    <w:rsid w:val="005E0D30"/>
    <w:rsid w:val="005E1056"/>
    <w:rsid w:val="005E184A"/>
    <w:rsid w:val="005E1A4D"/>
    <w:rsid w:val="005E1A59"/>
    <w:rsid w:val="005E21FD"/>
    <w:rsid w:val="005E3830"/>
    <w:rsid w:val="005E395A"/>
    <w:rsid w:val="005E3EBD"/>
    <w:rsid w:val="005E44EE"/>
    <w:rsid w:val="005E49BE"/>
    <w:rsid w:val="005E4A21"/>
    <w:rsid w:val="005E4A7A"/>
    <w:rsid w:val="005E686F"/>
    <w:rsid w:val="005E6E2A"/>
    <w:rsid w:val="005E7100"/>
    <w:rsid w:val="005E7FEC"/>
    <w:rsid w:val="005F0389"/>
    <w:rsid w:val="005F0BCB"/>
    <w:rsid w:val="005F120D"/>
    <w:rsid w:val="005F12F4"/>
    <w:rsid w:val="005F1945"/>
    <w:rsid w:val="005F2026"/>
    <w:rsid w:val="005F2836"/>
    <w:rsid w:val="005F3002"/>
    <w:rsid w:val="005F3B78"/>
    <w:rsid w:val="005F3FAE"/>
    <w:rsid w:val="005F551F"/>
    <w:rsid w:val="005F56ED"/>
    <w:rsid w:val="005F630E"/>
    <w:rsid w:val="005F6B3D"/>
    <w:rsid w:val="005F6D85"/>
    <w:rsid w:val="005F6DEE"/>
    <w:rsid w:val="005F7415"/>
    <w:rsid w:val="006011DA"/>
    <w:rsid w:val="006011E4"/>
    <w:rsid w:val="0060155D"/>
    <w:rsid w:val="0060211E"/>
    <w:rsid w:val="006022AA"/>
    <w:rsid w:val="006023B7"/>
    <w:rsid w:val="00602440"/>
    <w:rsid w:val="00602947"/>
    <w:rsid w:val="00602FCE"/>
    <w:rsid w:val="00603DA1"/>
    <w:rsid w:val="00604146"/>
    <w:rsid w:val="0060434B"/>
    <w:rsid w:val="006047D3"/>
    <w:rsid w:val="00604E6B"/>
    <w:rsid w:val="00604FCD"/>
    <w:rsid w:val="00606129"/>
    <w:rsid w:val="006064A1"/>
    <w:rsid w:val="00606E77"/>
    <w:rsid w:val="00607A9D"/>
    <w:rsid w:val="00607E76"/>
    <w:rsid w:val="00607E9A"/>
    <w:rsid w:val="00607FDF"/>
    <w:rsid w:val="0061001C"/>
    <w:rsid w:val="0061029B"/>
    <w:rsid w:val="006110D9"/>
    <w:rsid w:val="0061151B"/>
    <w:rsid w:val="006117E9"/>
    <w:rsid w:val="0061189E"/>
    <w:rsid w:val="00612A08"/>
    <w:rsid w:val="00615A05"/>
    <w:rsid w:val="006161D9"/>
    <w:rsid w:val="00616EF5"/>
    <w:rsid w:val="00616FED"/>
    <w:rsid w:val="00616FF1"/>
    <w:rsid w:val="00617383"/>
    <w:rsid w:val="0061738D"/>
    <w:rsid w:val="006174BD"/>
    <w:rsid w:val="00617C14"/>
    <w:rsid w:val="00617C76"/>
    <w:rsid w:val="00620499"/>
    <w:rsid w:val="00620D73"/>
    <w:rsid w:val="00620E41"/>
    <w:rsid w:val="00621394"/>
    <w:rsid w:val="00621DD3"/>
    <w:rsid w:val="00621FC2"/>
    <w:rsid w:val="00622360"/>
    <w:rsid w:val="0062240E"/>
    <w:rsid w:val="006227DD"/>
    <w:rsid w:val="0062367F"/>
    <w:rsid w:val="00623D3B"/>
    <w:rsid w:val="00624637"/>
    <w:rsid w:val="00624887"/>
    <w:rsid w:val="006264C1"/>
    <w:rsid w:val="00626DBF"/>
    <w:rsid w:val="00626E2F"/>
    <w:rsid w:val="00627C55"/>
    <w:rsid w:val="0063205A"/>
    <w:rsid w:val="006320EE"/>
    <w:rsid w:val="00633FB4"/>
    <w:rsid w:val="00634657"/>
    <w:rsid w:val="006347B1"/>
    <w:rsid w:val="00634D35"/>
    <w:rsid w:val="00635A29"/>
    <w:rsid w:val="00635A61"/>
    <w:rsid w:val="00635DE9"/>
    <w:rsid w:val="00636611"/>
    <w:rsid w:val="006366F5"/>
    <w:rsid w:val="0063708F"/>
    <w:rsid w:val="0063781E"/>
    <w:rsid w:val="00637B8E"/>
    <w:rsid w:val="00640673"/>
    <w:rsid w:val="0064335C"/>
    <w:rsid w:val="00643725"/>
    <w:rsid w:val="006442CB"/>
    <w:rsid w:val="006460F5"/>
    <w:rsid w:val="00647434"/>
    <w:rsid w:val="00647598"/>
    <w:rsid w:val="006500DB"/>
    <w:rsid w:val="006501C5"/>
    <w:rsid w:val="00650285"/>
    <w:rsid w:val="006511AF"/>
    <w:rsid w:val="00651A73"/>
    <w:rsid w:val="00652854"/>
    <w:rsid w:val="0065289F"/>
    <w:rsid w:val="006529F4"/>
    <w:rsid w:val="00654308"/>
    <w:rsid w:val="006544ED"/>
    <w:rsid w:val="0065497A"/>
    <w:rsid w:val="006553B5"/>
    <w:rsid w:val="006555A4"/>
    <w:rsid w:val="00655C25"/>
    <w:rsid w:val="006562F8"/>
    <w:rsid w:val="006565E7"/>
    <w:rsid w:val="00656C5B"/>
    <w:rsid w:val="006572C8"/>
    <w:rsid w:val="00657B3D"/>
    <w:rsid w:val="00657C76"/>
    <w:rsid w:val="00660331"/>
    <w:rsid w:val="006613F9"/>
    <w:rsid w:val="00661517"/>
    <w:rsid w:val="00661D6B"/>
    <w:rsid w:val="00661FF8"/>
    <w:rsid w:val="00662549"/>
    <w:rsid w:val="00662A1D"/>
    <w:rsid w:val="00662AB7"/>
    <w:rsid w:val="00664086"/>
    <w:rsid w:val="0066455C"/>
    <w:rsid w:val="00665182"/>
    <w:rsid w:val="0066554F"/>
    <w:rsid w:val="006659B1"/>
    <w:rsid w:val="00665BD9"/>
    <w:rsid w:val="00666441"/>
    <w:rsid w:val="006700B7"/>
    <w:rsid w:val="00670DFF"/>
    <w:rsid w:val="00671BD3"/>
    <w:rsid w:val="00671FE5"/>
    <w:rsid w:val="006723F1"/>
    <w:rsid w:val="00672679"/>
    <w:rsid w:val="00672B80"/>
    <w:rsid w:val="006733A0"/>
    <w:rsid w:val="00673913"/>
    <w:rsid w:val="00674192"/>
    <w:rsid w:val="00675843"/>
    <w:rsid w:val="00675CC6"/>
    <w:rsid w:val="00676918"/>
    <w:rsid w:val="00676FB4"/>
    <w:rsid w:val="006778AC"/>
    <w:rsid w:val="006807FA"/>
    <w:rsid w:val="00680FA9"/>
    <w:rsid w:val="0068150C"/>
    <w:rsid w:val="00682386"/>
    <w:rsid w:val="0068253D"/>
    <w:rsid w:val="0068289C"/>
    <w:rsid w:val="006839BA"/>
    <w:rsid w:val="00685E4F"/>
    <w:rsid w:val="006860E6"/>
    <w:rsid w:val="00686474"/>
    <w:rsid w:val="00686BA0"/>
    <w:rsid w:val="006911CF"/>
    <w:rsid w:val="00691BF3"/>
    <w:rsid w:val="00693098"/>
    <w:rsid w:val="00693A16"/>
    <w:rsid w:val="00694622"/>
    <w:rsid w:val="00694BF7"/>
    <w:rsid w:val="00695B3C"/>
    <w:rsid w:val="00696F24"/>
    <w:rsid w:val="00697BAA"/>
    <w:rsid w:val="00697E6B"/>
    <w:rsid w:val="006A0E10"/>
    <w:rsid w:val="006A0EDB"/>
    <w:rsid w:val="006A10A0"/>
    <w:rsid w:val="006A1FF2"/>
    <w:rsid w:val="006A20BF"/>
    <w:rsid w:val="006A2501"/>
    <w:rsid w:val="006A33AF"/>
    <w:rsid w:val="006A4E63"/>
    <w:rsid w:val="006A5842"/>
    <w:rsid w:val="006A5F96"/>
    <w:rsid w:val="006A67D3"/>
    <w:rsid w:val="006A683E"/>
    <w:rsid w:val="006A6A3B"/>
    <w:rsid w:val="006A6B76"/>
    <w:rsid w:val="006A6DFD"/>
    <w:rsid w:val="006A7432"/>
    <w:rsid w:val="006A7C55"/>
    <w:rsid w:val="006ACE75"/>
    <w:rsid w:val="006B0CCF"/>
    <w:rsid w:val="006B10F2"/>
    <w:rsid w:val="006B1596"/>
    <w:rsid w:val="006B16E1"/>
    <w:rsid w:val="006B1AE6"/>
    <w:rsid w:val="006B1BFD"/>
    <w:rsid w:val="006B1DBE"/>
    <w:rsid w:val="006B1ECC"/>
    <w:rsid w:val="006B22DB"/>
    <w:rsid w:val="006B2B0A"/>
    <w:rsid w:val="006B2F6C"/>
    <w:rsid w:val="006B3EFE"/>
    <w:rsid w:val="006B479D"/>
    <w:rsid w:val="006B5B88"/>
    <w:rsid w:val="006B69E1"/>
    <w:rsid w:val="006B7B22"/>
    <w:rsid w:val="006B7B43"/>
    <w:rsid w:val="006C1255"/>
    <w:rsid w:val="006C1287"/>
    <w:rsid w:val="006C1384"/>
    <w:rsid w:val="006C1D8A"/>
    <w:rsid w:val="006C1FCD"/>
    <w:rsid w:val="006C2C09"/>
    <w:rsid w:val="006C2D05"/>
    <w:rsid w:val="006C316E"/>
    <w:rsid w:val="006C3457"/>
    <w:rsid w:val="006C35E5"/>
    <w:rsid w:val="006C398D"/>
    <w:rsid w:val="006C3D97"/>
    <w:rsid w:val="006C42EC"/>
    <w:rsid w:val="006C4370"/>
    <w:rsid w:val="006C458B"/>
    <w:rsid w:val="006C4BD0"/>
    <w:rsid w:val="006C60A5"/>
    <w:rsid w:val="006C64A6"/>
    <w:rsid w:val="006C71E8"/>
    <w:rsid w:val="006C7341"/>
    <w:rsid w:val="006C7587"/>
    <w:rsid w:val="006C7F4A"/>
    <w:rsid w:val="006D0E22"/>
    <w:rsid w:val="006D0F64"/>
    <w:rsid w:val="006D1869"/>
    <w:rsid w:val="006D1A38"/>
    <w:rsid w:val="006D1F40"/>
    <w:rsid w:val="006D2279"/>
    <w:rsid w:val="006D2289"/>
    <w:rsid w:val="006D23DA"/>
    <w:rsid w:val="006D2F2E"/>
    <w:rsid w:val="006D31E7"/>
    <w:rsid w:val="006D43B2"/>
    <w:rsid w:val="006D4FE2"/>
    <w:rsid w:val="006D568E"/>
    <w:rsid w:val="006D5FFC"/>
    <w:rsid w:val="006D7C38"/>
    <w:rsid w:val="006E169A"/>
    <w:rsid w:val="006E1C15"/>
    <w:rsid w:val="006E204B"/>
    <w:rsid w:val="006E2AF4"/>
    <w:rsid w:val="006E2BCD"/>
    <w:rsid w:val="006E2D46"/>
    <w:rsid w:val="006E2F59"/>
    <w:rsid w:val="006E3144"/>
    <w:rsid w:val="006E32E4"/>
    <w:rsid w:val="006E337B"/>
    <w:rsid w:val="006E3C0D"/>
    <w:rsid w:val="006E3C61"/>
    <w:rsid w:val="006E3C71"/>
    <w:rsid w:val="006E3C9A"/>
    <w:rsid w:val="006E4B23"/>
    <w:rsid w:val="006E54CC"/>
    <w:rsid w:val="006E5785"/>
    <w:rsid w:val="006E58B5"/>
    <w:rsid w:val="006E58D1"/>
    <w:rsid w:val="006E5B44"/>
    <w:rsid w:val="006E61F2"/>
    <w:rsid w:val="006E6A42"/>
    <w:rsid w:val="006E6D57"/>
    <w:rsid w:val="006E7464"/>
    <w:rsid w:val="006E77A1"/>
    <w:rsid w:val="006E7986"/>
    <w:rsid w:val="006E7AFE"/>
    <w:rsid w:val="006F0F87"/>
    <w:rsid w:val="006F198F"/>
    <w:rsid w:val="006F2549"/>
    <w:rsid w:val="006F3AE7"/>
    <w:rsid w:val="006F3B79"/>
    <w:rsid w:val="006F3FC5"/>
    <w:rsid w:val="006F42B4"/>
    <w:rsid w:val="006F4A1C"/>
    <w:rsid w:val="006F5CB1"/>
    <w:rsid w:val="006F5F53"/>
    <w:rsid w:val="006F67EF"/>
    <w:rsid w:val="006F68C7"/>
    <w:rsid w:val="006F7289"/>
    <w:rsid w:val="006F762C"/>
    <w:rsid w:val="006F7AA9"/>
    <w:rsid w:val="007001B4"/>
    <w:rsid w:val="00700820"/>
    <w:rsid w:val="007012DD"/>
    <w:rsid w:val="00701D95"/>
    <w:rsid w:val="00702101"/>
    <w:rsid w:val="0070258A"/>
    <w:rsid w:val="0070286D"/>
    <w:rsid w:val="0070451F"/>
    <w:rsid w:val="007047D6"/>
    <w:rsid w:val="00704DDB"/>
    <w:rsid w:val="00706ACD"/>
    <w:rsid w:val="00706CD7"/>
    <w:rsid w:val="00706F81"/>
    <w:rsid w:val="007108D0"/>
    <w:rsid w:val="007114B9"/>
    <w:rsid w:val="00711731"/>
    <w:rsid w:val="00711756"/>
    <w:rsid w:val="007121B2"/>
    <w:rsid w:val="007125A1"/>
    <w:rsid w:val="00712606"/>
    <w:rsid w:val="00712937"/>
    <w:rsid w:val="00712A56"/>
    <w:rsid w:val="00712BA9"/>
    <w:rsid w:val="00712EBD"/>
    <w:rsid w:val="0071370C"/>
    <w:rsid w:val="00713BC4"/>
    <w:rsid w:val="007141C2"/>
    <w:rsid w:val="0071488C"/>
    <w:rsid w:val="007151A7"/>
    <w:rsid w:val="00715FCA"/>
    <w:rsid w:val="007161E6"/>
    <w:rsid w:val="0071634B"/>
    <w:rsid w:val="0071688A"/>
    <w:rsid w:val="00716D74"/>
    <w:rsid w:val="00716D9E"/>
    <w:rsid w:val="00716FA0"/>
    <w:rsid w:val="0072120A"/>
    <w:rsid w:val="007217B1"/>
    <w:rsid w:val="00721957"/>
    <w:rsid w:val="007222D2"/>
    <w:rsid w:val="007227D7"/>
    <w:rsid w:val="00722D77"/>
    <w:rsid w:val="0072306F"/>
    <w:rsid w:val="00723E9F"/>
    <w:rsid w:val="007240F1"/>
    <w:rsid w:val="007254C3"/>
    <w:rsid w:val="00725D35"/>
    <w:rsid w:val="007264B1"/>
    <w:rsid w:val="00727C1C"/>
    <w:rsid w:val="007309E6"/>
    <w:rsid w:val="007314BA"/>
    <w:rsid w:val="00731999"/>
    <w:rsid w:val="00731BBD"/>
    <w:rsid w:val="007320A2"/>
    <w:rsid w:val="00732337"/>
    <w:rsid w:val="0073237B"/>
    <w:rsid w:val="007329C3"/>
    <w:rsid w:val="00732F24"/>
    <w:rsid w:val="00733CE3"/>
    <w:rsid w:val="00733D8C"/>
    <w:rsid w:val="00734440"/>
    <w:rsid w:val="00734650"/>
    <w:rsid w:val="0073480A"/>
    <w:rsid w:val="00734D22"/>
    <w:rsid w:val="0073524A"/>
    <w:rsid w:val="00735CCD"/>
    <w:rsid w:val="00736873"/>
    <w:rsid w:val="007373CB"/>
    <w:rsid w:val="007375BB"/>
    <w:rsid w:val="00737911"/>
    <w:rsid w:val="0074041F"/>
    <w:rsid w:val="007406E7"/>
    <w:rsid w:val="007410FF"/>
    <w:rsid w:val="0074128F"/>
    <w:rsid w:val="00741383"/>
    <w:rsid w:val="0074169F"/>
    <w:rsid w:val="0074172C"/>
    <w:rsid w:val="0074182C"/>
    <w:rsid w:val="00741938"/>
    <w:rsid w:val="00741B8B"/>
    <w:rsid w:val="007421BB"/>
    <w:rsid w:val="00742C51"/>
    <w:rsid w:val="00743A05"/>
    <w:rsid w:val="00743C99"/>
    <w:rsid w:val="00744686"/>
    <w:rsid w:val="00744DAE"/>
    <w:rsid w:val="0074579B"/>
    <w:rsid w:val="00745810"/>
    <w:rsid w:val="00745BB6"/>
    <w:rsid w:val="00745F53"/>
    <w:rsid w:val="00746238"/>
    <w:rsid w:val="0074625F"/>
    <w:rsid w:val="00747DA9"/>
    <w:rsid w:val="00747E6A"/>
    <w:rsid w:val="00751569"/>
    <w:rsid w:val="00751DBB"/>
    <w:rsid w:val="007520D1"/>
    <w:rsid w:val="00752F4C"/>
    <w:rsid w:val="0075340F"/>
    <w:rsid w:val="00753663"/>
    <w:rsid w:val="00753668"/>
    <w:rsid w:val="00753916"/>
    <w:rsid w:val="00754BB4"/>
    <w:rsid w:val="00754BBD"/>
    <w:rsid w:val="00755324"/>
    <w:rsid w:val="00756168"/>
    <w:rsid w:val="00756FD3"/>
    <w:rsid w:val="007573A2"/>
    <w:rsid w:val="0075774E"/>
    <w:rsid w:val="00757E9A"/>
    <w:rsid w:val="00760731"/>
    <w:rsid w:val="00761019"/>
    <w:rsid w:val="007610DA"/>
    <w:rsid w:val="0076177D"/>
    <w:rsid w:val="007618B4"/>
    <w:rsid w:val="00762A58"/>
    <w:rsid w:val="00762B34"/>
    <w:rsid w:val="00762BC3"/>
    <w:rsid w:val="00763EA7"/>
    <w:rsid w:val="00765E50"/>
    <w:rsid w:val="0076613D"/>
    <w:rsid w:val="00766726"/>
    <w:rsid w:val="00766F3B"/>
    <w:rsid w:val="007679E7"/>
    <w:rsid w:val="00767D1B"/>
    <w:rsid w:val="00770075"/>
    <w:rsid w:val="00770396"/>
    <w:rsid w:val="007707F9"/>
    <w:rsid w:val="00770925"/>
    <w:rsid w:val="00770E33"/>
    <w:rsid w:val="00772093"/>
    <w:rsid w:val="00774F4B"/>
    <w:rsid w:val="00775005"/>
    <w:rsid w:val="007759E8"/>
    <w:rsid w:val="00775C23"/>
    <w:rsid w:val="0077666E"/>
    <w:rsid w:val="0077690E"/>
    <w:rsid w:val="007771C2"/>
    <w:rsid w:val="007775EB"/>
    <w:rsid w:val="007805C5"/>
    <w:rsid w:val="00780634"/>
    <w:rsid w:val="00780678"/>
    <w:rsid w:val="007809CD"/>
    <w:rsid w:val="00780E34"/>
    <w:rsid w:val="00781576"/>
    <w:rsid w:val="00781B6E"/>
    <w:rsid w:val="00781BE2"/>
    <w:rsid w:val="00781D55"/>
    <w:rsid w:val="00781DAA"/>
    <w:rsid w:val="00782170"/>
    <w:rsid w:val="007830C4"/>
    <w:rsid w:val="007833AA"/>
    <w:rsid w:val="007836C1"/>
    <w:rsid w:val="0078374B"/>
    <w:rsid w:val="007838C7"/>
    <w:rsid w:val="00783969"/>
    <w:rsid w:val="00783CB9"/>
    <w:rsid w:val="00784B9E"/>
    <w:rsid w:val="00784DCC"/>
    <w:rsid w:val="00785FD7"/>
    <w:rsid w:val="0078635A"/>
    <w:rsid w:val="00786F8E"/>
    <w:rsid w:val="0078758F"/>
    <w:rsid w:val="00787C33"/>
    <w:rsid w:val="007908F1"/>
    <w:rsid w:val="0079111A"/>
    <w:rsid w:val="0079119D"/>
    <w:rsid w:val="00791399"/>
    <w:rsid w:val="00791433"/>
    <w:rsid w:val="007922D7"/>
    <w:rsid w:val="007922DC"/>
    <w:rsid w:val="007926D3"/>
    <w:rsid w:val="00792721"/>
    <w:rsid w:val="00792A2B"/>
    <w:rsid w:val="007936C1"/>
    <w:rsid w:val="007936E9"/>
    <w:rsid w:val="00793DB5"/>
    <w:rsid w:val="00795431"/>
    <w:rsid w:val="007954DE"/>
    <w:rsid w:val="00795A29"/>
    <w:rsid w:val="00795FDD"/>
    <w:rsid w:val="0079630E"/>
    <w:rsid w:val="00796DF1"/>
    <w:rsid w:val="007973CC"/>
    <w:rsid w:val="00797660"/>
    <w:rsid w:val="00797FDE"/>
    <w:rsid w:val="007A01E5"/>
    <w:rsid w:val="007A036E"/>
    <w:rsid w:val="007A079B"/>
    <w:rsid w:val="007A0D4E"/>
    <w:rsid w:val="007A0DF6"/>
    <w:rsid w:val="007A13CB"/>
    <w:rsid w:val="007A147A"/>
    <w:rsid w:val="007A172B"/>
    <w:rsid w:val="007A19C0"/>
    <w:rsid w:val="007A1CEB"/>
    <w:rsid w:val="007A24AB"/>
    <w:rsid w:val="007A24B0"/>
    <w:rsid w:val="007A2D5E"/>
    <w:rsid w:val="007A2D9C"/>
    <w:rsid w:val="007A30D5"/>
    <w:rsid w:val="007A3908"/>
    <w:rsid w:val="007A474E"/>
    <w:rsid w:val="007A4C2A"/>
    <w:rsid w:val="007A54F9"/>
    <w:rsid w:val="007A55AB"/>
    <w:rsid w:val="007A5626"/>
    <w:rsid w:val="007A56C1"/>
    <w:rsid w:val="007A57E1"/>
    <w:rsid w:val="007A5C89"/>
    <w:rsid w:val="007A6B74"/>
    <w:rsid w:val="007A6FDB"/>
    <w:rsid w:val="007B012C"/>
    <w:rsid w:val="007B0303"/>
    <w:rsid w:val="007B139E"/>
    <w:rsid w:val="007B2659"/>
    <w:rsid w:val="007B2E12"/>
    <w:rsid w:val="007B3CD4"/>
    <w:rsid w:val="007B607A"/>
    <w:rsid w:val="007B60FF"/>
    <w:rsid w:val="007B6824"/>
    <w:rsid w:val="007B7B32"/>
    <w:rsid w:val="007C0BE3"/>
    <w:rsid w:val="007C12E2"/>
    <w:rsid w:val="007C17F1"/>
    <w:rsid w:val="007C253E"/>
    <w:rsid w:val="007C25F2"/>
    <w:rsid w:val="007C26C5"/>
    <w:rsid w:val="007C2731"/>
    <w:rsid w:val="007C29BE"/>
    <w:rsid w:val="007C29E1"/>
    <w:rsid w:val="007C2D54"/>
    <w:rsid w:val="007C3791"/>
    <w:rsid w:val="007C3D73"/>
    <w:rsid w:val="007C45FF"/>
    <w:rsid w:val="007C463F"/>
    <w:rsid w:val="007C46AC"/>
    <w:rsid w:val="007C46D4"/>
    <w:rsid w:val="007C4A75"/>
    <w:rsid w:val="007C4F70"/>
    <w:rsid w:val="007C54FB"/>
    <w:rsid w:val="007C58B1"/>
    <w:rsid w:val="007C67CB"/>
    <w:rsid w:val="007C6925"/>
    <w:rsid w:val="007C6F66"/>
    <w:rsid w:val="007C7DD0"/>
    <w:rsid w:val="007D03A8"/>
    <w:rsid w:val="007D0498"/>
    <w:rsid w:val="007D0845"/>
    <w:rsid w:val="007D108E"/>
    <w:rsid w:val="007D26AA"/>
    <w:rsid w:val="007D338F"/>
    <w:rsid w:val="007D348B"/>
    <w:rsid w:val="007D5A4C"/>
    <w:rsid w:val="007D5C49"/>
    <w:rsid w:val="007D654B"/>
    <w:rsid w:val="007D6609"/>
    <w:rsid w:val="007D7255"/>
    <w:rsid w:val="007D755A"/>
    <w:rsid w:val="007D77A9"/>
    <w:rsid w:val="007D7AA6"/>
    <w:rsid w:val="007E1680"/>
    <w:rsid w:val="007E17F2"/>
    <w:rsid w:val="007E1B5A"/>
    <w:rsid w:val="007E1E4F"/>
    <w:rsid w:val="007E2960"/>
    <w:rsid w:val="007E297E"/>
    <w:rsid w:val="007E2C24"/>
    <w:rsid w:val="007E2D66"/>
    <w:rsid w:val="007E3599"/>
    <w:rsid w:val="007E5244"/>
    <w:rsid w:val="007E58DA"/>
    <w:rsid w:val="007E5AFC"/>
    <w:rsid w:val="007E5D56"/>
    <w:rsid w:val="007E5F35"/>
    <w:rsid w:val="007E6E4C"/>
    <w:rsid w:val="007E755D"/>
    <w:rsid w:val="007E766D"/>
    <w:rsid w:val="007F0FB7"/>
    <w:rsid w:val="007F17B2"/>
    <w:rsid w:val="007F1B3D"/>
    <w:rsid w:val="007F2241"/>
    <w:rsid w:val="007F23A4"/>
    <w:rsid w:val="007F297B"/>
    <w:rsid w:val="007F3128"/>
    <w:rsid w:val="007F371F"/>
    <w:rsid w:val="007F5623"/>
    <w:rsid w:val="007F6719"/>
    <w:rsid w:val="007F6A7B"/>
    <w:rsid w:val="007F7352"/>
    <w:rsid w:val="007F759B"/>
    <w:rsid w:val="007F78C2"/>
    <w:rsid w:val="007F7928"/>
    <w:rsid w:val="007F7C93"/>
    <w:rsid w:val="008004A5"/>
    <w:rsid w:val="00800BD1"/>
    <w:rsid w:val="00800E60"/>
    <w:rsid w:val="008019A5"/>
    <w:rsid w:val="00801DA8"/>
    <w:rsid w:val="00801FF6"/>
    <w:rsid w:val="008021C3"/>
    <w:rsid w:val="0080256B"/>
    <w:rsid w:val="008046BB"/>
    <w:rsid w:val="008051BF"/>
    <w:rsid w:val="00805CAF"/>
    <w:rsid w:val="00806957"/>
    <w:rsid w:val="00806D0D"/>
    <w:rsid w:val="00806D1B"/>
    <w:rsid w:val="008077DA"/>
    <w:rsid w:val="008106DC"/>
    <w:rsid w:val="00810E94"/>
    <w:rsid w:val="00811131"/>
    <w:rsid w:val="00812115"/>
    <w:rsid w:val="0081275D"/>
    <w:rsid w:val="00813407"/>
    <w:rsid w:val="00814E1E"/>
    <w:rsid w:val="00814E44"/>
    <w:rsid w:val="00815DAE"/>
    <w:rsid w:val="008168EA"/>
    <w:rsid w:val="00816CC4"/>
    <w:rsid w:val="00817273"/>
    <w:rsid w:val="0082068F"/>
    <w:rsid w:val="0082114F"/>
    <w:rsid w:val="00822B64"/>
    <w:rsid w:val="00822DE2"/>
    <w:rsid w:val="0082415E"/>
    <w:rsid w:val="0082473F"/>
    <w:rsid w:val="008259E5"/>
    <w:rsid w:val="008278A6"/>
    <w:rsid w:val="008278B5"/>
    <w:rsid w:val="00827968"/>
    <w:rsid w:val="00830B07"/>
    <w:rsid w:val="00830D4B"/>
    <w:rsid w:val="00830E25"/>
    <w:rsid w:val="0083106E"/>
    <w:rsid w:val="0083127E"/>
    <w:rsid w:val="008319E8"/>
    <w:rsid w:val="00831A36"/>
    <w:rsid w:val="00831A96"/>
    <w:rsid w:val="008330D1"/>
    <w:rsid w:val="0083339A"/>
    <w:rsid w:val="00834A9B"/>
    <w:rsid w:val="008350B8"/>
    <w:rsid w:val="008358AA"/>
    <w:rsid w:val="00835CD5"/>
    <w:rsid w:val="00835DB1"/>
    <w:rsid w:val="008415ED"/>
    <w:rsid w:val="008416B9"/>
    <w:rsid w:val="008418DD"/>
    <w:rsid w:val="0084377B"/>
    <w:rsid w:val="008437CE"/>
    <w:rsid w:val="00843CDB"/>
    <w:rsid w:val="008445EA"/>
    <w:rsid w:val="008473AA"/>
    <w:rsid w:val="00847471"/>
    <w:rsid w:val="008478F2"/>
    <w:rsid w:val="008507EE"/>
    <w:rsid w:val="008508E7"/>
    <w:rsid w:val="00850B90"/>
    <w:rsid w:val="008512B8"/>
    <w:rsid w:val="008512DD"/>
    <w:rsid w:val="00851B44"/>
    <w:rsid w:val="00851FD1"/>
    <w:rsid w:val="0085213F"/>
    <w:rsid w:val="0085285F"/>
    <w:rsid w:val="00852FC3"/>
    <w:rsid w:val="00853302"/>
    <w:rsid w:val="00853A80"/>
    <w:rsid w:val="00853D37"/>
    <w:rsid w:val="008545A2"/>
    <w:rsid w:val="00854673"/>
    <w:rsid w:val="008548DF"/>
    <w:rsid w:val="00855D8D"/>
    <w:rsid w:val="00856265"/>
    <w:rsid w:val="00856E8A"/>
    <w:rsid w:val="00857D87"/>
    <w:rsid w:val="00857E29"/>
    <w:rsid w:val="008604F2"/>
    <w:rsid w:val="00860AC7"/>
    <w:rsid w:val="00861477"/>
    <w:rsid w:val="008617A5"/>
    <w:rsid w:val="0086198D"/>
    <w:rsid w:val="00861CCD"/>
    <w:rsid w:val="00862359"/>
    <w:rsid w:val="00862E62"/>
    <w:rsid w:val="00863670"/>
    <w:rsid w:val="008638E8"/>
    <w:rsid w:val="00863C88"/>
    <w:rsid w:val="00863F73"/>
    <w:rsid w:val="00864119"/>
    <w:rsid w:val="0086473A"/>
    <w:rsid w:val="00864F4E"/>
    <w:rsid w:val="00865376"/>
    <w:rsid w:val="00867AFD"/>
    <w:rsid w:val="00867B7E"/>
    <w:rsid w:val="00870E8E"/>
    <w:rsid w:val="00871169"/>
    <w:rsid w:val="0087119C"/>
    <w:rsid w:val="008723B3"/>
    <w:rsid w:val="008729D6"/>
    <w:rsid w:val="00873642"/>
    <w:rsid w:val="00873D72"/>
    <w:rsid w:val="008742DC"/>
    <w:rsid w:val="00874C22"/>
    <w:rsid w:val="008755AA"/>
    <w:rsid w:val="00875855"/>
    <w:rsid w:val="00875E51"/>
    <w:rsid w:val="00876159"/>
    <w:rsid w:val="008766B6"/>
    <w:rsid w:val="00876A68"/>
    <w:rsid w:val="00876C92"/>
    <w:rsid w:val="008773AC"/>
    <w:rsid w:val="00877EE9"/>
    <w:rsid w:val="00880391"/>
    <w:rsid w:val="00881411"/>
    <w:rsid w:val="00881A95"/>
    <w:rsid w:val="00882376"/>
    <w:rsid w:val="0088387E"/>
    <w:rsid w:val="0088390F"/>
    <w:rsid w:val="00883A4F"/>
    <w:rsid w:val="00883CCB"/>
    <w:rsid w:val="00884490"/>
    <w:rsid w:val="008846E5"/>
    <w:rsid w:val="0088481D"/>
    <w:rsid w:val="00884DB0"/>
    <w:rsid w:val="00885306"/>
    <w:rsid w:val="00885509"/>
    <w:rsid w:val="008873DF"/>
    <w:rsid w:val="00887915"/>
    <w:rsid w:val="00890031"/>
    <w:rsid w:val="008905A3"/>
    <w:rsid w:val="00890971"/>
    <w:rsid w:val="00890EA9"/>
    <w:rsid w:val="00892A33"/>
    <w:rsid w:val="008939DC"/>
    <w:rsid w:val="0089481E"/>
    <w:rsid w:val="00894999"/>
    <w:rsid w:val="00894B87"/>
    <w:rsid w:val="008950C9"/>
    <w:rsid w:val="00895245"/>
    <w:rsid w:val="0089541D"/>
    <w:rsid w:val="0089596E"/>
    <w:rsid w:val="00895A58"/>
    <w:rsid w:val="00896269"/>
    <w:rsid w:val="00896491"/>
    <w:rsid w:val="008968B0"/>
    <w:rsid w:val="008973A0"/>
    <w:rsid w:val="00897C16"/>
    <w:rsid w:val="008A0297"/>
    <w:rsid w:val="008A083E"/>
    <w:rsid w:val="008A137B"/>
    <w:rsid w:val="008A16A0"/>
    <w:rsid w:val="008A3183"/>
    <w:rsid w:val="008A3680"/>
    <w:rsid w:val="008A3A73"/>
    <w:rsid w:val="008A468C"/>
    <w:rsid w:val="008A50A4"/>
    <w:rsid w:val="008A57B8"/>
    <w:rsid w:val="008A5CDA"/>
    <w:rsid w:val="008A5FD0"/>
    <w:rsid w:val="008A69B2"/>
    <w:rsid w:val="008A6ADC"/>
    <w:rsid w:val="008A7252"/>
    <w:rsid w:val="008A7C9F"/>
    <w:rsid w:val="008B1F12"/>
    <w:rsid w:val="008B214F"/>
    <w:rsid w:val="008B218B"/>
    <w:rsid w:val="008B24B7"/>
    <w:rsid w:val="008B28C7"/>
    <w:rsid w:val="008B3E15"/>
    <w:rsid w:val="008B4896"/>
    <w:rsid w:val="008B4D7F"/>
    <w:rsid w:val="008B50AA"/>
    <w:rsid w:val="008B5A68"/>
    <w:rsid w:val="008B6536"/>
    <w:rsid w:val="008B69F5"/>
    <w:rsid w:val="008B6F74"/>
    <w:rsid w:val="008B71B7"/>
    <w:rsid w:val="008B71F8"/>
    <w:rsid w:val="008B7346"/>
    <w:rsid w:val="008B7AB4"/>
    <w:rsid w:val="008B7CC9"/>
    <w:rsid w:val="008C1532"/>
    <w:rsid w:val="008C1D1E"/>
    <w:rsid w:val="008C1EA6"/>
    <w:rsid w:val="008C256B"/>
    <w:rsid w:val="008C25B9"/>
    <w:rsid w:val="008C25F0"/>
    <w:rsid w:val="008C268D"/>
    <w:rsid w:val="008C2E37"/>
    <w:rsid w:val="008C3264"/>
    <w:rsid w:val="008C3613"/>
    <w:rsid w:val="008C3BD8"/>
    <w:rsid w:val="008C4B53"/>
    <w:rsid w:val="008C687E"/>
    <w:rsid w:val="008C730A"/>
    <w:rsid w:val="008C7978"/>
    <w:rsid w:val="008C7F3E"/>
    <w:rsid w:val="008D025C"/>
    <w:rsid w:val="008D0270"/>
    <w:rsid w:val="008D02FE"/>
    <w:rsid w:val="008D0AF1"/>
    <w:rsid w:val="008D17FE"/>
    <w:rsid w:val="008D1AF1"/>
    <w:rsid w:val="008D298E"/>
    <w:rsid w:val="008D29CD"/>
    <w:rsid w:val="008D2EA3"/>
    <w:rsid w:val="008D3FBA"/>
    <w:rsid w:val="008D3FE2"/>
    <w:rsid w:val="008D46D3"/>
    <w:rsid w:val="008D4933"/>
    <w:rsid w:val="008D5465"/>
    <w:rsid w:val="008D59A2"/>
    <w:rsid w:val="008D6214"/>
    <w:rsid w:val="008D6487"/>
    <w:rsid w:val="008D6B45"/>
    <w:rsid w:val="008D6F84"/>
    <w:rsid w:val="008D7985"/>
    <w:rsid w:val="008E00C0"/>
    <w:rsid w:val="008E0549"/>
    <w:rsid w:val="008E0AF3"/>
    <w:rsid w:val="008E2044"/>
    <w:rsid w:val="008E2419"/>
    <w:rsid w:val="008E2D3B"/>
    <w:rsid w:val="008E4125"/>
    <w:rsid w:val="008E4302"/>
    <w:rsid w:val="008E449F"/>
    <w:rsid w:val="008E44A9"/>
    <w:rsid w:val="008E5773"/>
    <w:rsid w:val="008E5F56"/>
    <w:rsid w:val="008E6A50"/>
    <w:rsid w:val="008E6B70"/>
    <w:rsid w:val="008E6EAA"/>
    <w:rsid w:val="008E72A3"/>
    <w:rsid w:val="008E7308"/>
    <w:rsid w:val="008E75CB"/>
    <w:rsid w:val="008E77C2"/>
    <w:rsid w:val="008E7C7E"/>
    <w:rsid w:val="008E7CAF"/>
    <w:rsid w:val="008E7E69"/>
    <w:rsid w:val="008F011A"/>
    <w:rsid w:val="008F02AD"/>
    <w:rsid w:val="008F06A1"/>
    <w:rsid w:val="008F1846"/>
    <w:rsid w:val="008F200F"/>
    <w:rsid w:val="008F332A"/>
    <w:rsid w:val="008F3D71"/>
    <w:rsid w:val="008F4728"/>
    <w:rsid w:val="008F4948"/>
    <w:rsid w:val="008F4C84"/>
    <w:rsid w:val="008F4CC1"/>
    <w:rsid w:val="008F4DE7"/>
    <w:rsid w:val="008F532B"/>
    <w:rsid w:val="008F5D46"/>
    <w:rsid w:val="008F64E4"/>
    <w:rsid w:val="008F68A0"/>
    <w:rsid w:val="008F7BC3"/>
    <w:rsid w:val="009000E7"/>
    <w:rsid w:val="00900B72"/>
    <w:rsid w:val="00901446"/>
    <w:rsid w:val="009014F3"/>
    <w:rsid w:val="00901F5D"/>
    <w:rsid w:val="00902053"/>
    <w:rsid w:val="00902062"/>
    <w:rsid w:val="00902C9E"/>
    <w:rsid w:val="00902D00"/>
    <w:rsid w:val="00902D32"/>
    <w:rsid w:val="00902E27"/>
    <w:rsid w:val="00903D00"/>
    <w:rsid w:val="00903F80"/>
    <w:rsid w:val="0090582A"/>
    <w:rsid w:val="00905BB0"/>
    <w:rsid w:val="00905BBA"/>
    <w:rsid w:val="00905EBC"/>
    <w:rsid w:val="0090661F"/>
    <w:rsid w:val="009072E9"/>
    <w:rsid w:val="0090779F"/>
    <w:rsid w:val="0090790A"/>
    <w:rsid w:val="00910298"/>
    <w:rsid w:val="00910A3A"/>
    <w:rsid w:val="00910BBA"/>
    <w:rsid w:val="00910C1A"/>
    <w:rsid w:val="0091178B"/>
    <w:rsid w:val="0091184A"/>
    <w:rsid w:val="00911F36"/>
    <w:rsid w:val="00913DDF"/>
    <w:rsid w:val="0091491A"/>
    <w:rsid w:val="00914B2B"/>
    <w:rsid w:val="00914E5E"/>
    <w:rsid w:val="00915F98"/>
    <w:rsid w:val="00916225"/>
    <w:rsid w:val="00916549"/>
    <w:rsid w:val="0091685C"/>
    <w:rsid w:val="00916CC7"/>
    <w:rsid w:val="00917753"/>
    <w:rsid w:val="00917B10"/>
    <w:rsid w:val="0092020F"/>
    <w:rsid w:val="00920260"/>
    <w:rsid w:val="00920FAA"/>
    <w:rsid w:val="009213C9"/>
    <w:rsid w:val="00921737"/>
    <w:rsid w:val="009226BA"/>
    <w:rsid w:val="00922B92"/>
    <w:rsid w:val="009235B0"/>
    <w:rsid w:val="009240E3"/>
    <w:rsid w:val="00924BF4"/>
    <w:rsid w:val="00924D11"/>
    <w:rsid w:val="00924EC1"/>
    <w:rsid w:val="00925BD9"/>
    <w:rsid w:val="009261B3"/>
    <w:rsid w:val="0092633A"/>
    <w:rsid w:val="009263DC"/>
    <w:rsid w:val="009264E5"/>
    <w:rsid w:val="00926E8C"/>
    <w:rsid w:val="00927C69"/>
    <w:rsid w:val="00930435"/>
    <w:rsid w:val="00930578"/>
    <w:rsid w:val="00930D70"/>
    <w:rsid w:val="009313ED"/>
    <w:rsid w:val="0093173F"/>
    <w:rsid w:val="009319D3"/>
    <w:rsid w:val="00931D25"/>
    <w:rsid w:val="00931E75"/>
    <w:rsid w:val="00932DE3"/>
    <w:rsid w:val="009338B3"/>
    <w:rsid w:val="00934138"/>
    <w:rsid w:val="00934799"/>
    <w:rsid w:val="00935384"/>
    <w:rsid w:val="00937207"/>
    <w:rsid w:val="0093736F"/>
    <w:rsid w:val="00937488"/>
    <w:rsid w:val="0093793F"/>
    <w:rsid w:val="00940C4F"/>
    <w:rsid w:val="00940DA6"/>
    <w:rsid w:val="00941D1D"/>
    <w:rsid w:val="0094213E"/>
    <w:rsid w:val="00942E92"/>
    <w:rsid w:val="009433D5"/>
    <w:rsid w:val="00943749"/>
    <w:rsid w:val="00943962"/>
    <w:rsid w:val="00945645"/>
    <w:rsid w:val="009458AA"/>
    <w:rsid w:val="00946303"/>
    <w:rsid w:val="00950252"/>
    <w:rsid w:val="009507B0"/>
    <w:rsid w:val="00950C30"/>
    <w:rsid w:val="00951BA0"/>
    <w:rsid w:val="00951D48"/>
    <w:rsid w:val="00952888"/>
    <w:rsid w:val="00952DB4"/>
    <w:rsid w:val="00953A71"/>
    <w:rsid w:val="009541E0"/>
    <w:rsid w:val="00954559"/>
    <w:rsid w:val="00954940"/>
    <w:rsid w:val="0095497F"/>
    <w:rsid w:val="00954BBB"/>
    <w:rsid w:val="00954C7F"/>
    <w:rsid w:val="0095505A"/>
    <w:rsid w:val="00955D62"/>
    <w:rsid w:val="00955F79"/>
    <w:rsid w:val="00956113"/>
    <w:rsid w:val="00956144"/>
    <w:rsid w:val="00956A91"/>
    <w:rsid w:val="00956BFE"/>
    <w:rsid w:val="0095791F"/>
    <w:rsid w:val="009602B4"/>
    <w:rsid w:val="00960E94"/>
    <w:rsid w:val="0096119F"/>
    <w:rsid w:val="00961834"/>
    <w:rsid w:val="0096193C"/>
    <w:rsid w:val="009631E1"/>
    <w:rsid w:val="00963246"/>
    <w:rsid w:val="0096368D"/>
    <w:rsid w:val="00963908"/>
    <w:rsid w:val="00965E94"/>
    <w:rsid w:val="00965E9F"/>
    <w:rsid w:val="00966328"/>
    <w:rsid w:val="00966E85"/>
    <w:rsid w:val="00967656"/>
    <w:rsid w:val="009713C2"/>
    <w:rsid w:val="00971C52"/>
    <w:rsid w:val="009727E0"/>
    <w:rsid w:val="00972C95"/>
    <w:rsid w:val="00972CA6"/>
    <w:rsid w:val="00972D66"/>
    <w:rsid w:val="00974360"/>
    <w:rsid w:val="00974707"/>
    <w:rsid w:val="009749C2"/>
    <w:rsid w:val="00974C19"/>
    <w:rsid w:val="00974C3E"/>
    <w:rsid w:val="00975197"/>
    <w:rsid w:val="0097585A"/>
    <w:rsid w:val="00975933"/>
    <w:rsid w:val="00975AE3"/>
    <w:rsid w:val="00975C38"/>
    <w:rsid w:val="00975DFC"/>
    <w:rsid w:val="00976162"/>
    <w:rsid w:val="00976485"/>
    <w:rsid w:val="00976C28"/>
    <w:rsid w:val="00976EA2"/>
    <w:rsid w:val="00977A79"/>
    <w:rsid w:val="00977ECB"/>
    <w:rsid w:val="0098056F"/>
    <w:rsid w:val="00980964"/>
    <w:rsid w:val="009814A5"/>
    <w:rsid w:val="00981F2C"/>
    <w:rsid w:val="00982263"/>
    <w:rsid w:val="0098325F"/>
    <w:rsid w:val="00984094"/>
    <w:rsid w:val="009843C4"/>
    <w:rsid w:val="00984468"/>
    <w:rsid w:val="0098472D"/>
    <w:rsid w:val="00984B3F"/>
    <w:rsid w:val="00985465"/>
    <w:rsid w:val="009854A1"/>
    <w:rsid w:val="00985E9F"/>
    <w:rsid w:val="009861A9"/>
    <w:rsid w:val="0098640C"/>
    <w:rsid w:val="00986AD8"/>
    <w:rsid w:val="00986AFA"/>
    <w:rsid w:val="00986E8D"/>
    <w:rsid w:val="009873F3"/>
    <w:rsid w:val="00987CCC"/>
    <w:rsid w:val="00990815"/>
    <w:rsid w:val="00991002"/>
    <w:rsid w:val="009915AE"/>
    <w:rsid w:val="00991906"/>
    <w:rsid w:val="00991AF7"/>
    <w:rsid w:val="00991FA9"/>
    <w:rsid w:val="009921E8"/>
    <w:rsid w:val="00992619"/>
    <w:rsid w:val="009931FF"/>
    <w:rsid w:val="00993958"/>
    <w:rsid w:val="00993E8F"/>
    <w:rsid w:val="00993EC1"/>
    <w:rsid w:val="00994087"/>
    <w:rsid w:val="009953C3"/>
    <w:rsid w:val="00995446"/>
    <w:rsid w:val="00995B4F"/>
    <w:rsid w:val="00995CAF"/>
    <w:rsid w:val="00996B02"/>
    <w:rsid w:val="0099704B"/>
    <w:rsid w:val="009972CF"/>
    <w:rsid w:val="009976B3"/>
    <w:rsid w:val="00997DA2"/>
    <w:rsid w:val="009A0504"/>
    <w:rsid w:val="009A07A2"/>
    <w:rsid w:val="009A155F"/>
    <w:rsid w:val="009A1614"/>
    <w:rsid w:val="009A2D0D"/>
    <w:rsid w:val="009A2DBD"/>
    <w:rsid w:val="009A467E"/>
    <w:rsid w:val="009A50A9"/>
    <w:rsid w:val="009A5BE7"/>
    <w:rsid w:val="009A5EAD"/>
    <w:rsid w:val="009A6CD6"/>
    <w:rsid w:val="009A6F7F"/>
    <w:rsid w:val="009B05FB"/>
    <w:rsid w:val="009B0776"/>
    <w:rsid w:val="009B23A2"/>
    <w:rsid w:val="009B2554"/>
    <w:rsid w:val="009B2C59"/>
    <w:rsid w:val="009B3643"/>
    <w:rsid w:val="009B4FC8"/>
    <w:rsid w:val="009B570B"/>
    <w:rsid w:val="009B60C8"/>
    <w:rsid w:val="009B6400"/>
    <w:rsid w:val="009B6CC3"/>
    <w:rsid w:val="009B7B14"/>
    <w:rsid w:val="009B7FB5"/>
    <w:rsid w:val="009B7FD4"/>
    <w:rsid w:val="009C07D9"/>
    <w:rsid w:val="009C08D2"/>
    <w:rsid w:val="009C322C"/>
    <w:rsid w:val="009C4082"/>
    <w:rsid w:val="009C5081"/>
    <w:rsid w:val="009C59AE"/>
    <w:rsid w:val="009C5AAE"/>
    <w:rsid w:val="009C5DDE"/>
    <w:rsid w:val="009C5EC8"/>
    <w:rsid w:val="009C6937"/>
    <w:rsid w:val="009C6B31"/>
    <w:rsid w:val="009C7060"/>
    <w:rsid w:val="009C75CC"/>
    <w:rsid w:val="009C7E91"/>
    <w:rsid w:val="009D0DE1"/>
    <w:rsid w:val="009D1363"/>
    <w:rsid w:val="009D2127"/>
    <w:rsid w:val="009D2944"/>
    <w:rsid w:val="009D3483"/>
    <w:rsid w:val="009D3C9B"/>
    <w:rsid w:val="009D409E"/>
    <w:rsid w:val="009D644D"/>
    <w:rsid w:val="009D691F"/>
    <w:rsid w:val="009D769F"/>
    <w:rsid w:val="009E054B"/>
    <w:rsid w:val="009E272F"/>
    <w:rsid w:val="009E3C81"/>
    <w:rsid w:val="009E4396"/>
    <w:rsid w:val="009E51C4"/>
    <w:rsid w:val="009E5219"/>
    <w:rsid w:val="009E56F1"/>
    <w:rsid w:val="009E5706"/>
    <w:rsid w:val="009E66C7"/>
    <w:rsid w:val="009E7D5B"/>
    <w:rsid w:val="009E7E8F"/>
    <w:rsid w:val="009F0AEB"/>
    <w:rsid w:val="009F30D2"/>
    <w:rsid w:val="009F44B1"/>
    <w:rsid w:val="009F47B9"/>
    <w:rsid w:val="009F4ED5"/>
    <w:rsid w:val="009F559A"/>
    <w:rsid w:val="009F6276"/>
    <w:rsid w:val="009F656F"/>
    <w:rsid w:val="009F76D8"/>
    <w:rsid w:val="009F7FF8"/>
    <w:rsid w:val="00A0049E"/>
    <w:rsid w:val="00A005D3"/>
    <w:rsid w:val="00A01A01"/>
    <w:rsid w:val="00A01D39"/>
    <w:rsid w:val="00A0223C"/>
    <w:rsid w:val="00A02A9E"/>
    <w:rsid w:val="00A02C4C"/>
    <w:rsid w:val="00A02CFD"/>
    <w:rsid w:val="00A03E1C"/>
    <w:rsid w:val="00A047F3"/>
    <w:rsid w:val="00A06425"/>
    <w:rsid w:val="00A07755"/>
    <w:rsid w:val="00A10463"/>
    <w:rsid w:val="00A10B50"/>
    <w:rsid w:val="00A10C26"/>
    <w:rsid w:val="00A11E9E"/>
    <w:rsid w:val="00A1230F"/>
    <w:rsid w:val="00A1274D"/>
    <w:rsid w:val="00A136DC"/>
    <w:rsid w:val="00A1428A"/>
    <w:rsid w:val="00A14F45"/>
    <w:rsid w:val="00A15DCD"/>
    <w:rsid w:val="00A15FCD"/>
    <w:rsid w:val="00A16335"/>
    <w:rsid w:val="00A16691"/>
    <w:rsid w:val="00A17078"/>
    <w:rsid w:val="00A2013B"/>
    <w:rsid w:val="00A2174D"/>
    <w:rsid w:val="00A21FB1"/>
    <w:rsid w:val="00A2241F"/>
    <w:rsid w:val="00A236F5"/>
    <w:rsid w:val="00A240FF"/>
    <w:rsid w:val="00A25492"/>
    <w:rsid w:val="00A25870"/>
    <w:rsid w:val="00A25F44"/>
    <w:rsid w:val="00A26312"/>
    <w:rsid w:val="00A26450"/>
    <w:rsid w:val="00A27181"/>
    <w:rsid w:val="00A27F55"/>
    <w:rsid w:val="00A30245"/>
    <w:rsid w:val="00A30B81"/>
    <w:rsid w:val="00A311E6"/>
    <w:rsid w:val="00A3132C"/>
    <w:rsid w:val="00A3236E"/>
    <w:rsid w:val="00A32852"/>
    <w:rsid w:val="00A32DA5"/>
    <w:rsid w:val="00A33555"/>
    <w:rsid w:val="00A337DE"/>
    <w:rsid w:val="00A33F46"/>
    <w:rsid w:val="00A341F7"/>
    <w:rsid w:val="00A35243"/>
    <w:rsid w:val="00A352FD"/>
    <w:rsid w:val="00A35654"/>
    <w:rsid w:val="00A357F8"/>
    <w:rsid w:val="00A35F84"/>
    <w:rsid w:val="00A36924"/>
    <w:rsid w:val="00A37E77"/>
    <w:rsid w:val="00A40763"/>
    <w:rsid w:val="00A408EB"/>
    <w:rsid w:val="00A40AED"/>
    <w:rsid w:val="00A40ED5"/>
    <w:rsid w:val="00A4187E"/>
    <w:rsid w:val="00A419CB"/>
    <w:rsid w:val="00A41F4A"/>
    <w:rsid w:val="00A4246A"/>
    <w:rsid w:val="00A4252D"/>
    <w:rsid w:val="00A42633"/>
    <w:rsid w:val="00A42A2C"/>
    <w:rsid w:val="00A42ED6"/>
    <w:rsid w:val="00A43349"/>
    <w:rsid w:val="00A43492"/>
    <w:rsid w:val="00A43866"/>
    <w:rsid w:val="00A44039"/>
    <w:rsid w:val="00A46647"/>
    <w:rsid w:val="00A46C9F"/>
    <w:rsid w:val="00A46F2D"/>
    <w:rsid w:val="00A50809"/>
    <w:rsid w:val="00A513C3"/>
    <w:rsid w:val="00A51B67"/>
    <w:rsid w:val="00A526F8"/>
    <w:rsid w:val="00A52BBA"/>
    <w:rsid w:val="00A5329C"/>
    <w:rsid w:val="00A55AD7"/>
    <w:rsid w:val="00A562EB"/>
    <w:rsid w:val="00A5671A"/>
    <w:rsid w:val="00A56FB9"/>
    <w:rsid w:val="00A577A6"/>
    <w:rsid w:val="00A57A37"/>
    <w:rsid w:val="00A57BEE"/>
    <w:rsid w:val="00A60264"/>
    <w:rsid w:val="00A60B11"/>
    <w:rsid w:val="00A63FD1"/>
    <w:rsid w:val="00A64A9C"/>
    <w:rsid w:val="00A65793"/>
    <w:rsid w:val="00A657D5"/>
    <w:rsid w:val="00A65C03"/>
    <w:rsid w:val="00A66F6E"/>
    <w:rsid w:val="00A67208"/>
    <w:rsid w:val="00A67804"/>
    <w:rsid w:val="00A700AF"/>
    <w:rsid w:val="00A7188F"/>
    <w:rsid w:val="00A72DA4"/>
    <w:rsid w:val="00A72E6A"/>
    <w:rsid w:val="00A730DC"/>
    <w:rsid w:val="00A7373F"/>
    <w:rsid w:val="00A73B10"/>
    <w:rsid w:val="00A73B36"/>
    <w:rsid w:val="00A744B9"/>
    <w:rsid w:val="00A7490C"/>
    <w:rsid w:val="00A74A78"/>
    <w:rsid w:val="00A75067"/>
    <w:rsid w:val="00A75438"/>
    <w:rsid w:val="00A7650A"/>
    <w:rsid w:val="00A76FC9"/>
    <w:rsid w:val="00A7744E"/>
    <w:rsid w:val="00A77584"/>
    <w:rsid w:val="00A800A4"/>
    <w:rsid w:val="00A8053F"/>
    <w:rsid w:val="00A80E0E"/>
    <w:rsid w:val="00A81C5C"/>
    <w:rsid w:val="00A81CFD"/>
    <w:rsid w:val="00A82669"/>
    <w:rsid w:val="00A8336F"/>
    <w:rsid w:val="00A83706"/>
    <w:rsid w:val="00A83CA2"/>
    <w:rsid w:val="00A83D3E"/>
    <w:rsid w:val="00A841C8"/>
    <w:rsid w:val="00A85938"/>
    <w:rsid w:val="00A8611D"/>
    <w:rsid w:val="00A8686C"/>
    <w:rsid w:val="00A8694E"/>
    <w:rsid w:val="00A877A6"/>
    <w:rsid w:val="00A879C9"/>
    <w:rsid w:val="00A90FC5"/>
    <w:rsid w:val="00A915CE"/>
    <w:rsid w:val="00A917EB"/>
    <w:rsid w:val="00A91E3B"/>
    <w:rsid w:val="00A9239E"/>
    <w:rsid w:val="00A9245C"/>
    <w:rsid w:val="00A95115"/>
    <w:rsid w:val="00A9546A"/>
    <w:rsid w:val="00A95618"/>
    <w:rsid w:val="00A97406"/>
    <w:rsid w:val="00A977F7"/>
    <w:rsid w:val="00A97998"/>
    <w:rsid w:val="00A97CA4"/>
    <w:rsid w:val="00AA03D8"/>
    <w:rsid w:val="00AA0A55"/>
    <w:rsid w:val="00AA0B3C"/>
    <w:rsid w:val="00AA0DD9"/>
    <w:rsid w:val="00AA1080"/>
    <w:rsid w:val="00AA10A0"/>
    <w:rsid w:val="00AA26A9"/>
    <w:rsid w:val="00AA2DDA"/>
    <w:rsid w:val="00AA2E7E"/>
    <w:rsid w:val="00AA43CF"/>
    <w:rsid w:val="00AA4EB0"/>
    <w:rsid w:val="00AA5498"/>
    <w:rsid w:val="00AA57ED"/>
    <w:rsid w:val="00AA5FEC"/>
    <w:rsid w:val="00AA6627"/>
    <w:rsid w:val="00AA6BCD"/>
    <w:rsid w:val="00AA70F0"/>
    <w:rsid w:val="00AA76C0"/>
    <w:rsid w:val="00AA79EA"/>
    <w:rsid w:val="00AA7D5E"/>
    <w:rsid w:val="00AB028F"/>
    <w:rsid w:val="00AB0FDC"/>
    <w:rsid w:val="00AB13AB"/>
    <w:rsid w:val="00AB161A"/>
    <w:rsid w:val="00AB1C60"/>
    <w:rsid w:val="00AB1D7A"/>
    <w:rsid w:val="00AB2BB6"/>
    <w:rsid w:val="00AB2BB7"/>
    <w:rsid w:val="00AB32F3"/>
    <w:rsid w:val="00AB59C6"/>
    <w:rsid w:val="00AB7854"/>
    <w:rsid w:val="00AB7AA4"/>
    <w:rsid w:val="00AB7CB9"/>
    <w:rsid w:val="00AC01B0"/>
    <w:rsid w:val="00AC07E1"/>
    <w:rsid w:val="00AC0824"/>
    <w:rsid w:val="00AC0827"/>
    <w:rsid w:val="00AC158A"/>
    <w:rsid w:val="00AC1CD8"/>
    <w:rsid w:val="00AC2400"/>
    <w:rsid w:val="00AC2DDE"/>
    <w:rsid w:val="00AC2EC4"/>
    <w:rsid w:val="00AC2F8E"/>
    <w:rsid w:val="00AC3752"/>
    <w:rsid w:val="00AC47BB"/>
    <w:rsid w:val="00AC4EB0"/>
    <w:rsid w:val="00AC50B1"/>
    <w:rsid w:val="00AC5111"/>
    <w:rsid w:val="00AC5E5C"/>
    <w:rsid w:val="00AC5F63"/>
    <w:rsid w:val="00AC5FAE"/>
    <w:rsid w:val="00AC7114"/>
    <w:rsid w:val="00AD0057"/>
    <w:rsid w:val="00AD0258"/>
    <w:rsid w:val="00AD09B6"/>
    <w:rsid w:val="00AD130D"/>
    <w:rsid w:val="00AD1AF1"/>
    <w:rsid w:val="00AD2542"/>
    <w:rsid w:val="00AD2839"/>
    <w:rsid w:val="00AD2E34"/>
    <w:rsid w:val="00AD3D62"/>
    <w:rsid w:val="00AD3F2C"/>
    <w:rsid w:val="00AD42F7"/>
    <w:rsid w:val="00AD4E30"/>
    <w:rsid w:val="00AD4FB8"/>
    <w:rsid w:val="00AD5D7A"/>
    <w:rsid w:val="00AD5E19"/>
    <w:rsid w:val="00AD6203"/>
    <w:rsid w:val="00AD64EF"/>
    <w:rsid w:val="00AD68FD"/>
    <w:rsid w:val="00AE07A9"/>
    <w:rsid w:val="00AE088D"/>
    <w:rsid w:val="00AE09FB"/>
    <w:rsid w:val="00AE0F49"/>
    <w:rsid w:val="00AE131A"/>
    <w:rsid w:val="00AE14D5"/>
    <w:rsid w:val="00AE14E1"/>
    <w:rsid w:val="00AE14F5"/>
    <w:rsid w:val="00AE1C91"/>
    <w:rsid w:val="00AE1D96"/>
    <w:rsid w:val="00AE1E38"/>
    <w:rsid w:val="00AE3BCA"/>
    <w:rsid w:val="00AE3D79"/>
    <w:rsid w:val="00AE3F57"/>
    <w:rsid w:val="00AE402C"/>
    <w:rsid w:val="00AE48DA"/>
    <w:rsid w:val="00AE4D36"/>
    <w:rsid w:val="00AE5A9F"/>
    <w:rsid w:val="00AE5D00"/>
    <w:rsid w:val="00AE616E"/>
    <w:rsid w:val="00AE665F"/>
    <w:rsid w:val="00AE70E5"/>
    <w:rsid w:val="00AE7178"/>
    <w:rsid w:val="00AE71D3"/>
    <w:rsid w:val="00AE7653"/>
    <w:rsid w:val="00AE7B5B"/>
    <w:rsid w:val="00AE7D79"/>
    <w:rsid w:val="00AF0374"/>
    <w:rsid w:val="00AF1445"/>
    <w:rsid w:val="00AF14FA"/>
    <w:rsid w:val="00AF169C"/>
    <w:rsid w:val="00AF2382"/>
    <w:rsid w:val="00AF27FD"/>
    <w:rsid w:val="00AF2A6B"/>
    <w:rsid w:val="00AF3026"/>
    <w:rsid w:val="00AF3288"/>
    <w:rsid w:val="00AF3A86"/>
    <w:rsid w:val="00AF3BEC"/>
    <w:rsid w:val="00AF47FD"/>
    <w:rsid w:val="00AF7068"/>
    <w:rsid w:val="00AF781C"/>
    <w:rsid w:val="00AF7A4A"/>
    <w:rsid w:val="00AF7ACB"/>
    <w:rsid w:val="00B001DB"/>
    <w:rsid w:val="00B00F5B"/>
    <w:rsid w:val="00B010D5"/>
    <w:rsid w:val="00B01692"/>
    <w:rsid w:val="00B018CD"/>
    <w:rsid w:val="00B0344A"/>
    <w:rsid w:val="00B03C0E"/>
    <w:rsid w:val="00B04343"/>
    <w:rsid w:val="00B051ED"/>
    <w:rsid w:val="00B06AC7"/>
    <w:rsid w:val="00B06D54"/>
    <w:rsid w:val="00B06E88"/>
    <w:rsid w:val="00B078D8"/>
    <w:rsid w:val="00B10493"/>
    <w:rsid w:val="00B10934"/>
    <w:rsid w:val="00B10F51"/>
    <w:rsid w:val="00B116D4"/>
    <w:rsid w:val="00B119D5"/>
    <w:rsid w:val="00B11BE8"/>
    <w:rsid w:val="00B12262"/>
    <w:rsid w:val="00B12875"/>
    <w:rsid w:val="00B12E6C"/>
    <w:rsid w:val="00B131EC"/>
    <w:rsid w:val="00B13380"/>
    <w:rsid w:val="00B14D02"/>
    <w:rsid w:val="00B16D6A"/>
    <w:rsid w:val="00B1705D"/>
    <w:rsid w:val="00B172E8"/>
    <w:rsid w:val="00B176A0"/>
    <w:rsid w:val="00B17EFE"/>
    <w:rsid w:val="00B20F22"/>
    <w:rsid w:val="00B21328"/>
    <w:rsid w:val="00B2166C"/>
    <w:rsid w:val="00B22C30"/>
    <w:rsid w:val="00B22CF7"/>
    <w:rsid w:val="00B23048"/>
    <w:rsid w:val="00B230D1"/>
    <w:rsid w:val="00B23C41"/>
    <w:rsid w:val="00B23DD2"/>
    <w:rsid w:val="00B258BD"/>
    <w:rsid w:val="00B25FC7"/>
    <w:rsid w:val="00B263D1"/>
    <w:rsid w:val="00B26A2A"/>
    <w:rsid w:val="00B274A7"/>
    <w:rsid w:val="00B3013B"/>
    <w:rsid w:val="00B308C2"/>
    <w:rsid w:val="00B32000"/>
    <w:rsid w:val="00B34450"/>
    <w:rsid w:val="00B34D51"/>
    <w:rsid w:val="00B3517D"/>
    <w:rsid w:val="00B35720"/>
    <w:rsid w:val="00B35C0C"/>
    <w:rsid w:val="00B3676E"/>
    <w:rsid w:val="00B36D5A"/>
    <w:rsid w:val="00B36ED4"/>
    <w:rsid w:val="00B36EDE"/>
    <w:rsid w:val="00B41260"/>
    <w:rsid w:val="00B41278"/>
    <w:rsid w:val="00B41B3D"/>
    <w:rsid w:val="00B41EDF"/>
    <w:rsid w:val="00B426F6"/>
    <w:rsid w:val="00B428B6"/>
    <w:rsid w:val="00B432AA"/>
    <w:rsid w:val="00B4351A"/>
    <w:rsid w:val="00B43E36"/>
    <w:rsid w:val="00B44202"/>
    <w:rsid w:val="00B44EE1"/>
    <w:rsid w:val="00B44F3A"/>
    <w:rsid w:val="00B4561F"/>
    <w:rsid w:val="00B4770E"/>
    <w:rsid w:val="00B47A02"/>
    <w:rsid w:val="00B47BE0"/>
    <w:rsid w:val="00B47C1B"/>
    <w:rsid w:val="00B5181C"/>
    <w:rsid w:val="00B51E65"/>
    <w:rsid w:val="00B53315"/>
    <w:rsid w:val="00B538D3"/>
    <w:rsid w:val="00B549F3"/>
    <w:rsid w:val="00B562B9"/>
    <w:rsid w:val="00B577F2"/>
    <w:rsid w:val="00B61CD0"/>
    <w:rsid w:val="00B62554"/>
    <w:rsid w:val="00B6295F"/>
    <w:rsid w:val="00B6322F"/>
    <w:rsid w:val="00B63376"/>
    <w:rsid w:val="00B65031"/>
    <w:rsid w:val="00B65042"/>
    <w:rsid w:val="00B65802"/>
    <w:rsid w:val="00B659E7"/>
    <w:rsid w:val="00B676BB"/>
    <w:rsid w:val="00B677BD"/>
    <w:rsid w:val="00B67F63"/>
    <w:rsid w:val="00B70089"/>
    <w:rsid w:val="00B705F0"/>
    <w:rsid w:val="00B7066E"/>
    <w:rsid w:val="00B71584"/>
    <w:rsid w:val="00B71617"/>
    <w:rsid w:val="00B72A79"/>
    <w:rsid w:val="00B72CDE"/>
    <w:rsid w:val="00B72E9A"/>
    <w:rsid w:val="00B73A62"/>
    <w:rsid w:val="00B73BA5"/>
    <w:rsid w:val="00B73DA8"/>
    <w:rsid w:val="00B740E8"/>
    <w:rsid w:val="00B748BF"/>
    <w:rsid w:val="00B74BF2"/>
    <w:rsid w:val="00B74DE2"/>
    <w:rsid w:val="00B74F59"/>
    <w:rsid w:val="00B754F2"/>
    <w:rsid w:val="00B764C0"/>
    <w:rsid w:val="00B7669D"/>
    <w:rsid w:val="00B76E61"/>
    <w:rsid w:val="00B77938"/>
    <w:rsid w:val="00B77C7D"/>
    <w:rsid w:val="00B77ED9"/>
    <w:rsid w:val="00B804F9"/>
    <w:rsid w:val="00B8224E"/>
    <w:rsid w:val="00B825A0"/>
    <w:rsid w:val="00B8265E"/>
    <w:rsid w:val="00B82746"/>
    <w:rsid w:val="00B82BF2"/>
    <w:rsid w:val="00B82C7E"/>
    <w:rsid w:val="00B82CBF"/>
    <w:rsid w:val="00B82CD8"/>
    <w:rsid w:val="00B83DD9"/>
    <w:rsid w:val="00B84035"/>
    <w:rsid w:val="00B84049"/>
    <w:rsid w:val="00B84CD3"/>
    <w:rsid w:val="00B86704"/>
    <w:rsid w:val="00B86723"/>
    <w:rsid w:val="00B8746D"/>
    <w:rsid w:val="00B877CA"/>
    <w:rsid w:val="00B87E38"/>
    <w:rsid w:val="00B8AD09"/>
    <w:rsid w:val="00B90585"/>
    <w:rsid w:val="00B9091B"/>
    <w:rsid w:val="00B90D92"/>
    <w:rsid w:val="00B9136E"/>
    <w:rsid w:val="00B93358"/>
    <w:rsid w:val="00B93AE4"/>
    <w:rsid w:val="00B940EE"/>
    <w:rsid w:val="00B94305"/>
    <w:rsid w:val="00B94CD5"/>
    <w:rsid w:val="00B95532"/>
    <w:rsid w:val="00B95A90"/>
    <w:rsid w:val="00B95C92"/>
    <w:rsid w:val="00B9623A"/>
    <w:rsid w:val="00B9687F"/>
    <w:rsid w:val="00B96914"/>
    <w:rsid w:val="00B97030"/>
    <w:rsid w:val="00B97382"/>
    <w:rsid w:val="00BA04CE"/>
    <w:rsid w:val="00BA0979"/>
    <w:rsid w:val="00BA1928"/>
    <w:rsid w:val="00BA1C81"/>
    <w:rsid w:val="00BA2972"/>
    <w:rsid w:val="00BA4339"/>
    <w:rsid w:val="00BA45CD"/>
    <w:rsid w:val="00BA4C87"/>
    <w:rsid w:val="00BA516C"/>
    <w:rsid w:val="00BA69B9"/>
    <w:rsid w:val="00BA6C4C"/>
    <w:rsid w:val="00BA6C82"/>
    <w:rsid w:val="00BA7C73"/>
    <w:rsid w:val="00BB03E1"/>
    <w:rsid w:val="00BB1140"/>
    <w:rsid w:val="00BB226A"/>
    <w:rsid w:val="00BB3FA7"/>
    <w:rsid w:val="00BB4062"/>
    <w:rsid w:val="00BB42FF"/>
    <w:rsid w:val="00BB449D"/>
    <w:rsid w:val="00BB48CA"/>
    <w:rsid w:val="00BB4AF7"/>
    <w:rsid w:val="00BB4CBD"/>
    <w:rsid w:val="00BB4F4A"/>
    <w:rsid w:val="00BB539D"/>
    <w:rsid w:val="00BB5DBE"/>
    <w:rsid w:val="00BB62D9"/>
    <w:rsid w:val="00BB64C4"/>
    <w:rsid w:val="00BB6C84"/>
    <w:rsid w:val="00BB6FFF"/>
    <w:rsid w:val="00BB70B7"/>
    <w:rsid w:val="00BB7678"/>
    <w:rsid w:val="00BB798A"/>
    <w:rsid w:val="00BB7CFB"/>
    <w:rsid w:val="00BB7D5F"/>
    <w:rsid w:val="00BC09B1"/>
    <w:rsid w:val="00BC1AF7"/>
    <w:rsid w:val="00BC22AF"/>
    <w:rsid w:val="00BC2B65"/>
    <w:rsid w:val="00BC2EDD"/>
    <w:rsid w:val="00BC3922"/>
    <w:rsid w:val="00BC3946"/>
    <w:rsid w:val="00BC3EDC"/>
    <w:rsid w:val="00BC4F8C"/>
    <w:rsid w:val="00BC5264"/>
    <w:rsid w:val="00BC5C95"/>
    <w:rsid w:val="00BC6976"/>
    <w:rsid w:val="00BC6F28"/>
    <w:rsid w:val="00BC7755"/>
    <w:rsid w:val="00BD04B4"/>
    <w:rsid w:val="00BD14D8"/>
    <w:rsid w:val="00BD14F7"/>
    <w:rsid w:val="00BD157D"/>
    <w:rsid w:val="00BD1D04"/>
    <w:rsid w:val="00BD30B9"/>
    <w:rsid w:val="00BD3368"/>
    <w:rsid w:val="00BD3707"/>
    <w:rsid w:val="00BD3AF3"/>
    <w:rsid w:val="00BD403C"/>
    <w:rsid w:val="00BD56B3"/>
    <w:rsid w:val="00BD5DF2"/>
    <w:rsid w:val="00BD5E45"/>
    <w:rsid w:val="00BD65E5"/>
    <w:rsid w:val="00BD668F"/>
    <w:rsid w:val="00BD6AB3"/>
    <w:rsid w:val="00BD6DEE"/>
    <w:rsid w:val="00BD754F"/>
    <w:rsid w:val="00BD777B"/>
    <w:rsid w:val="00BD77F1"/>
    <w:rsid w:val="00BE016E"/>
    <w:rsid w:val="00BE113D"/>
    <w:rsid w:val="00BE1225"/>
    <w:rsid w:val="00BE20A2"/>
    <w:rsid w:val="00BE280B"/>
    <w:rsid w:val="00BE51B6"/>
    <w:rsid w:val="00BE5E26"/>
    <w:rsid w:val="00BE6487"/>
    <w:rsid w:val="00BE697F"/>
    <w:rsid w:val="00BE70FF"/>
    <w:rsid w:val="00BF00B1"/>
    <w:rsid w:val="00BF05B1"/>
    <w:rsid w:val="00BF17BC"/>
    <w:rsid w:val="00BF19DE"/>
    <w:rsid w:val="00BF1F9D"/>
    <w:rsid w:val="00BF25CF"/>
    <w:rsid w:val="00BF2949"/>
    <w:rsid w:val="00BF2D53"/>
    <w:rsid w:val="00BF3F9B"/>
    <w:rsid w:val="00BF488B"/>
    <w:rsid w:val="00BF641C"/>
    <w:rsid w:val="00BF6AAD"/>
    <w:rsid w:val="00BF6BE8"/>
    <w:rsid w:val="00BF7110"/>
    <w:rsid w:val="00BF75DA"/>
    <w:rsid w:val="00BF7936"/>
    <w:rsid w:val="00BF7955"/>
    <w:rsid w:val="00C00738"/>
    <w:rsid w:val="00C020BA"/>
    <w:rsid w:val="00C0214F"/>
    <w:rsid w:val="00C02499"/>
    <w:rsid w:val="00C025FA"/>
    <w:rsid w:val="00C028A4"/>
    <w:rsid w:val="00C03404"/>
    <w:rsid w:val="00C03A0B"/>
    <w:rsid w:val="00C03ABC"/>
    <w:rsid w:val="00C03C6D"/>
    <w:rsid w:val="00C043F7"/>
    <w:rsid w:val="00C04A9A"/>
    <w:rsid w:val="00C04B62"/>
    <w:rsid w:val="00C05922"/>
    <w:rsid w:val="00C05995"/>
    <w:rsid w:val="00C05A11"/>
    <w:rsid w:val="00C05AC1"/>
    <w:rsid w:val="00C06BA9"/>
    <w:rsid w:val="00C071F7"/>
    <w:rsid w:val="00C10381"/>
    <w:rsid w:val="00C10819"/>
    <w:rsid w:val="00C10A64"/>
    <w:rsid w:val="00C11517"/>
    <w:rsid w:val="00C1181A"/>
    <w:rsid w:val="00C12323"/>
    <w:rsid w:val="00C12B74"/>
    <w:rsid w:val="00C1463B"/>
    <w:rsid w:val="00C15217"/>
    <w:rsid w:val="00C1525D"/>
    <w:rsid w:val="00C15666"/>
    <w:rsid w:val="00C1576A"/>
    <w:rsid w:val="00C17563"/>
    <w:rsid w:val="00C177A3"/>
    <w:rsid w:val="00C177C3"/>
    <w:rsid w:val="00C20D49"/>
    <w:rsid w:val="00C210F8"/>
    <w:rsid w:val="00C22760"/>
    <w:rsid w:val="00C22FE3"/>
    <w:rsid w:val="00C24189"/>
    <w:rsid w:val="00C248C9"/>
    <w:rsid w:val="00C2499C"/>
    <w:rsid w:val="00C25394"/>
    <w:rsid w:val="00C25664"/>
    <w:rsid w:val="00C257FB"/>
    <w:rsid w:val="00C26069"/>
    <w:rsid w:val="00C26264"/>
    <w:rsid w:val="00C26689"/>
    <w:rsid w:val="00C270E3"/>
    <w:rsid w:val="00C2724E"/>
    <w:rsid w:val="00C278B0"/>
    <w:rsid w:val="00C30206"/>
    <w:rsid w:val="00C3063B"/>
    <w:rsid w:val="00C3082D"/>
    <w:rsid w:val="00C3181E"/>
    <w:rsid w:val="00C318A8"/>
    <w:rsid w:val="00C31D86"/>
    <w:rsid w:val="00C33D42"/>
    <w:rsid w:val="00C340BE"/>
    <w:rsid w:val="00C34478"/>
    <w:rsid w:val="00C3478A"/>
    <w:rsid w:val="00C35093"/>
    <w:rsid w:val="00C35277"/>
    <w:rsid w:val="00C35770"/>
    <w:rsid w:val="00C36DB2"/>
    <w:rsid w:val="00C36FCD"/>
    <w:rsid w:val="00C3744E"/>
    <w:rsid w:val="00C37C7F"/>
    <w:rsid w:val="00C37FC9"/>
    <w:rsid w:val="00C40045"/>
    <w:rsid w:val="00C407EE"/>
    <w:rsid w:val="00C40E8E"/>
    <w:rsid w:val="00C4135D"/>
    <w:rsid w:val="00C417CC"/>
    <w:rsid w:val="00C41B3C"/>
    <w:rsid w:val="00C423C0"/>
    <w:rsid w:val="00C42D3E"/>
    <w:rsid w:val="00C43151"/>
    <w:rsid w:val="00C4320C"/>
    <w:rsid w:val="00C4331A"/>
    <w:rsid w:val="00C43532"/>
    <w:rsid w:val="00C43DD3"/>
    <w:rsid w:val="00C44121"/>
    <w:rsid w:val="00C4556D"/>
    <w:rsid w:val="00C4629D"/>
    <w:rsid w:val="00C46C0A"/>
    <w:rsid w:val="00C46C6B"/>
    <w:rsid w:val="00C46E13"/>
    <w:rsid w:val="00C47267"/>
    <w:rsid w:val="00C47A60"/>
    <w:rsid w:val="00C47BF0"/>
    <w:rsid w:val="00C5018D"/>
    <w:rsid w:val="00C50806"/>
    <w:rsid w:val="00C51030"/>
    <w:rsid w:val="00C511CD"/>
    <w:rsid w:val="00C51730"/>
    <w:rsid w:val="00C51B84"/>
    <w:rsid w:val="00C51B87"/>
    <w:rsid w:val="00C52C19"/>
    <w:rsid w:val="00C53503"/>
    <w:rsid w:val="00C53EB4"/>
    <w:rsid w:val="00C562F4"/>
    <w:rsid w:val="00C56E6F"/>
    <w:rsid w:val="00C576B7"/>
    <w:rsid w:val="00C57EDB"/>
    <w:rsid w:val="00C60601"/>
    <w:rsid w:val="00C60A77"/>
    <w:rsid w:val="00C60D6D"/>
    <w:rsid w:val="00C62315"/>
    <w:rsid w:val="00C634DF"/>
    <w:rsid w:val="00C63733"/>
    <w:rsid w:val="00C65786"/>
    <w:rsid w:val="00C65DDE"/>
    <w:rsid w:val="00C6709A"/>
    <w:rsid w:val="00C67127"/>
    <w:rsid w:val="00C672D8"/>
    <w:rsid w:val="00C67DA8"/>
    <w:rsid w:val="00C703F0"/>
    <w:rsid w:val="00C704D0"/>
    <w:rsid w:val="00C709D4"/>
    <w:rsid w:val="00C71359"/>
    <w:rsid w:val="00C72261"/>
    <w:rsid w:val="00C72403"/>
    <w:rsid w:val="00C727E1"/>
    <w:rsid w:val="00C7429F"/>
    <w:rsid w:val="00C75B8C"/>
    <w:rsid w:val="00C7689B"/>
    <w:rsid w:val="00C76B6B"/>
    <w:rsid w:val="00C773E9"/>
    <w:rsid w:val="00C778C3"/>
    <w:rsid w:val="00C808F3"/>
    <w:rsid w:val="00C817A4"/>
    <w:rsid w:val="00C82864"/>
    <w:rsid w:val="00C83AD8"/>
    <w:rsid w:val="00C83C89"/>
    <w:rsid w:val="00C8435A"/>
    <w:rsid w:val="00C843CC"/>
    <w:rsid w:val="00C845BF"/>
    <w:rsid w:val="00C8499D"/>
    <w:rsid w:val="00C84C91"/>
    <w:rsid w:val="00C860A4"/>
    <w:rsid w:val="00C8632E"/>
    <w:rsid w:val="00C86444"/>
    <w:rsid w:val="00C86B45"/>
    <w:rsid w:val="00C86BDF"/>
    <w:rsid w:val="00C8714C"/>
    <w:rsid w:val="00C873E6"/>
    <w:rsid w:val="00C87438"/>
    <w:rsid w:val="00C88FE6"/>
    <w:rsid w:val="00C90797"/>
    <w:rsid w:val="00C91239"/>
    <w:rsid w:val="00C918FD"/>
    <w:rsid w:val="00C9200A"/>
    <w:rsid w:val="00C92447"/>
    <w:rsid w:val="00C925EC"/>
    <w:rsid w:val="00C928FF"/>
    <w:rsid w:val="00C92DAF"/>
    <w:rsid w:val="00C92FA0"/>
    <w:rsid w:val="00C9313B"/>
    <w:rsid w:val="00C93B76"/>
    <w:rsid w:val="00C947ED"/>
    <w:rsid w:val="00C94866"/>
    <w:rsid w:val="00C94CDB"/>
    <w:rsid w:val="00C95055"/>
    <w:rsid w:val="00C95132"/>
    <w:rsid w:val="00C95801"/>
    <w:rsid w:val="00C95E99"/>
    <w:rsid w:val="00C97692"/>
    <w:rsid w:val="00C976EC"/>
    <w:rsid w:val="00CA01FE"/>
    <w:rsid w:val="00CA05CD"/>
    <w:rsid w:val="00CA06B1"/>
    <w:rsid w:val="00CA086A"/>
    <w:rsid w:val="00CA0DCC"/>
    <w:rsid w:val="00CA0F2B"/>
    <w:rsid w:val="00CA152D"/>
    <w:rsid w:val="00CA2E0E"/>
    <w:rsid w:val="00CA3737"/>
    <w:rsid w:val="00CA37D7"/>
    <w:rsid w:val="00CA427E"/>
    <w:rsid w:val="00CA59C1"/>
    <w:rsid w:val="00CA5AF7"/>
    <w:rsid w:val="00CA5FF4"/>
    <w:rsid w:val="00CA609E"/>
    <w:rsid w:val="00CA60CB"/>
    <w:rsid w:val="00CA679F"/>
    <w:rsid w:val="00CA68E8"/>
    <w:rsid w:val="00CA7DD4"/>
    <w:rsid w:val="00CA7E47"/>
    <w:rsid w:val="00CB02CF"/>
    <w:rsid w:val="00CB0A13"/>
    <w:rsid w:val="00CB1158"/>
    <w:rsid w:val="00CB2D26"/>
    <w:rsid w:val="00CB321D"/>
    <w:rsid w:val="00CB3720"/>
    <w:rsid w:val="00CB3A1E"/>
    <w:rsid w:val="00CB3B28"/>
    <w:rsid w:val="00CB3CC3"/>
    <w:rsid w:val="00CB3D48"/>
    <w:rsid w:val="00CB4138"/>
    <w:rsid w:val="00CB4955"/>
    <w:rsid w:val="00CB4A30"/>
    <w:rsid w:val="00CB4A3C"/>
    <w:rsid w:val="00CB5173"/>
    <w:rsid w:val="00CB5657"/>
    <w:rsid w:val="00CB57A7"/>
    <w:rsid w:val="00CB5D6A"/>
    <w:rsid w:val="00CB5FB4"/>
    <w:rsid w:val="00CB6209"/>
    <w:rsid w:val="00CB704C"/>
    <w:rsid w:val="00CC109C"/>
    <w:rsid w:val="00CC1393"/>
    <w:rsid w:val="00CC1BE9"/>
    <w:rsid w:val="00CC1EFE"/>
    <w:rsid w:val="00CC2484"/>
    <w:rsid w:val="00CC2F98"/>
    <w:rsid w:val="00CC3810"/>
    <w:rsid w:val="00CC4A95"/>
    <w:rsid w:val="00CC54F7"/>
    <w:rsid w:val="00CC6489"/>
    <w:rsid w:val="00CC6527"/>
    <w:rsid w:val="00CC6817"/>
    <w:rsid w:val="00CC6AD2"/>
    <w:rsid w:val="00CC6BCC"/>
    <w:rsid w:val="00CC7D2B"/>
    <w:rsid w:val="00CD003F"/>
    <w:rsid w:val="00CD0B58"/>
    <w:rsid w:val="00CD0BF5"/>
    <w:rsid w:val="00CD12B9"/>
    <w:rsid w:val="00CD12EA"/>
    <w:rsid w:val="00CD1E5D"/>
    <w:rsid w:val="00CD210F"/>
    <w:rsid w:val="00CD24F4"/>
    <w:rsid w:val="00CD2695"/>
    <w:rsid w:val="00CD2E67"/>
    <w:rsid w:val="00CD4059"/>
    <w:rsid w:val="00CD44D6"/>
    <w:rsid w:val="00CD49DC"/>
    <w:rsid w:val="00CD5E4A"/>
    <w:rsid w:val="00CD6163"/>
    <w:rsid w:val="00CD618F"/>
    <w:rsid w:val="00CD6869"/>
    <w:rsid w:val="00CD693A"/>
    <w:rsid w:val="00CD7242"/>
    <w:rsid w:val="00CD730E"/>
    <w:rsid w:val="00CD757C"/>
    <w:rsid w:val="00CD77B6"/>
    <w:rsid w:val="00CE0875"/>
    <w:rsid w:val="00CE1B97"/>
    <w:rsid w:val="00CE39CF"/>
    <w:rsid w:val="00CE597E"/>
    <w:rsid w:val="00CE659B"/>
    <w:rsid w:val="00CE6603"/>
    <w:rsid w:val="00CE6D0A"/>
    <w:rsid w:val="00CE7980"/>
    <w:rsid w:val="00CE7A63"/>
    <w:rsid w:val="00CF01AC"/>
    <w:rsid w:val="00CF0A41"/>
    <w:rsid w:val="00CF10B6"/>
    <w:rsid w:val="00CF17F5"/>
    <w:rsid w:val="00CF26C6"/>
    <w:rsid w:val="00CF2D89"/>
    <w:rsid w:val="00CF3608"/>
    <w:rsid w:val="00CF4D1E"/>
    <w:rsid w:val="00CF563E"/>
    <w:rsid w:val="00CF59D0"/>
    <w:rsid w:val="00CF767C"/>
    <w:rsid w:val="00D00581"/>
    <w:rsid w:val="00D008C3"/>
    <w:rsid w:val="00D00F75"/>
    <w:rsid w:val="00D016DA"/>
    <w:rsid w:val="00D01A77"/>
    <w:rsid w:val="00D0266A"/>
    <w:rsid w:val="00D02BA5"/>
    <w:rsid w:val="00D03C42"/>
    <w:rsid w:val="00D03F47"/>
    <w:rsid w:val="00D040A0"/>
    <w:rsid w:val="00D0447B"/>
    <w:rsid w:val="00D050BB"/>
    <w:rsid w:val="00D059CD"/>
    <w:rsid w:val="00D05ADB"/>
    <w:rsid w:val="00D0782A"/>
    <w:rsid w:val="00D07A3D"/>
    <w:rsid w:val="00D07C1F"/>
    <w:rsid w:val="00D104CD"/>
    <w:rsid w:val="00D10B74"/>
    <w:rsid w:val="00D10E40"/>
    <w:rsid w:val="00D11A46"/>
    <w:rsid w:val="00D11F0E"/>
    <w:rsid w:val="00D12269"/>
    <w:rsid w:val="00D12418"/>
    <w:rsid w:val="00D12F4F"/>
    <w:rsid w:val="00D13217"/>
    <w:rsid w:val="00D13367"/>
    <w:rsid w:val="00D1359C"/>
    <w:rsid w:val="00D13A48"/>
    <w:rsid w:val="00D14FE6"/>
    <w:rsid w:val="00D163F9"/>
    <w:rsid w:val="00D1683D"/>
    <w:rsid w:val="00D16B60"/>
    <w:rsid w:val="00D17136"/>
    <w:rsid w:val="00D175DF"/>
    <w:rsid w:val="00D17968"/>
    <w:rsid w:val="00D17C85"/>
    <w:rsid w:val="00D20045"/>
    <w:rsid w:val="00D213CC"/>
    <w:rsid w:val="00D21653"/>
    <w:rsid w:val="00D21DAA"/>
    <w:rsid w:val="00D22124"/>
    <w:rsid w:val="00D225C7"/>
    <w:rsid w:val="00D228CC"/>
    <w:rsid w:val="00D229EE"/>
    <w:rsid w:val="00D22B1E"/>
    <w:rsid w:val="00D231E2"/>
    <w:rsid w:val="00D2385F"/>
    <w:rsid w:val="00D24261"/>
    <w:rsid w:val="00D25521"/>
    <w:rsid w:val="00D26403"/>
    <w:rsid w:val="00D264AA"/>
    <w:rsid w:val="00D265AF"/>
    <w:rsid w:val="00D26628"/>
    <w:rsid w:val="00D26D13"/>
    <w:rsid w:val="00D27C10"/>
    <w:rsid w:val="00D305FE"/>
    <w:rsid w:val="00D31215"/>
    <w:rsid w:val="00D31449"/>
    <w:rsid w:val="00D32830"/>
    <w:rsid w:val="00D32B52"/>
    <w:rsid w:val="00D335B6"/>
    <w:rsid w:val="00D33E93"/>
    <w:rsid w:val="00D349F5"/>
    <w:rsid w:val="00D353C0"/>
    <w:rsid w:val="00D35461"/>
    <w:rsid w:val="00D363BC"/>
    <w:rsid w:val="00D36CA1"/>
    <w:rsid w:val="00D406FE"/>
    <w:rsid w:val="00D4101D"/>
    <w:rsid w:val="00D411A7"/>
    <w:rsid w:val="00D41665"/>
    <w:rsid w:val="00D41667"/>
    <w:rsid w:val="00D419FB"/>
    <w:rsid w:val="00D42863"/>
    <w:rsid w:val="00D42A90"/>
    <w:rsid w:val="00D42D35"/>
    <w:rsid w:val="00D42D3D"/>
    <w:rsid w:val="00D43A7F"/>
    <w:rsid w:val="00D45088"/>
    <w:rsid w:val="00D457E4"/>
    <w:rsid w:val="00D46279"/>
    <w:rsid w:val="00D46A28"/>
    <w:rsid w:val="00D4734F"/>
    <w:rsid w:val="00D479E9"/>
    <w:rsid w:val="00D5029D"/>
    <w:rsid w:val="00D504CE"/>
    <w:rsid w:val="00D504EF"/>
    <w:rsid w:val="00D505CA"/>
    <w:rsid w:val="00D50B72"/>
    <w:rsid w:val="00D50D49"/>
    <w:rsid w:val="00D51112"/>
    <w:rsid w:val="00D518FD"/>
    <w:rsid w:val="00D53107"/>
    <w:rsid w:val="00D5314D"/>
    <w:rsid w:val="00D538BA"/>
    <w:rsid w:val="00D53992"/>
    <w:rsid w:val="00D5454B"/>
    <w:rsid w:val="00D54EE1"/>
    <w:rsid w:val="00D55362"/>
    <w:rsid w:val="00D55530"/>
    <w:rsid w:val="00D55C0E"/>
    <w:rsid w:val="00D564DF"/>
    <w:rsid w:val="00D564E9"/>
    <w:rsid w:val="00D5657B"/>
    <w:rsid w:val="00D567CA"/>
    <w:rsid w:val="00D56A87"/>
    <w:rsid w:val="00D57EAE"/>
    <w:rsid w:val="00D57F3F"/>
    <w:rsid w:val="00D60455"/>
    <w:rsid w:val="00D60DAC"/>
    <w:rsid w:val="00D60DC4"/>
    <w:rsid w:val="00D61994"/>
    <w:rsid w:val="00D61C4C"/>
    <w:rsid w:val="00D61F29"/>
    <w:rsid w:val="00D62B10"/>
    <w:rsid w:val="00D62C27"/>
    <w:rsid w:val="00D62F79"/>
    <w:rsid w:val="00D63540"/>
    <w:rsid w:val="00D64329"/>
    <w:rsid w:val="00D647A0"/>
    <w:rsid w:val="00D6504C"/>
    <w:rsid w:val="00D65213"/>
    <w:rsid w:val="00D658B1"/>
    <w:rsid w:val="00D65A3A"/>
    <w:rsid w:val="00D66021"/>
    <w:rsid w:val="00D668CD"/>
    <w:rsid w:val="00D675AF"/>
    <w:rsid w:val="00D67C50"/>
    <w:rsid w:val="00D70883"/>
    <w:rsid w:val="00D70A64"/>
    <w:rsid w:val="00D70DB9"/>
    <w:rsid w:val="00D714C2"/>
    <w:rsid w:val="00D7156A"/>
    <w:rsid w:val="00D71991"/>
    <w:rsid w:val="00D72108"/>
    <w:rsid w:val="00D72954"/>
    <w:rsid w:val="00D72D82"/>
    <w:rsid w:val="00D73243"/>
    <w:rsid w:val="00D73314"/>
    <w:rsid w:val="00D73DC6"/>
    <w:rsid w:val="00D74D96"/>
    <w:rsid w:val="00D752CB"/>
    <w:rsid w:val="00D758AA"/>
    <w:rsid w:val="00D75A6D"/>
    <w:rsid w:val="00D7670C"/>
    <w:rsid w:val="00D770CD"/>
    <w:rsid w:val="00D77863"/>
    <w:rsid w:val="00D80CE8"/>
    <w:rsid w:val="00D80ED0"/>
    <w:rsid w:val="00D812B4"/>
    <w:rsid w:val="00D8153F"/>
    <w:rsid w:val="00D8202C"/>
    <w:rsid w:val="00D82E93"/>
    <w:rsid w:val="00D830FF"/>
    <w:rsid w:val="00D842F6"/>
    <w:rsid w:val="00D8520B"/>
    <w:rsid w:val="00D85D66"/>
    <w:rsid w:val="00D86E04"/>
    <w:rsid w:val="00D8721F"/>
    <w:rsid w:val="00D8798B"/>
    <w:rsid w:val="00D90574"/>
    <w:rsid w:val="00D90808"/>
    <w:rsid w:val="00D90919"/>
    <w:rsid w:val="00D90AAE"/>
    <w:rsid w:val="00D90ADC"/>
    <w:rsid w:val="00D91D2D"/>
    <w:rsid w:val="00D92229"/>
    <w:rsid w:val="00D92BA5"/>
    <w:rsid w:val="00D93913"/>
    <w:rsid w:val="00D93B4D"/>
    <w:rsid w:val="00D9697A"/>
    <w:rsid w:val="00D96D90"/>
    <w:rsid w:val="00D9730B"/>
    <w:rsid w:val="00D97838"/>
    <w:rsid w:val="00DA0446"/>
    <w:rsid w:val="00DA1610"/>
    <w:rsid w:val="00DA1AA3"/>
    <w:rsid w:val="00DA29DE"/>
    <w:rsid w:val="00DA29E2"/>
    <w:rsid w:val="00DA35B9"/>
    <w:rsid w:val="00DA3A17"/>
    <w:rsid w:val="00DA3BAF"/>
    <w:rsid w:val="00DA40B8"/>
    <w:rsid w:val="00DA41AE"/>
    <w:rsid w:val="00DA41B5"/>
    <w:rsid w:val="00DA4457"/>
    <w:rsid w:val="00DA4ECA"/>
    <w:rsid w:val="00DA5841"/>
    <w:rsid w:val="00DA5DAC"/>
    <w:rsid w:val="00DA6478"/>
    <w:rsid w:val="00DA6700"/>
    <w:rsid w:val="00DA74E9"/>
    <w:rsid w:val="00DA766F"/>
    <w:rsid w:val="00DA7910"/>
    <w:rsid w:val="00DB0CA0"/>
    <w:rsid w:val="00DB0DF1"/>
    <w:rsid w:val="00DB129C"/>
    <w:rsid w:val="00DB1561"/>
    <w:rsid w:val="00DB1596"/>
    <w:rsid w:val="00DB1DE5"/>
    <w:rsid w:val="00DB1E5A"/>
    <w:rsid w:val="00DB2FA6"/>
    <w:rsid w:val="00DB36D9"/>
    <w:rsid w:val="00DB432D"/>
    <w:rsid w:val="00DB465B"/>
    <w:rsid w:val="00DB5330"/>
    <w:rsid w:val="00DB5411"/>
    <w:rsid w:val="00DB71A1"/>
    <w:rsid w:val="00DC0B9D"/>
    <w:rsid w:val="00DC0CBE"/>
    <w:rsid w:val="00DC0E28"/>
    <w:rsid w:val="00DC182A"/>
    <w:rsid w:val="00DC198E"/>
    <w:rsid w:val="00DC198F"/>
    <w:rsid w:val="00DC1E4B"/>
    <w:rsid w:val="00DC20EF"/>
    <w:rsid w:val="00DC34D7"/>
    <w:rsid w:val="00DC3A98"/>
    <w:rsid w:val="00DC40DE"/>
    <w:rsid w:val="00DC42C0"/>
    <w:rsid w:val="00DC4835"/>
    <w:rsid w:val="00DC5365"/>
    <w:rsid w:val="00DC5975"/>
    <w:rsid w:val="00DC5BA9"/>
    <w:rsid w:val="00DC5F1D"/>
    <w:rsid w:val="00DC6030"/>
    <w:rsid w:val="00DC6E9E"/>
    <w:rsid w:val="00DC7969"/>
    <w:rsid w:val="00DC7D3C"/>
    <w:rsid w:val="00DC7D46"/>
    <w:rsid w:val="00DC7EC1"/>
    <w:rsid w:val="00DD11A7"/>
    <w:rsid w:val="00DD1B30"/>
    <w:rsid w:val="00DD22FF"/>
    <w:rsid w:val="00DD245B"/>
    <w:rsid w:val="00DD275D"/>
    <w:rsid w:val="00DD3358"/>
    <w:rsid w:val="00DD3402"/>
    <w:rsid w:val="00DD3512"/>
    <w:rsid w:val="00DD36B6"/>
    <w:rsid w:val="00DD419C"/>
    <w:rsid w:val="00DD4586"/>
    <w:rsid w:val="00DD513A"/>
    <w:rsid w:val="00DD57A6"/>
    <w:rsid w:val="00DD65C7"/>
    <w:rsid w:val="00DD671D"/>
    <w:rsid w:val="00DD6D81"/>
    <w:rsid w:val="00DD7717"/>
    <w:rsid w:val="00DD7AD2"/>
    <w:rsid w:val="00DE0112"/>
    <w:rsid w:val="00DE01E3"/>
    <w:rsid w:val="00DE0DCC"/>
    <w:rsid w:val="00DE1844"/>
    <w:rsid w:val="00DE309B"/>
    <w:rsid w:val="00DE3141"/>
    <w:rsid w:val="00DE3985"/>
    <w:rsid w:val="00DE3F35"/>
    <w:rsid w:val="00DE45F6"/>
    <w:rsid w:val="00DE473C"/>
    <w:rsid w:val="00DE48A7"/>
    <w:rsid w:val="00DE4C48"/>
    <w:rsid w:val="00DE594E"/>
    <w:rsid w:val="00DE5E05"/>
    <w:rsid w:val="00DE5E2D"/>
    <w:rsid w:val="00DE67AC"/>
    <w:rsid w:val="00DE6A3E"/>
    <w:rsid w:val="00DE783B"/>
    <w:rsid w:val="00DE7A4A"/>
    <w:rsid w:val="00DF0605"/>
    <w:rsid w:val="00DF08E1"/>
    <w:rsid w:val="00DF0B0C"/>
    <w:rsid w:val="00DF128A"/>
    <w:rsid w:val="00DF12A8"/>
    <w:rsid w:val="00DF1CBB"/>
    <w:rsid w:val="00DF36BC"/>
    <w:rsid w:val="00DF3868"/>
    <w:rsid w:val="00DF44CA"/>
    <w:rsid w:val="00DF44E6"/>
    <w:rsid w:val="00DF46EF"/>
    <w:rsid w:val="00DF508D"/>
    <w:rsid w:val="00DF5188"/>
    <w:rsid w:val="00DF5382"/>
    <w:rsid w:val="00DF540C"/>
    <w:rsid w:val="00DF5D3C"/>
    <w:rsid w:val="00DF6352"/>
    <w:rsid w:val="00DF6792"/>
    <w:rsid w:val="00DF6F0E"/>
    <w:rsid w:val="00DF70AF"/>
    <w:rsid w:val="00DF72BF"/>
    <w:rsid w:val="00DF785C"/>
    <w:rsid w:val="00DF7A77"/>
    <w:rsid w:val="00DF7C83"/>
    <w:rsid w:val="00E004E5"/>
    <w:rsid w:val="00E02352"/>
    <w:rsid w:val="00E02C48"/>
    <w:rsid w:val="00E031A6"/>
    <w:rsid w:val="00E041B5"/>
    <w:rsid w:val="00E04429"/>
    <w:rsid w:val="00E04EBF"/>
    <w:rsid w:val="00E05A4A"/>
    <w:rsid w:val="00E06004"/>
    <w:rsid w:val="00E06FDE"/>
    <w:rsid w:val="00E070EA"/>
    <w:rsid w:val="00E07671"/>
    <w:rsid w:val="00E07783"/>
    <w:rsid w:val="00E103EA"/>
    <w:rsid w:val="00E10516"/>
    <w:rsid w:val="00E10522"/>
    <w:rsid w:val="00E10F8C"/>
    <w:rsid w:val="00E110C4"/>
    <w:rsid w:val="00E11321"/>
    <w:rsid w:val="00E11C35"/>
    <w:rsid w:val="00E12538"/>
    <w:rsid w:val="00E12E5D"/>
    <w:rsid w:val="00E12F15"/>
    <w:rsid w:val="00E13B7E"/>
    <w:rsid w:val="00E14F77"/>
    <w:rsid w:val="00E155C7"/>
    <w:rsid w:val="00E156FF"/>
    <w:rsid w:val="00E15751"/>
    <w:rsid w:val="00E15982"/>
    <w:rsid w:val="00E15F16"/>
    <w:rsid w:val="00E1602D"/>
    <w:rsid w:val="00E16148"/>
    <w:rsid w:val="00E162DC"/>
    <w:rsid w:val="00E16BEA"/>
    <w:rsid w:val="00E1734E"/>
    <w:rsid w:val="00E17ADA"/>
    <w:rsid w:val="00E17B67"/>
    <w:rsid w:val="00E203FC"/>
    <w:rsid w:val="00E20ECE"/>
    <w:rsid w:val="00E21146"/>
    <w:rsid w:val="00E21C1E"/>
    <w:rsid w:val="00E22658"/>
    <w:rsid w:val="00E254D9"/>
    <w:rsid w:val="00E25C08"/>
    <w:rsid w:val="00E25EE0"/>
    <w:rsid w:val="00E26419"/>
    <w:rsid w:val="00E26C12"/>
    <w:rsid w:val="00E27669"/>
    <w:rsid w:val="00E27A52"/>
    <w:rsid w:val="00E27A96"/>
    <w:rsid w:val="00E27CEE"/>
    <w:rsid w:val="00E2F389"/>
    <w:rsid w:val="00E30CCF"/>
    <w:rsid w:val="00E31281"/>
    <w:rsid w:val="00E31E64"/>
    <w:rsid w:val="00E32423"/>
    <w:rsid w:val="00E32BEB"/>
    <w:rsid w:val="00E3342E"/>
    <w:rsid w:val="00E338CF"/>
    <w:rsid w:val="00E33C92"/>
    <w:rsid w:val="00E340D6"/>
    <w:rsid w:val="00E36A0E"/>
    <w:rsid w:val="00E37E4D"/>
    <w:rsid w:val="00E408D5"/>
    <w:rsid w:val="00E40F1F"/>
    <w:rsid w:val="00E41056"/>
    <w:rsid w:val="00E412B1"/>
    <w:rsid w:val="00E415BD"/>
    <w:rsid w:val="00E41A4C"/>
    <w:rsid w:val="00E424A8"/>
    <w:rsid w:val="00E425F9"/>
    <w:rsid w:val="00E428F1"/>
    <w:rsid w:val="00E43970"/>
    <w:rsid w:val="00E44B7C"/>
    <w:rsid w:val="00E44CA1"/>
    <w:rsid w:val="00E45458"/>
    <w:rsid w:val="00E47130"/>
    <w:rsid w:val="00E4719F"/>
    <w:rsid w:val="00E5025D"/>
    <w:rsid w:val="00E50FBC"/>
    <w:rsid w:val="00E51A4A"/>
    <w:rsid w:val="00E51CF5"/>
    <w:rsid w:val="00E52418"/>
    <w:rsid w:val="00E5243F"/>
    <w:rsid w:val="00E52F51"/>
    <w:rsid w:val="00E52F61"/>
    <w:rsid w:val="00E53067"/>
    <w:rsid w:val="00E533D7"/>
    <w:rsid w:val="00E54E4E"/>
    <w:rsid w:val="00E55088"/>
    <w:rsid w:val="00E56450"/>
    <w:rsid w:val="00E56C44"/>
    <w:rsid w:val="00E56F01"/>
    <w:rsid w:val="00E56F9B"/>
    <w:rsid w:val="00E605A2"/>
    <w:rsid w:val="00E609B0"/>
    <w:rsid w:val="00E61072"/>
    <w:rsid w:val="00E611C8"/>
    <w:rsid w:val="00E6132D"/>
    <w:rsid w:val="00E61F97"/>
    <w:rsid w:val="00E6239A"/>
    <w:rsid w:val="00E62731"/>
    <w:rsid w:val="00E62F2E"/>
    <w:rsid w:val="00E63F1A"/>
    <w:rsid w:val="00E65381"/>
    <w:rsid w:val="00E657B0"/>
    <w:rsid w:val="00E65EC4"/>
    <w:rsid w:val="00E668FA"/>
    <w:rsid w:val="00E67035"/>
    <w:rsid w:val="00E673CF"/>
    <w:rsid w:val="00E705A8"/>
    <w:rsid w:val="00E70B45"/>
    <w:rsid w:val="00E70E96"/>
    <w:rsid w:val="00E721A5"/>
    <w:rsid w:val="00E72EBF"/>
    <w:rsid w:val="00E7359F"/>
    <w:rsid w:val="00E73632"/>
    <w:rsid w:val="00E74009"/>
    <w:rsid w:val="00E7466E"/>
    <w:rsid w:val="00E74739"/>
    <w:rsid w:val="00E74DB0"/>
    <w:rsid w:val="00E74E66"/>
    <w:rsid w:val="00E75614"/>
    <w:rsid w:val="00E757C8"/>
    <w:rsid w:val="00E76535"/>
    <w:rsid w:val="00E76F90"/>
    <w:rsid w:val="00E7735E"/>
    <w:rsid w:val="00E77996"/>
    <w:rsid w:val="00E779F1"/>
    <w:rsid w:val="00E8050D"/>
    <w:rsid w:val="00E809C8"/>
    <w:rsid w:val="00E81BC5"/>
    <w:rsid w:val="00E824F6"/>
    <w:rsid w:val="00E82903"/>
    <w:rsid w:val="00E82D87"/>
    <w:rsid w:val="00E833BD"/>
    <w:rsid w:val="00E834A0"/>
    <w:rsid w:val="00E8520F"/>
    <w:rsid w:val="00E85691"/>
    <w:rsid w:val="00E86BE2"/>
    <w:rsid w:val="00E8787F"/>
    <w:rsid w:val="00E8793E"/>
    <w:rsid w:val="00E87BED"/>
    <w:rsid w:val="00E903D5"/>
    <w:rsid w:val="00E903E8"/>
    <w:rsid w:val="00E904DC"/>
    <w:rsid w:val="00E90524"/>
    <w:rsid w:val="00E90699"/>
    <w:rsid w:val="00E909FF"/>
    <w:rsid w:val="00E90E9C"/>
    <w:rsid w:val="00E91734"/>
    <w:rsid w:val="00E91B7D"/>
    <w:rsid w:val="00E91F15"/>
    <w:rsid w:val="00E926FB"/>
    <w:rsid w:val="00E92B2B"/>
    <w:rsid w:val="00E93164"/>
    <w:rsid w:val="00E94252"/>
    <w:rsid w:val="00E943EA"/>
    <w:rsid w:val="00E94FC2"/>
    <w:rsid w:val="00E95509"/>
    <w:rsid w:val="00E957EB"/>
    <w:rsid w:val="00E96DEA"/>
    <w:rsid w:val="00EA06D9"/>
    <w:rsid w:val="00EA2D5A"/>
    <w:rsid w:val="00EA2E3B"/>
    <w:rsid w:val="00EA3D6E"/>
    <w:rsid w:val="00EA3DA3"/>
    <w:rsid w:val="00EA3FC4"/>
    <w:rsid w:val="00EA4091"/>
    <w:rsid w:val="00EA44F3"/>
    <w:rsid w:val="00EA50D6"/>
    <w:rsid w:val="00EA5A62"/>
    <w:rsid w:val="00EA5ED1"/>
    <w:rsid w:val="00EA62AE"/>
    <w:rsid w:val="00EA7393"/>
    <w:rsid w:val="00EA7B70"/>
    <w:rsid w:val="00EB1074"/>
    <w:rsid w:val="00EB13C1"/>
    <w:rsid w:val="00EB1848"/>
    <w:rsid w:val="00EB1D79"/>
    <w:rsid w:val="00EB2300"/>
    <w:rsid w:val="00EB2ABA"/>
    <w:rsid w:val="00EB34D6"/>
    <w:rsid w:val="00EB3A85"/>
    <w:rsid w:val="00EB3D1B"/>
    <w:rsid w:val="00EB4451"/>
    <w:rsid w:val="00EB47F0"/>
    <w:rsid w:val="00EB6077"/>
    <w:rsid w:val="00EB6122"/>
    <w:rsid w:val="00EB6223"/>
    <w:rsid w:val="00EB635D"/>
    <w:rsid w:val="00EB6ADB"/>
    <w:rsid w:val="00EB6DB3"/>
    <w:rsid w:val="00EB71CA"/>
    <w:rsid w:val="00EB7399"/>
    <w:rsid w:val="00EC0CF8"/>
    <w:rsid w:val="00EC1599"/>
    <w:rsid w:val="00EC17F6"/>
    <w:rsid w:val="00EC17FC"/>
    <w:rsid w:val="00EC1D4F"/>
    <w:rsid w:val="00EC24E2"/>
    <w:rsid w:val="00EC299F"/>
    <w:rsid w:val="00EC3141"/>
    <w:rsid w:val="00EC3206"/>
    <w:rsid w:val="00EC3E89"/>
    <w:rsid w:val="00EC48E0"/>
    <w:rsid w:val="00EC4D87"/>
    <w:rsid w:val="00EC4E49"/>
    <w:rsid w:val="00EC5CF0"/>
    <w:rsid w:val="00EC6267"/>
    <w:rsid w:val="00EC63EE"/>
    <w:rsid w:val="00EC6AF7"/>
    <w:rsid w:val="00EC7396"/>
    <w:rsid w:val="00ED00C5"/>
    <w:rsid w:val="00ED06F9"/>
    <w:rsid w:val="00ED07D5"/>
    <w:rsid w:val="00ED0965"/>
    <w:rsid w:val="00ED0B0B"/>
    <w:rsid w:val="00ED1099"/>
    <w:rsid w:val="00ED1434"/>
    <w:rsid w:val="00ED18D7"/>
    <w:rsid w:val="00ED1E5F"/>
    <w:rsid w:val="00ED23C8"/>
    <w:rsid w:val="00ED25D0"/>
    <w:rsid w:val="00ED32E7"/>
    <w:rsid w:val="00ED377F"/>
    <w:rsid w:val="00ED3F90"/>
    <w:rsid w:val="00ED43E1"/>
    <w:rsid w:val="00ED4F90"/>
    <w:rsid w:val="00ED5939"/>
    <w:rsid w:val="00ED5B0C"/>
    <w:rsid w:val="00ED60D0"/>
    <w:rsid w:val="00ED6830"/>
    <w:rsid w:val="00ED6D16"/>
    <w:rsid w:val="00ED73FE"/>
    <w:rsid w:val="00ED75A8"/>
    <w:rsid w:val="00ED7727"/>
    <w:rsid w:val="00ED7BE6"/>
    <w:rsid w:val="00EE1B38"/>
    <w:rsid w:val="00EE28D1"/>
    <w:rsid w:val="00EE2FCA"/>
    <w:rsid w:val="00EE31FA"/>
    <w:rsid w:val="00EE39F8"/>
    <w:rsid w:val="00EE3B66"/>
    <w:rsid w:val="00EE44C1"/>
    <w:rsid w:val="00EE4618"/>
    <w:rsid w:val="00EE4627"/>
    <w:rsid w:val="00EE4766"/>
    <w:rsid w:val="00EE52F7"/>
    <w:rsid w:val="00EE5833"/>
    <w:rsid w:val="00EE5A0F"/>
    <w:rsid w:val="00EE5E9E"/>
    <w:rsid w:val="00EE6621"/>
    <w:rsid w:val="00EF0AED"/>
    <w:rsid w:val="00EF0C33"/>
    <w:rsid w:val="00EF0DC8"/>
    <w:rsid w:val="00EF16D6"/>
    <w:rsid w:val="00EF1E9F"/>
    <w:rsid w:val="00EF2A9C"/>
    <w:rsid w:val="00EF2B89"/>
    <w:rsid w:val="00EF443F"/>
    <w:rsid w:val="00EF45F6"/>
    <w:rsid w:val="00EF4D7E"/>
    <w:rsid w:val="00EF4FCB"/>
    <w:rsid w:val="00EF6121"/>
    <w:rsid w:val="00EF6634"/>
    <w:rsid w:val="00EF6A8C"/>
    <w:rsid w:val="00EF75A7"/>
    <w:rsid w:val="00F00C22"/>
    <w:rsid w:val="00F00EBF"/>
    <w:rsid w:val="00F017B8"/>
    <w:rsid w:val="00F02779"/>
    <w:rsid w:val="00F027D0"/>
    <w:rsid w:val="00F032BF"/>
    <w:rsid w:val="00F03532"/>
    <w:rsid w:val="00F037A2"/>
    <w:rsid w:val="00F03830"/>
    <w:rsid w:val="00F038EF"/>
    <w:rsid w:val="00F04855"/>
    <w:rsid w:val="00F048EF"/>
    <w:rsid w:val="00F07398"/>
    <w:rsid w:val="00F07EAB"/>
    <w:rsid w:val="00F10CB2"/>
    <w:rsid w:val="00F10EAF"/>
    <w:rsid w:val="00F10F8B"/>
    <w:rsid w:val="00F11E23"/>
    <w:rsid w:val="00F12F12"/>
    <w:rsid w:val="00F13001"/>
    <w:rsid w:val="00F132A0"/>
    <w:rsid w:val="00F1406A"/>
    <w:rsid w:val="00F1529C"/>
    <w:rsid w:val="00F155D0"/>
    <w:rsid w:val="00F15A40"/>
    <w:rsid w:val="00F15E4A"/>
    <w:rsid w:val="00F17098"/>
    <w:rsid w:val="00F174CD"/>
    <w:rsid w:val="00F179BE"/>
    <w:rsid w:val="00F17A46"/>
    <w:rsid w:val="00F17AFF"/>
    <w:rsid w:val="00F17B31"/>
    <w:rsid w:val="00F17CBE"/>
    <w:rsid w:val="00F20040"/>
    <w:rsid w:val="00F20934"/>
    <w:rsid w:val="00F20B9E"/>
    <w:rsid w:val="00F20CE1"/>
    <w:rsid w:val="00F211F6"/>
    <w:rsid w:val="00F2207E"/>
    <w:rsid w:val="00F22912"/>
    <w:rsid w:val="00F229F6"/>
    <w:rsid w:val="00F23197"/>
    <w:rsid w:val="00F25BFB"/>
    <w:rsid w:val="00F262E8"/>
    <w:rsid w:val="00F266AC"/>
    <w:rsid w:val="00F26841"/>
    <w:rsid w:val="00F26B17"/>
    <w:rsid w:val="00F27B9C"/>
    <w:rsid w:val="00F27D1D"/>
    <w:rsid w:val="00F27E1A"/>
    <w:rsid w:val="00F30B57"/>
    <w:rsid w:val="00F31181"/>
    <w:rsid w:val="00F3153F"/>
    <w:rsid w:val="00F32F74"/>
    <w:rsid w:val="00F33CAA"/>
    <w:rsid w:val="00F33E7C"/>
    <w:rsid w:val="00F33EF6"/>
    <w:rsid w:val="00F34B22"/>
    <w:rsid w:val="00F35DBA"/>
    <w:rsid w:val="00F36603"/>
    <w:rsid w:val="00F366FD"/>
    <w:rsid w:val="00F367E9"/>
    <w:rsid w:val="00F368EC"/>
    <w:rsid w:val="00F37127"/>
    <w:rsid w:val="00F37752"/>
    <w:rsid w:val="00F41914"/>
    <w:rsid w:val="00F42F88"/>
    <w:rsid w:val="00F436D5"/>
    <w:rsid w:val="00F437CC"/>
    <w:rsid w:val="00F43A19"/>
    <w:rsid w:val="00F44ED9"/>
    <w:rsid w:val="00F44F57"/>
    <w:rsid w:val="00F45FA3"/>
    <w:rsid w:val="00F46539"/>
    <w:rsid w:val="00F467FB"/>
    <w:rsid w:val="00F46DD2"/>
    <w:rsid w:val="00F47B62"/>
    <w:rsid w:val="00F47F09"/>
    <w:rsid w:val="00F47FBD"/>
    <w:rsid w:val="00F50435"/>
    <w:rsid w:val="00F50A38"/>
    <w:rsid w:val="00F50C5C"/>
    <w:rsid w:val="00F5109A"/>
    <w:rsid w:val="00F51924"/>
    <w:rsid w:val="00F51B08"/>
    <w:rsid w:val="00F5200D"/>
    <w:rsid w:val="00F520BE"/>
    <w:rsid w:val="00F5257A"/>
    <w:rsid w:val="00F52BA9"/>
    <w:rsid w:val="00F52C13"/>
    <w:rsid w:val="00F52CB6"/>
    <w:rsid w:val="00F53425"/>
    <w:rsid w:val="00F53E12"/>
    <w:rsid w:val="00F54364"/>
    <w:rsid w:val="00F55B8F"/>
    <w:rsid w:val="00F55BAE"/>
    <w:rsid w:val="00F561BD"/>
    <w:rsid w:val="00F562D7"/>
    <w:rsid w:val="00F57BA3"/>
    <w:rsid w:val="00F6053E"/>
    <w:rsid w:val="00F60726"/>
    <w:rsid w:val="00F607F8"/>
    <w:rsid w:val="00F60DAB"/>
    <w:rsid w:val="00F614B2"/>
    <w:rsid w:val="00F61C5C"/>
    <w:rsid w:val="00F6206D"/>
    <w:rsid w:val="00F6228C"/>
    <w:rsid w:val="00F6233A"/>
    <w:rsid w:val="00F6314C"/>
    <w:rsid w:val="00F6447B"/>
    <w:rsid w:val="00F6450B"/>
    <w:rsid w:val="00F6450F"/>
    <w:rsid w:val="00F64566"/>
    <w:rsid w:val="00F6491C"/>
    <w:rsid w:val="00F64F39"/>
    <w:rsid w:val="00F66677"/>
    <w:rsid w:val="00F67457"/>
    <w:rsid w:val="00F67926"/>
    <w:rsid w:val="00F6796E"/>
    <w:rsid w:val="00F67D60"/>
    <w:rsid w:val="00F704A5"/>
    <w:rsid w:val="00F7082F"/>
    <w:rsid w:val="00F708FD"/>
    <w:rsid w:val="00F7182D"/>
    <w:rsid w:val="00F71CAC"/>
    <w:rsid w:val="00F738C9"/>
    <w:rsid w:val="00F74679"/>
    <w:rsid w:val="00F749A8"/>
    <w:rsid w:val="00F75CDD"/>
    <w:rsid w:val="00F7616A"/>
    <w:rsid w:val="00F76458"/>
    <w:rsid w:val="00F76583"/>
    <w:rsid w:val="00F76EB9"/>
    <w:rsid w:val="00F81108"/>
    <w:rsid w:val="00F8136E"/>
    <w:rsid w:val="00F81851"/>
    <w:rsid w:val="00F81CE1"/>
    <w:rsid w:val="00F81CEB"/>
    <w:rsid w:val="00F81DA4"/>
    <w:rsid w:val="00F82CA6"/>
    <w:rsid w:val="00F83C68"/>
    <w:rsid w:val="00F847E0"/>
    <w:rsid w:val="00F84953"/>
    <w:rsid w:val="00F852FB"/>
    <w:rsid w:val="00F85851"/>
    <w:rsid w:val="00F85AE5"/>
    <w:rsid w:val="00F85F0E"/>
    <w:rsid w:val="00F8612F"/>
    <w:rsid w:val="00F86EAB"/>
    <w:rsid w:val="00F878EF"/>
    <w:rsid w:val="00F90CDF"/>
    <w:rsid w:val="00F91733"/>
    <w:rsid w:val="00F92DB0"/>
    <w:rsid w:val="00F93B23"/>
    <w:rsid w:val="00F93D2C"/>
    <w:rsid w:val="00F94BAC"/>
    <w:rsid w:val="00F957CE"/>
    <w:rsid w:val="00F95892"/>
    <w:rsid w:val="00F960B5"/>
    <w:rsid w:val="00F965C3"/>
    <w:rsid w:val="00F97230"/>
    <w:rsid w:val="00F972DA"/>
    <w:rsid w:val="00FA10D1"/>
    <w:rsid w:val="00FA1C1B"/>
    <w:rsid w:val="00FA2AA4"/>
    <w:rsid w:val="00FA3D8A"/>
    <w:rsid w:val="00FA5068"/>
    <w:rsid w:val="00FA50C5"/>
    <w:rsid w:val="00FA5F3E"/>
    <w:rsid w:val="00FA7713"/>
    <w:rsid w:val="00FB05E3"/>
    <w:rsid w:val="00FB10F8"/>
    <w:rsid w:val="00FB1655"/>
    <w:rsid w:val="00FB176C"/>
    <w:rsid w:val="00FB1779"/>
    <w:rsid w:val="00FB19AA"/>
    <w:rsid w:val="00FB2AD9"/>
    <w:rsid w:val="00FB372F"/>
    <w:rsid w:val="00FB4184"/>
    <w:rsid w:val="00FB46B6"/>
    <w:rsid w:val="00FB528D"/>
    <w:rsid w:val="00FB5A59"/>
    <w:rsid w:val="00FB5E21"/>
    <w:rsid w:val="00FB604C"/>
    <w:rsid w:val="00FB63BF"/>
    <w:rsid w:val="00FB6E17"/>
    <w:rsid w:val="00FB7211"/>
    <w:rsid w:val="00FC0FB9"/>
    <w:rsid w:val="00FC10E5"/>
    <w:rsid w:val="00FC1941"/>
    <w:rsid w:val="00FC1A75"/>
    <w:rsid w:val="00FC1BD5"/>
    <w:rsid w:val="00FC323B"/>
    <w:rsid w:val="00FC38DE"/>
    <w:rsid w:val="00FC3EF8"/>
    <w:rsid w:val="00FC4E25"/>
    <w:rsid w:val="00FC5549"/>
    <w:rsid w:val="00FC624C"/>
    <w:rsid w:val="00FC66EF"/>
    <w:rsid w:val="00FC6FAD"/>
    <w:rsid w:val="00FC74FD"/>
    <w:rsid w:val="00FC7538"/>
    <w:rsid w:val="00FC7708"/>
    <w:rsid w:val="00FC7B62"/>
    <w:rsid w:val="00FC7D9E"/>
    <w:rsid w:val="00FC7F0D"/>
    <w:rsid w:val="00FD0A5D"/>
    <w:rsid w:val="00FD0BA0"/>
    <w:rsid w:val="00FD0D31"/>
    <w:rsid w:val="00FD141A"/>
    <w:rsid w:val="00FD19CA"/>
    <w:rsid w:val="00FD1DBD"/>
    <w:rsid w:val="00FD259A"/>
    <w:rsid w:val="00FD26D1"/>
    <w:rsid w:val="00FD29C8"/>
    <w:rsid w:val="00FD2C8F"/>
    <w:rsid w:val="00FD4312"/>
    <w:rsid w:val="00FD5124"/>
    <w:rsid w:val="00FD5153"/>
    <w:rsid w:val="00FD5FF8"/>
    <w:rsid w:val="00FD6297"/>
    <w:rsid w:val="00FD66FE"/>
    <w:rsid w:val="00FD6AE2"/>
    <w:rsid w:val="00FD6D33"/>
    <w:rsid w:val="00FD70C4"/>
    <w:rsid w:val="00FD73D3"/>
    <w:rsid w:val="00FD75EC"/>
    <w:rsid w:val="00FD779C"/>
    <w:rsid w:val="00FD7A45"/>
    <w:rsid w:val="00FDE9DC"/>
    <w:rsid w:val="00FE020A"/>
    <w:rsid w:val="00FE0364"/>
    <w:rsid w:val="00FE0FF1"/>
    <w:rsid w:val="00FE2307"/>
    <w:rsid w:val="00FE26A6"/>
    <w:rsid w:val="00FE2A80"/>
    <w:rsid w:val="00FE2E8B"/>
    <w:rsid w:val="00FE2ED3"/>
    <w:rsid w:val="00FE305F"/>
    <w:rsid w:val="00FE40F5"/>
    <w:rsid w:val="00FE59AF"/>
    <w:rsid w:val="00FE6457"/>
    <w:rsid w:val="00FE64F8"/>
    <w:rsid w:val="00FE70BD"/>
    <w:rsid w:val="00FE71B4"/>
    <w:rsid w:val="00FE7568"/>
    <w:rsid w:val="00FE7880"/>
    <w:rsid w:val="00FE7A75"/>
    <w:rsid w:val="00FF0800"/>
    <w:rsid w:val="00FF09CB"/>
    <w:rsid w:val="00FF0D26"/>
    <w:rsid w:val="00FF13A5"/>
    <w:rsid w:val="00FF223F"/>
    <w:rsid w:val="00FF2D99"/>
    <w:rsid w:val="00FF3E8D"/>
    <w:rsid w:val="00FF4181"/>
    <w:rsid w:val="00FF4581"/>
    <w:rsid w:val="00FF4A5E"/>
    <w:rsid w:val="00FF5ED9"/>
    <w:rsid w:val="00FF5FF1"/>
    <w:rsid w:val="00FF77AE"/>
    <w:rsid w:val="00FF7F25"/>
    <w:rsid w:val="01141CE1"/>
    <w:rsid w:val="011EAE20"/>
    <w:rsid w:val="01301D2D"/>
    <w:rsid w:val="015945A6"/>
    <w:rsid w:val="015F6E4C"/>
    <w:rsid w:val="0162D19E"/>
    <w:rsid w:val="016A92E7"/>
    <w:rsid w:val="017A33EF"/>
    <w:rsid w:val="0180A11A"/>
    <w:rsid w:val="01904738"/>
    <w:rsid w:val="01AAAB94"/>
    <w:rsid w:val="01B6E984"/>
    <w:rsid w:val="01C3B3CB"/>
    <w:rsid w:val="01DB2845"/>
    <w:rsid w:val="02101FF3"/>
    <w:rsid w:val="0214E8E7"/>
    <w:rsid w:val="02246921"/>
    <w:rsid w:val="022AB7A6"/>
    <w:rsid w:val="0230378F"/>
    <w:rsid w:val="02317244"/>
    <w:rsid w:val="02329508"/>
    <w:rsid w:val="0235D975"/>
    <w:rsid w:val="023D3FF7"/>
    <w:rsid w:val="0248D439"/>
    <w:rsid w:val="0254DED6"/>
    <w:rsid w:val="0279AC72"/>
    <w:rsid w:val="0287FA13"/>
    <w:rsid w:val="02A35FC9"/>
    <w:rsid w:val="02A4FA4C"/>
    <w:rsid w:val="02AF3C5B"/>
    <w:rsid w:val="02B3EBC4"/>
    <w:rsid w:val="02B5E1D2"/>
    <w:rsid w:val="02B74ADE"/>
    <w:rsid w:val="02E5D469"/>
    <w:rsid w:val="02E7935B"/>
    <w:rsid w:val="02EB18F8"/>
    <w:rsid w:val="031F5240"/>
    <w:rsid w:val="033147F3"/>
    <w:rsid w:val="03351613"/>
    <w:rsid w:val="03502A2F"/>
    <w:rsid w:val="0352B14F"/>
    <w:rsid w:val="03610FB0"/>
    <w:rsid w:val="0364A84D"/>
    <w:rsid w:val="036FE309"/>
    <w:rsid w:val="038E2E6E"/>
    <w:rsid w:val="0394C12C"/>
    <w:rsid w:val="03957453"/>
    <w:rsid w:val="03A99274"/>
    <w:rsid w:val="03B2AA94"/>
    <w:rsid w:val="03F8A8A1"/>
    <w:rsid w:val="040B27AD"/>
    <w:rsid w:val="04101F98"/>
    <w:rsid w:val="04124C69"/>
    <w:rsid w:val="041A055C"/>
    <w:rsid w:val="0463732C"/>
    <w:rsid w:val="04883426"/>
    <w:rsid w:val="04C56A51"/>
    <w:rsid w:val="04DA46CB"/>
    <w:rsid w:val="04F3666A"/>
    <w:rsid w:val="04F3EE43"/>
    <w:rsid w:val="050A93FA"/>
    <w:rsid w:val="050E21C6"/>
    <w:rsid w:val="052AB98E"/>
    <w:rsid w:val="0536605F"/>
    <w:rsid w:val="053AE694"/>
    <w:rsid w:val="05479FF2"/>
    <w:rsid w:val="055BFE74"/>
    <w:rsid w:val="05615851"/>
    <w:rsid w:val="057F07E4"/>
    <w:rsid w:val="05896704"/>
    <w:rsid w:val="059E853A"/>
    <w:rsid w:val="05A1C90B"/>
    <w:rsid w:val="05A20D88"/>
    <w:rsid w:val="05A821FF"/>
    <w:rsid w:val="05A9BA95"/>
    <w:rsid w:val="05B433CD"/>
    <w:rsid w:val="05B77783"/>
    <w:rsid w:val="05C2BA76"/>
    <w:rsid w:val="05C90C3C"/>
    <w:rsid w:val="05EBBBE9"/>
    <w:rsid w:val="05F467A3"/>
    <w:rsid w:val="06119729"/>
    <w:rsid w:val="061649A6"/>
    <w:rsid w:val="0617E436"/>
    <w:rsid w:val="063DBC85"/>
    <w:rsid w:val="06482322"/>
    <w:rsid w:val="0658B441"/>
    <w:rsid w:val="065FEEEE"/>
    <w:rsid w:val="0679456D"/>
    <w:rsid w:val="06A6E12E"/>
    <w:rsid w:val="06A9EB8E"/>
    <w:rsid w:val="06BCB5AA"/>
    <w:rsid w:val="06DF1579"/>
    <w:rsid w:val="06E9A832"/>
    <w:rsid w:val="06F171E8"/>
    <w:rsid w:val="06F8B52B"/>
    <w:rsid w:val="06FDE8F6"/>
    <w:rsid w:val="072F7CBE"/>
    <w:rsid w:val="07350817"/>
    <w:rsid w:val="073846D6"/>
    <w:rsid w:val="0739F324"/>
    <w:rsid w:val="073FF79F"/>
    <w:rsid w:val="07486C01"/>
    <w:rsid w:val="07820BCE"/>
    <w:rsid w:val="078F8642"/>
    <w:rsid w:val="079D6A2C"/>
    <w:rsid w:val="07A809BA"/>
    <w:rsid w:val="07B02555"/>
    <w:rsid w:val="07B7A835"/>
    <w:rsid w:val="07C3CCA8"/>
    <w:rsid w:val="07DA6050"/>
    <w:rsid w:val="07F852C6"/>
    <w:rsid w:val="080EEA00"/>
    <w:rsid w:val="082A6FB4"/>
    <w:rsid w:val="08366ACF"/>
    <w:rsid w:val="084A7B01"/>
    <w:rsid w:val="084DE8EE"/>
    <w:rsid w:val="0875BAA7"/>
    <w:rsid w:val="08870A61"/>
    <w:rsid w:val="088D218C"/>
    <w:rsid w:val="089D98F4"/>
    <w:rsid w:val="08A3EC09"/>
    <w:rsid w:val="08BA72A2"/>
    <w:rsid w:val="08DDADDD"/>
    <w:rsid w:val="08E8A2FB"/>
    <w:rsid w:val="090B9B3B"/>
    <w:rsid w:val="0921EED6"/>
    <w:rsid w:val="09299067"/>
    <w:rsid w:val="0963AA47"/>
    <w:rsid w:val="097A8D53"/>
    <w:rsid w:val="097D2678"/>
    <w:rsid w:val="098A32CB"/>
    <w:rsid w:val="09A18AFC"/>
    <w:rsid w:val="09C4DF4F"/>
    <w:rsid w:val="09EAA786"/>
    <w:rsid w:val="0A1D8CC4"/>
    <w:rsid w:val="0A2EE63A"/>
    <w:rsid w:val="0A35D7A1"/>
    <w:rsid w:val="0A505840"/>
    <w:rsid w:val="0A529ACB"/>
    <w:rsid w:val="0A977B4C"/>
    <w:rsid w:val="0AB1B098"/>
    <w:rsid w:val="0AC9DA0B"/>
    <w:rsid w:val="0AD04600"/>
    <w:rsid w:val="0AD981C3"/>
    <w:rsid w:val="0AE62E1B"/>
    <w:rsid w:val="0B4DA7E3"/>
    <w:rsid w:val="0B67412A"/>
    <w:rsid w:val="0B73F2B8"/>
    <w:rsid w:val="0B7DDC04"/>
    <w:rsid w:val="0B7E05F2"/>
    <w:rsid w:val="0BBDE524"/>
    <w:rsid w:val="0BCBC060"/>
    <w:rsid w:val="0BD00873"/>
    <w:rsid w:val="0BD539B6"/>
    <w:rsid w:val="0BEF1F07"/>
    <w:rsid w:val="0C023159"/>
    <w:rsid w:val="0C2C3A7E"/>
    <w:rsid w:val="0C35FEE0"/>
    <w:rsid w:val="0C517D4B"/>
    <w:rsid w:val="0C66615F"/>
    <w:rsid w:val="0C6AF841"/>
    <w:rsid w:val="0C82FF00"/>
    <w:rsid w:val="0C8731A1"/>
    <w:rsid w:val="0C8B2F72"/>
    <w:rsid w:val="0C8F6D05"/>
    <w:rsid w:val="0C9965E6"/>
    <w:rsid w:val="0CA6B2F2"/>
    <w:rsid w:val="0CA95893"/>
    <w:rsid w:val="0CCE1636"/>
    <w:rsid w:val="0D1A7BFA"/>
    <w:rsid w:val="0D2B476A"/>
    <w:rsid w:val="0D48C17B"/>
    <w:rsid w:val="0D4B8047"/>
    <w:rsid w:val="0D4CED07"/>
    <w:rsid w:val="0D6D2792"/>
    <w:rsid w:val="0D80B610"/>
    <w:rsid w:val="0D89F3C4"/>
    <w:rsid w:val="0D8CC6E3"/>
    <w:rsid w:val="0D959B71"/>
    <w:rsid w:val="0D96ABB3"/>
    <w:rsid w:val="0D9F6C2D"/>
    <w:rsid w:val="0DA050A5"/>
    <w:rsid w:val="0DB11F00"/>
    <w:rsid w:val="0DB76685"/>
    <w:rsid w:val="0DBDF24A"/>
    <w:rsid w:val="0DE1ACFF"/>
    <w:rsid w:val="0DECF9A7"/>
    <w:rsid w:val="0DF2E30C"/>
    <w:rsid w:val="0E014B38"/>
    <w:rsid w:val="0E046191"/>
    <w:rsid w:val="0E2FB7E8"/>
    <w:rsid w:val="0E31FB05"/>
    <w:rsid w:val="0E49F74C"/>
    <w:rsid w:val="0E4D85F9"/>
    <w:rsid w:val="0E683754"/>
    <w:rsid w:val="0E6987CC"/>
    <w:rsid w:val="0EACABFC"/>
    <w:rsid w:val="0EACF1A2"/>
    <w:rsid w:val="0EB5B632"/>
    <w:rsid w:val="0EB76427"/>
    <w:rsid w:val="0EBF3723"/>
    <w:rsid w:val="0EC05D00"/>
    <w:rsid w:val="0EDAED77"/>
    <w:rsid w:val="0F072769"/>
    <w:rsid w:val="0F1EACF9"/>
    <w:rsid w:val="0F21252F"/>
    <w:rsid w:val="0F2C762A"/>
    <w:rsid w:val="0F4B3FC3"/>
    <w:rsid w:val="0F543EDB"/>
    <w:rsid w:val="0F548699"/>
    <w:rsid w:val="0F5AADB7"/>
    <w:rsid w:val="0F61A4E1"/>
    <w:rsid w:val="0F6C08DB"/>
    <w:rsid w:val="0F7686D6"/>
    <w:rsid w:val="0F7A819C"/>
    <w:rsid w:val="0F89909F"/>
    <w:rsid w:val="0FDF2B1D"/>
    <w:rsid w:val="0FED409E"/>
    <w:rsid w:val="0FF4C882"/>
    <w:rsid w:val="0FF79FCF"/>
    <w:rsid w:val="101AB9BE"/>
    <w:rsid w:val="101E844B"/>
    <w:rsid w:val="102E4FDB"/>
    <w:rsid w:val="10381CD6"/>
    <w:rsid w:val="10661A01"/>
    <w:rsid w:val="106B0456"/>
    <w:rsid w:val="108FE23F"/>
    <w:rsid w:val="10BE8F76"/>
    <w:rsid w:val="10E02A50"/>
    <w:rsid w:val="10E9C28E"/>
    <w:rsid w:val="111F031C"/>
    <w:rsid w:val="1125213F"/>
    <w:rsid w:val="113366BE"/>
    <w:rsid w:val="11482E25"/>
    <w:rsid w:val="114DEC20"/>
    <w:rsid w:val="115CC917"/>
    <w:rsid w:val="116342F8"/>
    <w:rsid w:val="1170677C"/>
    <w:rsid w:val="117AFB7E"/>
    <w:rsid w:val="1184DDBF"/>
    <w:rsid w:val="118F65D6"/>
    <w:rsid w:val="1194FF3D"/>
    <w:rsid w:val="119EBE57"/>
    <w:rsid w:val="11ABCB49"/>
    <w:rsid w:val="11B1B484"/>
    <w:rsid w:val="11DF42F0"/>
    <w:rsid w:val="11EA86B1"/>
    <w:rsid w:val="11EDBB42"/>
    <w:rsid w:val="12184107"/>
    <w:rsid w:val="121F9F8A"/>
    <w:rsid w:val="122567DB"/>
    <w:rsid w:val="123E0D5E"/>
    <w:rsid w:val="12448453"/>
    <w:rsid w:val="125A53D1"/>
    <w:rsid w:val="12617B6A"/>
    <w:rsid w:val="1278C42F"/>
    <w:rsid w:val="1290589C"/>
    <w:rsid w:val="129A6DD5"/>
    <w:rsid w:val="12C4B003"/>
    <w:rsid w:val="12CE3BBA"/>
    <w:rsid w:val="12E3FE86"/>
    <w:rsid w:val="12E49D3D"/>
    <w:rsid w:val="12F6426B"/>
    <w:rsid w:val="13083461"/>
    <w:rsid w:val="130DC30C"/>
    <w:rsid w:val="131C81EC"/>
    <w:rsid w:val="1320FF2F"/>
    <w:rsid w:val="1321FDD3"/>
    <w:rsid w:val="13262E72"/>
    <w:rsid w:val="133BAB55"/>
    <w:rsid w:val="13486F90"/>
    <w:rsid w:val="139BC7AE"/>
    <w:rsid w:val="13A71BA9"/>
    <w:rsid w:val="13A8FDCF"/>
    <w:rsid w:val="13B4EA00"/>
    <w:rsid w:val="13B56469"/>
    <w:rsid w:val="13DF6009"/>
    <w:rsid w:val="13F57AB1"/>
    <w:rsid w:val="14045F22"/>
    <w:rsid w:val="14099025"/>
    <w:rsid w:val="141EB0E6"/>
    <w:rsid w:val="1422E337"/>
    <w:rsid w:val="1427E868"/>
    <w:rsid w:val="145BF7B8"/>
    <w:rsid w:val="145E7F14"/>
    <w:rsid w:val="146D420C"/>
    <w:rsid w:val="14A2A301"/>
    <w:rsid w:val="14C074AF"/>
    <w:rsid w:val="14CC5B66"/>
    <w:rsid w:val="14E04844"/>
    <w:rsid w:val="14EB546F"/>
    <w:rsid w:val="150FD5AC"/>
    <w:rsid w:val="151C3326"/>
    <w:rsid w:val="151E29A2"/>
    <w:rsid w:val="1558EB18"/>
    <w:rsid w:val="155B83C1"/>
    <w:rsid w:val="155D089D"/>
    <w:rsid w:val="15709CC2"/>
    <w:rsid w:val="1573001A"/>
    <w:rsid w:val="157F3A17"/>
    <w:rsid w:val="15A5CF2E"/>
    <w:rsid w:val="15A7F8CD"/>
    <w:rsid w:val="15B3E92A"/>
    <w:rsid w:val="15C5095E"/>
    <w:rsid w:val="15D13E33"/>
    <w:rsid w:val="15E098F5"/>
    <w:rsid w:val="15F8F7AF"/>
    <w:rsid w:val="15FA46BC"/>
    <w:rsid w:val="161AFA1D"/>
    <w:rsid w:val="162AA8A8"/>
    <w:rsid w:val="162C1676"/>
    <w:rsid w:val="16460D54"/>
    <w:rsid w:val="165EED94"/>
    <w:rsid w:val="168073CF"/>
    <w:rsid w:val="168254E3"/>
    <w:rsid w:val="169E1AF5"/>
    <w:rsid w:val="16ABA60D"/>
    <w:rsid w:val="16E9A22E"/>
    <w:rsid w:val="16EC8AC2"/>
    <w:rsid w:val="1709B36C"/>
    <w:rsid w:val="173CF775"/>
    <w:rsid w:val="17838C93"/>
    <w:rsid w:val="17867C34"/>
    <w:rsid w:val="1788ABFF"/>
    <w:rsid w:val="178A1072"/>
    <w:rsid w:val="179ADC7A"/>
    <w:rsid w:val="17BA6FD9"/>
    <w:rsid w:val="17C62AF0"/>
    <w:rsid w:val="17C99D70"/>
    <w:rsid w:val="17CBAAB0"/>
    <w:rsid w:val="17DB8750"/>
    <w:rsid w:val="17F3D8E3"/>
    <w:rsid w:val="17F47D6D"/>
    <w:rsid w:val="17FF4ECC"/>
    <w:rsid w:val="180F841E"/>
    <w:rsid w:val="181A6A88"/>
    <w:rsid w:val="181E9BD8"/>
    <w:rsid w:val="1824CA58"/>
    <w:rsid w:val="182E2C53"/>
    <w:rsid w:val="183669D6"/>
    <w:rsid w:val="18601496"/>
    <w:rsid w:val="187F0B2E"/>
    <w:rsid w:val="1882633F"/>
    <w:rsid w:val="188C2C54"/>
    <w:rsid w:val="188DF8A4"/>
    <w:rsid w:val="1899ED2C"/>
    <w:rsid w:val="18CA1E5D"/>
    <w:rsid w:val="18D240CB"/>
    <w:rsid w:val="190560C6"/>
    <w:rsid w:val="19120E7F"/>
    <w:rsid w:val="1922225E"/>
    <w:rsid w:val="1925E0D3"/>
    <w:rsid w:val="192E1C8D"/>
    <w:rsid w:val="19334BDB"/>
    <w:rsid w:val="1933F187"/>
    <w:rsid w:val="1951CD76"/>
    <w:rsid w:val="19713D79"/>
    <w:rsid w:val="19A34464"/>
    <w:rsid w:val="19A38818"/>
    <w:rsid w:val="19B1C342"/>
    <w:rsid w:val="19D24730"/>
    <w:rsid w:val="19D54669"/>
    <w:rsid w:val="19DBFEF0"/>
    <w:rsid w:val="19EADC2F"/>
    <w:rsid w:val="19F93257"/>
    <w:rsid w:val="1A04022F"/>
    <w:rsid w:val="1A040F24"/>
    <w:rsid w:val="1A242B84"/>
    <w:rsid w:val="1A2ECFAF"/>
    <w:rsid w:val="1A4E62E8"/>
    <w:rsid w:val="1A56BC45"/>
    <w:rsid w:val="1A5A59D6"/>
    <w:rsid w:val="1A6D3116"/>
    <w:rsid w:val="1A7400BF"/>
    <w:rsid w:val="1A7D6479"/>
    <w:rsid w:val="1A8CEED5"/>
    <w:rsid w:val="1AB6998B"/>
    <w:rsid w:val="1ABB923F"/>
    <w:rsid w:val="1AC18CE4"/>
    <w:rsid w:val="1AC92EF0"/>
    <w:rsid w:val="1ADDD671"/>
    <w:rsid w:val="1AFF0EC2"/>
    <w:rsid w:val="1B0CF2D6"/>
    <w:rsid w:val="1B27C072"/>
    <w:rsid w:val="1B385CB2"/>
    <w:rsid w:val="1B38B681"/>
    <w:rsid w:val="1B3B62D8"/>
    <w:rsid w:val="1B40759E"/>
    <w:rsid w:val="1B54C50C"/>
    <w:rsid w:val="1B5FDF8A"/>
    <w:rsid w:val="1B88BC5C"/>
    <w:rsid w:val="1B8A5D0F"/>
    <w:rsid w:val="1B92C7FB"/>
    <w:rsid w:val="1B9E6CB1"/>
    <w:rsid w:val="1BA10EC4"/>
    <w:rsid w:val="1BB8706A"/>
    <w:rsid w:val="1BB897A8"/>
    <w:rsid w:val="1BC3C18C"/>
    <w:rsid w:val="1BEB8757"/>
    <w:rsid w:val="1BF80C46"/>
    <w:rsid w:val="1BFC73FC"/>
    <w:rsid w:val="1BFD3488"/>
    <w:rsid w:val="1C12094C"/>
    <w:rsid w:val="1C171520"/>
    <w:rsid w:val="1C538935"/>
    <w:rsid w:val="1C7E38C1"/>
    <w:rsid w:val="1C8192C0"/>
    <w:rsid w:val="1C84F7AE"/>
    <w:rsid w:val="1D070327"/>
    <w:rsid w:val="1D1E87B9"/>
    <w:rsid w:val="1D1F336D"/>
    <w:rsid w:val="1D1F6D81"/>
    <w:rsid w:val="1D2538FD"/>
    <w:rsid w:val="1D5AA08B"/>
    <w:rsid w:val="1D7A9720"/>
    <w:rsid w:val="1D7AA175"/>
    <w:rsid w:val="1D7E1FC6"/>
    <w:rsid w:val="1DAC01B2"/>
    <w:rsid w:val="1DCB4072"/>
    <w:rsid w:val="1DD08FF4"/>
    <w:rsid w:val="1DE0DA97"/>
    <w:rsid w:val="1DEAEF88"/>
    <w:rsid w:val="1E092F18"/>
    <w:rsid w:val="1E0EAA84"/>
    <w:rsid w:val="1E15B0E9"/>
    <w:rsid w:val="1E2F6EBF"/>
    <w:rsid w:val="1EC4C4CE"/>
    <w:rsid w:val="1ECE0A8B"/>
    <w:rsid w:val="1EE1FD83"/>
    <w:rsid w:val="1F1CAFBC"/>
    <w:rsid w:val="1F319694"/>
    <w:rsid w:val="1F3B2F39"/>
    <w:rsid w:val="1F6AE28E"/>
    <w:rsid w:val="1F78BA2E"/>
    <w:rsid w:val="1F7D5CE2"/>
    <w:rsid w:val="1F8F0362"/>
    <w:rsid w:val="1FA174E4"/>
    <w:rsid w:val="1FA31110"/>
    <w:rsid w:val="1FBA0DC1"/>
    <w:rsid w:val="1FBB69C8"/>
    <w:rsid w:val="1FC715F2"/>
    <w:rsid w:val="1FCAABC2"/>
    <w:rsid w:val="1FDF942C"/>
    <w:rsid w:val="1FEDE5F3"/>
    <w:rsid w:val="1FFD92F9"/>
    <w:rsid w:val="20081E64"/>
    <w:rsid w:val="200F6FE0"/>
    <w:rsid w:val="202AFF3F"/>
    <w:rsid w:val="204BC040"/>
    <w:rsid w:val="205EAE18"/>
    <w:rsid w:val="205FC8BB"/>
    <w:rsid w:val="20746B7A"/>
    <w:rsid w:val="208FF38D"/>
    <w:rsid w:val="20953E43"/>
    <w:rsid w:val="2096E0F5"/>
    <w:rsid w:val="209E0770"/>
    <w:rsid w:val="20B5DF1F"/>
    <w:rsid w:val="20D04104"/>
    <w:rsid w:val="20D6B055"/>
    <w:rsid w:val="20DD588E"/>
    <w:rsid w:val="20E277FA"/>
    <w:rsid w:val="211BD624"/>
    <w:rsid w:val="213F036C"/>
    <w:rsid w:val="21516055"/>
    <w:rsid w:val="215E1B44"/>
    <w:rsid w:val="2168C7F5"/>
    <w:rsid w:val="216D9A85"/>
    <w:rsid w:val="21A289F9"/>
    <w:rsid w:val="21A7CFDF"/>
    <w:rsid w:val="2201FAD3"/>
    <w:rsid w:val="220701AD"/>
    <w:rsid w:val="223FDA31"/>
    <w:rsid w:val="2262218E"/>
    <w:rsid w:val="2268DF9F"/>
    <w:rsid w:val="22A27F19"/>
    <w:rsid w:val="22A7BA08"/>
    <w:rsid w:val="22B0FDF9"/>
    <w:rsid w:val="22BDEDAC"/>
    <w:rsid w:val="22D1E42C"/>
    <w:rsid w:val="22DDF3C8"/>
    <w:rsid w:val="22F46D6E"/>
    <w:rsid w:val="2305158E"/>
    <w:rsid w:val="231873F5"/>
    <w:rsid w:val="231D581F"/>
    <w:rsid w:val="232F4AE3"/>
    <w:rsid w:val="23533DD6"/>
    <w:rsid w:val="2367A244"/>
    <w:rsid w:val="2372B78D"/>
    <w:rsid w:val="23769F18"/>
    <w:rsid w:val="239019CB"/>
    <w:rsid w:val="2392AFE2"/>
    <w:rsid w:val="239EB763"/>
    <w:rsid w:val="23A91DFF"/>
    <w:rsid w:val="23A97478"/>
    <w:rsid w:val="23C61205"/>
    <w:rsid w:val="23E9F5CE"/>
    <w:rsid w:val="23ED0A27"/>
    <w:rsid w:val="23F1128D"/>
    <w:rsid w:val="242C7C08"/>
    <w:rsid w:val="24C158C2"/>
    <w:rsid w:val="24CECA3C"/>
    <w:rsid w:val="24D421D2"/>
    <w:rsid w:val="24EA04DF"/>
    <w:rsid w:val="24FCC19B"/>
    <w:rsid w:val="251CA6F3"/>
    <w:rsid w:val="2520AE62"/>
    <w:rsid w:val="25282B86"/>
    <w:rsid w:val="2541C24A"/>
    <w:rsid w:val="25580C95"/>
    <w:rsid w:val="25646BA1"/>
    <w:rsid w:val="259A3665"/>
    <w:rsid w:val="25ACBAA1"/>
    <w:rsid w:val="25B70DF2"/>
    <w:rsid w:val="25B96BF8"/>
    <w:rsid w:val="25C17B2F"/>
    <w:rsid w:val="25C486C2"/>
    <w:rsid w:val="25D208C3"/>
    <w:rsid w:val="25EDFB53"/>
    <w:rsid w:val="25FE3390"/>
    <w:rsid w:val="26015D3F"/>
    <w:rsid w:val="2619BC69"/>
    <w:rsid w:val="263CE29E"/>
    <w:rsid w:val="2647D0DB"/>
    <w:rsid w:val="2653D459"/>
    <w:rsid w:val="265AA11E"/>
    <w:rsid w:val="265B99A6"/>
    <w:rsid w:val="265C80D3"/>
    <w:rsid w:val="2676F7AA"/>
    <w:rsid w:val="26866CB8"/>
    <w:rsid w:val="2687E822"/>
    <w:rsid w:val="269DB84F"/>
    <w:rsid w:val="26A8353C"/>
    <w:rsid w:val="26AE841C"/>
    <w:rsid w:val="26D66911"/>
    <w:rsid w:val="26E54A1B"/>
    <w:rsid w:val="26EB5907"/>
    <w:rsid w:val="2708E577"/>
    <w:rsid w:val="2721E614"/>
    <w:rsid w:val="272BBDD7"/>
    <w:rsid w:val="272EE4F0"/>
    <w:rsid w:val="27533396"/>
    <w:rsid w:val="27542102"/>
    <w:rsid w:val="27654472"/>
    <w:rsid w:val="27860D0E"/>
    <w:rsid w:val="27950BC3"/>
    <w:rsid w:val="27B88EA3"/>
    <w:rsid w:val="27C4A88E"/>
    <w:rsid w:val="27CD0807"/>
    <w:rsid w:val="27CFFC2B"/>
    <w:rsid w:val="27E0A8D0"/>
    <w:rsid w:val="27E2E6A3"/>
    <w:rsid w:val="27F40BEE"/>
    <w:rsid w:val="2808E32E"/>
    <w:rsid w:val="28105217"/>
    <w:rsid w:val="283533BE"/>
    <w:rsid w:val="283DB342"/>
    <w:rsid w:val="28570E76"/>
    <w:rsid w:val="2857FCA6"/>
    <w:rsid w:val="285C030A"/>
    <w:rsid w:val="285D1B73"/>
    <w:rsid w:val="2869F992"/>
    <w:rsid w:val="288A0FD0"/>
    <w:rsid w:val="288CFC9B"/>
    <w:rsid w:val="28A82ED1"/>
    <w:rsid w:val="28AB4C7C"/>
    <w:rsid w:val="28B36E58"/>
    <w:rsid w:val="28C32B3D"/>
    <w:rsid w:val="28CC0655"/>
    <w:rsid w:val="28E505DC"/>
    <w:rsid w:val="2900C887"/>
    <w:rsid w:val="291A764E"/>
    <w:rsid w:val="292592AD"/>
    <w:rsid w:val="294DC94E"/>
    <w:rsid w:val="294F2C87"/>
    <w:rsid w:val="296D9DB4"/>
    <w:rsid w:val="297E86F4"/>
    <w:rsid w:val="298567BF"/>
    <w:rsid w:val="2986FC1F"/>
    <w:rsid w:val="2991B568"/>
    <w:rsid w:val="299F6BC0"/>
    <w:rsid w:val="29BB702F"/>
    <w:rsid w:val="29C8AADA"/>
    <w:rsid w:val="29CF2BB2"/>
    <w:rsid w:val="29F05880"/>
    <w:rsid w:val="29F1FB68"/>
    <w:rsid w:val="29F90D6F"/>
    <w:rsid w:val="2A04FC08"/>
    <w:rsid w:val="2A221AD9"/>
    <w:rsid w:val="2A2FC195"/>
    <w:rsid w:val="2A4B014C"/>
    <w:rsid w:val="2A675001"/>
    <w:rsid w:val="2A828FA0"/>
    <w:rsid w:val="2AA0578E"/>
    <w:rsid w:val="2AC7E5B6"/>
    <w:rsid w:val="2AD75D25"/>
    <w:rsid w:val="2ADD35F7"/>
    <w:rsid w:val="2B17115C"/>
    <w:rsid w:val="2B309A46"/>
    <w:rsid w:val="2B645A78"/>
    <w:rsid w:val="2B6C3C6B"/>
    <w:rsid w:val="2B6EE1F0"/>
    <w:rsid w:val="2B70FB4D"/>
    <w:rsid w:val="2B7427CD"/>
    <w:rsid w:val="2B77CC01"/>
    <w:rsid w:val="2B7D430D"/>
    <w:rsid w:val="2B87E84C"/>
    <w:rsid w:val="2B8938E1"/>
    <w:rsid w:val="2BEB6DCD"/>
    <w:rsid w:val="2BF8C07D"/>
    <w:rsid w:val="2C03A717"/>
    <w:rsid w:val="2C0977E9"/>
    <w:rsid w:val="2C13EA3C"/>
    <w:rsid w:val="2C4D8C9F"/>
    <w:rsid w:val="2C850C76"/>
    <w:rsid w:val="2C8A4590"/>
    <w:rsid w:val="2CB2C72F"/>
    <w:rsid w:val="2CB6DDCC"/>
    <w:rsid w:val="2CBAC46D"/>
    <w:rsid w:val="2CBD0881"/>
    <w:rsid w:val="2CC5E2FC"/>
    <w:rsid w:val="2D130284"/>
    <w:rsid w:val="2D18CCBF"/>
    <w:rsid w:val="2D250942"/>
    <w:rsid w:val="2D2C2DFE"/>
    <w:rsid w:val="2D2D1E60"/>
    <w:rsid w:val="2D41FA9A"/>
    <w:rsid w:val="2D47D0C1"/>
    <w:rsid w:val="2D7B9F2C"/>
    <w:rsid w:val="2D871EA3"/>
    <w:rsid w:val="2D99ADE9"/>
    <w:rsid w:val="2D9CE725"/>
    <w:rsid w:val="2DA031C3"/>
    <w:rsid w:val="2DC330A9"/>
    <w:rsid w:val="2DC44E86"/>
    <w:rsid w:val="2DC5F330"/>
    <w:rsid w:val="2DCEDBBF"/>
    <w:rsid w:val="2DE2DB76"/>
    <w:rsid w:val="2DF88669"/>
    <w:rsid w:val="2E038BCA"/>
    <w:rsid w:val="2E1B7FA8"/>
    <w:rsid w:val="2E1BFD5C"/>
    <w:rsid w:val="2E29BDB9"/>
    <w:rsid w:val="2E2A7CF5"/>
    <w:rsid w:val="2E4165B7"/>
    <w:rsid w:val="2E5741F7"/>
    <w:rsid w:val="2E683B08"/>
    <w:rsid w:val="2E7B1C0A"/>
    <w:rsid w:val="2E7FD9C7"/>
    <w:rsid w:val="2E8B4C48"/>
    <w:rsid w:val="2EAD10F4"/>
    <w:rsid w:val="2EBA4D9B"/>
    <w:rsid w:val="2EC4AAE0"/>
    <w:rsid w:val="2EF254DC"/>
    <w:rsid w:val="2EFE9B04"/>
    <w:rsid w:val="2F04BFB0"/>
    <w:rsid w:val="2F076429"/>
    <w:rsid w:val="2F0E51E3"/>
    <w:rsid w:val="2F270E2C"/>
    <w:rsid w:val="2F322462"/>
    <w:rsid w:val="2F35390A"/>
    <w:rsid w:val="2F6976C1"/>
    <w:rsid w:val="2F6C2AE0"/>
    <w:rsid w:val="2F73DC13"/>
    <w:rsid w:val="2F7E5085"/>
    <w:rsid w:val="2FACCF90"/>
    <w:rsid w:val="2FCE9402"/>
    <w:rsid w:val="3012BF50"/>
    <w:rsid w:val="30138E64"/>
    <w:rsid w:val="305CAA04"/>
    <w:rsid w:val="306B82F7"/>
    <w:rsid w:val="306D2979"/>
    <w:rsid w:val="309F2393"/>
    <w:rsid w:val="30B66161"/>
    <w:rsid w:val="30B88A4F"/>
    <w:rsid w:val="30D0B733"/>
    <w:rsid w:val="30E77440"/>
    <w:rsid w:val="31042B14"/>
    <w:rsid w:val="31100851"/>
    <w:rsid w:val="314FB357"/>
    <w:rsid w:val="315B05AC"/>
    <w:rsid w:val="316944DB"/>
    <w:rsid w:val="316C99AA"/>
    <w:rsid w:val="3186B36D"/>
    <w:rsid w:val="31885DCA"/>
    <w:rsid w:val="318E6129"/>
    <w:rsid w:val="31B8710C"/>
    <w:rsid w:val="31CE071C"/>
    <w:rsid w:val="31E4038A"/>
    <w:rsid w:val="31E7F41C"/>
    <w:rsid w:val="31FAA531"/>
    <w:rsid w:val="3203AFB2"/>
    <w:rsid w:val="3205D623"/>
    <w:rsid w:val="3206F272"/>
    <w:rsid w:val="3207E138"/>
    <w:rsid w:val="3208F9DA"/>
    <w:rsid w:val="321F5293"/>
    <w:rsid w:val="3231837B"/>
    <w:rsid w:val="323F04EB"/>
    <w:rsid w:val="32424389"/>
    <w:rsid w:val="3261742C"/>
    <w:rsid w:val="3262BDC4"/>
    <w:rsid w:val="32A56700"/>
    <w:rsid w:val="32AD9F1A"/>
    <w:rsid w:val="32E84106"/>
    <w:rsid w:val="32FB1BCE"/>
    <w:rsid w:val="32FC162B"/>
    <w:rsid w:val="330DC551"/>
    <w:rsid w:val="33183034"/>
    <w:rsid w:val="3320BDBF"/>
    <w:rsid w:val="332EF6E7"/>
    <w:rsid w:val="3337F15C"/>
    <w:rsid w:val="333F14DC"/>
    <w:rsid w:val="335785C7"/>
    <w:rsid w:val="33602943"/>
    <w:rsid w:val="337579CF"/>
    <w:rsid w:val="33801730"/>
    <w:rsid w:val="33A8733C"/>
    <w:rsid w:val="33BABD86"/>
    <w:rsid w:val="33DAD54C"/>
    <w:rsid w:val="33DDD959"/>
    <w:rsid w:val="33E42C82"/>
    <w:rsid w:val="33E6E49B"/>
    <w:rsid w:val="33ED4968"/>
    <w:rsid w:val="33EE14F9"/>
    <w:rsid w:val="33F01D54"/>
    <w:rsid w:val="33FB7DD4"/>
    <w:rsid w:val="34023A89"/>
    <w:rsid w:val="3417D087"/>
    <w:rsid w:val="341A5B5C"/>
    <w:rsid w:val="344A9711"/>
    <w:rsid w:val="34886710"/>
    <w:rsid w:val="348B2ACE"/>
    <w:rsid w:val="348DC49D"/>
    <w:rsid w:val="348F3275"/>
    <w:rsid w:val="348F6D25"/>
    <w:rsid w:val="34B98305"/>
    <w:rsid w:val="34D88CB8"/>
    <w:rsid w:val="34ED5701"/>
    <w:rsid w:val="350324D6"/>
    <w:rsid w:val="350716FA"/>
    <w:rsid w:val="35372C13"/>
    <w:rsid w:val="354FAA64"/>
    <w:rsid w:val="35506583"/>
    <w:rsid w:val="3565349E"/>
    <w:rsid w:val="3567628E"/>
    <w:rsid w:val="35824A20"/>
    <w:rsid w:val="35876F35"/>
    <w:rsid w:val="35958F43"/>
    <w:rsid w:val="35ABD144"/>
    <w:rsid w:val="35AD3EBC"/>
    <w:rsid w:val="35ADFEC6"/>
    <w:rsid w:val="35C21252"/>
    <w:rsid w:val="35C527B2"/>
    <w:rsid w:val="35CB37E5"/>
    <w:rsid w:val="35D2CA5D"/>
    <w:rsid w:val="35DEC586"/>
    <w:rsid w:val="35E42B29"/>
    <w:rsid w:val="35F69B76"/>
    <w:rsid w:val="35FE235A"/>
    <w:rsid w:val="36058ABE"/>
    <w:rsid w:val="362994FE"/>
    <w:rsid w:val="363CA092"/>
    <w:rsid w:val="3640BD64"/>
    <w:rsid w:val="3653CFB6"/>
    <w:rsid w:val="369564EE"/>
    <w:rsid w:val="36B19EA6"/>
    <w:rsid w:val="36BF80A6"/>
    <w:rsid w:val="36CB3CC8"/>
    <w:rsid w:val="36CB5493"/>
    <w:rsid w:val="36D9B856"/>
    <w:rsid w:val="36F0400A"/>
    <w:rsid w:val="3707BB26"/>
    <w:rsid w:val="372CE9A3"/>
    <w:rsid w:val="373D7167"/>
    <w:rsid w:val="37521A7D"/>
    <w:rsid w:val="37585E9F"/>
    <w:rsid w:val="37613520"/>
    <w:rsid w:val="376E21B7"/>
    <w:rsid w:val="377941B7"/>
    <w:rsid w:val="37881E83"/>
    <w:rsid w:val="3795622C"/>
    <w:rsid w:val="37BA9D8A"/>
    <w:rsid w:val="37CC3505"/>
    <w:rsid w:val="37D96EAA"/>
    <w:rsid w:val="37DAFE1E"/>
    <w:rsid w:val="38006F82"/>
    <w:rsid w:val="3804F7C0"/>
    <w:rsid w:val="380965CB"/>
    <w:rsid w:val="380EC976"/>
    <w:rsid w:val="38231EC6"/>
    <w:rsid w:val="38255F05"/>
    <w:rsid w:val="38293E6E"/>
    <w:rsid w:val="38314199"/>
    <w:rsid w:val="38384C1F"/>
    <w:rsid w:val="3851DFCC"/>
    <w:rsid w:val="3872431E"/>
    <w:rsid w:val="3875E3F9"/>
    <w:rsid w:val="3889595F"/>
    <w:rsid w:val="38AA5098"/>
    <w:rsid w:val="38BC3CEB"/>
    <w:rsid w:val="38E3D4A8"/>
    <w:rsid w:val="390C5E02"/>
    <w:rsid w:val="391F7B95"/>
    <w:rsid w:val="3930EE49"/>
    <w:rsid w:val="3932CFBF"/>
    <w:rsid w:val="393BE114"/>
    <w:rsid w:val="39431241"/>
    <w:rsid w:val="39439807"/>
    <w:rsid w:val="394C5CC3"/>
    <w:rsid w:val="39511DDD"/>
    <w:rsid w:val="39554AFD"/>
    <w:rsid w:val="39753F0B"/>
    <w:rsid w:val="398DA61F"/>
    <w:rsid w:val="399DDDEC"/>
    <w:rsid w:val="39A5362C"/>
    <w:rsid w:val="39C6A266"/>
    <w:rsid w:val="39D58D51"/>
    <w:rsid w:val="39D65BB4"/>
    <w:rsid w:val="39F9CD81"/>
    <w:rsid w:val="39FBCD41"/>
    <w:rsid w:val="3A17C9C7"/>
    <w:rsid w:val="3A28638F"/>
    <w:rsid w:val="3A2A083B"/>
    <w:rsid w:val="3A3639F2"/>
    <w:rsid w:val="3A3E9D32"/>
    <w:rsid w:val="3A4C1A02"/>
    <w:rsid w:val="3A685A58"/>
    <w:rsid w:val="3A737715"/>
    <w:rsid w:val="3A839421"/>
    <w:rsid w:val="3A923F42"/>
    <w:rsid w:val="3A932A4E"/>
    <w:rsid w:val="3AB452FB"/>
    <w:rsid w:val="3AC537E8"/>
    <w:rsid w:val="3AD676B2"/>
    <w:rsid w:val="3AD73631"/>
    <w:rsid w:val="3ADCBDF1"/>
    <w:rsid w:val="3AECD1BE"/>
    <w:rsid w:val="3AF1B1B5"/>
    <w:rsid w:val="3AFAB525"/>
    <w:rsid w:val="3AFE244C"/>
    <w:rsid w:val="3B12148B"/>
    <w:rsid w:val="3B508B2F"/>
    <w:rsid w:val="3B575254"/>
    <w:rsid w:val="3B5E5CCF"/>
    <w:rsid w:val="3B5E65E8"/>
    <w:rsid w:val="3B635FB3"/>
    <w:rsid w:val="3B73AE99"/>
    <w:rsid w:val="3B76D57F"/>
    <w:rsid w:val="3BA748F3"/>
    <w:rsid w:val="3BC600F6"/>
    <w:rsid w:val="3BEF1E73"/>
    <w:rsid w:val="3BFD7AB9"/>
    <w:rsid w:val="3C16ADAE"/>
    <w:rsid w:val="3C1ED190"/>
    <w:rsid w:val="3C3C93C9"/>
    <w:rsid w:val="3C40677C"/>
    <w:rsid w:val="3C46F321"/>
    <w:rsid w:val="3C475190"/>
    <w:rsid w:val="3C5E6617"/>
    <w:rsid w:val="3C69F409"/>
    <w:rsid w:val="3C7E1264"/>
    <w:rsid w:val="3C87DF92"/>
    <w:rsid w:val="3CBF2A37"/>
    <w:rsid w:val="3CC70FC1"/>
    <w:rsid w:val="3CDA9AD3"/>
    <w:rsid w:val="3CE9E338"/>
    <w:rsid w:val="3CF16907"/>
    <w:rsid w:val="3D10672B"/>
    <w:rsid w:val="3D24F4AF"/>
    <w:rsid w:val="3D481182"/>
    <w:rsid w:val="3D49F0F4"/>
    <w:rsid w:val="3D531428"/>
    <w:rsid w:val="3D617BA8"/>
    <w:rsid w:val="3D663250"/>
    <w:rsid w:val="3D853CA9"/>
    <w:rsid w:val="3D984542"/>
    <w:rsid w:val="3D99C903"/>
    <w:rsid w:val="3D99E292"/>
    <w:rsid w:val="3DC7B4F5"/>
    <w:rsid w:val="3DE6608A"/>
    <w:rsid w:val="3DE76402"/>
    <w:rsid w:val="3E003516"/>
    <w:rsid w:val="3E1B44F7"/>
    <w:rsid w:val="3E25C2CA"/>
    <w:rsid w:val="3E25D303"/>
    <w:rsid w:val="3E2C5811"/>
    <w:rsid w:val="3E338205"/>
    <w:rsid w:val="3E487D21"/>
    <w:rsid w:val="3E697724"/>
    <w:rsid w:val="3E73E206"/>
    <w:rsid w:val="3E750DEB"/>
    <w:rsid w:val="3E83BFC1"/>
    <w:rsid w:val="3E8788FF"/>
    <w:rsid w:val="3E8EB319"/>
    <w:rsid w:val="3EA0831D"/>
    <w:rsid w:val="3EAAB7E3"/>
    <w:rsid w:val="3ED7E80F"/>
    <w:rsid w:val="3EF42B21"/>
    <w:rsid w:val="3EF51C77"/>
    <w:rsid w:val="3EFA47B9"/>
    <w:rsid w:val="3F0CD96E"/>
    <w:rsid w:val="3F0E1E72"/>
    <w:rsid w:val="3F1036DA"/>
    <w:rsid w:val="3F13F580"/>
    <w:rsid w:val="3F1ACADE"/>
    <w:rsid w:val="3F2B018B"/>
    <w:rsid w:val="3F3D8777"/>
    <w:rsid w:val="3F57A216"/>
    <w:rsid w:val="3F7051FB"/>
    <w:rsid w:val="3F74348B"/>
    <w:rsid w:val="3F965746"/>
    <w:rsid w:val="3FAEF5FC"/>
    <w:rsid w:val="3FE2D56A"/>
    <w:rsid w:val="4002ACAC"/>
    <w:rsid w:val="4006209D"/>
    <w:rsid w:val="400BDB6B"/>
    <w:rsid w:val="40158660"/>
    <w:rsid w:val="4018A595"/>
    <w:rsid w:val="40687112"/>
    <w:rsid w:val="40966BAE"/>
    <w:rsid w:val="40A656D2"/>
    <w:rsid w:val="40C96E90"/>
    <w:rsid w:val="40E2EE8F"/>
    <w:rsid w:val="40F0AA96"/>
    <w:rsid w:val="40FE7F14"/>
    <w:rsid w:val="4108E03D"/>
    <w:rsid w:val="41122425"/>
    <w:rsid w:val="41505864"/>
    <w:rsid w:val="41516B29"/>
    <w:rsid w:val="4175FA55"/>
    <w:rsid w:val="418DCB89"/>
    <w:rsid w:val="419848C5"/>
    <w:rsid w:val="41CDA76C"/>
    <w:rsid w:val="41D472F3"/>
    <w:rsid w:val="41D70BFF"/>
    <w:rsid w:val="41E04DD3"/>
    <w:rsid w:val="41EDF5EA"/>
    <w:rsid w:val="421D7AE3"/>
    <w:rsid w:val="421E77FD"/>
    <w:rsid w:val="422CBD39"/>
    <w:rsid w:val="42390759"/>
    <w:rsid w:val="423C0058"/>
    <w:rsid w:val="42493EDD"/>
    <w:rsid w:val="424C8DD8"/>
    <w:rsid w:val="426B8D4D"/>
    <w:rsid w:val="42703BFE"/>
    <w:rsid w:val="42798075"/>
    <w:rsid w:val="428F1934"/>
    <w:rsid w:val="42BE48A4"/>
    <w:rsid w:val="42C8904C"/>
    <w:rsid w:val="42CCC4D0"/>
    <w:rsid w:val="42F05D81"/>
    <w:rsid w:val="42FFFE43"/>
    <w:rsid w:val="431FD18B"/>
    <w:rsid w:val="431FEA59"/>
    <w:rsid w:val="43204D90"/>
    <w:rsid w:val="4337F343"/>
    <w:rsid w:val="43467B77"/>
    <w:rsid w:val="437AE4CF"/>
    <w:rsid w:val="43826384"/>
    <w:rsid w:val="438CF419"/>
    <w:rsid w:val="4397C0A2"/>
    <w:rsid w:val="439D52F8"/>
    <w:rsid w:val="43A79AB3"/>
    <w:rsid w:val="43FC6AB8"/>
    <w:rsid w:val="441B33CE"/>
    <w:rsid w:val="44261045"/>
    <w:rsid w:val="443E94B4"/>
    <w:rsid w:val="444FF183"/>
    <w:rsid w:val="4450CFDE"/>
    <w:rsid w:val="44694DBB"/>
    <w:rsid w:val="44719865"/>
    <w:rsid w:val="4478F21F"/>
    <w:rsid w:val="447A80CF"/>
    <w:rsid w:val="447C520F"/>
    <w:rsid w:val="4491ED9C"/>
    <w:rsid w:val="44B1835A"/>
    <w:rsid w:val="44B1A1BE"/>
    <w:rsid w:val="44D5EEDE"/>
    <w:rsid w:val="44EF128B"/>
    <w:rsid w:val="44F88B85"/>
    <w:rsid w:val="45202700"/>
    <w:rsid w:val="452294FB"/>
    <w:rsid w:val="45509724"/>
    <w:rsid w:val="45553B01"/>
    <w:rsid w:val="456174F3"/>
    <w:rsid w:val="45642C68"/>
    <w:rsid w:val="457B4EC3"/>
    <w:rsid w:val="457E496E"/>
    <w:rsid w:val="458053BA"/>
    <w:rsid w:val="4589C88C"/>
    <w:rsid w:val="45A4AAAF"/>
    <w:rsid w:val="45AE7499"/>
    <w:rsid w:val="45B68D7A"/>
    <w:rsid w:val="45C44E8A"/>
    <w:rsid w:val="45C46F4D"/>
    <w:rsid w:val="45C584EE"/>
    <w:rsid w:val="45D9EFE7"/>
    <w:rsid w:val="45E78D86"/>
    <w:rsid w:val="45FA3D20"/>
    <w:rsid w:val="4601AB87"/>
    <w:rsid w:val="461E4A6A"/>
    <w:rsid w:val="462FB7D1"/>
    <w:rsid w:val="463009CF"/>
    <w:rsid w:val="4633ED82"/>
    <w:rsid w:val="46364692"/>
    <w:rsid w:val="463EC6FE"/>
    <w:rsid w:val="4666CC52"/>
    <w:rsid w:val="466ACAE9"/>
    <w:rsid w:val="46726CBC"/>
    <w:rsid w:val="46891AC2"/>
    <w:rsid w:val="46926CA5"/>
    <w:rsid w:val="46B5E3C6"/>
    <w:rsid w:val="46B9F7AD"/>
    <w:rsid w:val="46C6F4EF"/>
    <w:rsid w:val="46DCAAC4"/>
    <w:rsid w:val="46E22FD2"/>
    <w:rsid w:val="46E8AC43"/>
    <w:rsid w:val="46F67BAC"/>
    <w:rsid w:val="47047E42"/>
    <w:rsid w:val="4704A406"/>
    <w:rsid w:val="47248147"/>
    <w:rsid w:val="4725E3B5"/>
    <w:rsid w:val="47387BED"/>
    <w:rsid w:val="4742259E"/>
    <w:rsid w:val="477E920F"/>
    <w:rsid w:val="479F6A8E"/>
    <w:rsid w:val="47C66643"/>
    <w:rsid w:val="47CE7598"/>
    <w:rsid w:val="47D09987"/>
    <w:rsid w:val="48060EF6"/>
    <w:rsid w:val="4814A1D3"/>
    <w:rsid w:val="482DA1F7"/>
    <w:rsid w:val="483D0553"/>
    <w:rsid w:val="484ED7A2"/>
    <w:rsid w:val="484F4E57"/>
    <w:rsid w:val="4861540D"/>
    <w:rsid w:val="486BF210"/>
    <w:rsid w:val="4876D7F0"/>
    <w:rsid w:val="48937F7F"/>
    <w:rsid w:val="48BD07AF"/>
    <w:rsid w:val="48BDD0DD"/>
    <w:rsid w:val="49003B6F"/>
    <w:rsid w:val="490E8AE9"/>
    <w:rsid w:val="491286F8"/>
    <w:rsid w:val="491870F0"/>
    <w:rsid w:val="49204953"/>
    <w:rsid w:val="4930D959"/>
    <w:rsid w:val="4947B28A"/>
    <w:rsid w:val="4958DF00"/>
    <w:rsid w:val="495999B5"/>
    <w:rsid w:val="496A3B42"/>
    <w:rsid w:val="497534FA"/>
    <w:rsid w:val="498B5F4A"/>
    <w:rsid w:val="49A11427"/>
    <w:rsid w:val="49AD7244"/>
    <w:rsid w:val="49C0E34B"/>
    <w:rsid w:val="49C81747"/>
    <w:rsid w:val="49CCFE2D"/>
    <w:rsid w:val="49D13785"/>
    <w:rsid w:val="49F8F0CE"/>
    <w:rsid w:val="49FFA1ED"/>
    <w:rsid w:val="4A25586F"/>
    <w:rsid w:val="4A28E326"/>
    <w:rsid w:val="4A2B8CFB"/>
    <w:rsid w:val="4A584CD1"/>
    <w:rsid w:val="4A5C7BB1"/>
    <w:rsid w:val="4A5EB910"/>
    <w:rsid w:val="4A807E7B"/>
    <w:rsid w:val="4A8B801F"/>
    <w:rsid w:val="4AB0716F"/>
    <w:rsid w:val="4AB3DC67"/>
    <w:rsid w:val="4ABB61C7"/>
    <w:rsid w:val="4AC44D38"/>
    <w:rsid w:val="4ADA4D1D"/>
    <w:rsid w:val="4AEC07CA"/>
    <w:rsid w:val="4AFC36F2"/>
    <w:rsid w:val="4B1348BE"/>
    <w:rsid w:val="4B744618"/>
    <w:rsid w:val="4B90A0BD"/>
    <w:rsid w:val="4BAE1911"/>
    <w:rsid w:val="4BBB4CDB"/>
    <w:rsid w:val="4BE085B9"/>
    <w:rsid w:val="4BF060E3"/>
    <w:rsid w:val="4C0B34E8"/>
    <w:rsid w:val="4C0FCECA"/>
    <w:rsid w:val="4C10CA66"/>
    <w:rsid w:val="4C3223B5"/>
    <w:rsid w:val="4C4A5A8B"/>
    <w:rsid w:val="4C53DC6F"/>
    <w:rsid w:val="4C6777F5"/>
    <w:rsid w:val="4C6C8C55"/>
    <w:rsid w:val="4C973FC7"/>
    <w:rsid w:val="4CA40AAA"/>
    <w:rsid w:val="4CA57F6A"/>
    <w:rsid w:val="4CF22640"/>
    <w:rsid w:val="4CFEB7F7"/>
    <w:rsid w:val="4D1D9F13"/>
    <w:rsid w:val="4D5461C3"/>
    <w:rsid w:val="4D632DBD"/>
    <w:rsid w:val="4D709D58"/>
    <w:rsid w:val="4D775D66"/>
    <w:rsid w:val="4D986475"/>
    <w:rsid w:val="4D9E7FE7"/>
    <w:rsid w:val="4DBA2474"/>
    <w:rsid w:val="4DBEC34C"/>
    <w:rsid w:val="4DC27DA6"/>
    <w:rsid w:val="4DCD954E"/>
    <w:rsid w:val="4DE1B828"/>
    <w:rsid w:val="4DE7E5C1"/>
    <w:rsid w:val="4E057552"/>
    <w:rsid w:val="4E0C2E44"/>
    <w:rsid w:val="4E17E4E2"/>
    <w:rsid w:val="4E1EF05A"/>
    <w:rsid w:val="4E3464E5"/>
    <w:rsid w:val="4E40DE49"/>
    <w:rsid w:val="4E477BA2"/>
    <w:rsid w:val="4E7275F2"/>
    <w:rsid w:val="4E78AC5F"/>
    <w:rsid w:val="4E97A769"/>
    <w:rsid w:val="4E9EC60A"/>
    <w:rsid w:val="4EAB17E7"/>
    <w:rsid w:val="4EB11931"/>
    <w:rsid w:val="4EB67B29"/>
    <w:rsid w:val="4ECEFD20"/>
    <w:rsid w:val="4ED72CC1"/>
    <w:rsid w:val="4EE14689"/>
    <w:rsid w:val="4EE900A2"/>
    <w:rsid w:val="4EECD429"/>
    <w:rsid w:val="4F034961"/>
    <w:rsid w:val="4F11940C"/>
    <w:rsid w:val="4F161BEC"/>
    <w:rsid w:val="4F20776A"/>
    <w:rsid w:val="4F470E57"/>
    <w:rsid w:val="4F525057"/>
    <w:rsid w:val="4F6D4D68"/>
    <w:rsid w:val="4F7AEE4D"/>
    <w:rsid w:val="4F7D4E74"/>
    <w:rsid w:val="4FA145B3"/>
    <w:rsid w:val="4FDAFD69"/>
    <w:rsid w:val="4FDFB4B4"/>
    <w:rsid w:val="4FF1DFB7"/>
    <w:rsid w:val="4FF410C6"/>
    <w:rsid w:val="4FF8B894"/>
    <w:rsid w:val="501CDC65"/>
    <w:rsid w:val="502396C1"/>
    <w:rsid w:val="5055D7EC"/>
    <w:rsid w:val="506E3C7E"/>
    <w:rsid w:val="50721206"/>
    <w:rsid w:val="508CC5CB"/>
    <w:rsid w:val="508ED394"/>
    <w:rsid w:val="5097A019"/>
    <w:rsid w:val="50AAD285"/>
    <w:rsid w:val="50AB6119"/>
    <w:rsid w:val="50B4FFAD"/>
    <w:rsid w:val="50BA1CBC"/>
    <w:rsid w:val="50DF6084"/>
    <w:rsid w:val="50EA0B7C"/>
    <w:rsid w:val="50F31B34"/>
    <w:rsid w:val="511D9B23"/>
    <w:rsid w:val="512C2512"/>
    <w:rsid w:val="513D1614"/>
    <w:rsid w:val="514244E1"/>
    <w:rsid w:val="5158B164"/>
    <w:rsid w:val="515B5B7C"/>
    <w:rsid w:val="5162A13B"/>
    <w:rsid w:val="51674ECE"/>
    <w:rsid w:val="51698ACE"/>
    <w:rsid w:val="5170D18A"/>
    <w:rsid w:val="519199A6"/>
    <w:rsid w:val="5192D1D7"/>
    <w:rsid w:val="5197E05B"/>
    <w:rsid w:val="519A2B4D"/>
    <w:rsid w:val="51BBBF96"/>
    <w:rsid w:val="51BD22BE"/>
    <w:rsid w:val="51BEFD9A"/>
    <w:rsid w:val="51DB0956"/>
    <w:rsid w:val="51E055B8"/>
    <w:rsid w:val="5211F348"/>
    <w:rsid w:val="522F498A"/>
    <w:rsid w:val="52737630"/>
    <w:rsid w:val="52955C0A"/>
    <w:rsid w:val="52A5CD4E"/>
    <w:rsid w:val="52ACBBD3"/>
    <w:rsid w:val="52BBB346"/>
    <w:rsid w:val="52C56DAB"/>
    <w:rsid w:val="52C6C1BE"/>
    <w:rsid w:val="52C7D459"/>
    <w:rsid w:val="52CC0104"/>
    <w:rsid w:val="52E699D4"/>
    <w:rsid w:val="52FE719C"/>
    <w:rsid w:val="53079899"/>
    <w:rsid w:val="530CA6A7"/>
    <w:rsid w:val="5311C270"/>
    <w:rsid w:val="53260606"/>
    <w:rsid w:val="53345B9B"/>
    <w:rsid w:val="53405636"/>
    <w:rsid w:val="534C9859"/>
    <w:rsid w:val="534DD5B6"/>
    <w:rsid w:val="535D2027"/>
    <w:rsid w:val="536599F9"/>
    <w:rsid w:val="536EC7E5"/>
    <w:rsid w:val="53962F26"/>
    <w:rsid w:val="53A5E9C4"/>
    <w:rsid w:val="53AA3996"/>
    <w:rsid w:val="53AE06EE"/>
    <w:rsid w:val="53C03438"/>
    <w:rsid w:val="53C70715"/>
    <w:rsid w:val="53CC160A"/>
    <w:rsid w:val="53CFD4B0"/>
    <w:rsid w:val="53F9C80A"/>
    <w:rsid w:val="5416492C"/>
    <w:rsid w:val="543CA25A"/>
    <w:rsid w:val="54410D09"/>
    <w:rsid w:val="5448AEF5"/>
    <w:rsid w:val="544E1E75"/>
    <w:rsid w:val="54616849"/>
    <w:rsid w:val="547991BF"/>
    <w:rsid w:val="548473DC"/>
    <w:rsid w:val="549E5E73"/>
    <w:rsid w:val="54A58521"/>
    <w:rsid w:val="54AE9293"/>
    <w:rsid w:val="54D61F8A"/>
    <w:rsid w:val="54E07730"/>
    <w:rsid w:val="54E8FB33"/>
    <w:rsid w:val="554DA754"/>
    <w:rsid w:val="554E17E4"/>
    <w:rsid w:val="55745E97"/>
    <w:rsid w:val="557C24CC"/>
    <w:rsid w:val="557C6DD4"/>
    <w:rsid w:val="5598F57C"/>
    <w:rsid w:val="55A08F61"/>
    <w:rsid w:val="55AFD73B"/>
    <w:rsid w:val="55CDC327"/>
    <w:rsid w:val="560CCCAB"/>
    <w:rsid w:val="560FA284"/>
    <w:rsid w:val="56108737"/>
    <w:rsid w:val="5635B598"/>
    <w:rsid w:val="564BFC48"/>
    <w:rsid w:val="5655A303"/>
    <w:rsid w:val="56704870"/>
    <w:rsid w:val="56746C19"/>
    <w:rsid w:val="568B7BF2"/>
    <w:rsid w:val="56907A96"/>
    <w:rsid w:val="56B3E3B7"/>
    <w:rsid w:val="56B628DD"/>
    <w:rsid w:val="56B97DF9"/>
    <w:rsid w:val="56D5E6F1"/>
    <w:rsid w:val="56DC28CB"/>
    <w:rsid w:val="56FA8943"/>
    <w:rsid w:val="57174ECB"/>
    <w:rsid w:val="57298CF4"/>
    <w:rsid w:val="573C5FC2"/>
    <w:rsid w:val="57928ACA"/>
    <w:rsid w:val="579C167A"/>
    <w:rsid w:val="57A4CEB9"/>
    <w:rsid w:val="57A7CD31"/>
    <w:rsid w:val="57CACED6"/>
    <w:rsid w:val="57E6A38F"/>
    <w:rsid w:val="57ED6F9D"/>
    <w:rsid w:val="58468A0A"/>
    <w:rsid w:val="5855296E"/>
    <w:rsid w:val="5858CA75"/>
    <w:rsid w:val="586AF6C2"/>
    <w:rsid w:val="58722B7F"/>
    <w:rsid w:val="587CF4D9"/>
    <w:rsid w:val="589C91D5"/>
    <w:rsid w:val="58A27B8A"/>
    <w:rsid w:val="58BC059B"/>
    <w:rsid w:val="58D26917"/>
    <w:rsid w:val="58E21C22"/>
    <w:rsid w:val="58F97799"/>
    <w:rsid w:val="59173DB9"/>
    <w:rsid w:val="593B681D"/>
    <w:rsid w:val="59574380"/>
    <w:rsid w:val="595BCF62"/>
    <w:rsid w:val="5976F19A"/>
    <w:rsid w:val="59A12B97"/>
    <w:rsid w:val="59A5E5BD"/>
    <w:rsid w:val="59B90935"/>
    <w:rsid w:val="59F9DB61"/>
    <w:rsid w:val="59FFEEDC"/>
    <w:rsid w:val="5A00B329"/>
    <w:rsid w:val="5A0961DE"/>
    <w:rsid w:val="5A0EACA5"/>
    <w:rsid w:val="5A2F7930"/>
    <w:rsid w:val="5A3CB811"/>
    <w:rsid w:val="5A4C12E7"/>
    <w:rsid w:val="5A5B9707"/>
    <w:rsid w:val="5A6F7A0F"/>
    <w:rsid w:val="5A737F93"/>
    <w:rsid w:val="5A8C1F2A"/>
    <w:rsid w:val="5AD1358A"/>
    <w:rsid w:val="5AD1B370"/>
    <w:rsid w:val="5AF1111A"/>
    <w:rsid w:val="5B29580A"/>
    <w:rsid w:val="5B2A1045"/>
    <w:rsid w:val="5B3DCF10"/>
    <w:rsid w:val="5B431069"/>
    <w:rsid w:val="5B4D6CE2"/>
    <w:rsid w:val="5B62E993"/>
    <w:rsid w:val="5B7CBCB1"/>
    <w:rsid w:val="5B7E45F9"/>
    <w:rsid w:val="5B8CCA30"/>
    <w:rsid w:val="5B8F301A"/>
    <w:rsid w:val="5BA20B11"/>
    <w:rsid w:val="5BA3A63C"/>
    <w:rsid w:val="5BA3C302"/>
    <w:rsid w:val="5BB6A56A"/>
    <w:rsid w:val="5BCC40BC"/>
    <w:rsid w:val="5BDCAE03"/>
    <w:rsid w:val="5BE7FB86"/>
    <w:rsid w:val="5C0C448A"/>
    <w:rsid w:val="5C0EC682"/>
    <w:rsid w:val="5C12441A"/>
    <w:rsid w:val="5C1EB5D5"/>
    <w:rsid w:val="5C201E25"/>
    <w:rsid w:val="5C24F675"/>
    <w:rsid w:val="5C397B73"/>
    <w:rsid w:val="5C4DE1BD"/>
    <w:rsid w:val="5C584AB1"/>
    <w:rsid w:val="5C5A4529"/>
    <w:rsid w:val="5C5E7409"/>
    <w:rsid w:val="5C789F9D"/>
    <w:rsid w:val="5C7B54C3"/>
    <w:rsid w:val="5C7EBEA8"/>
    <w:rsid w:val="5C97FCAA"/>
    <w:rsid w:val="5C9E72CA"/>
    <w:rsid w:val="5CD7F05E"/>
    <w:rsid w:val="5CE4CE16"/>
    <w:rsid w:val="5CE9D852"/>
    <w:rsid w:val="5D18B86D"/>
    <w:rsid w:val="5D1AA0D4"/>
    <w:rsid w:val="5D1B3AC9"/>
    <w:rsid w:val="5D28C1D7"/>
    <w:rsid w:val="5D4FB496"/>
    <w:rsid w:val="5D585183"/>
    <w:rsid w:val="5D5B805C"/>
    <w:rsid w:val="5D618275"/>
    <w:rsid w:val="5D75F736"/>
    <w:rsid w:val="5D843327"/>
    <w:rsid w:val="5D87B2F5"/>
    <w:rsid w:val="5D884FF9"/>
    <w:rsid w:val="5D90E60A"/>
    <w:rsid w:val="5DAD0F9E"/>
    <w:rsid w:val="5DAEB108"/>
    <w:rsid w:val="5DE12383"/>
    <w:rsid w:val="5DE985F0"/>
    <w:rsid w:val="5DF26C89"/>
    <w:rsid w:val="5E35A4FF"/>
    <w:rsid w:val="5E5AD4B7"/>
    <w:rsid w:val="5E823DC3"/>
    <w:rsid w:val="5E88341B"/>
    <w:rsid w:val="5EB585E8"/>
    <w:rsid w:val="5EBA5C58"/>
    <w:rsid w:val="5ECA00A6"/>
    <w:rsid w:val="5ECB62B0"/>
    <w:rsid w:val="5EDA95E4"/>
    <w:rsid w:val="5EE90344"/>
    <w:rsid w:val="5F1E7DD4"/>
    <w:rsid w:val="5F25BA6C"/>
    <w:rsid w:val="5F73F92C"/>
    <w:rsid w:val="5F834810"/>
    <w:rsid w:val="5FAD0A17"/>
    <w:rsid w:val="5FB14ED1"/>
    <w:rsid w:val="5FB47DBB"/>
    <w:rsid w:val="5FC73317"/>
    <w:rsid w:val="5FC97376"/>
    <w:rsid w:val="5FDA1A38"/>
    <w:rsid w:val="60028011"/>
    <w:rsid w:val="6013AA68"/>
    <w:rsid w:val="603A46EC"/>
    <w:rsid w:val="6047A0FD"/>
    <w:rsid w:val="604BA5E0"/>
    <w:rsid w:val="6073B5CC"/>
    <w:rsid w:val="6098629C"/>
    <w:rsid w:val="60BC8E33"/>
    <w:rsid w:val="60C17F72"/>
    <w:rsid w:val="60D98848"/>
    <w:rsid w:val="60E21C8D"/>
    <w:rsid w:val="60E67443"/>
    <w:rsid w:val="60F21FB7"/>
    <w:rsid w:val="61027B23"/>
    <w:rsid w:val="61395AB5"/>
    <w:rsid w:val="6143A60C"/>
    <w:rsid w:val="61466A98"/>
    <w:rsid w:val="616F5437"/>
    <w:rsid w:val="6196CF09"/>
    <w:rsid w:val="61AB3AFC"/>
    <w:rsid w:val="61B42925"/>
    <w:rsid w:val="61EF8E27"/>
    <w:rsid w:val="61F52448"/>
    <w:rsid w:val="620F1CCD"/>
    <w:rsid w:val="620F4249"/>
    <w:rsid w:val="62219804"/>
    <w:rsid w:val="622A8EB1"/>
    <w:rsid w:val="62339482"/>
    <w:rsid w:val="623A4F76"/>
    <w:rsid w:val="624298BF"/>
    <w:rsid w:val="624F2047"/>
    <w:rsid w:val="6259B872"/>
    <w:rsid w:val="625B6F4A"/>
    <w:rsid w:val="62683A2D"/>
    <w:rsid w:val="6269B402"/>
    <w:rsid w:val="62764A3F"/>
    <w:rsid w:val="628D8B71"/>
    <w:rsid w:val="62A63A7F"/>
    <w:rsid w:val="62A91EE2"/>
    <w:rsid w:val="62CE5E18"/>
    <w:rsid w:val="62E38A66"/>
    <w:rsid w:val="62E74053"/>
    <w:rsid w:val="62EE18DF"/>
    <w:rsid w:val="62FB2353"/>
    <w:rsid w:val="630B2619"/>
    <w:rsid w:val="63169DA3"/>
    <w:rsid w:val="631EA52D"/>
    <w:rsid w:val="63283CF2"/>
    <w:rsid w:val="6349095D"/>
    <w:rsid w:val="635A1033"/>
    <w:rsid w:val="636857DD"/>
    <w:rsid w:val="638F6212"/>
    <w:rsid w:val="63A38AC6"/>
    <w:rsid w:val="63B4BBEB"/>
    <w:rsid w:val="63C6EED5"/>
    <w:rsid w:val="63D91E59"/>
    <w:rsid w:val="6403D89E"/>
    <w:rsid w:val="6424CE27"/>
    <w:rsid w:val="64316467"/>
    <w:rsid w:val="643D63C8"/>
    <w:rsid w:val="645AE822"/>
    <w:rsid w:val="646CFA6F"/>
    <w:rsid w:val="648288CC"/>
    <w:rsid w:val="648880DA"/>
    <w:rsid w:val="64B016EF"/>
    <w:rsid w:val="64C062FC"/>
    <w:rsid w:val="64C08878"/>
    <w:rsid w:val="64C2BD12"/>
    <w:rsid w:val="64C44880"/>
    <w:rsid w:val="64CC47EE"/>
    <w:rsid w:val="64DAE2E7"/>
    <w:rsid w:val="64EED673"/>
    <w:rsid w:val="65153BFA"/>
    <w:rsid w:val="65156410"/>
    <w:rsid w:val="653EE6F3"/>
    <w:rsid w:val="655BEDDE"/>
    <w:rsid w:val="6584D015"/>
    <w:rsid w:val="65CD34C8"/>
    <w:rsid w:val="65D1FA12"/>
    <w:rsid w:val="65DF5B8A"/>
    <w:rsid w:val="65E8A898"/>
    <w:rsid w:val="6601D0F5"/>
    <w:rsid w:val="662472F9"/>
    <w:rsid w:val="663BAE93"/>
    <w:rsid w:val="663ED644"/>
    <w:rsid w:val="66473723"/>
    <w:rsid w:val="6648D05D"/>
    <w:rsid w:val="664A8D08"/>
    <w:rsid w:val="664BC012"/>
    <w:rsid w:val="66521906"/>
    <w:rsid w:val="665D9261"/>
    <w:rsid w:val="665F4097"/>
    <w:rsid w:val="6676551C"/>
    <w:rsid w:val="66769C33"/>
    <w:rsid w:val="668027C4"/>
    <w:rsid w:val="6683C03A"/>
    <w:rsid w:val="6684041E"/>
    <w:rsid w:val="6698917E"/>
    <w:rsid w:val="66AB6DE0"/>
    <w:rsid w:val="66B32750"/>
    <w:rsid w:val="66DA7A5A"/>
    <w:rsid w:val="66EA5839"/>
    <w:rsid w:val="66F5212B"/>
    <w:rsid w:val="66F581DA"/>
    <w:rsid w:val="67024789"/>
    <w:rsid w:val="670EF8F6"/>
    <w:rsid w:val="671344D6"/>
    <w:rsid w:val="6722EFCB"/>
    <w:rsid w:val="6725AA46"/>
    <w:rsid w:val="6737B9D9"/>
    <w:rsid w:val="67431496"/>
    <w:rsid w:val="67540273"/>
    <w:rsid w:val="67690529"/>
    <w:rsid w:val="677363A7"/>
    <w:rsid w:val="6777D14D"/>
    <w:rsid w:val="6778905F"/>
    <w:rsid w:val="677DED34"/>
    <w:rsid w:val="679F7087"/>
    <w:rsid w:val="67AFE83F"/>
    <w:rsid w:val="67C11323"/>
    <w:rsid w:val="67CF43D1"/>
    <w:rsid w:val="67DD7051"/>
    <w:rsid w:val="67F34222"/>
    <w:rsid w:val="68019B85"/>
    <w:rsid w:val="6804BAC2"/>
    <w:rsid w:val="6809EBF5"/>
    <w:rsid w:val="680CD340"/>
    <w:rsid w:val="681CB725"/>
    <w:rsid w:val="682E3AB5"/>
    <w:rsid w:val="6869F572"/>
    <w:rsid w:val="6889F267"/>
    <w:rsid w:val="68BFCD29"/>
    <w:rsid w:val="68D82BDC"/>
    <w:rsid w:val="68DE4783"/>
    <w:rsid w:val="6908A381"/>
    <w:rsid w:val="69168554"/>
    <w:rsid w:val="691ADCA7"/>
    <w:rsid w:val="691F800C"/>
    <w:rsid w:val="6932872A"/>
    <w:rsid w:val="693B6545"/>
    <w:rsid w:val="693DD26D"/>
    <w:rsid w:val="6947E152"/>
    <w:rsid w:val="69538943"/>
    <w:rsid w:val="6953C18E"/>
    <w:rsid w:val="6991F9F2"/>
    <w:rsid w:val="69ADEAAA"/>
    <w:rsid w:val="69BE6E14"/>
    <w:rsid w:val="69BEF31A"/>
    <w:rsid w:val="69C90A0F"/>
    <w:rsid w:val="69D5A123"/>
    <w:rsid w:val="69DFE5AB"/>
    <w:rsid w:val="6A43FF27"/>
    <w:rsid w:val="6A526CDF"/>
    <w:rsid w:val="6A834995"/>
    <w:rsid w:val="6A8C59B2"/>
    <w:rsid w:val="6A9D4121"/>
    <w:rsid w:val="6AA60779"/>
    <w:rsid w:val="6AC8CC9E"/>
    <w:rsid w:val="6AC9EEDD"/>
    <w:rsid w:val="6ACE578B"/>
    <w:rsid w:val="6AE79F5E"/>
    <w:rsid w:val="6AF62F0A"/>
    <w:rsid w:val="6B04D5CE"/>
    <w:rsid w:val="6B187A13"/>
    <w:rsid w:val="6B390D86"/>
    <w:rsid w:val="6B5A4422"/>
    <w:rsid w:val="6B78447C"/>
    <w:rsid w:val="6B89FDAD"/>
    <w:rsid w:val="6BC6A175"/>
    <w:rsid w:val="6BCC1633"/>
    <w:rsid w:val="6BF02A4A"/>
    <w:rsid w:val="6BF69DB6"/>
    <w:rsid w:val="6BF7A039"/>
    <w:rsid w:val="6BF8FE6D"/>
    <w:rsid w:val="6BFAEBA1"/>
    <w:rsid w:val="6BFDDE05"/>
    <w:rsid w:val="6C1C32F8"/>
    <w:rsid w:val="6C40C13B"/>
    <w:rsid w:val="6C546B65"/>
    <w:rsid w:val="6C605D0C"/>
    <w:rsid w:val="6C6BF76A"/>
    <w:rsid w:val="6C88C025"/>
    <w:rsid w:val="6CAB27C8"/>
    <w:rsid w:val="6CB44A74"/>
    <w:rsid w:val="6CCC6E43"/>
    <w:rsid w:val="6CD27B9B"/>
    <w:rsid w:val="6CD4CDC1"/>
    <w:rsid w:val="6CDDD570"/>
    <w:rsid w:val="6CE830EE"/>
    <w:rsid w:val="6CEA6B27"/>
    <w:rsid w:val="6CECDE3A"/>
    <w:rsid w:val="6CFF884B"/>
    <w:rsid w:val="6D0A7147"/>
    <w:rsid w:val="6D0F4F73"/>
    <w:rsid w:val="6D3ADD3E"/>
    <w:rsid w:val="6D439B4F"/>
    <w:rsid w:val="6D643FEB"/>
    <w:rsid w:val="6D7AC48D"/>
    <w:rsid w:val="6DC43453"/>
    <w:rsid w:val="6DDB5710"/>
    <w:rsid w:val="6DEA2A4B"/>
    <w:rsid w:val="6DEA3425"/>
    <w:rsid w:val="6DF3BF0F"/>
    <w:rsid w:val="6DFDBEAE"/>
    <w:rsid w:val="6E1958F1"/>
    <w:rsid w:val="6E1E60C1"/>
    <w:rsid w:val="6E44C81B"/>
    <w:rsid w:val="6E4B589C"/>
    <w:rsid w:val="6E553E60"/>
    <w:rsid w:val="6E59B541"/>
    <w:rsid w:val="6E622319"/>
    <w:rsid w:val="6E64A1BC"/>
    <w:rsid w:val="6E6BACEC"/>
    <w:rsid w:val="6E7088EA"/>
    <w:rsid w:val="6E859582"/>
    <w:rsid w:val="6EC64376"/>
    <w:rsid w:val="6EE46F5E"/>
    <w:rsid w:val="6F113265"/>
    <w:rsid w:val="6F401120"/>
    <w:rsid w:val="6F41DFD8"/>
    <w:rsid w:val="6F424FC6"/>
    <w:rsid w:val="6F857344"/>
    <w:rsid w:val="6F9914B4"/>
    <w:rsid w:val="6FA5138F"/>
    <w:rsid w:val="6FA689EE"/>
    <w:rsid w:val="6FB3BF40"/>
    <w:rsid w:val="6FB67FD5"/>
    <w:rsid w:val="6FBEC28B"/>
    <w:rsid w:val="6FCFBCF8"/>
    <w:rsid w:val="6FCFE7CB"/>
    <w:rsid w:val="6FD846F1"/>
    <w:rsid w:val="6FF5FFA7"/>
    <w:rsid w:val="700B178E"/>
    <w:rsid w:val="7032EEBA"/>
    <w:rsid w:val="7038468E"/>
    <w:rsid w:val="704FEB21"/>
    <w:rsid w:val="7059E4E9"/>
    <w:rsid w:val="7061855C"/>
    <w:rsid w:val="7061D8EC"/>
    <w:rsid w:val="70638F17"/>
    <w:rsid w:val="706CD6E8"/>
    <w:rsid w:val="707212FA"/>
    <w:rsid w:val="7076EA0E"/>
    <w:rsid w:val="708CE7C1"/>
    <w:rsid w:val="70962776"/>
    <w:rsid w:val="709B2DCB"/>
    <w:rsid w:val="70CC9ADE"/>
    <w:rsid w:val="70DC4261"/>
    <w:rsid w:val="70F99860"/>
    <w:rsid w:val="7112BF25"/>
    <w:rsid w:val="712899B3"/>
    <w:rsid w:val="712B4A2C"/>
    <w:rsid w:val="712B5FD1"/>
    <w:rsid w:val="71374A6B"/>
    <w:rsid w:val="713E15B6"/>
    <w:rsid w:val="716860E7"/>
    <w:rsid w:val="71710F64"/>
    <w:rsid w:val="717F2F0B"/>
    <w:rsid w:val="71816BF0"/>
    <w:rsid w:val="719691D2"/>
    <w:rsid w:val="71A1B709"/>
    <w:rsid w:val="71F68166"/>
    <w:rsid w:val="7207C983"/>
    <w:rsid w:val="720E0CD4"/>
    <w:rsid w:val="723D65FB"/>
    <w:rsid w:val="724BB0E8"/>
    <w:rsid w:val="7251AB9D"/>
    <w:rsid w:val="72673C4F"/>
    <w:rsid w:val="726831F3"/>
    <w:rsid w:val="728EA3B0"/>
    <w:rsid w:val="729C6577"/>
    <w:rsid w:val="72A0DC9F"/>
    <w:rsid w:val="72B57A14"/>
    <w:rsid w:val="72C938B1"/>
    <w:rsid w:val="72D93206"/>
    <w:rsid w:val="72DFC853"/>
    <w:rsid w:val="72E78632"/>
    <w:rsid w:val="72EDF0F1"/>
    <w:rsid w:val="7322493E"/>
    <w:rsid w:val="734C5FD9"/>
    <w:rsid w:val="7368144D"/>
    <w:rsid w:val="7373D741"/>
    <w:rsid w:val="73B646A3"/>
    <w:rsid w:val="73BFB3F0"/>
    <w:rsid w:val="73C08346"/>
    <w:rsid w:val="73D5CCB2"/>
    <w:rsid w:val="73ECE4E2"/>
    <w:rsid w:val="73FACB95"/>
    <w:rsid w:val="74016666"/>
    <w:rsid w:val="7431768B"/>
    <w:rsid w:val="743B2829"/>
    <w:rsid w:val="744208D7"/>
    <w:rsid w:val="744CDF14"/>
    <w:rsid w:val="7454C52C"/>
    <w:rsid w:val="7485068D"/>
    <w:rsid w:val="748DBD61"/>
    <w:rsid w:val="749AAC26"/>
    <w:rsid w:val="74A1C2D2"/>
    <w:rsid w:val="74A63BB2"/>
    <w:rsid w:val="74B4ACEC"/>
    <w:rsid w:val="74BFA3A2"/>
    <w:rsid w:val="74D458B7"/>
    <w:rsid w:val="74E453CE"/>
    <w:rsid w:val="75169474"/>
    <w:rsid w:val="753835A8"/>
    <w:rsid w:val="7539F7FB"/>
    <w:rsid w:val="7548F326"/>
    <w:rsid w:val="75492FC7"/>
    <w:rsid w:val="756C41A0"/>
    <w:rsid w:val="758453AB"/>
    <w:rsid w:val="75BA7C15"/>
    <w:rsid w:val="75D1063C"/>
    <w:rsid w:val="75DE375F"/>
    <w:rsid w:val="75E2E82E"/>
    <w:rsid w:val="75F1BDCE"/>
    <w:rsid w:val="7611134B"/>
    <w:rsid w:val="7620F482"/>
    <w:rsid w:val="76613A56"/>
    <w:rsid w:val="767E465A"/>
    <w:rsid w:val="76A90AFE"/>
    <w:rsid w:val="76AC35F4"/>
    <w:rsid w:val="76B129DA"/>
    <w:rsid w:val="76D71B85"/>
    <w:rsid w:val="76DEF73D"/>
    <w:rsid w:val="76F77E6E"/>
    <w:rsid w:val="773F0390"/>
    <w:rsid w:val="774214CD"/>
    <w:rsid w:val="7748BD01"/>
    <w:rsid w:val="775DB60F"/>
    <w:rsid w:val="77816353"/>
    <w:rsid w:val="7783E917"/>
    <w:rsid w:val="778F403B"/>
    <w:rsid w:val="77AD30CC"/>
    <w:rsid w:val="77B0A189"/>
    <w:rsid w:val="77B7A145"/>
    <w:rsid w:val="77C03B37"/>
    <w:rsid w:val="77C0A9D9"/>
    <w:rsid w:val="77C4C6AB"/>
    <w:rsid w:val="77ECAAF9"/>
    <w:rsid w:val="77F0A292"/>
    <w:rsid w:val="77F28E76"/>
    <w:rsid w:val="7833FB22"/>
    <w:rsid w:val="78408249"/>
    <w:rsid w:val="7842AEF0"/>
    <w:rsid w:val="784E5904"/>
    <w:rsid w:val="786997B8"/>
    <w:rsid w:val="78B30073"/>
    <w:rsid w:val="78DC64A4"/>
    <w:rsid w:val="78ECAA95"/>
    <w:rsid w:val="78EEFEAD"/>
    <w:rsid w:val="790B6165"/>
    <w:rsid w:val="791DD086"/>
    <w:rsid w:val="79313D4B"/>
    <w:rsid w:val="795993DC"/>
    <w:rsid w:val="795F8101"/>
    <w:rsid w:val="79616155"/>
    <w:rsid w:val="796D1F66"/>
    <w:rsid w:val="799165F8"/>
    <w:rsid w:val="7996F4E8"/>
    <w:rsid w:val="79CD95D4"/>
    <w:rsid w:val="79D322F5"/>
    <w:rsid w:val="79EB2008"/>
    <w:rsid w:val="79F2D717"/>
    <w:rsid w:val="79F77ECB"/>
    <w:rsid w:val="7A2CBFCD"/>
    <w:rsid w:val="7A3C6DE7"/>
    <w:rsid w:val="7A5E7199"/>
    <w:rsid w:val="7A700AB7"/>
    <w:rsid w:val="7A805DC3"/>
    <w:rsid w:val="7A81D641"/>
    <w:rsid w:val="7A853608"/>
    <w:rsid w:val="7AB9D4D9"/>
    <w:rsid w:val="7ABCBD3D"/>
    <w:rsid w:val="7AC85400"/>
    <w:rsid w:val="7B03FB9D"/>
    <w:rsid w:val="7B0DAF0F"/>
    <w:rsid w:val="7B0EE342"/>
    <w:rsid w:val="7B0FE44A"/>
    <w:rsid w:val="7B17AA75"/>
    <w:rsid w:val="7B1E24E0"/>
    <w:rsid w:val="7B42CD16"/>
    <w:rsid w:val="7B4DB35D"/>
    <w:rsid w:val="7B54F44D"/>
    <w:rsid w:val="7B650B27"/>
    <w:rsid w:val="7B7C098B"/>
    <w:rsid w:val="7B90418A"/>
    <w:rsid w:val="7B95A8F7"/>
    <w:rsid w:val="7BAFCD73"/>
    <w:rsid w:val="7BB99E1D"/>
    <w:rsid w:val="7BBCE4BA"/>
    <w:rsid w:val="7BDE2BBB"/>
    <w:rsid w:val="7BE940B2"/>
    <w:rsid w:val="7BEADE9E"/>
    <w:rsid w:val="7BEC5091"/>
    <w:rsid w:val="7C03D6E7"/>
    <w:rsid w:val="7C1401CF"/>
    <w:rsid w:val="7C664175"/>
    <w:rsid w:val="7C8863D3"/>
    <w:rsid w:val="7CC31BF3"/>
    <w:rsid w:val="7CC887AC"/>
    <w:rsid w:val="7CE00257"/>
    <w:rsid w:val="7CE4E972"/>
    <w:rsid w:val="7CF46037"/>
    <w:rsid w:val="7CF57807"/>
    <w:rsid w:val="7D060F6D"/>
    <w:rsid w:val="7D290BA6"/>
    <w:rsid w:val="7D2A561B"/>
    <w:rsid w:val="7DBD322E"/>
    <w:rsid w:val="7DBE29BD"/>
    <w:rsid w:val="7DCA9223"/>
    <w:rsid w:val="7DCACB5B"/>
    <w:rsid w:val="7DCD6C56"/>
    <w:rsid w:val="7DDC2D46"/>
    <w:rsid w:val="7DF6468B"/>
    <w:rsid w:val="7DFD32A0"/>
    <w:rsid w:val="7E28CCF9"/>
    <w:rsid w:val="7E3321B5"/>
    <w:rsid w:val="7E34827B"/>
    <w:rsid w:val="7E4FA8DA"/>
    <w:rsid w:val="7E61457B"/>
    <w:rsid w:val="7E882137"/>
    <w:rsid w:val="7E885DF3"/>
    <w:rsid w:val="7E9A2E9B"/>
    <w:rsid w:val="7EC5EF91"/>
    <w:rsid w:val="7EE93A03"/>
    <w:rsid w:val="7F0984DA"/>
    <w:rsid w:val="7F492181"/>
    <w:rsid w:val="7F6AC4B9"/>
    <w:rsid w:val="7F7E410F"/>
    <w:rsid w:val="7F81FDD9"/>
    <w:rsid w:val="7F8BDDC0"/>
    <w:rsid w:val="7F9D9F3F"/>
    <w:rsid w:val="7FB08A10"/>
    <w:rsid w:val="7FCEC285"/>
    <w:rsid w:val="7FDF91DE"/>
    <w:rsid w:val="7FE40287"/>
    <w:rsid w:val="7FF088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15:docId w15:val="{740F26CB-72C7-43A9-BEA7-E4B23E59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90C"/>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16C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List Paragraph2"/>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paragraph" w:customStyle="1" w:styleId="Normal1">
    <w:name w:val="Normal1"/>
    <w:basedOn w:val="Normal"/>
    <w:uiPriority w:val="1"/>
    <w:rsid w:val="283533BE"/>
    <w:rPr>
      <w:rFonts w:eastAsia="Arial" w:cs="Arial"/>
      <w:color w:val="000000" w:themeColor="text1"/>
    </w:rPr>
  </w:style>
  <w:style w:type="character" w:customStyle="1" w:styleId="normaltextrun">
    <w:name w:val="normaltextrun"/>
    <w:basedOn w:val="DefaultParagraphFont"/>
    <w:uiPriority w:val="1"/>
    <w:rsid w:val="58A27B8A"/>
  </w:style>
  <w:style w:type="character" w:styleId="Mention">
    <w:name w:val="Mention"/>
    <w:basedOn w:val="DefaultParagraphFont"/>
    <w:uiPriority w:val="99"/>
    <w:unhideWhenUsed/>
    <w:rsid w:val="00A46F2D"/>
    <w:rPr>
      <w:color w:val="2B579A"/>
      <w:shd w:val="clear" w:color="auto" w:fill="E1DFDD"/>
    </w:rPr>
  </w:style>
  <w:style w:type="paragraph" w:styleId="FootnoteText">
    <w:name w:val="footnote text"/>
    <w:basedOn w:val="Normal"/>
    <w:link w:val="FootnoteTextChar"/>
    <w:uiPriority w:val="99"/>
    <w:semiHidden/>
    <w:unhideWhenUsed/>
    <w:rsid w:val="00B82C7E"/>
    <w:rPr>
      <w:sz w:val="20"/>
      <w:szCs w:val="20"/>
    </w:rPr>
  </w:style>
  <w:style w:type="character" w:customStyle="1" w:styleId="FootnoteTextChar">
    <w:name w:val="Footnote Text Char"/>
    <w:basedOn w:val="DefaultParagraphFont"/>
    <w:link w:val="FootnoteText"/>
    <w:uiPriority w:val="99"/>
    <w:semiHidden/>
    <w:rsid w:val="00B82C7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B82C7E"/>
    <w:rPr>
      <w:vertAlign w:val="superscript"/>
    </w:rPr>
  </w:style>
  <w:style w:type="paragraph" w:styleId="Caption">
    <w:name w:val="caption"/>
    <w:basedOn w:val="Normal"/>
    <w:next w:val="Normal"/>
    <w:uiPriority w:val="35"/>
    <w:unhideWhenUsed/>
    <w:qFormat/>
    <w:rsid w:val="0049737C"/>
    <w:pPr>
      <w:spacing w:after="200"/>
    </w:pPr>
    <w:rPr>
      <w:i/>
      <w:iCs/>
      <w:color w:val="44546A" w:themeColor="text2"/>
      <w:sz w:val="18"/>
      <w:szCs w:val="18"/>
    </w:rPr>
  </w:style>
  <w:style w:type="paragraph" w:styleId="Revision">
    <w:name w:val="Revision"/>
    <w:hidden/>
    <w:uiPriority w:val="99"/>
    <w:semiHidden/>
    <w:rsid w:val="00F57BA3"/>
    <w:pPr>
      <w:spacing w:after="0" w:line="240" w:lineRule="auto"/>
    </w:pPr>
    <w:rPr>
      <w:rFonts w:ascii="Arial" w:eastAsia="Times New Roman" w:hAnsi="Arial" w:cs="Times New Roman"/>
      <w:sz w:val="24"/>
      <w:szCs w:val="24"/>
    </w:rPr>
  </w:style>
  <w:style w:type="character" w:styleId="Emphasis">
    <w:name w:val="Emphasis"/>
    <w:basedOn w:val="DefaultParagraphFont"/>
    <w:uiPriority w:val="20"/>
    <w:qFormat/>
    <w:rsid w:val="00880391"/>
    <w:rPr>
      <w:i/>
      <w:iCs/>
    </w:rPr>
  </w:style>
  <w:style w:type="character" w:customStyle="1" w:styleId="Heading1Char">
    <w:name w:val="Heading 1 Char"/>
    <w:basedOn w:val="DefaultParagraphFont"/>
    <w:link w:val="Heading1"/>
    <w:uiPriority w:val="9"/>
    <w:rsid w:val="00216C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634">
      <w:bodyDiv w:val="1"/>
      <w:marLeft w:val="0"/>
      <w:marRight w:val="0"/>
      <w:marTop w:val="0"/>
      <w:marBottom w:val="0"/>
      <w:divBdr>
        <w:top w:val="none" w:sz="0" w:space="0" w:color="auto"/>
        <w:left w:val="none" w:sz="0" w:space="0" w:color="auto"/>
        <w:bottom w:val="none" w:sz="0" w:space="0" w:color="auto"/>
        <w:right w:val="none" w:sz="0" w:space="0" w:color="auto"/>
      </w:divBdr>
    </w:div>
    <w:div w:id="220796899">
      <w:bodyDiv w:val="1"/>
      <w:marLeft w:val="0"/>
      <w:marRight w:val="0"/>
      <w:marTop w:val="0"/>
      <w:marBottom w:val="0"/>
      <w:divBdr>
        <w:top w:val="none" w:sz="0" w:space="0" w:color="auto"/>
        <w:left w:val="none" w:sz="0" w:space="0" w:color="auto"/>
        <w:bottom w:val="none" w:sz="0" w:space="0" w:color="auto"/>
        <w:right w:val="none" w:sz="0" w:space="0" w:color="auto"/>
      </w:divBdr>
      <w:divsChild>
        <w:div w:id="108207708">
          <w:marLeft w:val="0"/>
          <w:marRight w:val="0"/>
          <w:marTop w:val="0"/>
          <w:marBottom w:val="0"/>
          <w:divBdr>
            <w:top w:val="none" w:sz="0" w:space="0" w:color="auto"/>
            <w:left w:val="none" w:sz="0" w:space="0" w:color="auto"/>
            <w:bottom w:val="none" w:sz="0" w:space="0" w:color="auto"/>
            <w:right w:val="none" w:sz="0" w:space="0" w:color="auto"/>
          </w:divBdr>
        </w:div>
        <w:div w:id="785809397">
          <w:marLeft w:val="0"/>
          <w:marRight w:val="0"/>
          <w:marTop w:val="0"/>
          <w:marBottom w:val="0"/>
          <w:divBdr>
            <w:top w:val="none" w:sz="0" w:space="0" w:color="auto"/>
            <w:left w:val="none" w:sz="0" w:space="0" w:color="auto"/>
            <w:bottom w:val="none" w:sz="0" w:space="0" w:color="auto"/>
            <w:right w:val="none" w:sz="0" w:space="0" w:color="auto"/>
          </w:divBdr>
        </w:div>
        <w:div w:id="1019702792">
          <w:marLeft w:val="0"/>
          <w:marRight w:val="0"/>
          <w:marTop w:val="0"/>
          <w:marBottom w:val="0"/>
          <w:divBdr>
            <w:top w:val="none" w:sz="0" w:space="0" w:color="auto"/>
            <w:left w:val="none" w:sz="0" w:space="0" w:color="auto"/>
            <w:bottom w:val="none" w:sz="0" w:space="0" w:color="auto"/>
            <w:right w:val="none" w:sz="0" w:space="0" w:color="auto"/>
          </w:divBdr>
        </w:div>
        <w:div w:id="1434134552">
          <w:marLeft w:val="0"/>
          <w:marRight w:val="0"/>
          <w:marTop w:val="0"/>
          <w:marBottom w:val="0"/>
          <w:divBdr>
            <w:top w:val="none" w:sz="0" w:space="0" w:color="auto"/>
            <w:left w:val="none" w:sz="0" w:space="0" w:color="auto"/>
            <w:bottom w:val="none" w:sz="0" w:space="0" w:color="auto"/>
            <w:right w:val="none" w:sz="0" w:space="0" w:color="auto"/>
          </w:divBdr>
        </w:div>
        <w:div w:id="2090075267">
          <w:marLeft w:val="0"/>
          <w:marRight w:val="0"/>
          <w:marTop w:val="0"/>
          <w:marBottom w:val="0"/>
          <w:divBdr>
            <w:top w:val="none" w:sz="0" w:space="0" w:color="auto"/>
            <w:left w:val="none" w:sz="0" w:space="0" w:color="auto"/>
            <w:bottom w:val="none" w:sz="0" w:space="0" w:color="auto"/>
            <w:right w:val="none" w:sz="0" w:space="0" w:color="auto"/>
          </w:divBdr>
        </w:div>
      </w:divsChild>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384989335">
      <w:bodyDiv w:val="1"/>
      <w:marLeft w:val="0"/>
      <w:marRight w:val="0"/>
      <w:marTop w:val="0"/>
      <w:marBottom w:val="0"/>
      <w:divBdr>
        <w:top w:val="none" w:sz="0" w:space="0" w:color="auto"/>
        <w:left w:val="none" w:sz="0" w:space="0" w:color="auto"/>
        <w:bottom w:val="none" w:sz="0" w:space="0" w:color="auto"/>
        <w:right w:val="none" w:sz="0" w:space="0" w:color="auto"/>
      </w:divBdr>
    </w:div>
    <w:div w:id="1096173351">
      <w:bodyDiv w:val="1"/>
      <w:marLeft w:val="0"/>
      <w:marRight w:val="0"/>
      <w:marTop w:val="0"/>
      <w:marBottom w:val="0"/>
      <w:divBdr>
        <w:top w:val="none" w:sz="0" w:space="0" w:color="auto"/>
        <w:left w:val="none" w:sz="0" w:space="0" w:color="auto"/>
        <w:bottom w:val="none" w:sz="0" w:space="0" w:color="auto"/>
        <w:right w:val="none" w:sz="0" w:space="0" w:color="auto"/>
      </w:divBdr>
    </w:div>
    <w:div w:id="1144545439">
      <w:bodyDiv w:val="1"/>
      <w:marLeft w:val="0"/>
      <w:marRight w:val="0"/>
      <w:marTop w:val="0"/>
      <w:marBottom w:val="0"/>
      <w:divBdr>
        <w:top w:val="none" w:sz="0" w:space="0" w:color="auto"/>
        <w:left w:val="none" w:sz="0" w:space="0" w:color="auto"/>
        <w:bottom w:val="none" w:sz="0" w:space="0" w:color="auto"/>
        <w:right w:val="none" w:sz="0" w:space="0" w:color="auto"/>
      </w:divBdr>
    </w:div>
    <w:div w:id="1161311887">
      <w:bodyDiv w:val="1"/>
      <w:marLeft w:val="0"/>
      <w:marRight w:val="0"/>
      <w:marTop w:val="0"/>
      <w:marBottom w:val="0"/>
      <w:divBdr>
        <w:top w:val="none" w:sz="0" w:space="0" w:color="auto"/>
        <w:left w:val="none" w:sz="0" w:space="0" w:color="auto"/>
        <w:bottom w:val="none" w:sz="0" w:space="0" w:color="auto"/>
        <w:right w:val="none" w:sz="0" w:space="0" w:color="auto"/>
      </w:divBdr>
    </w:div>
    <w:div w:id="1492133331">
      <w:bodyDiv w:val="1"/>
      <w:marLeft w:val="0"/>
      <w:marRight w:val="0"/>
      <w:marTop w:val="0"/>
      <w:marBottom w:val="0"/>
      <w:divBdr>
        <w:top w:val="none" w:sz="0" w:space="0" w:color="auto"/>
        <w:left w:val="none" w:sz="0" w:space="0" w:color="auto"/>
        <w:bottom w:val="none" w:sz="0" w:space="0" w:color="auto"/>
        <w:right w:val="none" w:sz="0" w:space="0" w:color="auto"/>
      </w:divBdr>
    </w:div>
    <w:div w:id="1646810475">
      <w:bodyDiv w:val="1"/>
      <w:marLeft w:val="0"/>
      <w:marRight w:val="0"/>
      <w:marTop w:val="0"/>
      <w:marBottom w:val="0"/>
      <w:divBdr>
        <w:top w:val="none" w:sz="0" w:space="0" w:color="auto"/>
        <w:left w:val="none" w:sz="0" w:space="0" w:color="auto"/>
        <w:bottom w:val="none" w:sz="0" w:space="0" w:color="auto"/>
        <w:right w:val="none" w:sz="0" w:space="0" w:color="auto"/>
      </w:divBdr>
    </w:div>
    <w:div w:id="1760101061">
      <w:bodyDiv w:val="1"/>
      <w:marLeft w:val="0"/>
      <w:marRight w:val="0"/>
      <w:marTop w:val="0"/>
      <w:marBottom w:val="0"/>
      <w:divBdr>
        <w:top w:val="none" w:sz="0" w:space="0" w:color="auto"/>
        <w:left w:val="none" w:sz="0" w:space="0" w:color="auto"/>
        <w:bottom w:val="none" w:sz="0" w:space="0" w:color="auto"/>
        <w:right w:val="none" w:sz="0" w:space="0" w:color="auto"/>
      </w:divBdr>
      <w:divsChild>
        <w:div w:id="428938257">
          <w:marLeft w:val="0"/>
          <w:marRight w:val="0"/>
          <w:marTop w:val="0"/>
          <w:marBottom w:val="0"/>
          <w:divBdr>
            <w:top w:val="none" w:sz="0" w:space="0" w:color="auto"/>
            <w:left w:val="none" w:sz="0" w:space="0" w:color="auto"/>
            <w:bottom w:val="none" w:sz="0" w:space="0" w:color="auto"/>
            <w:right w:val="none" w:sz="0" w:space="0" w:color="auto"/>
          </w:divBdr>
        </w:div>
        <w:div w:id="1023241126">
          <w:marLeft w:val="0"/>
          <w:marRight w:val="0"/>
          <w:marTop w:val="0"/>
          <w:marBottom w:val="0"/>
          <w:divBdr>
            <w:top w:val="none" w:sz="0" w:space="0" w:color="auto"/>
            <w:left w:val="none" w:sz="0" w:space="0" w:color="auto"/>
            <w:bottom w:val="none" w:sz="0" w:space="0" w:color="auto"/>
            <w:right w:val="none" w:sz="0" w:space="0" w:color="auto"/>
          </w:divBdr>
        </w:div>
        <w:div w:id="1439837375">
          <w:marLeft w:val="0"/>
          <w:marRight w:val="0"/>
          <w:marTop w:val="0"/>
          <w:marBottom w:val="0"/>
          <w:divBdr>
            <w:top w:val="none" w:sz="0" w:space="0" w:color="auto"/>
            <w:left w:val="none" w:sz="0" w:space="0" w:color="auto"/>
            <w:bottom w:val="none" w:sz="0" w:space="0" w:color="auto"/>
            <w:right w:val="none" w:sz="0" w:space="0" w:color="auto"/>
          </w:divBdr>
        </w:div>
        <w:div w:id="1704405648">
          <w:marLeft w:val="0"/>
          <w:marRight w:val="0"/>
          <w:marTop w:val="0"/>
          <w:marBottom w:val="0"/>
          <w:divBdr>
            <w:top w:val="none" w:sz="0" w:space="0" w:color="auto"/>
            <w:left w:val="none" w:sz="0" w:space="0" w:color="auto"/>
            <w:bottom w:val="none" w:sz="0" w:space="0" w:color="auto"/>
            <w:right w:val="none" w:sz="0" w:space="0" w:color="auto"/>
          </w:divBdr>
        </w:div>
        <w:div w:id="1903100902">
          <w:marLeft w:val="0"/>
          <w:marRight w:val="0"/>
          <w:marTop w:val="0"/>
          <w:marBottom w:val="0"/>
          <w:divBdr>
            <w:top w:val="none" w:sz="0" w:space="0" w:color="auto"/>
            <w:left w:val="none" w:sz="0" w:space="0" w:color="auto"/>
            <w:bottom w:val="none" w:sz="0" w:space="0" w:color="auto"/>
            <w:right w:val="none" w:sz="0" w:space="0" w:color="auto"/>
          </w:divBdr>
        </w:div>
      </w:divsChild>
    </w:div>
    <w:div w:id="1801798583">
      <w:bodyDiv w:val="1"/>
      <w:marLeft w:val="0"/>
      <w:marRight w:val="0"/>
      <w:marTop w:val="0"/>
      <w:marBottom w:val="0"/>
      <w:divBdr>
        <w:top w:val="none" w:sz="0" w:space="0" w:color="auto"/>
        <w:left w:val="none" w:sz="0" w:space="0" w:color="auto"/>
        <w:bottom w:val="none" w:sz="0" w:space="0" w:color="auto"/>
        <w:right w:val="none" w:sz="0" w:space="0" w:color="auto"/>
      </w:divBdr>
    </w:div>
    <w:div w:id="1963656057">
      <w:bodyDiv w:val="1"/>
      <w:marLeft w:val="0"/>
      <w:marRight w:val="0"/>
      <w:marTop w:val="0"/>
      <w:marBottom w:val="0"/>
      <w:divBdr>
        <w:top w:val="none" w:sz="0" w:space="0" w:color="auto"/>
        <w:left w:val="none" w:sz="0" w:space="0" w:color="auto"/>
        <w:bottom w:val="none" w:sz="0" w:space="0" w:color="auto"/>
        <w:right w:val="none" w:sz="0" w:space="0" w:color="auto"/>
      </w:divBdr>
    </w:div>
    <w:div w:id="2091390561">
      <w:bodyDiv w:val="1"/>
      <w:marLeft w:val="0"/>
      <w:marRight w:val="0"/>
      <w:marTop w:val="0"/>
      <w:marBottom w:val="0"/>
      <w:divBdr>
        <w:top w:val="none" w:sz="0" w:space="0" w:color="auto"/>
        <w:left w:val="none" w:sz="0" w:space="0" w:color="auto"/>
        <w:bottom w:val="none" w:sz="0" w:space="0" w:color="auto"/>
        <w:right w:val="none" w:sz="0" w:space="0" w:color="auto"/>
      </w:divBdr>
    </w:div>
    <w:div w:id="21310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atipublisher-prod.s3.amazonaws.com/document-link/414/LDN-2023-LogFrame-for-devtracker-202412160312011745550666.xlsx" TargetMode="External"/><Relationship Id="rId18" Type="http://schemas.openxmlformats.org/officeDocument/2006/relationships/hyperlink" Target="https://www.mirova.com/sites/default/files/2020-08/LDN%20Initiative%20-Summary%20of%20ESG%20Policy.pdf"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iatipublisher-prod.s3.amazonaws.com/document-link/414/LDN-EBF-Business-Case-for-Devtracker-202403261103311745550666.docx" TargetMode="External"/><Relationship Id="rId17" Type="http://schemas.openxmlformats.org/officeDocument/2006/relationships/hyperlink" Target="https://www.mirova.com/sites/default/files/2020-08/MNC-ESG-Policy.pdf" TargetMode="External"/><Relationship Id="rId25" Type="http://schemas.openxmlformats.org/officeDocument/2006/relationships/chart" Target="charts/chart4.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ifc.org/wps/wcm/connect/c02c2e86-e6cd-4b55-95a2-b3395d204279/IFC_Performance_Standards.pdf?MOD=AJPERES&amp;CVID=kTjHBz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3.xm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idh.org/resources/gender-inclusion-in-sustainable-land-management" TargetMode="External"/><Relationship Id="rId23" Type="http://schemas.openxmlformats.org/officeDocument/2006/relationships/chart" Target="charts/chart2.xml"/><Relationship Id="rId28" Type="http://schemas.openxmlformats.org/officeDocument/2006/relationships/footer" Target="footer1.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mirova.com/sites/default/files/2020-08/Guidance%20for%20project%20developers.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xchallenge.org/" TargetMode="External"/><Relationship Id="rId22" Type="http://schemas.openxmlformats.org/officeDocument/2006/relationships/chart" Target="charts/chart1.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efra.sharepoint.com/teams/Team2765/Integrating%20Nature%20Document%20Library/Projects/PO009%20-%20Land%20Degradation%20Neutrality%20(LDN)%20Fund/LDN%20quick%20facts%20and%20investment%20breakdow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GB" sz="1100"/>
              <a:t>Leveraged</a:t>
            </a:r>
            <a:r>
              <a:rPr lang="en-GB" sz="1100" baseline="0"/>
              <a:t> Finance ($ millions)</a:t>
            </a:r>
            <a:endParaRPr lang="en-GB" sz="1100"/>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14610001564373989"/>
          <c:y val="0.18181372549019609"/>
          <c:w val="0.80998765882741475"/>
          <c:h val="0.54967230199166284"/>
        </c:manualLayout>
      </c:layout>
      <c:barChart>
        <c:barDir val="col"/>
        <c:grouping val="stacked"/>
        <c:varyColors val="0"/>
        <c:ser>
          <c:idx val="2"/>
          <c:order val="0"/>
          <c:tx>
            <c:strRef>
              <c:f>'Attribution tables'!$B$7</c:f>
              <c:strCache>
                <c:ptCount val="1"/>
                <c:pt idx="0">
                  <c:v> Public ($)</c:v>
                </c:pt>
              </c:strCache>
            </c:strRef>
          </c:tx>
          <c:spPr>
            <a:solidFill>
              <a:schemeClr val="accent3"/>
            </a:solidFill>
            <a:ln>
              <a:noFill/>
            </a:ln>
            <a:effectLst/>
          </c:spPr>
          <c:invertIfNegative val="0"/>
          <c:cat>
            <c:strRef>
              <c:f>'Attribution tables'!$C$2:$H$2</c:f>
              <c:strCache>
                <c:ptCount val="6"/>
                <c:pt idx="0">
                  <c:v>Baseline (2019)</c:v>
                </c:pt>
                <c:pt idx="1">
                  <c:v>2020</c:v>
                </c:pt>
                <c:pt idx="2">
                  <c:v>2021</c:v>
                </c:pt>
                <c:pt idx="3">
                  <c:v>2022</c:v>
                </c:pt>
                <c:pt idx="4">
                  <c:v>2023</c:v>
                </c:pt>
                <c:pt idx="5">
                  <c:v>2024</c:v>
                </c:pt>
              </c:strCache>
            </c:strRef>
          </c:cat>
          <c:val>
            <c:numRef>
              <c:f>'Attribution tables'!$C$7:$H$7</c:f>
              <c:numCache>
                <c:formatCode>_(* #,##0_);_(* \(#,##0\);_(* "-"??_);_(@_)</c:formatCode>
                <c:ptCount val="6"/>
                <c:pt idx="0">
                  <c:v>28580327.596799996</c:v>
                </c:pt>
                <c:pt idx="1">
                  <c:v>40866562.396799996</c:v>
                </c:pt>
                <c:pt idx="2">
                  <c:v>85572988</c:v>
                </c:pt>
                <c:pt idx="3">
                  <c:v>85572988</c:v>
                </c:pt>
                <c:pt idx="4" formatCode="#,##0">
                  <c:v>85572988</c:v>
                </c:pt>
                <c:pt idx="5" formatCode="#,##0">
                  <c:v>85572988</c:v>
                </c:pt>
              </c:numCache>
            </c:numRef>
          </c:val>
          <c:extLst>
            <c:ext xmlns:c16="http://schemas.microsoft.com/office/drawing/2014/chart" uri="{C3380CC4-5D6E-409C-BE32-E72D297353CC}">
              <c16:uniqueId val="{00000000-D4F9-4A54-B113-9EE340596797}"/>
            </c:ext>
          </c:extLst>
        </c:ser>
        <c:ser>
          <c:idx val="0"/>
          <c:order val="1"/>
          <c:tx>
            <c:strRef>
              <c:f>'Attribution tables'!$B$5</c:f>
              <c:strCache>
                <c:ptCount val="1"/>
                <c:pt idx="0">
                  <c:v> Private ($)</c:v>
                </c:pt>
              </c:strCache>
            </c:strRef>
          </c:tx>
          <c:spPr>
            <a:solidFill>
              <a:schemeClr val="accent1"/>
            </a:solidFill>
            <a:ln>
              <a:noFill/>
            </a:ln>
            <a:effectLst/>
          </c:spPr>
          <c:invertIfNegative val="0"/>
          <c:cat>
            <c:strRef>
              <c:f>'Attribution tables'!$C$2:$H$2</c:f>
              <c:strCache>
                <c:ptCount val="6"/>
                <c:pt idx="0">
                  <c:v>Baseline (2019)</c:v>
                </c:pt>
                <c:pt idx="1">
                  <c:v>2020</c:v>
                </c:pt>
                <c:pt idx="2">
                  <c:v>2021</c:v>
                </c:pt>
                <c:pt idx="3">
                  <c:v>2022</c:v>
                </c:pt>
                <c:pt idx="4">
                  <c:v>2023</c:v>
                </c:pt>
                <c:pt idx="5">
                  <c:v>2024</c:v>
                </c:pt>
              </c:strCache>
            </c:strRef>
          </c:cat>
          <c:val>
            <c:numRef>
              <c:f>'Attribution tables'!$C$5:$H$5</c:f>
              <c:numCache>
                <c:formatCode>#,##0</c:formatCode>
                <c:ptCount val="6"/>
                <c:pt idx="0">
                  <c:v>48277434</c:v>
                </c:pt>
                <c:pt idx="1">
                  <c:v>102087434</c:v>
                </c:pt>
                <c:pt idx="2">
                  <c:v>128079834</c:v>
                </c:pt>
                <c:pt idx="3">
                  <c:v>128079834</c:v>
                </c:pt>
                <c:pt idx="4">
                  <c:v>128079834</c:v>
                </c:pt>
                <c:pt idx="5">
                  <c:v>128079834</c:v>
                </c:pt>
              </c:numCache>
            </c:numRef>
          </c:val>
          <c:extLst>
            <c:ext xmlns:c16="http://schemas.microsoft.com/office/drawing/2014/chart" uri="{C3380CC4-5D6E-409C-BE32-E72D297353CC}">
              <c16:uniqueId val="{00000001-D4F9-4A54-B113-9EE340596797}"/>
            </c:ext>
          </c:extLst>
        </c:ser>
        <c:ser>
          <c:idx val="1"/>
          <c:order val="2"/>
          <c:tx>
            <c:strRef>
              <c:f>'Attribution tables'!$B$6</c:f>
              <c:strCache>
                <c:ptCount val="1"/>
                <c:pt idx="0">
                  <c:v>Co-investment ($)</c:v>
                </c:pt>
              </c:strCache>
            </c:strRef>
          </c:tx>
          <c:spPr>
            <a:solidFill>
              <a:schemeClr val="accent2"/>
            </a:solidFill>
            <a:ln>
              <a:noFill/>
            </a:ln>
            <a:effectLst/>
          </c:spPr>
          <c:invertIfNegative val="0"/>
          <c:cat>
            <c:strRef>
              <c:f>'Attribution tables'!$C$2:$H$2</c:f>
              <c:strCache>
                <c:ptCount val="6"/>
                <c:pt idx="0">
                  <c:v>Baseline (2019)</c:v>
                </c:pt>
                <c:pt idx="1">
                  <c:v>2020</c:v>
                </c:pt>
                <c:pt idx="2">
                  <c:v>2021</c:v>
                </c:pt>
                <c:pt idx="3">
                  <c:v>2022</c:v>
                </c:pt>
                <c:pt idx="4">
                  <c:v>2023</c:v>
                </c:pt>
                <c:pt idx="5">
                  <c:v>2024</c:v>
                </c:pt>
              </c:strCache>
            </c:strRef>
          </c:cat>
          <c:val>
            <c:numRef>
              <c:f>'Attribution tables'!$C$6:$H$6</c:f>
              <c:numCache>
                <c:formatCode>#,##0</c:formatCode>
                <c:ptCount val="6"/>
                <c:pt idx="0">
                  <c:v>5000000</c:v>
                </c:pt>
                <c:pt idx="1">
                  <c:v>67500000</c:v>
                </c:pt>
                <c:pt idx="2">
                  <c:v>87828283</c:v>
                </c:pt>
                <c:pt idx="3">
                  <c:v>91828283</c:v>
                </c:pt>
                <c:pt idx="4">
                  <c:v>178139258</c:v>
                </c:pt>
                <c:pt idx="5">
                  <c:v>215798066</c:v>
                </c:pt>
              </c:numCache>
            </c:numRef>
          </c:val>
          <c:extLst>
            <c:ext xmlns:c16="http://schemas.microsoft.com/office/drawing/2014/chart" uri="{C3380CC4-5D6E-409C-BE32-E72D297353CC}">
              <c16:uniqueId val="{00000002-D4F9-4A54-B113-9EE340596797}"/>
            </c:ext>
          </c:extLst>
        </c:ser>
        <c:dLbls>
          <c:showLegendKey val="0"/>
          <c:showVal val="0"/>
          <c:showCatName val="0"/>
          <c:showSerName val="0"/>
          <c:showPercent val="0"/>
          <c:showBubbleSize val="0"/>
        </c:dLbls>
        <c:gapWidth val="150"/>
        <c:overlap val="100"/>
        <c:axId val="2119900720"/>
        <c:axId val="2119901200"/>
      </c:barChart>
      <c:lineChart>
        <c:grouping val="standard"/>
        <c:varyColors val="0"/>
        <c:ser>
          <c:idx val="3"/>
          <c:order val="3"/>
          <c:tx>
            <c:v>Milestones</c:v>
          </c:tx>
          <c:spPr>
            <a:ln w="28575" cap="rnd">
              <a:solidFill>
                <a:schemeClr val="accent4"/>
              </a:solidFill>
              <a:round/>
            </a:ln>
            <a:effectLst/>
          </c:spPr>
          <c:marker>
            <c:symbol val="none"/>
          </c:marker>
          <c:val>
            <c:numRef>
              <c:f>'Attribution tables'!$C$31:$H$31</c:f>
              <c:numCache>
                <c:formatCode>General</c:formatCode>
                <c:ptCount val="6"/>
                <c:pt idx="3" formatCode="#,##0">
                  <c:v>313652822</c:v>
                </c:pt>
                <c:pt idx="4" formatCode="#,##0">
                  <c:v>343652822</c:v>
                </c:pt>
                <c:pt idx="5" formatCode="#,##0">
                  <c:v>348652822</c:v>
                </c:pt>
              </c:numCache>
            </c:numRef>
          </c:val>
          <c:smooth val="0"/>
          <c:extLst>
            <c:ext xmlns:c16="http://schemas.microsoft.com/office/drawing/2014/chart" uri="{C3380CC4-5D6E-409C-BE32-E72D297353CC}">
              <c16:uniqueId val="{00000003-D4F9-4A54-B113-9EE340596797}"/>
            </c:ext>
          </c:extLst>
        </c:ser>
        <c:dLbls>
          <c:showLegendKey val="0"/>
          <c:showVal val="0"/>
          <c:showCatName val="0"/>
          <c:showSerName val="0"/>
          <c:showPercent val="0"/>
          <c:showBubbleSize val="0"/>
        </c:dLbls>
        <c:marker val="1"/>
        <c:smooth val="0"/>
        <c:axId val="2119900720"/>
        <c:axId val="2119901200"/>
      </c:lineChart>
      <c:catAx>
        <c:axId val="211990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901200"/>
        <c:crosses val="autoZero"/>
        <c:auto val="1"/>
        <c:lblAlgn val="ctr"/>
        <c:lblOffset val="100"/>
        <c:noMultiLvlLbl val="0"/>
      </c:catAx>
      <c:valAx>
        <c:axId val="2119901200"/>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900720"/>
        <c:crosses val="autoZero"/>
        <c:crossBetween val="between"/>
        <c:dispUnits>
          <c:builtInUnit val="millions"/>
        </c:dispUnits>
      </c:valAx>
      <c:spPr>
        <a:noFill/>
        <a:ln>
          <a:noFill/>
        </a:ln>
        <a:effectLst/>
      </c:spPr>
    </c:plotArea>
    <c:legend>
      <c:legendPos val="b"/>
      <c:layout>
        <c:manualLayout>
          <c:xMode val="edge"/>
          <c:yMode val="edge"/>
          <c:x val="0.14190486463164706"/>
          <c:y val="0.87635924819742361"/>
          <c:w val="0.85143458095135371"/>
          <c:h val="0.11397174617878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Land contributing towards LDN (cumulative ha)</a:t>
            </a:r>
          </a:p>
        </c:rich>
      </c:tx>
      <c:layout>
        <c:manualLayout>
          <c:xMode val="edge"/>
          <c:yMode val="edge"/>
          <c:x val="0.10421708468550059"/>
          <c:y val="2.494154938083094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80356803225683"/>
          <c:y val="0.21282207540149436"/>
          <c:w val="0.76900726539617315"/>
          <c:h val="0.50123027724982649"/>
        </c:manualLayout>
      </c:layout>
      <c:lineChart>
        <c:grouping val="standard"/>
        <c:varyColors val="0"/>
        <c:ser>
          <c:idx val="0"/>
          <c:order val="0"/>
          <c:tx>
            <c:v>Results</c:v>
          </c:tx>
          <c:spPr>
            <a:ln w="28575" cap="rnd">
              <a:solidFill>
                <a:schemeClr val="accent1"/>
              </a:solidFill>
              <a:round/>
            </a:ln>
            <a:effectLst/>
          </c:spPr>
          <c:marker>
            <c:symbol val="none"/>
          </c:marker>
          <c:cat>
            <c:strRef>
              <c:f>'Attribution tables'!$C$2:$H$2</c:f>
              <c:strCache>
                <c:ptCount val="6"/>
                <c:pt idx="0">
                  <c:v>Baseline (2019)</c:v>
                </c:pt>
                <c:pt idx="1">
                  <c:v>2020</c:v>
                </c:pt>
                <c:pt idx="2">
                  <c:v>2021</c:v>
                </c:pt>
                <c:pt idx="3">
                  <c:v>2022</c:v>
                </c:pt>
                <c:pt idx="4">
                  <c:v>2023</c:v>
                </c:pt>
                <c:pt idx="5">
                  <c:v>2024</c:v>
                </c:pt>
              </c:strCache>
            </c:strRef>
          </c:cat>
          <c:val>
            <c:numRef>
              <c:f>'Attribution tables'!$C$8:$H$8</c:f>
              <c:numCache>
                <c:formatCode>#,##0</c:formatCode>
                <c:ptCount val="6"/>
                <c:pt idx="0">
                  <c:v>37406</c:v>
                </c:pt>
                <c:pt idx="1">
                  <c:v>40753</c:v>
                </c:pt>
                <c:pt idx="2">
                  <c:v>98155</c:v>
                </c:pt>
                <c:pt idx="3">
                  <c:v>133301</c:v>
                </c:pt>
                <c:pt idx="4">
                  <c:v>138445</c:v>
                </c:pt>
                <c:pt idx="5">
                  <c:v>150281</c:v>
                </c:pt>
              </c:numCache>
            </c:numRef>
          </c:val>
          <c:smooth val="0"/>
          <c:extLst>
            <c:ext xmlns:c16="http://schemas.microsoft.com/office/drawing/2014/chart" uri="{C3380CC4-5D6E-409C-BE32-E72D297353CC}">
              <c16:uniqueId val="{00000000-36DE-436B-9020-4557F2C9B817}"/>
            </c:ext>
          </c:extLst>
        </c:ser>
        <c:ser>
          <c:idx val="1"/>
          <c:order val="1"/>
          <c:tx>
            <c:v>Milestones</c:v>
          </c:tx>
          <c:spPr>
            <a:ln w="28575" cap="rnd">
              <a:solidFill>
                <a:schemeClr val="accent2"/>
              </a:solidFill>
              <a:round/>
            </a:ln>
            <a:effectLst/>
          </c:spPr>
          <c:marker>
            <c:symbol val="none"/>
          </c:marker>
          <c:val>
            <c:numRef>
              <c:f>'Attribution tables'!$C$32:$H$32</c:f>
              <c:numCache>
                <c:formatCode>General</c:formatCode>
                <c:ptCount val="6"/>
                <c:pt idx="3">
                  <c:v>125000</c:v>
                </c:pt>
                <c:pt idx="4">
                  <c:v>150000</c:v>
                </c:pt>
                <c:pt idx="5">
                  <c:v>180000</c:v>
                </c:pt>
              </c:numCache>
            </c:numRef>
          </c:val>
          <c:smooth val="0"/>
          <c:extLst>
            <c:ext xmlns:c16="http://schemas.microsoft.com/office/drawing/2014/chart" uri="{C3380CC4-5D6E-409C-BE32-E72D297353CC}">
              <c16:uniqueId val="{00000001-36DE-436B-9020-4557F2C9B817}"/>
            </c:ext>
          </c:extLst>
        </c:ser>
        <c:dLbls>
          <c:showLegendKey val="0"/>
          <c:showVal val="0"/>
          <c:showCatName val="0"/>
          <c:showSerName val="0"/>
          <c:showPercent val="0"/>
          <c:showBubbleSize val="0"/>
        </c:dLbls>
        <c:smooth val="0"/>
        <c:axId val="821282128"/>
        <c:axId val="821288848"/>
      </c:lineChart>
      <c:catAx>
        <c:axId val="82128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88848"/>
        <c:crosses val="autoZero"/>
        <c:auto val="1"/>
        <c:lblAlgn val="ctr"/>
        <c:lblOffset val="100"/>
        <c:noMultiLvlLbl val="0"/>
      </c:catAx>
      <c:valAx>
        <c:axId val="821288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82128"/>
        <c:crosses val="autoZero"/>
        <c:crossBetween val="between"/>
        <c:majorUnit val="25000"/>
      </c:valAx>
      <c:spPr>
        <a:noFill/>
        <a:ln>
          <a:noFill/>
        </a:ln>
        <a:effectLst/>
      </c:spPr>
    </c:plotArea>
    <c:legend>
      <c:legendPos val="r"/>
      <c:layout>
        <c:manualLayout>
          <c:xMode val="edge"/>
          <c:yMode val="edge"/>
          <c:x val="0.24515865951538665"/>
          <c:y val="0.88585070544342881"/>
          <c:w val="0.56250236397218023"/>
          <c:h val="9.90468720145614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Area of reforestation (cumulative ha)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775164693259453"/>
          <c:y val="0.17272932125094562"/>
          <c:w val="0.75558721009871044"/>
          <c:h val="0.5271378772965879"/>
        </c:manualLayout>
      </c:layout>
      <c:lineChart>
        <c:grouping val="standard"/>
        <c:varyColors val="0"/>
        <c:ser>
          <c:idx val="0"/>
          <c:order val="0"/>
          <c:tx>
            <c:v>Results</c:v>
          </c:tx>
          <c:spPr>
            <a:ln w="28575" cap="rnd">
              <a:solidFill>
                <a:schemeClr val="accent1"/>
              </a:solidFill>
              <a:round/>
            </a:ln>
            <a:effectLst/>
          </c:spPr>
          <c:marker>
            <c:symbol val="none"/>
          </c:marker>
          <c:cat>
            <c:strRef>
              <c:f>'Attribution tables'!$C$2:$H$2</c:f>
              <c:strCache>
                <c:ptCount val="6"/>
                <c:pt idx="0">
                  <c:v>Baseline (2019)</c:v>
                </c:pt>
                <c:pt idx="1">
                  <c:v>2020</c:v>
                </c:pt>
                <c:pt idx="2">
                  <c:v>2021</c:v>
                </c:pt>
                <c:pt idx="3">
                  <c:v>2022</c:v>
                </c:pt>
                <c:pt idx="4">
                  <c:v>2023</c:v>
                </c:pt>
                <c:pt idx="5">
                  <c:v>2024</c:v>
                </c:pt>
              </c:strCache>
            </c:strRef>
          </c:cat>
          <c:val>
            <c:numRef>
              <c:f>'Attribution tables'!$C$3:$H$3</c:f>
              <c:numCache>
                <c:formatCode>#,##0</c:formatCode>
                <c:ptCount val="6"/>
                <c:pt idx="0">
                  <c:v>28795</c:v>
                </c:pt>
                <c:pt idx="1">
                  <c:v>32507</c:v>
                </c:pt>
                <c:pt idx="2">
                  <c:v>45509</c:v>
                </c:pt>
                <c:pt idx="3">
                  <c:v>47085.729999999996</c:v>
                </c:pt>
                <c:pt idx="4">
                  <c:v>65792</c:v>
                </c:pt>
                <c:pt idx="5">
                  <c:v>77162</c:v>
                </c:pt>
              </c:numCache>
            </c:numRef>
          </c:val>
          <c:smooth val="0"/>
          <c:extLst>
            <c:ext xmlns:c16="http://schemas.microsoft.com/office/drawing/2014/chart" uri="{C3380CC4-5D6E-409C-BE32-E72D297353CC}">
              <c16:uniqueId val="{00000000-CD67-4E82-8B17-3DD6D65A5947}"/>
            </c:ext>
          </c:extLst>
        </c:ser>
        <c:ser>
          <c:idx val="1"/>
          <c:order val="1"/>
          <c:tx>
            <c:v>Milestones</c:v>
          </c:tx>
          <c:spPr>
            <a:ln w="28575" cap="rnd">
              <a:solidFill>
                <a:schemeClr val="accent2"/>
              </a:solidFill>
              <a:round/>
            </a:ln>
            <a:effectLst/>
          </c:spPr>
          <c:marker>
            <c:symbol val="none"/>
          </c:marker>
          <c:val>
            <c:numRef>
              <c:f>'Attribution tables'!$C$26:$H$26</c:f>
              <c:numCache>
                <c:formatCode>General</c:formatCode>
                <c:ptCount val="6"/>
                <c:pt idx="3" formatCode="#,##0">
                  <c:v>62500</c:v>
                </c:pt>
                <c:pt idx="4" formatCode="#,##0">
                  <c:v>75000</c:v>
                </c:pt>
                <c:pt idx="5" formatCode="#,##0">
                  <c:v>90000</c:v>
                </c:pt>
              </c:numCache>
            </c:numRef>
          </c:val>
          <c:smooth val="0"/>
          <c:extLst>
            <c:ext xmlns:c16="http://schemas.microsoft.com/office/drawing/2014/chart" uri="{C3380CC4-5D6E-409C-BE32-E72D297353CC}">
              <c16:uniqueId val="{00000001-CD67-4E82-8B17-3DD6D65A5947}"/>
            </c:ext>
          </c:extLst>
        </c:ser>
        <c:dLbls>
          <c:showLegendKey val="0"/>
          <c:showVal val="0"/>
          <c:showCatName val="0"/>
          <c:showSerName val="0"/>
          <c:showPercent val="0"/>
          <c:showBubbleSize val="0"/>
        </c:dLbls>
        <c:smooth val="0"/>
        <c:axId val="616803263"/>
        <c:axId val="616785023"/>
      </c:lineChart>
      <c:catAx>
        <c:axId val="616803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785023"/>
        <c:crosses val="autoZero"/>
        <c:auto val="1"/>
        <c:lblAlgn val="ctr"/>
        <c:lblOffset val="100"/>
        <c:noMultiLvlLbl val="0"/>
      </c:catAx>
      <c:valAx>
        <c:axId val="616785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803263"/>
        <c:crosses val="autoZero"/>
        <c:crossBetween val="between"/>
        <c:majorUnit val="20000"/>
      </c:valAx>
      <c:spPr>
        <a:noFill/>
        <a:ln>
          <a:noFill/>
        </a:ln>
        <a:effectLst/>
      </c:spPr>
    </c:plotArea>
    <c:legend>
      <c:legendPos val="r"/>
      <c:layout>
        <c:manualLayout>
          <c:xMode val="edge"/>
          <c:yMode val="edge"/>
          <c:x val="0.20267540382955487"/>
          <c:y val="0.90663654748074518"/>
          <c:w val="0.68386055769874399"/>
          <c:h val="6.548040101544684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Tonnes of CO2 emissions avoided (cumulative million tonnes) – KPI 6</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054834361920967E-2"/>
          <c:y val="0.20416075650118204"/>
          <c:w val="0.86709512662268573"/>
          <c:h val="0.56060303437680037"/>
        </c:manualLayout>
      </c:layout>
      <c:lineChart>
        <c:grouping val="standard"/>
        <c:varyColors val="0"/>
        <c:ser>
          <c:idx val="0"/>
          <c:order val="0"/>
          <c:tx>
            <c:v>Results</c:v>
          </c:tx>
          <c:spPr>
            <a:ln w="28575" cap="rnd">
              <a:solidFill>
                <a:schemeClr val="accent1"/>
              </a:solidFill>
              <a:round/>
            </a:ln>
            <a:effectLst/>
          </c:spPr>
          <c:marker>
            <c:symbol val="none"/>
          </c:marker>
          <c:cat>
            <c:strRef>
              <c:f>'Attribution tables'!$C$2:$H$2</c:f>
              <c:strCache>
                <c:ptCount val="6"/>
                <c:pt idx="0">
                  <c:v>Baseline (2019)</c:v>
                </c:pt>
                <c:pt idx="1">
                  <c:v>2020</c:v>
                </c:pt>
                <c:pt idx="2">
                  <c:v>2021</c:v>
                </c:pt>
                <c:pt idx="3">
                  <c:v>2022</c:v>
                </c:pt>
                <c:pt idx="4">
                  <c:v>2023</c:v>
                </c:pt>
                <c:pt idx="5">
                  <c:v>2024</c:v>
                </c:pt>
              </c:strCache>
            </c:strRef>
          </c:cat>
          <c:val>
            <c:numRef>
              <c:f>'Attribution tables'!$C$4:$H$4</c:f>
              <c:numCache>
                <c:formatCode>#,##0</c:formatCode>
                <c:ptCount val="6"/>
                <c:pt idx="0">
                  <c:v>0</c:v>
                </c:pt>
                <c:pt idx="1">
                  <c:v>144000</c:v>
                </c:pt>
                <c:pt idx="2">
                  <c:v>514000</c:v>
                </c:pt>
                <c:pt idx="3">
                  <c:v>1075000</c:v>
                </c:pt>
                <c:pt idx="4">
                  <c:v>1687122</c:v>
                </c:pt>
                <c:pt idx="5">
                  <c:v>2690902</c:v>
                </c:pt>
              </c:numCache>
            </c:numRef>
          </c:val>
          <c:smooth val="0"/>
          <c:extLst>
            <c:ext xmlns:c16="http://schemas.microsoft.com/office/drawing/2014/chart" uri="{C3380CC4-5D6E-409C-BE32-E72D297353CC}">
              <c16:uniqueId val="{00000000-B0BF-45A2-BF12-CF2E56D89031}"/>
            </c:ext>
          </c:extLst>
        </c:ser>
        <c:ser>
          <c:idx val="1"/>
          <c:order val="1"/>
          <c:tx>
            <c:v>Milestones</c:v>
          </c:tx>
          <c:spPr>
            <a:ln w="28575" cap="rnd">
              <a:solidFill>
                <a:schemeClr val="accent2"/>
              </a:solidFill>
              <a:round/>
            </a:ln>
            <a:effectLst/>
          </c:spPr>
          <c:marker>
            <c:symbol val="none"/>
          </c:marker>
          <c:val>
            <c:numRef>
              <c:f>'Attribution tables'!$C$27:$H$27</c:f>
              <c:numCache>
                <c:formatCode>General</c:formatCode>
                <c:ptCount val="6"/>
                <c:pt idx="3">
                  <c:v>1000000</c:v>
                </c:pt>
                <c:pt idx="4">
                  <c:v>2000000</c:v>
                </c:pt>
                <c:pt idx="5">
                  <c:v>3000000</c:v>
                </c:pt>
              </c:numCache>
            </c:numRef>
          </c:val>
          <c:smooth val="0"/>
          <c:extLst>
            <c:ext xmlns:c16="http://schemas.microsoft.com/office/drawing/2014/chart" uri="{C3380CC4-5D6E-409C-BE32-E72D297353CC}">
              <c16:uniqueId val="{00000001-B0BF-45A2-BF12-CF2E56D89031}"/>
            </c:ext>
          </c:extLst>
        </c:ser>
        <c:dLbls>
          <c:showLegendKey val="0"/>
          <c:showVal val="0"/>
          <c:showCatName val="0"/>
          <c:showSerName val="0"/>
          <c:showPercent val="0"/>
          <c:showBubbleSize val="0"/>
        </c:dLbls>
        <c:smooth val="0"/>
        <c:axId val="821281168"/>
        <c:axId val="821282608"/>
      </c:lineChart>
      <c:catAx>
        <c:axId val="82128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82608"/>
        <c:crosses val="autoZero"/>
        <c:auto val="1"/>
        <c:lblAlgn val="ctr"/>
        <c:lblOffset val="100"/>
        <c:noMultiLvlLbl val="0"/>
      </c:catAx>
      <c:valAx>
        <c:axId val="821282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81168"/>
        <c:crosses val="autoZero"/>
        <c:crossBetween val="between"/>
        <c:majorUnit val="1000000"/>
        <c:dispUnits>
          <c:builtInUnit val="millions"/>
        </c:dispUnits>
      </c:valAx>
      <c:spPr>
        <a:noFill/>
        <a:ln>
          <a:noFill/>
        </a:ln>
        <a:effectLst/>
      </c:spPr>
    </c:plotArea>
    <c:legend>
      <c:legendPos val="r"/>
      <c:layout>
        <c:manualLayout>
          <c:xMode val="edge"/>
          <c:yMode val="edge"/>
          <c:x val="0.29396673097981957"/>
          <c:y val="0.90006444316411671"/>
          <c:w val="0.59920373129034543"/>
          <c:h val="5.93973923991208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F88C51DAF897B458237A9C1200953D8" ma:contentTypeVersion="31" ma:contentTypeDescription="Create a new document." ma:contentTypeScope="" ma:versionID="88db633f2c5435912398831657b9b088">
  <xsd:schema xmlns:xsd="http://www.w3.org/2001/XMLSchema" xmlns:xs="http://www.w3.org/2001/XMLSchema" xmlns:p="http://schemas.microsoft.com/office/2006/metadata/properties" xmlns:ns1="http://schemas.microsoft.com/sharepoint/v3" xmlns:ns2="662745e8-e224-48e8-a2e3-254862b8c2f5" xmlns:ns3="cd3c523b-aa8f-4804-a23e-31cb3efad401" xmlns:ns4="c2a29bdd-637a-4f4b-b2b1-1338f72c8a40" targetNamespace="http://schemas.microsoft.com/office/2006/metadata/properties" ma:root="true" ma:fieldsID="01905616d968994fa6b72a3c55c8a0fd" ns1:_="" ns2:_="" ns3:_="" ns4:_="">
    <xsd:import namespace="http://schemas.microsoft.com/sharepoint/v3"/>
    <xsd:import namespace="662745e8-e224-48e8-a2e3-254862b8c2f5"/>
    <xsd:import namespace="cd3c523b-aa8f-4804-a23e-31cb3efad401"/>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CR" minOccurs="0"/>
                <xsd:element ref="ns3:MediaServiceGeneration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dc0afb-fb50-45c9-b93d-3cf984feeaef}"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c0afb-fb50-45c9-b93d-3cf984feeaef}"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ternational Nature Climate and Development Division INCD" ma:internalName="Team" ma:readOnly="false">
      <xsd:simpleType>
        <xsd:restriction base="dms:Text"/>
      </xsd:simpleType>
    </xsd:element>
    <xsd:element name="Topic" ma:index="20" nillable="true" ma:displayName="Topic" ma:default="Integrating Natur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3c523b-aa8f-4804-a23e-31cb3efad401"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62745e8-e224-48e8-a2e3-254862b8c2f5">
      <Value>6</Value>
      <Value>11</Value>
      <Value>10</Value>
      <Value>8</Value>
      <Value>7</Value>
    </TaxCatchAll>
    <lcf76f155ced4ddcb4097134ff3c332f xmlns="cd3c523b-aa8f-4804-a23e-31cb3efad401">
      <Terms xmlns="http://schemas.microsoft.com/office/infopath/2007/PartnerControls"/>
    </lcf76f155ced4ddcb4097134ff3c332f>
    <SharedWithUsers xmlns="c2a29bdd-637a-4f4b-b2b1-1338f72c8a40">
      <UserInfo>
        <DisplayName>Robinson, Emily</DisplayName>
        <AccountId>588</AccountId>
        <AccountType/>
      </UserInfo>
      <UserInfo>
        <DisplayName>Norman, William</DisplayName>
        <AccountId>1185</AccountId>
        <AccountType/>
      </UserInfo>
      <UserInfo>
        <DisplayName>Rennie, Alistair</DisplayName>
        <AccountId>43</AccountId>
        <AccountType/>
      </UserInfo>
      <UserInfo>
        <DisplayName>Sales-Dupont, Jake</DisplayName>
        <AccountId>913</AccountId>
        <AccountType/>
      </UserInfo>
      <UserInfo>
        <DisplayName>Boohan, William</DisplayName>
        <AccountId>1420</AccountId>
        <AccountType/>
      </UserInfo>
      <UserInfo>
        <DisplayName>SharingLinks.3759255a-0b77-4c4b-9209-324dd22e1e66.OrganizationEdit.c708cfff-33c0-4c42-8be9-682444bc233e</DisplayName>
        <AccountId>1309</AccountId>
        <AccountType/>
      </UserInfo>
      <UserInfo>
        <DisplayName>SharingLinks.914d5723-e6ca-42bf-867d-e7364a74751e.OrganizationEdit.1e8739dd-1923-4a0a-8e52-2668a95ecb10</DisplayName>
        <AccountId>1391</AccountId>
        <AccountType/>
      </UserInfo>
      <UserInfo>
        <DisplayName>SharingLinks.4fc41dac-2957-4148-899e-9151de6fee30.OrganizationView.0fa64ca2-bb7f-443f-878c-57fca2063506</DisplayName>
        <AccountId>1757</AccountId>
        <AccountType/>
      </UserInfo>
      <UserInfo>
        <DisplayName>Micaletti, Lorenza</DisplayName>
        <AccountId>29</AccountId>
        <AccountType/>
      </UserInfo>
      <UserInfo>
        <DisplayName>Tholema, Shirley</DisplayName>
        <AccountId>632</AccountId>
        <AccountType/>
      </UserInfo>
      <UserInfo>
        <DisplayName>SharingLinks.c68198c6-f2e6-4ee5-b5f2-53fd5283087f.OrganizationEdit.23623bc4-06a5-464a-940e-7c7d7e940173</DisplayName>
        <AccountId>530</AccountId>
        <AccountType/>
      </UserInfo>
      <UserInfo>
        <DisplayName>Dennis, Joe</DisplayName>
        <AccountId>2145</AccountId>
        <AccountType/>
      </UserInfo>
      <UserInfo>
        <DisplayName>Leach, Siriol</DisplayName>
        <AccountId>75</AccountId>
        <AccountType/>
      </UserInfo>
    </SharedWithUsers>
    <MediaLengthInSeconds xmlns="cd3c523b-aa8f-4804-a23e-31cb3efad401"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Integrating Nature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International Nature Climate and Development Division INCD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1793-AE3E-4B42-9F05-5A619E9D4D7E}">
  <ds:schemaRefs>
    <ds:schemaRef ds:uri="http://schemas.microsoft.com/sharepoint/v3/contenttype/forms"/>
  </ds:schemaRefs>
</ds:datastoreItem>
</file>

<file path=customXml/itemProps2.xml><?xml version="1.0" encoding="utf-8"?>
<ds:datastoreItem xmlns:ds="http://schemas.openxmlformats.org/officeDocument/2006/customXml" ds:itemID="{64FB9CD0-5830-422C-892D-B1E8B34C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cd3c523b-aa8f-4804-a23e-31cb3efad401"/>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E4CF3-84AA-4B72-84CD-D888B2E21F4E}">
  <ds:schemaRefs>
    <ds:schemaRef ds:uri="http://schemas.microsoft.com/office/2006/metadata/properties"/>
    <ds:schemaRef ds:uri="http://schemas.microsoft.com/office/infopath/2007/PartnerControls"/>
    <ds:schemaRef ds:uri="http://schemas.microsoft.com/sharepoint/v3"/>
    <ds:schemaRef ds:uri="662745e8-e224-48e8-a2e3-254862b8c2f5"/>
    <ds:schemaRef ds:uri="cd3c523b-aa8f-4804-a23e-31cb3efad401"/>
    <ds:schemaRef ds:uri="c2a29bdd-637a-4f4b-b2b1-1338f72c8a40"/>
  </ds:schemaRefs>
</ds:datastoreItem>
</file>

<file path=customXml/itemProps4.xml><?xml version="1.0" encoding="utf-8"?>
<ds:datastoreItem xmlns:ds="http://schemas.openxmlformats.org/officeDocument/2006/customXml" ds:itemID="{4EBDA37B-7C47-4FAF-A566-90FD46A2D203}">
  <ds:schemaRefs>
    <ds:schemaRef ds:uri="Microsoft.SharePoint.Taxonomy.ContentTypeSync"/>
  </ds:schemaRefs>
</ds:datastoreItem>
</file>

<file path=customXml/itemProps5.xml><?xml version="1.0" encoding="utf-8"?>
<ds:datastoreItem xmlns:ds="http://schemas.openxmlformats.org/officeDocument/2006/customXml" ds:itemID="{1B304289-EC0D-477D-8595-4FC73966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7452</Words>
  <Characters>42483</Characters>
  <Application>Microsoft Office Word</Application>
  <DocSecurity>0</DocSecurity>
  <Lines>354</Lines>
  <Paragraphs>99</Paragraphs>
  <ScaleCrop>false</ScaleCrop>
  <Company/>
  <LinksUpToDate>false</LinksUpToDate>
  <CharactersWithSpaces>49836</CharactersWithSpaces>
  <SharedDoc>false</SharedDoc>
  <HLinks>
    <vt:vector size="42" baseType="variant">
      <vt:variant>
        <vt:i4>7798821</vt:i4>
      </vt:variant>
      <vt:variant>
        <vt:i4>15</vt:i4>
      </vt:variant>
      <vt:variant>
        <vt:i4>0</vt:i4>
      </vt:variant>
      <vt:variant>
        <vt:i4>5</vt:i4>
      </vt:variant>
      <vt:variant>
        <vt:lpwstr>https://www.ifc.org/wps/wcm/connect/c02c2e86-e6cd-4b55-95a2-b3395d204279/IFC_Performance_Standards.pdf?MOD=AJPERES&amp;CVID=kTjHBzk</vt:lpwstr>
      </vt:variant>
      <vt:variant>
        <vt:lpwstr/>
      </vt:variant>
      <vt:variant>
        <vt:i4>7143465</vt:i4>
      </vt:variant>
      <vt:variant>
        <vt:i4>12</vt:i4>
      </vt:variant>
      <vt:variant>
        <vt:i4>0</vt:i4>
      </vt:variant>
      <vt:variant>
        <vt:i4>5</vt:i4>
      </vt:variant>
      <vt:variant>
        <vt:lpwstr>https://www.mirova.com/sites/default/files/2020-08/Guidance for project developers.pdf</vt:lpwstr>
      </vt:variant>
      <vt:variant>
        <vt:lpwstr/>
      </vt:variant>
      <vt:variant>
        <vt:i4>26</vt:i4>
      </vt:variant>
      <vt:variant>
        <vt:i4>9</vt:i4>
      </vt:variant>
      <vt:variant>
        <vt:i4>0</vt:i4>
      </vt:variant>
      <vt:variant>
        <vt:i4>5</vt:i4>
      </vt:variant>
      <vt:variant>
        <vt:lpwstr>https://www.mirova.com/sites/default/files/2020-08/LDN Initiative -Summary of ESG Policy.pdf</vt:lpwstr>
      </vt:variant>
      <vt:variant>
        <vt:lpwstr/>
      </vt:variant>
      <vt:variant>
        <vt:i4>196621</vt:i4>
      </vt:variant>
      <vt:variant>
        <vt:i4>6</vt:i4>
      </vt:variant>
      <vt:variant>
        <vt:i4>0</vt:i4>
      </vt:variant>
      <vt:variant>
        <vt:i4>5</vt:i4>
      </vt:variant>
      <vt:variant>
        <vt:lpwstr>https://www.mirova.com/sites/default/files/2020-08/MNC-ESG-Policy.pdf</vt:lpwstr>
      </vt:variant>
      <vt:variant>
        <vt:lpwstr/>
      </vt:variant>
      <vt:variant>
        <vt:i4>5046295</vt:i4>
      </vt:variant>
      <vt:variant>
        <vt:i4>3</vt:i4>
      </vt:variant>
      <vt:variant>
        <vt:i4>0</vt:i4>
      </vt:variant>
      <vt:variant>
        <vt:i4>5</vt:i4>
      </vt:variant>
      <vt:variant>
        <vt:lpwstr>https://iatipublisher-prod.s3.amazonaws.com/document-link/414/LDN-2023-LogFrame-for-devtracker-202412160312011745550666.xlsx</vt:lpwstr>
      </vt:variant>
      <vt:variant>
        <vt:lpwstr/>
      </vt:variant>
      <vt:variant>
        <vt:i4>851999</vt:i4>
      </vt:variant>
      <vt:variant>
        <vt:i4>0</vt:i4>
      </vt:variant>
      <vt:variant>
        <vt:i4>0</vt:i4>
      </vt:variant>
      <vt:variant>
        <vt:i4>5</vt:i4>
      </vt:variant>
      <vt:variant>
        <vt:lpwstr>https://iatipublisher-prod.s3.amazonaws.com/document-link/414/LDN-EBF-Business-Case-for-Devtracker-202403261103311745550666.docx</vt:lpwstr>
      </vt:variant>
      <vt:variant>
        <vt:lpwstr/>
      </vt:variant>
      <vt:variant>
        <vt:i4>6684795</vt:i4>
      </vt:variant>
      <vt:variant>
        <vt:i4>0</vt:i4>
      </vt:variant>
      <vt:variant>
        <vt:i4>0</vt:i4>
      </vt:variant>
      <vt:variant>
        <vt:i4>5</vt:i4>
      </vt:variant>
      <vt:variant>
        <vt:lpwstr>https://defra.sharepoint.com/:w:/r/sites/def-contentcloud/_layouts/15/Doc.aspx?sourcedoc=%7B6D142ADE-7907-44A4-9D46-27246E7A6113%7D&amp;file=LIT%2073643%20-%20Defra_s%20Value%20for%20Money%20(VfM)%20Framework.docx&amp;wdLOR=c9E32D7CE-6596-464F-8929-0B26CD10B47C&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Template</dc:title>
  <dc:subject>Annual Review Template</dc:subject>
  <dc:creator>William Norman</dc:creator>
  <cp:keywords/>
  <dc:description>from April 2020</dc:description>
  <cp:lastModifiedBy>William Norman</cp:lastModifiedBy>
  <cp:revision>7</cp:revision>
  <dcterms:created xsi:type="dcterms:W3CDTF">2025-12-15T14:32:00Z</dcterms:created>
  <dcterms:modified xsi:type="dcterms:W3CDTF">2025-12-15T14:39:00Z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2020-03-30T16:49:07Z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919708a4-416e-499e-8edc-0000a189eb48</vt:lpwstr>
  </property>
  <property fmtid="{D5CDD505-2E9C-101B-9397-08002B2CF9AE}" pid="8" name="MSIP_Label_e4c996da-17fa-4fc5-8989-2758fb4cf86b_ContentBits">
    <vt:lpwstr>1</vt:lpwstr>
  </property>
  <property fmtid="{D5CDD505-2E9C-101B-9397-08002B2CF9AE}" pid="9" name="ContentTypeId">
    <vt:lpwstr>0x010100A5BF1C78D9F64B679A5EBDE1C6598EBC01007F88C51DAF897B458237A9C1200953D8</vt:lpwstr>
  </property>
  <property fmtid="{D5CDD505-2E9C-101B-9397-08002B2CF9AE}" pid="10" name="Business Document Type">
    <vt:lpwstr>Annual review</vt:lpwstr>
  </property>
  <property fmtid="{D5CDD505-2E9C-101B-9397-08002B2CF9AE}" pid="11" name="InformationType">
    <vt:lpwstr/>
  </property>
  <property fmtid="{D5CDD505-2E9C-101B-9397-08002B2CF9AE}" pid="12" name="Distribution">
    <vt:lpwstr>11;#Internal Defra Group|0867f7b3-e76e-40ca-bb1f-5ba341a49230</vt:lpwstr>
  </property>
  <property fmtid="{D5CDD505-2E9C-101B-9397-08002B2CF9AE}" pid="13" name="SecurityClassification">
    <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OrganisationalUnit">
    <vt:lpwstr>8;#Core Defra|026223dd-2e56-4615-868d-7c5bfd566810</vt:lpwstr>
  </property>
  <property fmtid="{D5CDD505-2E9C-101B-9397-08002B2CF9AE}" pid="18" name="Directorate">
    <vt:lpwstr/>
  </property>
  <property fmtid="{D5CDD505-2E9C-101B-9397-08002B2CF9AE}" pid="19" name="MediaServiceImageTags">
    <vt:lpwstr/>
  </property>
  <property fmtid="{D5CDD505-2E9C-101B-9397-08002B2CF9AE}" pid="20" name="lcf76f155ced4ddcb4097134ff3c332f">
    <vt:lpwstr/>
  </property>
  <property fmtid="{D5CDD505-2E9C-101B-9397-08002B2CF9AE}" pid="21" name="HOFrom">
    <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vti_imgdate">
    <vt:lpwstr/>
  </property>
  <property fmtid="{D5CDD505-2E9C-101B-9397-08002B2CF9AE}" pid="27" name="xd_Signature">
    <vt:bool>false</vt:bool>
  </property>
  <property fmtid="{D5CDD505-2E9C-101B-9397-08002B2CF9AE}" pid="28" name="HOSubject">
    <vt:lpwstr/>
  </property>
  <property fmtid="{D5CDD505-2E9C-101B-9397-08002B2CF9AE}" pid="29" name="wic_System_Copyright">
    <vt:lpwstr/>
  </property>
  <property fmtid="{D5CDD505-2E9C-101B-9397-08002B2CF9AE}" pid="30" name="HOCC">
    <vt:lpwstr/>
  </property>
  <property fmtid="{D5CDD505-2E9C-101B-9397-08002B2CF9AE}" pid="31" name="TriggerFlowInfo">
    <vt:lpwstr/>
  </property>
  <property fmtid="{D5CDD505-2E9C-101B-9397-08002B2CF9AE}" pid="32" name="HOTo">
    <vt:lpwstr/>
  </property>
  <property fmtid="{D5CDD505-2E9C-101B-9397-08002B2CF9AE}" pid="33" name="MSIP_Label_6e83a6fe-0b6e-4399-9d09-a1c8d8d5000c_Enabled">
    <vt:lpwstr>true</vt:lpwstr>
  </property>
  <property fmtid="{D5CDD505-2E9C-101B-9397-08002B2CF9AE}" pid="34" name="MSIP_Label_6e83a6fe-0b6e-4399-9d09-a1c8d8d5000c_SetDate">
    <vt:lpwstr>2023-05-31T09:38:18Z</vt:lpwstr>
  </property>
  <property fmtid="{D5CDD505-2E9C-101B-9397-08002B2CF9AE}" pid="35" name="MSIP_Label_6e83a6fe-0b6e-4399-9d09-a1c8d8d5000c_Method">
    <vt:lpwstr>Privileged</vt:lpwstr>
  </property>
  <property fmtid="{D5CDD505-2E9C-101B-9397-08002B2CF9AE}" pid="36" name="MSIP_Label_6e83a6fe-0b6e-4399-9d09-a1c8d8d5000c_Name">
    <vt:lpwstr>6e83a6fe-0b6e-4399-9d09-a1c8d8d5000c</vt:lpwstr>
  </property>
  <property fmtid="{D5CDD505-2E9C-101B-9397-08002B2CF9AE}" pid="37" name="MSIP_Label_6e83a6fe-0b6e-4399-9d09-a1c8d8d5000c_SiteId">
    <vt:lpwstr>d5bb6d35-8a82-4329-b49a-5030bd6497ab</vt:lpwstr>
  </property>
  <property fmtid="{D5CDD505-2E9C-101B-9397-08002B2CF9AE}" pid="38" name="MSIP_Label_6e83a6fe-0b6e-4399-9d09-a1c8d8d5000c_ActionId">
    <vt:lpwstr>8f925ce8-bd4e-4bc9-85e3-15a2579d1b19</vt:lpwstr>
  </property>
  <property fmtid="{D5CDD505-2E9C-101B-9397-08002B2CF9AE}" pid="39" name="MSIP_Label_6e83a6fe-0b6e-4399-9d09-a1c8d8d5000c_ContentBits">
    <vt:lpwstr>2</vt:lpwstr>
  </property>
</Properties>
</file>