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FF65" w14:textId="21FA618E" w:rsidR="50E70105" w:rsidRPr="00A54B18" w:rsidRDefault="00852D60" w:rsidP="5E2BA3C3">
      <w:pPr>
        <w:jc w:val="center"/>
        <w:rPr>
          <w:rStyle w:val="normaltextrun"/>
          <w:rFonts w:eastAsia="Arial" w:cs="Arial"/>
          <w:b/>
          <w:bCs/>
          <w:color w:val="000000" w:themeColor="text1"/>
          <w:sz w:val="28"/>
          <w:szCs w:val="28"/>
        </w:rPr>
      </w:pPr>
      <w:r w:rsidRPr="5E2BA3C3">
        <w:rPr>
          <w:rStyle w:val="normaltextrun"/>
          <w:rFonts w:eastAsia="Arial" w:cs="Arial"/>
          <w:b/>
          <w:bCs/>
          <w:color w:val="000000" w:themeColor="text1"/>
          <w:sz w:val="28"/>
          <w:szCs w:val="28"/>
        </w:rPr>
        <w:t>e</w:t>
      </w:r>
      <w:r w:rsidR="21B9E5E1" w:rsidRPr="5E2BA3C3">
        <w:rPr>
          <w:rStyle w:val="normaltextrun"/>
          <w:rFonts w:eastAsia="Arial" w:cs="Arial"/>
          <w:b/>
          <w:bCs/>
          <w:color w:val="000000" w:themeColor="text1"/>
          <w:sz w:val="28"/>
          <w:szCs w:val="28"/>
        </w:rPr>
        <w:t>co.</w:t>
      </w:r>
      <w:r w:rsidRPr="5E2BA3C3">
        <w:rPr>
          <w:rStyle w:val="normaltextrun"/>
          <w:rFonts w:eastAsia="Arial" w:cs="Arial"/>
          <w:b/>
          <w:bCs/>
          <w:color w:val="000000" w:themeColor="text1"/>
          <w:sz w:val="28"/>
          <w:szCs w:val="28"/>
        </w:rPr>
        <w:t>b</w:t>
      </w:r>
      <w:r w:rsidR="21B9E5E1" w:rsidRPr="5E2BA3C3">
        <w:rPr>
          <w:rStyle w:val="normaltextrun"/>
          <w:rFonts w:eastAsia="Arial" w:cs="Arial"/>
          <w:b/>
          <w:bCs/>
          <w:color w:val="000000" w:themeColor="text1"/>
          <w:sz w:val="28"/>
          <w:szCs w:val="28"/>
        </w:rPr>
        <w:t>usiness Fund Annual Review 202</w:t>
      </w:r>
      <w:r w:rsidR="00C9072C">
        <w:rPr>
          <w:rStyle w:val="normaltextrun"/>
          <w:rFonts w:eastAsia="Arial" w:cs="Arial"/>
          <w:b/>
          <w:bCs/>
          <w:color w:val="000000" w:themeColor="text1"/>
          <w:sz w:val="28"/>
          <w:szCs w:val="28"/>
        </w:rPr>
        <w:t>4</w:t>
      </w:r>
    </w:p>
    <w:p w14:paraId="4F1FFEFD" w14:textId="77777777" w:rsidR="006F3AE7" w:rsidRPr="00A54B18" w:rsidRDefault="006F3AE7" w:rsidP="005E557A">
      <w:pPr>
        <w:rPr>
          <w:rFonts w:eastAsia="Arial" w:cs="Arial"/>
          <w:b/>
          <w:bCs/>
          <w:sz w:val="22"/>
          <w:szCs w:val="22"/>
        </w:rPr>
      </w:pPr>
    </w:p>
    <w:tbl>
      <w:tblPr>
        <w:tblStyle w:val="TableGrid"/>
        <w:tblW w:w="0" w:type="auto"/>
        <w:tblLook w:val="04A0" w:firstRow="1" w:lastRow="0" w:firstColumn="1" w:lastColumn="0" w:noHBand="0" w:noVBand="1"/>
      </w:tblPr>
      <w:tblGrid>
        <w:gridCol w:w="3964"/>
        <w:gridCol w:w="2410"/>
        <w:gridCol w:w="2642"/>
      </w:tblGrid>
      <w:tr w:rsidR="006F3AE7" w:rsidRPr="00A54B18" w14:paraId="47F4281E" w14:textId="77777777" w:rsidTr="5E2BA3C3">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19861584" w14:textId="67D31D12" w:rsidR="006F3AE7" w:rsidRPr="00A54B18" w:rsidRDefault="7232A90E" w:rsidP="005E557A">
            <w:pPr>
              <w:rPr>
                <w:rFonts w:eastAsia="Arial" w:cs="Arial"/>
                <w:b/>
                <w:bCs/>
                <w:sz w:val="20"/>
                <w:szCs w:val="20"/>
              </w:rPr>
            </w:pPr>
            <w:r w:rsidRPr="00A54B18">
              <w:rPr>
                <w:rFonts w:eastAsia="Arial" w:cs="Arial"/>
                <w:b/>
                <w:bCs/>
                <w:sz w:val="20"/>
                <w:szCs w:val="20"/>
              </w:rPr>
              <w:t xml:space="preserve">Title:  </w:t>
            </w:r>
            <w:r w:rsidR="00852D60" w:rsidRPr="00A54B18">
              <w:rPr>
                <w:rFonts w:eastAsia="Arial" w:cs="Arial"/>
                <w:b/>
                <w:bCs/>
                <w:sz w:val="20"/>
                <w:szCs w:val="20"/>
              </w:rPr>
              <w:t>e</w:t>
            </w:r>
            <w:r w:rsidRPr="00A54B18">
              <w:rPr>
                <w:rFonts w:eastAsia="Arial" w:cs="Arial"/>
                <w:b/>
                <w:bCs/>
                <w:sz w:val="20"/>
                <w:szCs w:val="20"/>
              </w:rPr>
              <w:t>co.</w:t>
            </w:r>
            <w:r w:rsidR="00852D60" w:rsidRPr="00A54B18">
              <w:rPr>
                <w:rFonts w:eastAsia="Arial" w:cs="Arial"/>
                <w:b/>
                <w:bCs/>
                <w:sz w:val="20"/>
                <w:szCs w:val="20"/>
              </w:rPr>
              <w:t>b</w:t>
            </w:r>
            <w:r w:rsidRPr="00A54B18">
              <w:rPr>
                <w:rFonts w:eastAsia="Arial" w:cs="Arial"/>
                <w:b/>
                <w:bCs/>
                <w:sz w:val="20"/>
                <w:szCs w:val="20"/>
              </w:rPr>
              <w:t>usiness Fund</w:t>
            </w:r>
          </w:p>
        </w:tc>
      </w:tr>
      <w:tr w:rsidR="006F3AE7" w:rsidRPr="00A54B18" w14:paraId="0D529975" w14:textId="77777777" w:rsidTr="5E2BA3C3">
        <w:trPr>
          <w:trHeight w:val="413"/>
        </w:trPr>
        <w:tc>
          <w:tcPr>
            <w:tcW w:w="6374"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CB3E574" w14:textId="62EB1A73" w:rsidR="006F3AE7" w:rsidRPr="00A54B18" w:rsidRDefault="7232A90E" w:rsidP="005E557A">
            <w:pPr>
              <w:rPr>
                <w:rFonts w:eastAsia="Arial" w:cs="Arial"/>
                <w:b/>
                <w:bCs/>
                <w:sz w:val="20"/>
                <w:szCs w:val="20"/>
              </w:rPr>
            </w:pPr>
            <w:r w:rsidRPr="00A54B18">
              <w:rPr>
                <w:rFonts w:eastAsia="Arial" w:cs="Arial"/>
                <w:b/>
                <w:bCs/>
                <w:sz w:val="20"/>
                <w:szCs w:val="20"/>
              </w:rPr>
              <w:t>Programme Value £ (full life): £32.6</w:t>
            </w:r>
            <w:r w:rsidR="005C4991" w:rsidRPr="00A54B18">
              <w:rPr>
                <w:rFonts w:eastAsia="Arial" w:cs="Arial"/>
                <w:b/>
                <w:bCs/>
                <w:sz w:val="20"/>
                <w:szCs w:val="20"/>
              </w:rPr>
              <w:t>m</w:t>
            </w:r>
          </w:p>
        </w:tc>
        <w:tc>
          <w:tcPr>
            <w:tcW w:w="2642"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1C769C30" w14:textId="12BFA7F6" w:rsidR="006F3AE7" w:rsidRPr="00A54B18" w:rsidRDefault="7232A90E" w:rsidP="005E557A">
            <w:pPr>
              <w:rPr>
                <w:rFonts w:eastAsia="Arial" w:cs="Arial"/>
                <w:b/>
                <w:bCs/>
                <w:sz w:val="20"/>
                <w:szCs w:val="20"/>
              </w:rPr>
            </w:pPr>
            <w:r w:rsidRPr="5E2BA3C3">
              <w:rPr>
                <w:rFonts w:eastAsia="Arial" w:cs="Arial"/>
                <w:b/>
                <w:bCs/>
                <w:sz w:val="20"/>
                <w:szCs w:val="20"/>
              </w:rPr>
              <w:t xml:space="preserve">Review </w:t>
            </w:r>
            <w:r w:rsidR="6F6CCBE3" w:rsidRPr="5E2BA3C3">
              <w:rPr>
                <w:rFonts w:eastAsia="Arial" w:cs="Arial"/>
                <w:b/>
                <w:bCs/>
                <w:sz w:val="20"/>
                <w:szCs w:val="20"/>
              </w:rPr>
              <w:t>d</w:t>
            </w:r>
            <w:r w:rsidRPr="5E2BA3C3">
              <w:rPr>
                <w:rFonts w:eastAsia="Arial" w:cs="Arial"/>
                <w:b/>
                <w:bCs/>
                <w:sz w:val="20"/>
                <w:szCs w:val="20"/>
              </w:rPr>
              <w:t xml:space="preserve">ate: </w:t>
            </w:r>
            <w:r w:rsidR="00DF6A20" w:rsidRPr="009033F8">
              <w:rPr>
                <w:rFonts w:eastAsia="Arial" w:cs="Arial"/>
                <w:sz w:val="20"/>
                <w:szCs w:val="20"/>
              </w:rPr>
              <w:t>Jan</w:t>
            </w:r>
            <w:r w:rsidR="009033F8" w:rsidRPr="009033F8">
              <w:rPr>
                <w:rFonts w:eastAsia="Arial" w:cs="Arial"/>
                <w:sz w:val="20"/>
                <w:szCs w:val="20"/>
              </w:rPr>
              <w:t>-Dec 2024</w:t>
            </w:r>
          </w:p>
        </w:tc>
      </w:tr>
      <w:tr w:rsidR="006F3AE7" w:rsidRPr="00A54B18" w14:paraId="7BCDC10B" w14:textId="77777777" w:rsidTr="5E2BA3C3">
        <w:trPr>
          <w:trHeight w:val="300"/>
        </w:trPr>
        <w:tc>
          <w:tcPr>
            <w:tcW w:w="3964" w:type="dxa"/>
            <w:tcBorders>
              <w:top w:val="dotted" w:sz="2" w:space="0" w:color="000000" w:themeColor="text1"/>
              <w:left w:val="single" w:sz="4" w:space="0" w:color="auto"/>
              <w:bottom w:val="single" w:sz="4" w:space="0" w:color="auto"/>
              <w:right w:val="dotted" w:sz="2" w:space="0" w:color="000000" w:themeColor="text1"/>
            </w:tcBorders>
          </w:tcPr>
          <w:p w14:paraId="0C963E24" w14:textId="17369201" w:rsidR="006F3AE7" w:rsidRPr="00A54B18" w:rsidRDefault="7232A90E" w:rsidP="005E557A">
            <w:pPr>
              <w:rPr>
                <w:rFonts w:eastAsia="Arial" w:cs="Arial"/>
                <w:sz w:val="20"/>
                <w:szCs w:val="20"/>
              </w:rPr>
            </w:pPr>
            <w:r w:rsidRPr="00A54B18">
              <w:rPr>
                <w:rFonts w:eastAsia="Arial" w:cs="Arial"/>
                <w:b/>
                <w:bCs/>
                <w:sz w:val="20"/>
                <w:szCs w:val="20"/>
              </w:rPr>
              <w:t>Programme Code:</w:t>
            </w:r>
            <w:r w:rsidRPr="00A54B18">
              <w:rPr>
                <w:rFonts w:eastAsia="Arial" w:cs="Arial"/>
                <w:sz w:val="20"/>
                <w:szCs w:val="20"/>
              </w:rPr>
              <w:t xml:space="preserve"> </w:t>
            </w:r>
            <w:r w:rsidR="21B9E5E1" w:rsidRPr="00A54B18">
              <w:rPr>
                <w:rFonts w:eastAsia="Arial" w:cs="Arial"/>
                <w:sz w:val="20"/>
                <w:szCs w:val="20"/>
              </w:rPr>
              <w:t>GB-GOV-GB-7-P00052-ICF-P0003-ECO.B</w:t>
            </w: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086469CF" w14:textId="4D843757" w:rsidR="006F3AE7" w:rsidRPr="00A54B18" w:rsidRDefault="6F6CCBE3" w:rsidP="005E557A">
            <w:pPr>
              <w:rPr>
                <w:rFonts w:eastAsia="Arial" w:cs="Arial"/>
                <w:b/>
                <w:bCs/>
                <w:sz w:val="20"/>
                <w:szCs w:val="20"/>
              </w:rPr>
            </w:pPr>
            <w:r w:rsidRPr="00A54B18">
              <w:rPr>
                <w:rFonts w:eastAsia="Arial" w:cs="Arial"/>
                <w:b/>
                <w:bCs/>
                <w:sz w:val="20"/>
                <w:szCs w:val="20"/>
              </w:rPr>
              <w:t>Start d</w:t>
            </w:r>
            <w:r w:rsidR="7232A90E" w:rsidRPr="00A54B18">
              <w:rPr>
                <w:rFonts w:eastAsia="Arial" w:cs="Arial"/>
                <w:b/>
                <w:bCs/>
                <w:sz w:val="20"/>
                <w:szCs w:val="20"/>
              </w:rPr>
              <w:t>ate:</w:t>
            </w:r>
            <w:r w:rsidR="7232A90E" w:rsidRPr="00A54B18">
              <w:rPr>
                <w:rFonts w:eastAsia="Arial" w:cs="Arial"/>
                <w:sz w:val="20"/>
                <w:szCs w:val="20"/>
              </w:rPr>
              <w:t xml:space="preserve"> </w:t>
            </w:r>
            <w:r w:rsidR="21B9E5E1" w:rsidRPr="00A54B18">
              <w:rPr>
                <w:rFonts w:eastAsia="Arial" w:cs="Arial"/>
                <w:sz w:val="20"/>
                <w:szCs w:val="20"/>
              </w:rPr>
              <w:t xml:space="preserve">Fund inception: January 2015  </w:t>
            </w:r>
          </w:p>
          <w:p w14:paraId="45976266" w14:textId="43D1C5E4" w:rsidR="006F3AE7" w:rsidRPr="00A54B18" w:rsidRDefault="21B9E5E1" w:rsidP="005E557A">
            <w:pPr>
              <w:rPr>
                <w:rFonts w:eastAsia="Arial" w:cs="Arial"/>
                <w:sz w:val="20"/>
                <w:szCs w:val="20"/>
              </w:rPr>
            </w:pPr>
            <w:r w:rsidRPr="00A54B18">
              <w:rPr>
                <w:rFonts w:eastAsia="Arial" w:cs="Arial"/>
                <w:sz w:val="20"/>
                <w:szCs w:val="20"/>
              </w:rPr>
              <w:t xml:space="preserve">Promissory Note (£20m): December 2015  </w:t>
            </w:r>
          </w:p>
          <w:p w14:paraId="7ADA9748" w14:textId="35BD96A0" w:rsidR="006F3AE7" w:rsidRPr="00A54B18" w:rsidRDefault="21B9E5E1" w:rsidP="005E557A">
            <w:pPr>
              <w:rPr>
                <w:rFonts w:eastAsia="Arial" w:cs="Arial"/>
                <w:sz w:val="20"/>
                <w:szCs w:val="20"/>
              </w:rPr>
            </w:pPr>
            <w:r w:rsidRPr="00A54B18">
              <w:rPr>
                <w:rFonts w:eastAsia="Arial" w:cs="Arial"/>
                <w:sz w:val="20"/>
                <w:szCs w:val="20"/>
              </w:rPr>
              <w:t>Further investment (£12.6m): December 2019</w:t>
            </w:r>
          </w:p>
        </w:tc>
        <w:tc>
          <w:tcPr>
            <w:tcW w:w="2642" w:type="dxa"/>
            <w:tcBorders>
              <w:top w:val="dotted" w:sz="2" w:space="0" w:color="000000" w:themeColor="text1"/>
              <w:left w:val="dotted" w:sz="2" w:space="0" w:color="000000" w:themeColor="text1"/>
              <w:bottom w:val="single" w:sz="4" w:space="0" w:color="auto"/>
              <w:right w:val="single" w:sz="4" w:space="0" w:color="auto"/>
            </w:tcBorders>
            <w:hideMark/>
          </w:tcPr>
          <w:p w14:paraId="2EEAABCE" w14:textId="27DE07BA" w:rsidR="006F3AE7" w:rsidRPr="00A54B18" w:rsidRDefault="6F6CCBE3" w:rsidP="005E557A">
            <w:pPr>
              <w:rPr>
                <w:rFonts w:eastAsia="Arial" w:cs="Arial"/>
                <w:b/>
                <w:bCs/>
                <w:sz w:val="20"/>
                <w:szCs w:val="20"/>
              </w:rPr>
            </w:pPr>
            <w:r w:rsidRPr="00A54B18">
              <w:rPr>
                <w:rFonts w:eastAsia="Arial" w:cs="Arial"/>
                <w:b/>
                <w:bCs/>
                <w:sz w:val="20"/>
                <w:szCs w:val="20"/>
              </w:rPr>
              <w:t>End d</w:t>
            </w:r>
            <w:r w:rsidR="7232A90E" w:rsidRPr="00A54B18">
              <w:rPr>
                <w:rFonts w:eastAsia="Arial" w:cs="Arial"/>
                <w:b/>
                <w:bCs/>
                <w:sz w:val="20"/>
                <w:szCs w:val="20"/>
              </w:rPr>
              <w:t>ate:</w:t>
            </w:r>
            <w:r w:rsidR="7232A90E" w:rsidRPr="00A54B18">
              <w:rPr>
                <w:rFonts w:eastAsia="Arial" w:cs="Arial"/>
                <w:sz w:val="20"/>
                <w:szCs w:val="20"/>
              </w:rPr>
              <w:t xml:space="preserve"> </w:t>
            </w:r>
            <w:r w:rsidR="21B9E5E1" w:rsidRPr="00A54B18">
              <w:rPr>
                <w:rFonts w:eastAsia="Arial" w:cs="Arial"/>
                <w:sz w:val="20"/>
                <w:szCs w:val="20"/>
              </w:rPr>
              <w:t xml:space="preserve">Provision for the Department for Environment, Food and Rural Affairs (Defra) investment to be returned in December 2030 and 2035 respectively  </w:t>
            </w:r>
          </w:p>
        </w:tc>
      </w:tr>
    </w:tbl>
    <w:p w14:paraId="1F73C094" w14:textId="77777777" w:rsidR="006F3AE7" w:rsidRPr="00A54B18" w:rsidRDefault="006F3AE7" w:rsidP="005E557A">
      <w:pPr>
        <w:rPr>
          <w:rFonts w:eastAsia="Arial" w:cs="Arial"/>
          <w:b/>
          <w:bCs/>
          <w:sz w:val="22"/>
          <w:szCs w:val="22"/>
        </w:rPr>
      </w:pPr>
    </w:p>
    <w:p w14:paraId="36AFB1BA" w14:textId="77777777" w:rsidR="006F3AE7" w:rsidRPr="00A54B18" w:rsidRDefault="7232A90E" w:rsidP="005E557A">
      <w:pPr>
        <w:rPr>
          <w:rFonts w:eastAsia="Arial" w:cs="Arial"/>
          <w:b/>
          <w:bCs/>
          <w:sz w:val="22"/>
          <w:szCs w:val="22"/>
        </w:rPr>
      </w:pPr>
      <w:r w:rsidRPr="00A54B18">
        <w:rPr>
          <w:rFonts w:eastAsia="Arial" w:cs="Arial"/>
          <w:b/>
          <w:bCs/>
          <w:sz w:val="22"/>
          <w:szCs w:val="22"/>
        </w:rPr>
        <w:t xml:space="preserve">Summary of Programme Performance </w:t>
      </w:r>
    </w:p>
    <w:tbl>
      <w:tblPr>
        <w:tblStyle w:val="TableGrid"/>
        <w:tblW w:w="10060" w:type="dxa"/>
        <w:tblLook w:val="04A0" w:firstRow="1" w:lastRow="0" w:firstColumn="1" w:lastColumn="0" w:noHBand="0" w:noVBand="1"/>
      </w:tblPr>
      <w:tblGrid>
        <w:gridCol w:w="2122"/>
        <w:gridCol w:w="1134"/>
        <w:gridCol w:w="1134"/>
        <w:gridCol w:w="1134"/>
        <w:gridCol w:w="1134"/>
        <w:gridCol w:w="1134"/>
        <w:gridCol w:w="1134"/>
        <w:gridCol w:w="1134"/>
      </w:tblGrid>
      <w:tr w:rsidR="00F26148" w:rsidRPr="00A54B18" w14:paraId="3FAAC49F" w14:textId="0365A558" w:rsidTr="00415840">
        <w:trPr>
          <w:trHeight w:val="302"/>
        </w:trPr>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41FCBF" w14:textId="77777777" w:rsidR="00F26148" w:rsidRPr="00A54B18" w:rsidRDefault="00F26148" w:rsidP="005E557A">
            <w:pPr>
              <w:rPr>
                <w:rFonts w:eastAsia="Arial" w:cs="Arial"/>
                <w:sz w:val="20"/>
                <w:szCs w:val="20"/>
              </w:rPr>
            </w:pPr>
            <w:r w:rsidRPr="00A54B18">
              <w:rPr>
                <w:rFonts w:eastAsia="Arial" w:cs="Arial"/>
                <w:sz w:val="20"/>
                <w:szCs w:val="20"/>
              </w:rPr>
              <w:t>Year</w:t>
            </w:r>
          </w:p>
        </w:tc>
        <w:tc>
          <w:tcPr>
            <w:tcW w:w="1134" w:type="dxa"/>
            <w:tcBorders>
              <w:top w:val="single" w:sz="4" w:space="0" w:color="auto"/>
              <w:left w:val="single" w:sz="4" w:space="0" w:color="auto"/>
              <w:bottom w:val="single" w:sz="4" w:space="0" w:color="auto"/>
              <w:right w:val="single" w:sz="4" w:space="0" w:color="auto"/>
            </w:tcBorders>
          </w:tcPr>
          <w:p w14:paraId="4142BE6C" w14:textId="2B1904BA" w:rsidR="00F26148" w:rsidRPr="00A54B18" w:rsidRDefault="00F26148" w:rsidP="006124BF">
            <w:pPr>
              <w:jc w:val="center"/>
              <w:rPr>
                <w:rFonts w:eastAsia="Arial" w:cs="Arial"/>
                <w:b/>
                <w:bCs/>
                <w:sz w:val="20"/>
                <w:szCs w:val="20"/>
              </w:rPr>
            </w:pPr>
            <w:r w:rsidRPr="00A54B18">
              <w:rPr>
                <w:rFonts w:eastAsia="Arial" w:cs="Arial"/>
                <w:b/>
                <w:bCs/>
                <w:sz w:val="20"/>
                <w:szCs w:val="20"/>
              </w:rPr>
              <w:t>2018</w:t>
            </w:r>
          </w:p>
        </w:tc>
        <w:tc>
          <w:tcPr>
            <w:tcW w:w="1134" w:type="dxa"/>
            <w:tcBorders>
              <w:top w:val="single" w:sz="4" w:space="0" w:color="auto"/>
              <w:left w:val="single" w:sz="4" w:space="0" w:color="auto"/>
              <w:bottom w:val="single" w:sz="4" w:space="0" w:color="auto"/>
              <w:right w:val="single" w:sz="4" w:space="0" w:color="auto"/>
            </w:tcBorders>
          </w:tcPr>
          <w:p w14:paraId="388FF97F" w14:textId="5967C163" w:rsidR="00F26148" w:rsidRPr="00A54B18" w:rsidRDefault="00F26148" w:rsidP="006124BF">
            <w:pPr>
              <w:jc w:val="center"/>
              <w:rPr>
                <w:rFonts w:eastAsia="Arial" w:cs="Arial"/>
                <w:b/>
                <w:bCs/>
                <w:sz w:val="20"/>
                <w:szCs w:val="20"/>
              </w:rPr>
            </w:pPr>
            <w:r w:rsidRPr="00A54B18">
              <w:rPr>
                <w:rFonts w:eastAsia="Arial" w:cs="Arial"/>
                <w:b/>
                <w:bCs/>
                <w:sz w:val="20"/>
                <w:szCs w:val="20"/>
              </w:rPr>
              <w:t>2019</w:t>
            </w:r>
          </w:p>
        </w:tc>
        <w:tc>
          <w:tcPr>
            <w:tcW w:w="1134" w:type="dxa"/>
            <w:tcBorders>
              <w:top w:val="single" w:sz="4" w:space="0" w:color="auto"/>
              <w:left w:val="single" w:sz="4" w:space="0" w:color="auto"/>
              <w:bottom w:val="single" w:sz="4" w:space="0" w:color="auto"/>
              <w:right w:val="single" w:sz="4" w:space="0" w:color="auto"/>
            </w:tcBorders>
          </w:tcPr>
          <w:p w14:paraId="066342D3" w14:textId="0151EE72" w:rsidR="00F26148" w:rsidRPr="00A54B18" w:rsidRDefault="00F26148" w:rsidP="006124BF">
            <w:pPr>
              <w:jc w:val="center"/>
              <w:rPr>
                <w:rFonts w:eastAsia="Arial" w:cs="Arial"/>
                <w:b/>
                <w:bCs/>
                <w:sz w:val="20"/>
                <w:szCs w:val="20"/>
              </w:rPr>
            </w:pPr>
            <w:r w:rsidRPr="00A54B18">
              <w:rPr>
                <w:rFonts w:eastAsia="Arial" w:cs="Arial"/>
                <w:b/>
                <w:bCs/>
                <w:sz w:val="20"/>
                <w:szCs w:val="20"/>
              </w:rPr>
              <w:t>2020</w:t>
            </w:r>
          </w:p>
        </w:tc>
        <w:tc>
          <w:tcPr>
            <w:tcW w:w="1134" w:type="dxa"/>
            <w:tcBorders>
              <w:top w:val="single" w:sz="4" w:space="0" w:color="auto"/>
              <w:left w:val="single" w:sz="4" w:space="0" w:color="auto"/>
              <w:bottom w:val="single" w:sz="4" w:space="0" w:color="auto"/>
              <w:right w:val="single" w:sz="4" w:space="0" w:color="auto"/>
            </w:tcBorders>
          </w:tcPr>
          <w:p w14:paraId="29074948" w14:textId="31CBFE8F" w:rsidR="00F26148" w:rsidRPr="00A54B18" w:rsidRDefault="00F26148" w:rsidP="006124BF">
            <w:pPr>
              <w:jc w:val="center"/>
              <w:rPr>
                <w:rFonts w:eastAsia="Arial" w:cs="Arial"/>
                <w:b/>
                <w:bCs/>
                <w:sz w:val="20"/>
                <w:szCs w:val="20"/>
              </w:rPr>
            </w:pPr>
            <w:r w:rsidRPr="00A54B18">
              <w:rPr>
                <w:rFonts w:eastAsia="Arial" w:cs="Arial"/>
                <w:b/>
                <w:bCs/>
                <w:sz w:val="20"/>
                <w:szCs w:val="20"/>
              </w:rPr>
              <w:t>2021</w:t>
            </w:r>
          </w:p>
        </w:tc>
        <w:tc>
          <w:tcPr>
            <w:tcW w:w="1134" w:type="dxa"/>
            <w:tcBorders>
              <w:top w:val="single" w:sz="4" w:space="0" w:color="auto"/>
              <w:left w:val="single" w:sz="4" w:space="0" w:color="auto"/>
              <w:bottom w:val="single" w:sz="4" w:space="0" w:color="auto"/>
              <w:right w:val="single" w:sz="4" w:space="0" w:color="auto"/>
            </w:tcBorders>
          </w:tcPr>
          <w:p w14:paraId="3D1B7432" w14:textId="2161EC4C" w:rsidR="00F26148" w:rsidRPr="00A54B18" w:rsidRDefault="00F26148" w:rsidP="006124BF">
            <w:pPr>
              <w:jc w:val="center"/>
              <w:rPr>
                <w:rFonts w:eastAsia="Arial" w:cs="Arial"/>
                <w:b/>
                <w:bCs/>
                <w:sz w:val="20"/>
                <w:szCs w:val="20"/>
              </w:rPr>
            </w:pPr>
            <w:r>
              <w:rPr>
                <w:rFonts w:eastAsia="Arial" w:cs="Arial"/>
                <w:b/>
                <w:bCs/>
                <w:sz w:val="20"/>
                <w:szCs w:val="20"/>
              </w:rPr>
              <w:t>2022</w:t>
            </w:r>
          </w:p>
        </w:tc>
        <w:tc>
          <w:tcPr>
            <w:tcW w:w="1134" w:type="dxa"/>
            <w:tcBorders>
              <w:top w:val="single" w:sz="4" w:space="0" w:color="auto"/>
              <w:left w:val="single" w:sz="4" w:space="0" w:color="auto"/>
              <w:bottom w:val="single" w:sz="4" w:space="0" w:color="auto"/>
              <w:right w:val="single" w:sz="4" w:space="0" w:color="auto"/>
            </w:tcBorders>
          </w:tcPr>
          <w:p w14:paraId="472B7F36" w14:textId="4B447207" w:rsidR="00F26148" w:rsidRDefault="00F26148" w:rsidP="006124BF">
            <w:pPr>
              <w:jc w:val="center"/>
              <w:rPr>
                <w:rFonts w:eastAsia="Arial" w:cs="Arial"/>
                <w:b/>
                <w:bCs/>
                <w:sz w:val="20"/>
                <w:szCs w:val="20"/>
              </w:rPr>
            </w:pPr>
            <w:r>
              <w:rPr>
                <w:rFonts w:eastAsia="Arial" w:cs="Arial"/>
                <w:b/>
                <w:bCs/>
                <w:sz w:val="20"/>
                <w:szCs w:val="20"/>
              </w:rPr>
              <w:t>2023</w:t>
            </w:r>
          </w:p>
        </w:tc>
        <w:tc>
          <w:tcPr>
            <w:tcW w:w="1134" w:type="dxa"/>
            <w:tcBorders>
              <w:top w:val="single" w:sz="4" w:space="0" w:color="auto"/>
              <w:left w:val="single" w:sz="4" w:space="0" w:color="auto"/>
              <w:bottom w:val="single" w:sz="4" w:space="0" w:color="auto"/>
              <w:right w:val="single" w:sz="4" w:space="0" w:color="auto"/>
            </w:tcBorders>
          </w:tcPr>
          <w:p w14:paraId="6D84C9F4" w14:textId="4EC38D84" w:rsidR="00F26148" w:rsidRDefault="00F26148" w:rsidP="006124BF">
            <w:pPr>
              <w:jc w:val="center"/>
              <w:rPr>
                <w:rFonts w:eastAsia="Arial" w:cs="Arial"/>
                <w:b/>
                <w:bCs/>
                <w:sz w:val="20"/>
                <w:szCs w:val="20"/>
              </w:rPr>
            </w:pPr>
            <w:r>
              <w:rPr>
                <w:rFonts w:eastAsia="Arial" w:cs="Arial"/>
                <w:b/>
                <w:bCs/>
                <w:sz w:val="20"/>
                <w:szCs w:val="20"/>
              </w:rPr>
              <w:t>2024</w:t>
            </w:r>
          </w:p>
        </w:tc>
      </w:tr>
      <w:tr w:rsidR="00F26148" w:rsidRPr="00A54B18" w14:paraId="07C3274D" w14:textId="63FE552E" w:rsidTr="00415840">
        <w:trPr>
          <w:trHeight w:val="349"/>
        </w:trPr>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45D41E" w14:textId="2FC46EB2" w:rsidR="00F26148" w:rsidRPr="00A54B18" w:rsidRDefault="00F26148" w:rsidP="005E557A">
            <w:pPr>
              <w:rPr>
                <w:rFonts w:eastAsia="Arial" w:cs="Arial"/>
                <w:sz w:val="20"/>
                <w:szCs w:val="20"/>
              </w:rPr>
            </w:pPr>
            <w:r w:rsidRPr="00A54B18">
              <w:rPr>
                <w:rFonts w:eastAsia="Arial" w:cs="Arial"/>
                <w:sz w:val="20"/>
                <w:szCs w:val="20"/>
              </w:rPr>
              <w:t>Overall Output Score</w:t>
            </w:r>
          </w:p>
        </w:tc>
        <w:tc>
          <w:tcPr>
            <w:tcW w:w="1134" w:type="dxa"/>
            <w:tcBorders>
              <w:top w:val="single" w:sz="4" w:space="0" w:color="auto"/>
              <w:left w:val="single" w:sz="4" w:space="0" w:color="auto"/>
              <w:bottom w:val="single" w:sz="4" w:space="0" w:color="auto"/>
              <w:right w:val="single" w:sz="4" w:space="0" w:color="auto"/>
            </w:tcBorders>
          </w:tcPr>
          <w:p w14:paraId="6BA4EC77" w14:textId="1CAA8FB1" w:rsidR="00F26148" w:rsidRPr="00A54B18" w:rsidRDefault="00F26148" w:rsidP="006124BF">
            <w:pPr>
              <w:jc w:val="center"/>
              <w:rPr>
                <w:rFonts w:eastAsia="Arial" w:cs="Arial"/>
                <w:b/>
                <w:bCs/>
                <w:sz w:val="20"/>
                <w:szCs w:val="20"/>
              </w:rPr>
            </w:pPr>
            <w:r w:rsidRPr="00A54B18">
              <w:rPr>
                <w:rFonts w:eastAsia="Arial" w:cs="Arial"/>
                <w:b/>
                <w:bCs/>
                <w:sz w:val="20"/>
                <w:szCs w:val="20"/>
              </w:rPr>
              <w:t>A</w:t>
            </w:r>
          </w:p>
        </w:tc>
        <w:tc>
          <w:tcPr>
            <w:tcW w:w="1134" w:type="dxa"/>
            <w:tcBorders>
              <w:top w:val="single" w:sz="4" w:space="0" w:color="auto"/>
              <w:left w:val="single" w:sz="4" w:space="0" w:color="auto"/>
              <w:bottom w:val="single" w:sz="4" w:space="0" w:color="auto"/>
              <w:right w:val="single" w:sz="4" w:space="0" w:color="auto"/>
            </w:tcBorders>
          </w:tcPr>
          <w:p w14:paraId="31108F1C" w14:textId="1982E282" w:rsidR="00F26148" w:rsidRPr="00A54B18" w:rsidRDefault="00F26148" w:rsidP="006124BF">
            <w:pPr>
              <w:jc w:val="center"/>
              <w:rPr>
                <w:rFonts w:eastAsia="Arial" w:cs="Arial"/>
                <w:b/>
                <w:bCs/>
                <w:sz w:val="20"/>
                <w:szCs w:val="20"/>
              </w:rPr>
            </w:pPr>
            <w:r w:rsidRPr="00A54B18">
              <w:rPr>
                <w:rFonts w:eastAsia="Arial" w:cs="Arial"/>
                <w:b/>
                <w:bCs/>
                <w:sz w:val="20"/>
                <w:szCs w:val="20"/>
              </w:rPr>
              <w:t>A+</w:t>
            </w:r>
          </w:p>
        </w:tc>
        <w:tc>
          <w:tcPr>
            <w:tcW w:w="1134" w:type="dxa"/>
            <w:tcBorders>
              <w:top w:val="single" w:sz="4" w:space="0" w:color="auto"/>
              <w:left w:val="single" w:sz="4" w:space="0" w:color="auto"/>
              <w:bottom w:val="single" w:sz="4" w:space="0" w:color="auto"/>
              <w:right w:val="single" w:sz="4" w:space="0" w:color="auto"/>
            </w:tcBorders>
          </w:tcPr>
          <w:p w14:paraId="634F0501" w14:textId="01881ABA" w:rsidR="00F26148" w:rsidRPr="00A54B18" w:rsidRDefault="00F26148" w:rsidP="006124BF">
            <w:pPr>
              <w:jc w:val="center"/>
              <w:rPr>
                <w:rFonts w:eastAsia="Arial" w:cs="Arial"/>
                <w:b/>
                <w:bCs/>
                <w:sz w:val="20"/>
                <w:szCs w:val="20"/>
              </w:rPr>
            </w:pPr>
            <w:r w:rsidRPr="00A54B18">
              <w:rPr>
                <w:rFonts w:eastAsia="Arial" w:cs="Arial"/>
                <w:b/>
                <w:bCs/>
                <w:sz w:val="20"/>
                <w:szCs w:val="20"/>
              </w:rPr>
              <w:t>A</w:t>
            </w:r>
          </w:p>
        </w:tc>
        <w:tc>
          <w:tcPr>
            <w:tcW w:w="1134" w:type="dxa"/>
            <w:tcBorders>
              <w:top w:val="single" w:sz="4" w:space="0" w:color="auto"/>
              <w:left w:val="single" w:sz="4" w:space="0" w:color="auto"/>
              <w:bottom w:val="single" w:sz="4" w:space="0" w:color="auto"/>
              <w:right w:val="single" w:sz="4" w:space="0" w:color="auto"/>
            </w:tcBorders>
          </w:tcPr>
          <w:p w14:paraId="697FDD6A" w14:textId="52A23CF9" w:rsidR="00F26148" w:rsidRPr="00A54B18" w:rsidRDefault="00F26148" w:rsidP="006124BF">
            <w:pPr>
              <w:jc w:val="center"/>
              <w:rPr>
                <w:rFonts w:eastAsia="Arial" w:cs="Arial"/>
                <w:b/>
                <w:bCs/>
                <w:sz w:val="20"/>
                <w:szCs w:val="20"/>
              </w:rPr>
            </w:pPr>
            <w:r w:rsidRPr="00A54B18">
              <w:rPr>
                <w:rFonts w:eastAsia="Arial" w:cs="Arial"/>
                <w:b/>
                <w:bCs/>
                <w:sz w:val="20"/>
                <w:szCs w:val="20"/>
              </w:rPr>
              <w:t>A+</w:t>
            </w:r>
          </w:p>
        </w:tc>
        <w:tc>
          <w:tcPr>
            <w:tcW w:w="1134" w:type="dxa"/>
            <w:tcBorders>
              <w:top w:val="single" w:sz="4" w:space="0" w:color="auto"/>
              <w:left w:val="single" w:sz="4" w:space="0" w:color="auto"/>
              <w:bottom w:val="single" w:sz="4" w:space="0" w:color="auto"/>
              <w:right w:val="single" w:sz="4" w:space="0" w:color="auto"/>
            </w:tcBorders>
          </w:tcPr>
          <w:p w14:paraId="77B522A8" w14:textId="6E89B78A" w:rsidR="00F26148" w:rsidRPr="00A54B18" w:rsidRDefault="00F26148" w:rsidP="006124BF">
            <w:pPr>
              <w:jc w:val="center"/>
              <w:rPr>
                <w:rFonts w:eastAsia="Arial" w:cs="Arial"/>
                <w:b/>
                <w:bCs/>
                <w:sz w:val="20"/>
                <w:szCs w:val="20"/>
              </w:rPr>
            </w:pPr>
            <w:r>
              <w:rPr>
                <w:rFonts w:eastAsia="Arial" w:cs="Arial"/>
                <w:b/>
                <w:bCs/>
                <w:sz w:val="20"/>
                <w:szCs w:val="20"/>
              </w:rPr>
              <w:t>A+</w:t>
            </w:r>
          </w:p>
        </w:tc>
        <w:tc>
          <w:tcPr>
            <w:tcW w:w="1134" w:type="dxa"/>
            <w:tcBorders>
              <w:top w:val="single" w:sz="4" w:space="0" w:color="auto"/>
              <w:left w:val="single" w:sz="4" w:space="0" w:color="auto"/>
              <w:bottom w:val="single" w:sz="4" w:space="0" w:color="auto"/>
              <w:right w:val="single" w:sz="4" w:space="0" w:color="auto"/>
            </w:tcBorders>
          </w:tcPr>
          <w:p w14:paraId="6E613DB8" w14:textId="1065E49E" w:rsidR="00F26148" w:rsidRDefault="00F26148" w:rsidP="006124BF">
            <w:pPr>
              <w:jc w:val="center"/>
              <w:rPr>
                <w:rFonts w:eastAsia="Arial" w:cs="Arial"/>
                <w:b/>
                <w:bCs/>
                <w:sz w:val="20"/>
                <w:szCs w:val="20"/>
              </w:rPr>
            </w:pPr>
            <w:r>
              <w:rPr>
                <w:rFonts w:eastAsia="Arial" w:cs="Arial"/>
                <w:b/>
                <w:bCs/>
                <w:sz w:val="20"/>
                <w:szCs w:val="20"/>
              </w:rPr>
              <w:t>A</w:t>
            </w:r>
          </w:p>
        </w:tc>
        <w:tc>
          <w:tcPr>
            <w:tcW w:w="1134" w:type="dxa"/>
            <w:tcBorders>
              <w:top w:val="single" w:sz="4" w:space="0" w:color="auto"/>
              <w:left w:val="single" w:sz="4" w:space="0" w:color="auto"/>
              <w:bottom w:val="single" w:sz="4" w:space="0" w:color="auto"/>
              <w:right w:val="single" w:sz="4" w:space="0" w:color="auto"/>
            </w:tcBorders>
          </w:tcPr>
          <w:p w14:paraId="2F16A9E4" w14:textId="79D6415D" w:rsidR="00F26148" w:rsidRDefault="002C0C1C" w:rsidP="006124BF">
            <w:pPr>
              <w:jc w:val="center"/>
              <w:rPr>
                <w:rFonts w:eastAsia="Arial" w:cs="Arial"/>
                <w:b/>
                <w:bCs/>
                <w:sz w:val="20"/>
                <w:szCs w:val="20"/>
              </w:rPr>
            </w:pPr>
            <w:r>
              <w:rPr>
                <w:rFonts w:eastAsia="Arial" w:cs="Arial"/>
                <w:b/>
                <w:bCs/>
                <w:sz w:val="20"/>
                <w:szCs w:val="20"/>
              </w:rPr>
              <w:t>A+</w:t>
            </w:r>
          </w:p>
        </w:tc>
      </w:tr>
      <w:tr w:rsidR="00F26148" w:rsidRPr="00A54B18" w14:paraId="29305AB3" w14:textId="529EBD56" w:rsidTr="00415840">
        <w:trPr>
          <w:trHeight w:val="304"/>
        </w:trPr>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C76BE5" w14:textId="77777777" w:rsidR="00F26148" w:rsidRPr="00A54B18" w:rsidRDefault="00F26148" w:rsidP="005E557A">
            <w:pPr>
              <w:rPr>
                <w:rFonts w:eastAsia="Arial" w:cs="Arial"/>
                <w:sz w:val="20"/>
                <w:szCs w:val="20"/>
              </w:rPr>
            </w:pPr>
            <w:r w:rsidRPr="00A54B18">
              <w:rPr>
                <w:rFonts w:eastAsia="Arial" w:cs="Arial"/>
                <w:sz w:val="20"/>
                <w:szCs w:val="20"/>
              </w:rPr>
              <w:t>Risk Rating</w:t>
            </w:r>
            <w:r w:rsidRPr="00A54B18">
              <w:rPr>
                <w:rFonts w:eastAsia="Arial" w:cs="Arial"/>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BF67D24" w14:textId="33FD8508" w:rsidR="00F26148" w:rsidRPr="00A54B18" w:rsidRDefault="002334CE" w:rsidP="006124BF">
            <w:pPr>
              <w:jc w:val="center"/>
              <w:rPr>
                <w:rFonts w:eastAsia="Arial" w:cs="Arial"/>
                <w:b/>
                <w:bCs/>
              </w:rPr>
            </w:pPr>
            <w:r>
              <w:rPr>
                <w:rFonts w:eastAsia="Arial" w:cs="Arial"/>
                <w:b/>
                <w:bCs/>
                <w:sz w:val="20"/>
                <w:szCs w:val="20"/>
              </w:rPr>
              <w:t>Medium</w:t>
            </w:r>
          </w:p>
        </w:tc>
        <w:tc>
          <w:tcPr>
            <w:tcW w:w="1134" w:type="dxa"/>
            <w:tcBorders>
              <w:top w:val="single" w:sz="4" w:space="0" w:color="auto"/>
              <w:left w:val="single" w:sz="4" w:space="0" w:color="auto"/>
              <w:bottom w:val="single" w:sz="4" w:space="0" w:color="auto"/>
              <w:right w:val="single" w:sz="4" w:space="0" w:color="auto"/>
            </w:tcBorders>
          </w:tcPr>
          <w:p w14:paraId="2A2B872D" w14:textId="25B1B692" w:rsidR="00F26148" w:rsidRPr="00A54B18" w:rsidRDefault="002334CE" w:rsidP="006124BF">
            <w:pPr>
              <w:jc w:val="center"/>
              <w:rPr>
                <w:rFonts w:eastAsia="Arial" w:cs="Arial"/>
                <w:b/>
                <w:bCs/>
              </w:rPr>
            </w:pPr>
            <w:r>
              <w:rPr>
                <w:rFonts w:eastAsia="Arial" w:cs="Arial"/>
                <w:b/>
                <w:bCs/>
                <w:sz w:val="20"/>
                <w:szCs w:val="20"/>
              </w:rPr>
              <w:t>Medium</w:t>
            </w:r>
          </w:p>
        </w:tc>
        <w:tc>
          <w:tcPr>
            <w:tcW w:w="1134" w:type="dxa"/>
            <w:tcBorders>
              <w:top w:val="single" w:sz="4" w:space="0" w:color="auto"/>
              <w:left w:val="single" w:sz="4" w:space="0" w:color="auto"/>
              <w:bottom w:val="single" w:sz="4" w:space="0" w:color="auto"/>
              <w:right w:val="single" w:sz="4" w:space="0" w:color="auto"/>
            </w:tcBorders>
          </w:tcPr>
          <w:p w14:paraId="62ED8C8E" w14:textId="556FFACA" w:rsidR="00F26148" w:rsidRPr="00A54B18" w:rsidRDefault="002334CE" w:rsidP="006124BF">
            <w:pPr>
              <w:jc w:val="center"/>
              <w:rPr>
                <w:rFonts w:eastAsia="Arial" w:cs="Arial"/>
                <w:b/>
                <w:bCs/>
              </w:rPr>
            </w:pPr>
            <w:r>
              <w:rPr>
                <w:rFonts w:eastAsia="Arial" w:cs="Arial"/>
                <w:b/>
                <w:bCs/>
                <w:sz w:val="20"/>
                <w:szCs w:val="20"/>
              </w:rPr>
              <w:t>Medium</w:t>
            </w:r>
          </w:p>
        </w:tc>
        <w:tc>
          <w:tcPr>
            <w:tcW w:w="1134" w:type="dxa"/>
            <w:tcBorders>
              <w:top w:val="single" w:sz="4" w:space="0" w:color="auto"/>
              <w:left w:val="single" w:sz="4" w:space="0" w:color="auto"/>
              <w:bottom w:val="single" w:sz="4" w:space="0" w:color="auto"/>
              <w:right w:val="single" w:sz="4" w:space="0" w:color="auto"/>
            </w:tcBorders>
          </w:tcPr>
          <w:p w14:paraId="4E36212A" w14:textId="362AF515" w:rsidR="00F26148" w:rsidRPr="00A54B18" w:rsidRDefault="002334CE" w:rsidP="006124BF">
            <w:pPr>
              <w:jc w:val="center"/>
              <w:rPr>
                <w:rFonts w:eastAsia="Arial" w:cs="Arial"/>
                <w:b/>
                <w:bCs/>
                <w:sz w:val="20"/>
                <w:szCs w:val="20"/>
              </w:rPr>
            </w:pPr>
            <w:r>
              <w:rPr>
                <w:rFonts w:eastAsia="Arial" w:cs="Arial"/>
                <w:b/>
                <w:bCs/>
                <w:sz w:val="20"/>
                <w:szCs w:val="20"/>
              </w:rPr>
              <w:t>Medium</w:t>
            </w:r>
          </w:p>
        </w:tc>
        <w:tc>
          <w:tcPr>
            <w:tcW w:w="1134" w:type="dxa"/>
            <w:tcBorders>
              <w:top w:val="single" w:sz="4" w:space="0" w:color="auto"/>
              <w:left w:val="single" w:sz="4" w:space="0" w:color="auto"/>
              <w:bottom w:val="single" w:sz="4" w:space="0" w:color="auto"/>
              <w:right w:val="single" w:sz="4" w:space="0" w:color="auto"/>
            </w:tcBorders>
          </w:tcPr>
          <w:p w14:paraId="020D1089" w14:textId="5E9624C6" w:rsidR="00F26148" w:rsidRPr="00A54B18" w:rsidRDefault="00F26148" w:rsidP="006124BF">
            <w:pPr>
              <w:jc w:val="center"/>
              <w:rPr>
                <w:rFonts w:eastAsia="Arial" w:cs="Arial"/>
                <w:b/>
                <w:bCs/>
                <w:sz w:val="20"/>
                <w:szCs w:val="20"/>
              </w:rPr>
            </w:pPr>
            <w:r>
              <w:rPr>
                <w:rFonts w:eastAsia="Arial" w:cs="Arial"/>
                <w:b/>
                <w:bCs/>
                <w:sz w:val="20"/>
                <w:szCs w:val="20"/>
              </w:rPr>
              <w:t>Low</w:t>
            </w:r>
          </w:p>
        </w:tc>
        <w:tc>
          <w:tcPr>
            <w:tcW w:w="1134" w:type="dxa"/>
            <w:tcBorders>
              <w:top w:val="single" w:sz="4" w:space="0" w:color="auto"/>
              <w:left w:val="single" w:sz="4" w:space="0" w:color="auto"/>
              <w:bottom w:val="single" w:sz="4" w:space="0" w:color="auto"/>
              <w:right w:val="single" w:sz="4" w:space="0" w:color="auto"/>
            </w:tcBorders>
          </w:tcPr>
          <w:p w14:paraId="73C7D8A8" w14:textId="7920C2AA" w:rsidR="00F26148" w:rsidRDefault="002334CE" w:rsidP="006124BF">
            <w:pPr>
              <w:jc w:val="center"/>
              <w:rPr>
                <w:rFonts w:eastAsia="Arial" w:cs="Arial"/>
                <w:b/>
                <w:bCs/>
                <w:sz w:val="20"/>
                <w:szCs w:val="20"/>
              </w:rPr>
            </w:pPr>
            <w:r>
              <w:rPr>
                <w:rFonts w:eastAsia="Arial" w:cs="Arial"/>
                <w:b/>
                <w:bCs/>
                <w:sz w:val="20"/>
                <w:szCs w:val="20"/>
              </w:rPr>
              <w:t>Medium</w:t>
            </w:r>
          </w:p>
        </w:tc>
        <w:tc>
          <w:tcPr>
            <w:tcW w:w="1134" w:type="dxa"/>
            <w:tcBorders>
              <w:top w:val="single" w:sz="4" w:space="0" w:color="auto"/>
              <w:left w:val="single" w:sz="4" w:space="0" w:color="auto"/>
              <w:bottom w:val="single" w:sz="4" w:space="0" w:color="auto"/>
              <w:right w:val="single" w:sz="4" w:space="0" w:color="auto"/>
            </w:tcBorders>
          </w:tcPr>
          <w:p w14:paraId="2ED264BC" w14:textId="4C0BFB12" w:rsidR="00F26148" w:rsidRDefault="002334CE" w:rsidP="006124BF">
            <w:pPr>
              <w:jc w:val="center"/>
              <w:rPr>
                <w:rFonts w:eastAsia="Arial" w:cs="Arial"/>
                <w:b/>
                <w:bCs/>
                <w:sz w:val="20"/>
                <w:szCs w:val="20"/>
              </w:rPr>
            </w:pPr>
            <w:r>
              <w:rPr>
                <w:rFonts w:eastAsia="Arial" w:cs="Arial"/>
                <w:b/>
                <w:bCs/>
                <w:sz w:val="20"/>
                <w:szCs w:val="20"/>
              </w:rPr>
              <w:t>Medium</w:t>
            </w:r>
          </w:p>
        </w:tc>
      </w:tr>
    </w:tbl>
    <w:p w14:paraId="3F14494A" w14:textId="77777777" w:rsidR="006F3AE7" w:rsidRPr="00A54B18" w:rsidRDefault="006F3AE7" w:rsidP="005E557A">
      <w:pPr>
        <w:rPr>
          <w:rFonts w:eastAsia="Arial" w:cs="Arial"/>
          <w:b/>
          <w:bCs/>
          <w:sz w:val="22"/>
          <w:szCs w:val="22"/>
        </w:rPr>
      </w:pPr>
    </w:p>
    <w:tbl>
      <w:tblPr>
        <w:tblStyle w:val="TableGrid"/>
        <w:tblW w:w="0" w:type="auto"/>
        <w:tblInd w:w="-5" w:type="dxa"/>
        <w:tblLook w:val="04A0" w:firstRow="1" w:lastRow="0" w:firstColumn="1" w:lastColumn="0" w:noHBand="0" w:noVBand="1"/>
      </w:tblPr>
      <w:tblGrid>
        <w:gridCol w:w="3969"/>
        <w:gridCol w:w="5052"/>
      </w:tblGrid>
      <w:tr w:rsidR="00BE5FC4" w:rsidRPr="00A54B18" w14:paraId="5ED04B8A" w14:textId="77777777" w:rsidTr="09AA3986">
        <w:trPr>
          <w:trHeight w:val="355"/>
        </w:trPr>
        <w:tc>
          <w:tcPr>
            <w:tcW w:w="3969" w:type="dxa"/>
            <w:shd w:val="clear" w:color="auto" w:fill="B4C6E7" w:themeFill="accent1" w:themeFillTint="66"/>
            <w:hideMark/>
          </w:tcPr>
          <w:p w14:paraId="084C6192" w14:textId="77777777" w:rsidR="006F3AE7" w:rsidRPr="00A54B18" w:rsidRDefault="7232A90E" w:rsidP="005E557A">
            <w:pPr>
              <w:rPr>
                <w:rFonts w:eastAsia="Arial" w:cs="Arial"/>
                <w:sz w:val="20"/>
                <w:szCs w:val="20"/>
              </w:rPr>
            </w:pPr>
            <w:r w:rsidRPr="00A54B18">
              <w:rPr>
                <w:rFonts w:eastAsia="Arial" w:cs="Arial"/>
                <w:sz w:val="20"/>
                <w:szCs w:val="20"/>
              </w:rPr>
              <w:t xml:space="preserve">DevTracker Link to Business Case: </w:t>
            </w:r>
          </w:p>
        </w:tc>
        <w:tc>
          <w:tcPr>
            <w:tcW w:w="5052" w:type="dxa"/>
          </w:tcPr>
          <w:p w14:paraId="7547CEAA" w14:textId="77777777" w:rsidR="006F3AE7" w:rsidRPr="00A54B18" w:rsidRDefault="006F3AE7" w:rsidP="005E557A">
            <w:pPr>
              <w:rPr>
                <w:rFonts w:eastAsia="Arial" w:cs="Arial"/>
                <w:b/>
                <w:bCs/>
                <w:sz w:val="22"/>
                <w:szCs w:val="22"/>
              </w:rPr>
            </w:pPr>
          </w:p>
        </w:tc>
      </w:tr>
      <w:tr w:rsidR="00BE5FC4" w:rsidRPr="00A54B18" w14:paraId="1BE27F98" w14:textId="77777777" w:rsidTr="09AA3986">
        <w:trPr>
          <w:trHeight w:val="403"/>
        </w:trPr>
        <w:tc>
          <w:tcPr>
            <w:tcW w:w="3969" w:type="dxa"/>
            <w:shd w:val="clear" w:color="auto" w:fill="B4C6E7" w:themeFill="accent1" w:themeFillTint="66"/>
            <w:hideMark/>
          </w:tcPr>
          <w:p w14:paraId="77EEC9AB" w14:textId="21B976EE" w:rsidR="006F3AE7" w:rsidRPr="00A54B18" w:rsidRDefault="7232A90E" w:rsidP="005E557A">
            <w:pPr>
              <w:rPr>
                <w:rFonts w:eastAsia="Arial" w:cs="Arial"/>
                <w:i/>
                <w:iCs/>
                <w:sz w:val="20"/>
                <w:szCs w:val="20"/>
              </w:rPr>
            </w:pPr>
            <w:r w:rsidRPr="00A54B18">
              <w:rPr>
                <w:rFonts w:eastAsia="Arial" w:cs="Arial"/>
                <w:sz w:val="20"/>
                <w:szCs w:val="20"/>
              </w:rPr>
              <w:t xml:space="preserve">DevTracker Link to results framework: </w:t>
            </w:r>
          </w:p>
        </w:tc>
        <w:tc>
          <w:tcPr>
            <w:tcW w:w="5052" w:type="dxa"/>
          </w:tcPr>
          <w:p w14:paraId="1EBB8B7A" w14:textId="77777777" w:rsidR="006F3AE7" w:rsidRPr="00A54B18" w:rsidRDefault="006F3AE7" w:rsidP="005E557A">
            <w:pPr>
              <w:rPr>
                <w:rFonts w:eastAsia="Arial" w:cs="Arial"/>
                <w:b/>
                <w:bCs/>
                <w:sz w:val="22"/>
                <w:szCs w:val="22"/>
              </w:rPr>
            </w:pPr>
          </w:p>
        </w:tc>
      </w:tr>
    </w:tbl>
    <w:p w14:paraId="22403C63" w14:textId="77777777" w:rsidR="003507A1" w:rsidRPr="00A54B18" w:rsidRDefault="003507A1" w:rsidP="005E557A">
      <w:pPr>
        <w:rPr>
          <w:rFonts w:eastAsia="Arial" w:cs="Arial"/>
          <w:sz w:val="20"/>
          <w:szCs w:val="20"/>
        </w:rPr>
      </w:pPr>
    </w:p>
    <w:p w14:paraId="2FEBAAA9" w14:textId="27B4B137" w:rsidR="006F3AE7" w:rsidRPr="00A54B18" w:rsidRDefault="7232A90E" w:rsidP="00B903AE">
      <w:pPr>
        <w:pBdr>
          <w:top w:val="single" w:sz="4" w:space="1" w:color="auto"/>
          <w:left w:val="single" w:sz="4" w:space="4" w:color="auto"/>
          <w:bottom w:val="single" w:sz="4" w:space="0" w:color="auto"/>
          <w:right w:val="single" w:sz="4" w:space="4" w:color="auto"/>
        </w:pBdr>
        <w:shd w:val="clear" w:color="auto" w:fill="D9E2F3" w:themeFill="accent1" w:themeFillTint="33"/>
        <w:rPr>
          <w:rFonts w:eastAsia="Arial" w:cs="Arial"/>
          <w:sz w:val="20"/>
          <w:szCs w:val="20"/>
        </w:rPr>
      </w:pPr>
      <w:r w:rsidRPr="00A54B18">
        <w:rPr>
          <w:rFonts w:eastAsia="Arial" w:cs="Arial"/>
          <w:b/>
          <w:bCs/>
          <w:sz w:val="28"/>
          <w:szCs w:val="28"/>
        </w:rPr>
        <w:t>A. SUMMARY AND OVERVIEW</w:t>
      </w:r>
    </w:p>
    <w:p w14:paraId="7EFEDAB3" w14:textId="77777777" w:rsidR="006F3AE7" w:rsidRPr="00A54B18" w:rsidRDefault="006F3AE7" w:rsidP="005E557A">
      <w:pPr>
        <w:rPr>
          <w:rFonts w:eastAsia="Arial" w:cs="Arial"/>
          <w:b/>
          <w:bCs/>
          <w:sz w:val="22"/>
          <w:szCs w:val="22"/>
        </w:rPr>
      </w:pPr>
    </w:p>
    <w:p w14:paraId="121905E8" w14:textId="035BC48B" w:rsidR="006F3AE7" w:rsidRPr="00A54B18" w:rsidRDefault="7232A90E" w:rsidP="00F66B70">
      <w:pPr>
        <w:jc w:val="both"/>
        <w:rPr>
          <w:rFonts w:eastAsia="Arial" w:cs="Arial"/>
          <w:sz w:val="20"/>
          <w:szCs w:val="20"/>
        </w:rPr>
      </w:pPr>
      <w:r w:rsidRPr="237F14D3">
        <w:rPr>
          <w:rFonts w:eastAsia="Arial" w:cs="Arial"/>
          <w:b/>
          <w:bCs/>
          <w:sz w:val="22"/>
          <w:szCs w:val="22"/>
        </w:rPr>
        <w:t xml:space="preserve">Description of programme </w:t>
      </w:r>
    </w:p>
    <w:p w14:paraId="650458F1" w14:textId="77777777" w:rsidR="006F3AE7" w:rsidRPr="00A54B18" w:rsidRDefault="006F3AE7" w:rsidP="00F66B70">
      <w:pPr>
        <w:jc w:val="both"/>
        <w:rPr>
          <w:rFonts w:eastAsia="Arial" w:cs="Arial"/>
          <w:b/>
          <w:bCs/>
          <w:sz w:val="22"/>
          <w:szCs w:val="22"/>
        </w:rPr>
      </w:pPr>
    </w:p>
    <w:p w14:paraId="02107A18" w14:textId="3750F308" w:rsidR="00FD0E2B" w:rsidRDefault="00A21390" w:rsidP="00A21390">
      <w:pPr>
        <w:jc w:val="both"/>
        <w:rPr>
          <w:rFonts w:eastAsia="Arial" w:cs="Arial"/>
          <w:sz w:val="22"/>
          <w:szCs w:val="22"/>
        </w:rPr>
      </w:pPr>
      <w:r w:rsidRPr="006042A9">
        <w:rPr>
          <w:rFonts w:eastAsia="Arial" w:cs="Arial"/>
          <w:sz w:val="22"/>
          <w:szCs w:val="22"/>
        </w:rPr>
        <w:t>The eco.business Fund (EBF) was set up in December 2014 by the German Development Bank</w:t>
      </w:r>
      <w:r>
        <w:rPr>
          <w:rFonts w:eastAsia="Arial" w:cs="Arial"/>
          <w:sz w:val="22"/>
          <w:szCs w:val="22"/>
        </w:rPr>
        <w:t xml:space="preserve"> KfW</w:t>
      </w:r>
      <w:r w:rsidRPr="006042A9">
        <w:rPr>
          <w:rFonts w:eastAsia="Arial" w:cs="Arial"/>
          <w:sz w:val="22"/>
          <w:szCs w:val="22"/>
        </w:rPr>
        <w:t xml:space="preserve">, Conservation International and </w:t>
      </w:r>
      <w:r w:rsidR="005C308E">
        <w:rPr>
          <w:rFonts w:eastAsia="Arial" w:cs="Arial"/>
          <w:sz w:val="22"/>
          <w:szCs w:val="22"/>
        </w:rPr>
        <w:t xml:space="preserve">Fund Advisor </w:t>
      </w:r>
      <w:r w:rsidR="005C308E" w:rsidRPr="006042A9">
        <w:rPr>
          <w:rFonts w:eastAsia="Arial" w:cs="Arial"/>
          <w:sz w:val="22"/>
          <w:szCs w:val="22"/>
        </w:rPr>
        <w:t>Finance</w:t>
      </w:r>
      <w:r w:rsidR="00110E1C">
        <w:rPr>
          <w:rFonts w:eastAsia="Arial" w:cs="Arial"/>
          <w:sz w:val="22"/>
          <w:szCs w:val="22"/>
        </w:rPr>
        <w:t>-</w:t>
      </w:r>
      <w:r w:rsidR="005C308E" w:rsidRPr="006042A9">
        <w:rPr>
          <w:rFonts w:eastAsia="Arial" w:cs="Arial"/>
          <w:sz w:val="22"/>
          <w:szCs w:val="22"/>
        </w:rPr>
        <w:t>in</w:t>
      </w:r>
      <w:r w:rsidR="00110E1C">
        <w:rPr>
          <w:rFonts w:eastAsia="Arial" w:cs="Arial"/>
          <w:sz w:val="22"/>
          <w:szCs w:val="22"/>
        </w:rPr>
        <w:t>-</w:t>
      </w:r>
      <w:r w:rsidR="005C308E" w:rsidRPr="006042A9">
        <w:rPr>
          <w:rFonts w:eastAsia="Arial" w:cs="Arial"/>
          <w:sz w:val="22"/>
          <w:szCs w:val="22"/>
        </w:rPr>
        <w:t>Motion (FiM)</w:t>
      </w:r>
      <w:r w:rsidRPr="006042A9">
        <w:rPr>
          <w:rFonts w:eastAsia="Arial" w:cs="Arial"/>
          <w:sz w:val="22"/>
          <w:szCs w:val="22"/>
        </w:rPr>
        <w:t xml:space="preserve">. The Fund </w:t>
      </w:r>
      <w:r>
        <w:rPr>
          <w:rFonts w:eastAsia="Arial" w:cs="Arial"/>
          <w:sz w:val="22"/>
          <w:szCs w:val="22"/>
        </w:rPr>
        <w:t>lends</w:t>
      </w:r>
      <w:r w:rsidRPr="006042A9">
        <w:rPr>
          <w:rFonts w:eastAsia="Arial" w:cs="Arial"/>
          <w:sz w:val="22"/>
          <w:szCs w:val="22"/>
        </w:rPr>
        <w:t xml:space="preserve"> money to Partner Institutions (PIs) in </w:t>
      </w:r>
      <w:r w:rsidR="00084C77">
        <w:rPr>
          <w:rFonts w:eastAsia="Arial" w:cs="Arial"/>
          <w:sz w:val="22"/>
          <w:szCs w:val="22"/>
        </w:rPr>
        <w:t>ODA-eligible</w:t>
      </w:r>
      <w:r w:rsidRPr="006042A9">
        <w:rPr>
          <w:rFonts w:eastAsia="Arial" w:cs="Arial"/>
          <w:sz w:val="22"/>
          <w:szCs w:val="22"/>
        </w:rPr>
        <w:t xml:space="preserve"> countries, with conditions attached that require those PIs to on-lend that capital to </w:t>
      </w:r>
      <w:r w:rsidR="00306C98">
        <w:rPr>
          <w:rFonts w:eastAsia="Arial" w:cs="Arial"/>
          <w:sz w:val="22"/>
          <w:szCs w:val="22"/>
        </w:rPr>
        <w:t>end</w:t>
      </w:r>
      <w:r w:rsidRPr="006042A9">
        <w:rPr>
          <w:rFonts w:eastAsia="Arial" w:cs="Arial"/>
          <w:sz w:val="22"/>
          <w:szCs w:val="22"/>
        </w:rPr>
        <w:t xml:space="preserve">-borrowers who meet </w:t>
      </w:r>
      <w:r>
        <w:rPr>
          <w:rFonts w:eastAsia="Arial" w:cs="Arial"/>
          <w:sz w:val="22"/>
          <w:szCs w:val="22"/>
        </w:rPr>
        <w:t xml:space="preserve">predetermined </w:t>
      </w:r>
      <w:r w:rsidRPr="006042A9">
        <w:rPr>
          <w:rFonts w:eastAsia="Arial" w:cs="Arial"/>
          <w:sz w:val="22"/>
          <w:szCs w:val="22"/>
        </w:rPr>
        <w:t>sustainability criteria.</w:t>
      </w:r>
      <w:r>
        <w:rPr>
          <w:rFonts w:eastAsia="Arial" w:cs="Arial"/>
          <w:sz w:val="22"/>
          <w:szCs w:val="22"/>
        </w:rPr>
        <w:t xml:space="preserve"> </w:t>
      </w:r>
      <w:r w:rsidR="00BC4466">
        <w:rPr>
          <w:rFonts w:eastAsia="Arial" w:cs="Arial"/>
          <w:sz w:val="22"/>
          <w:szCs w:val="22"/>
        </w:rPr>
        <w:t xml:space="preserve">It also makes some direct investments in larger businesses. </w:t>
      </w:r>
      <w:r w:rsidR="00F02DBA">
        <w:rPr>
          <w:rFonts w:eastAsia="Arial" w:cs="Arial"/>
          <w:sz w:val="22"/>
          <w:szCs w:val="22"/>
        </w:rPr>
        <w:t>End</w:t>
      </w:r>
      <w:r w:rsidRPr="006042A9">
        <w:rPr>
          <w:rFonts w:eastAsia="Arial" w:cs="Arial"/>
          <w:sz w:val="22"/>
          <w:szCs w:val="22"/>
        </w:rPr>
        <w:t>-borrowers can be in the sustainable agriculture</w:t>
      </w:r>
      <w:r w:rsidR="000B6275">
        <w:rPr>
          <w:rFonts w:eastAsia="Arial" w:cs="Arial"/>
          <w:sz w:val="22"/>
          <w:szCs w:val="22"/>
        </w:rPr>
        <w:t xml:space="preserve"> and agri-processing</w:t>
      </w:r>
      <w:r w:rsidRPr="006042A9">
        <w:rPr>
          <w:rFonts w:eastAsia="Arial" w:cs="Arial"/>
          <w:sz w:val="22"/>
          <w:szCs w:val="22"/>
        </w:rPr>
        <w:t>, forestry, aquaculture</w:t>
      </w:r>
      <w:r>
        <w:rPr>
          <w:rFonts w:eastAsia="Arial" w:cs="Arial"/>
          <w:sz w:val="22"/>
          <w:szCs w:val="22"/>
        </w:rPr>
        <w:t>,</w:t>
      </w:r>
      <w:r w:rsidRPr="006042A9">
        <w:rPr>
          <w:rFonts w:eastAsia="Arial" w:cs="Arial"/>
          <w:sz w:val="22"/>
          <w:szCs w:val="22"/>
        </w:rPr>
        <w:t xml:space="preserve"> or tourism sectors.</w:t>
      </w:r>
      <w:r w:rsidR="008A5DF1">
        <w:rPr>
          <w:rFonts w:eastAsia="Arial" w:cs="Arial"/>
          <w:sz w:val="22"/>
          <w:szCs w:val="22"/>
        </w:rPr>
        <w:t xml:space="preserve"> </w:t>
      </w:r>
      <w:r w:rsidR="00747862" w:rsidRPr="00F930CD">
        <w:rPr>
          <w:rFonts w:eastAsia="Arial" w:cs="Arial"/>
          <w:sz w:val="22"/>
          <w:szCs w:val="22"/>
        </w:rPr>
        <w:t>S</w:t>
      </w:r>
      <w:r w:rsidR="001131A9" w:rsidRPr="00F930CD">
        <w:rPr>
          <w:rFonts w:eastAsia="Arial" w:cs="Arial"/>
          <w:sz w:val="22"/>
          <w:szCs w:val="22"/>
        </w:rPr>
        <w:t>ystemic change</w:t>
      </w:r>
      <w:r w:rsidR="008A5DF1" w:rsidRPr="00F930CD">
        <w:rPr>
          <w:rFonts w:eastAsia="Arial" w:cs="Arial"/>
          <w:sz w:val="22"/>
          <w:szCs w:val="22"/>
        </w:rPr>
        <w:t xml:space="preserve"> follows from </w:t>
      </w:r>
      <w:r w:rsidR="004A35AF" w:rsidRPr="00F930CD">
        <w:rPr>
          <w:rFonts w:eastAsia="Arial" w:cs="Arial"/>
          <w:sz w:val="22"/>
          <w:szCs w:val="22"/>
        </w:rPr>
        <w:t>embedding improved lending practices in banks and large corporates</w:t>
      </w:r>
      <w:r w:rsidR="00302A3C" w:rsidRPr="00F930CD">
        <w:rPr>
          <w:rFonts w:eastAsia="Arial" w:cs="Arial"/>
          <w:sz w:val="22"/>
          <w:szCs w:val="22"/>
        </w:rPr>
        <w:t xml:space="preserve"> such that </w:t>
      </w:r>
      <w:r w:rsidR="00C31EC1" w:rsidRPr="00F930CD">
        <w:rPr>
          <w:rFonts w:eastAsia="Arial" w:cs="Arial"/>
          <w:sz w:val="22"/>
          <w:szCs w:val="22"/>
        </w:rPr>
        <w:t>change</w:t>
      </w:r>
      <w:r w:rsidR="00302A3C" w:rsidRPr="00F930CD">
        <w:rPr>
          <w:rFonts w:eastAsia="Arial" w:cs="Arial"/>
          <w:sz w:val="22"/>
          <w:szCs w:val="22"/>
        </w:rPr>
        <w:t xml:space="preserve"> outlast</w:t>
      </w:r>
      <w:r w:rsidR="00C31EC1" w:rsidRPr="00F930CD">
        <w:rPr>
          <w:rFonts w:eastAsia="Arial" w:cs="Arial"/>
          <w:sz w:val="22"/>
          <w:szCs w:val="22"/>
        </w:rPr>
        <w:t>s</w:t>
      </w:r>
      <w:r w:rsidR="00302A3C" w:rsidRPr="00F930CD">
        <w:rPr>
          <w:rFonts w:eastAsia="Arial" w:cs="Arial"/>
          <w:sz w:val="22"/>
          <w:szCs w:val="22"/>
        </w:rPr>
        <w:t xml:space="preserve"> the loan itself and </w:t>
      </w:r>
      <w:r w:rsidR="00747862" w:rsidRPr="00F930CD">
        <w:rPr>
          <w:rFonts w:eastAsia="Arial" w:cs="Arial"/>
          <w:sz w:val="22"/>
          <w:szCs w:val="22"/>
        </w:rPr>
        <w:t>set</w:t>
      </w:r>
      <w:r w:rsidR="00C31EC1" w:rsidRPr="00F930CD">
        <w:rPr>
          <w:rFonts w:eastAsia="Arial" w:cs="Arial"/>
          <w:sz w:val="22"/>
          <w:szCs w:val="22"/>
        </w:rPr>
        <w:t>s</w:t>
      </w:r>
      <w:r w:rsidR="00747862" w:rsidRPr="00F930CD">
        <w:rPr>
          <w:rFonts w:eastAsia="Arial" w:cs="Arial"/>
          <w:sz w:val="22"/>
          <w:szCs w:val="22"/>
        </w:rPr>
        <w:t xml:space="preserve"> a</w:t>
      </w:r>
      <w:r w:rsidR="00C31EC1" w:rsidRPr="00F930CD">
        <w:rPr>
          <w:rFonts w:eastAsia="Arial" w:cs="Arial"/>
          <w:sz w:val="22"/>
          <w:szCs w:val="22"/>
        </w:rPr>
        <w:t xml:space="preserve"> wider</w:t>
      </w:r>
      <w:r w:rsidR="00747862" w:rsidRPr="00F930CD">
        <w:rPr>
          <w:rFonts w:eastAsia="Arial" w:cs="Arial"/>
          <w:sz w:val="22"/>
          <w:szCs w:val="22"/>
        </w:rPr>
        <w:t xml:space="preserve"> example.</w:t>
      </w:r>
    </w:p>
    <w:p w14:paraId="25B40D85" w14:textId="77777777" w:rsidR="008E48C3" w:rsidRDefault="008E48C3" w:rsidP="00A21390">
      <w:pPr>
        <w:jc w:val="both"/>
        <w:rPr>
          <w:rFonts w:eastAsia="Arial" w:cs="Arial"/>
          <w:sz w:val="22"/>
          <w:szCs w:val="22"/>
        </w:rPr>
      </w:pPr>
    </w:p>
    <w:p w14:paraId="05299B43" w14:textId="6548F66E" w:rsidR="008E48C3" w:rsidRPr="006042A9" w:rsidRDefault="008E48C3" w:rsidP="008E48C3">
      <w:pPr>
        <w:jc w:val="both"/>
        <w:rPr>
          <w:rFonts w:eastAsia="Arial" w:cs="Arial"/>
          <w:sz w:val="22"/>
          <w:szCs w:val="22"/>
        </w:rPr>
      </w:pPr>
      <w:r>
        <w:rPr>
          <w:rFonts w:eastAsia="Arial" w:cs="Arial"/>
          <w:sz w:val="22"/>
          <w:szCs w:val="22"/>
        </w:rPr>
        <w:t>Fund investees typically include banks offering specialised loans for farmers and businesses who are practising or contributing to sustainable land management</w:t>
      </w:r>
      <w:r w:rsidR="00DA02F0">
        <w:rPr>
          <w:rFonts w:eastAsia="Arial" w:cs="Arial"/>
          <w:sz w:val="22"/>
          <w:szCs w:val="22"/>
        </w:rPr>
        <w:t xml:space="preserve">. </w:t>
      </w:r>
      <w:r w:rsidR="00111247">
        <w:rPr>
          <w:rFonts w:eastAsia="Arial" w:cs="Arial"/>
          <w:sz w:val="22"/>
          <w:szCs w:val="22"/>
        </w:rPr>
        <w:t>Eligible end-borrowers include</w:t>
      </w:r>
      <w:r w:rsidR="008A426F">
        <w:rPr>
          <w:rFonts w:eastAsia="Arial" w:cs="Arial"/>
          <w:sz w:val="22"/>
          <w:szCs w:val="22"/>
        </w:rPr>
        <w:t xml:space="preserve"> those who are</w:t>
      </w:r>
      <w:r w:rsidR="00DA02F0">
        <w:rPr>
          <w:rFonts w:eastAsia="Arial" w:cs="Arial"/>
          <w:sz w:val="22"/>
          <w:szCs w:val="22"/>
        </w:rPr>
        <w:t xml:space="preserve"> producing or processing </w:t>
      </w:r>
      <w:r w:rsidR="00473164">
        <w:rPr>
          <w:rFonts w:eastAsia="Arial" w:cs="Arial"/>
          <w:sz w:val="22"/>
          <w:szCs w:val="22"/>
        </w:rPr>
        <w:t xml:space="preserve">commodities certified by international labels such as Rainforest Alliance or Fairtrade. </w:t>
      </w:r>
      <w:r w:rsidR="00CF63DB">
        <w:rPr>
          <w:rFonts w:eastAsia="Arial" w:cs="Arial"/>
          <w:sz w:val="22"/>
          <w:szCs w:val="22"/>
        </w:rPr>
        <w:t>Also included are</w:t>
      </w:r>
      <w:r w:rsidR="008A426F">
        <w:rPr>
          <w:rFonts w:eastAsia="Arial" w:cs="Arial"/>
          <w:sz w:val="22"/>
          <w:szCs w:val="22"/>
        </w:rPr>
        <w:t xml:space="preserve"> farmers using techniques like drip irrigation, reduced </w:t>
      </w:r>
      <w:r w:rsidR="00165535">
        <w:rPr>
          <w:rFonts w:eastAsia="Arial" w:cs="Arial"/>
          <w:sz w:val="22"/>
          <w:szCs w:val="22"/>
        </w:rPr>
        <w:t>pesticides and fertilisers,</w:t>
      </w:r>
      <w:r w:rsidR="008A426F">
        <w:rPr>
          <w:rFonts w:eastAsia="Arial" w:cs="Arial"/>
          <w:sz w:val="22"/>
          <w:szCs w:val="22"/>
        </w:rPr>
        <w:t xml:space="preserve"> and improved soil management to minimise their resource use and impact on nature</w:t>
      </w:r>
      <w:r w:rsidR="00165535">
        <w:rPr>
          <w:rFonts w:eastAsia="Arial" w:cs="Arial"/>
          <w:sz w:val="22"/>
          <w:szCs w:val="22"/>
        </w:rPr>
        <w:t>, and processing plants using</w:t>
      </w:r>
      <w:r w:rsidR="008B6B12">
        <w:rPr>
          <w:rFonts w:eastAsia="Arial" w:cs="Arial"/>
          <w:sz w:val="22"/>
          <w:szCs w:val="22"/>
        </w:rPr>
        <w:t>, for example,</w:t>
      </w:r>
      <w:r w:rsidR="00165535">
        <w:rPr>
          <w:rFonts w:eastAsia="Arial" w:cs="Arial"/>
          <w:sz w:val="22"/>
          <w:szCs w:val="22"/>
        </w:rPr>
        <w:t xml:space="preserve"> renewable energy or reduced water use in cleaning processes.</w:t>
      </w:r>
      <w:r w:rsidR="003F7E95">
        <w:rPr>
          <w:rFonts w:eastAsia="Arial" w:cs="Arial"/>
          <w:sz w:val="22"/>
          <w:szCs w:val="22"/>
        </w:rPr>
        <w:t xml:space="preserve"> </w:t>
      </w:r>
      <w:r w:rsidR="00127A4A">
        <w:rPr>
          <w:rFonts w:eastAsia="Arial" w:cs="Arial"/>
          <w:sz w:val="22"/>
          <w:szCs w:val="22"/>
        </w:rPr>
        <w:t>S</w:t>
      </w:r>
      <w:r w:rsidR="003F7E95">
        <w:rPr>
          <w:rFonts w:eastAsia="Arial" w:cs="Arial"/>
          <w:sz w:val="22"/>
          <w:szCs w:val="22"/>
        </w:rPr>
        <w:t>ugarcane, coffee, farmed shrimp and bananas</w:t>
      </w:r>
      <w:r w:rsidR="00127A4A">
        <w:rPr>
          <w:rFonts w:eastAsia="Arial" w:cs="Arial"/>
          <w:sz w:val="22"/>
          <w:szCs w:val="22"/>
        </w:rPr>
        <w:t xml:space="preserve"> produced to improved sustainab</w:t>
      </w:r>
      <w:r w:rsidR="00AA1562">
        <w:rPr>
          <w:rFonts w:eastAsia="Arial" w:cs="Arial"/>
          <w:sz w:val="22"/>
          <w:szCs w:val="22"/>
        </w:rPr>
        <w:t>ility</w:t>
      </w:r>
      <w:r w:rsidR="00127A4A">
        <w:rPr>
          <w:rFonts w:eastAsia="Arial" w:cs="Arial"/>
          <w:sz w:val="22"/>
          <w:szCs w:val="22"/>
        </w:rPr>
        <w:t xml:space="preserve"> standards</w:t>
      </w:r>
      <w:r w:rsidR="003F7E95">
        <w:rPr>
          <w:rFonts w:eastAsia="Arial" w:cs="Arial"/>
          <w:sz w:val="22"/>
          <w:szCs w:val="22"/>
        </w:rPr>
        <w:t xml:space="preserve"> are the commodities most commonly </w:t>
      </w:r>
      <w:r w:rsidR="00127A4A">
        <w:rPr>
          <w:rFonts w:eastAsia="Arial" w:cs="Arial"/>
          <w:sz w:val="22"/>
          <w:szCs w:val="22"/>
        </w:rPr>
        <w:t>funded by EBF</w:t>
      </w:r>
      <w:r w:rsidR="00A85785">
        <w:rPr>
          <w:rFonts w:eastAsia="Arial" w:cs="Arial"/>
          <w:sz w:val="22"/>
          <w:szCs w:val="22"/>
        </w:rPr>
        <w:t>.</w:t>
      </w:r>
    </w:p>
    <w:p w14:paraId="2B74A864" w14:textId="77777777" w:rsidR="00FD0E2B" w:rsidRDefault="00FD0E2B" w:rsidP="00A21390">
      <w:pPr>
        <w:jc w:val="both"/>
        <w:rPr>
          <w:rFonts w:eastAsia="Arial" w:cs="Arial"/>
          <w:sz w:val="22"/>
          <w:szCs w:val="22"/>
        </w:rPr>
      </w:pPr>
    </w:p>
    <w:p w14:paraId="0C45DBE4" w14:textId="708C4A66" w:rsidR="006042A9" w:rsidRDefault="003834F7" w:rsidP="006042A9">
      <w:pPr>
        <w:jc w:val="both"/>
        <w:rPr>
          <w:rFonts w:eastAsia="Arial" w:cs="Arial"/>
          <w:sz w:val="22"/>
          <w:szCs w:val="22"/>
        </w:rPr>
      </w:pPr>
      <w:r>
        <w:rPr>
          <w:rFonts w:eastAsia="Arial" w:cs="Arial"/>
          <w:sz w:val="22"/>
          <w:szCs w:val="22"/>
        </w:rPr>
        <w:t xml:space="preserve">In 2016 and 2019, </w:t>
      </w:r>
      <w:r w:rsidR="00A21390" w:rsidRPr="09F156E3">
        <w:rPr>
          <w:rFonts w:eastAsia="Arial" w:cs="Arial"/>
          <w:sz w:val="22"/>
          <w:szCs w:val="22"/>
        </w:rPr>
        <w:t xml:space="preserve">Defra </w:t>
      </w:r>
      <w:r w:rsidR="008164C3">
        <w:rPr>
          <w:rFonts w:eastAsia="Arial" w:cs="Arial"/>
          <w:sz w:val="22"/>
          <w:szCs w:val="22"/>
        </w:rPr>
        <w:t xml:space="preserve">bought </w:t>
      </w:r>
      <w:r>
        <w:rPr>
          <w:rFonts w:eastAsia="Arial" w:cs="Arial"/>
          <w:sz w:val="22"/>
          <w:szCs w:val="22"/>
        </w:rPr>
        <w:t xml:space="preserve">a total of </w:t>
      </w:r>
      <w:r w:rsidR="008164C3">
        <w:rPr>
          <w:rFonts w:eastAsia="Arial" w:cs="Arial"/>
          <w:sz w:val="22"/>
          <w:szCs w:val="22"/>
        </w:rPr>
        <w:t>£32.6</w:t>
      </w:r>
      <w:r w:rsidR="004227EF">
        <w:rPr>
          <w:rFonts w:eastAsia="Arial" w:cs="Arial"/>
          <w:sz w:val="22"/>
          <w:szCs w:val="22"/>
        </w:rPr>
        <w:t xml:space="preserve"> </w:t>
      </w:r>
      <w:r w:rsidR="008164C3">
        <w:rPr>
          <w:rFonts w:eastAsia="Arial" w:cs="Arial"/>
          <w:sz w:val="22"/>
          <w:szCs w:val="22"/>
        </w:rPr>
        <w:t>m</w:t>
      </w:r>
      <w:r w:rsidR="004227EF">
        <w:rPr>
          <w:rFonts w:eastAsia="Arial" w:cs="Arial"/>
          <w:sz w:val="22"/>
          <w:szCs w:val="22"/>
        </w:rPr>
        <w:t>illion of</w:t>
      </w:r>
      <w:r w:rsidR="00A21390" w:rsidRPr="09F156E3">
        <w:rPr>
          <w:rFonts w:eastAsia="Arial" w:cs="Arial"/>
          <w:sz w:val="22"/>
          <w:szCs w:val="22"/>
        </w:rPr>
        <w:t xml:space="preserve"> ‘Junior Shares’ in the Fund’s Latin American and Caribbean sub-fund (LAC)</w:t>
      </w:r>
      <w:r w:rsidR="00F67863">
        <w:rPr>
          <w:rFonts w:eastAsia="Arial" w:cs="Arial"/>
          <w:sz w:val="22"/>
          <w:szCs w:val="22"/>
        </w:rPr>
        <w:t xml:space="preserve">. In 2024, Defra’s </w:t>
      </w:r>
      <w:r w:rsidR="005975B3">
        <w:rPr>
          <w:rFonts w:eastAsia="Arial" w:cs="Arial"/>
          <w:sz w:val="22"/>
          <w:szCs w:val="22"/>
        </w:rPr>
        <w:t>Junior S</w:t>
      </w:r>
      <w:r w:rsidR="00F67863">
        <w:rPr>
          <w:rFonts w:eastAsia="Arial" w:cs="Arial"/>
          <w:sz w:val="22"/>
          <w:szCs w:val="22"/>
        </w:rPr>
        <w:t xml:space="preserve">hares, which </w:t>
      </w:r>
      <w:r w:rsidR="00A21390" w:rsidRPr="09F156E3">
        <w:rPr>
          <w:rFonts w:eastAsia="Arial" w:cs="Arial"/>
          <w:sz w:val="22"/>
          <w:szCs w:val="22"/>
        </w:rPr>
        <w:t>carry a greater risk and lower reward than other investment options to incentivise other private and public investment</w:t>
      </w:r>
      <w:r w:rsidR="00F67863">
        <w:rPr>
          <w:rFonts w:eastAsia="Arial" w:cs="Arial"/>
          <w:sz w:val="22"/>
          <w:szCs w:val="22"/>
        </w:rPr>
        <w:t>,</w:t>
      </w:r>
      <w:r w:rsidR="00A21390" w:rsidRPr="09F156E3">
        <w:rPr>
          <w:rFonts w:eastAsia="Arial" w:cs="Arial"/>
          <w:sz w:val="22"/>
          <w:szCs w:val="22"/>
        </w:rPr>
        <w:t xml:space="preserve"> </w:t>
      </w:r>
      <w:r w:rsidR="00E6095F">
        <w:rPr>
          <w:rFonts w:eastAsia="Arial" w:cs="Arial"/>
          <w:sz w:val="22"/>
          <w:szCs w:val="22"/>
        </w:rPr>
        <w:t xml:space="preserve">constituted about </w:t>
      </w:r>
      <w:r w:rsidR="008428DE">
        <w:rPr>
          <w:rFonts w:eastAsia="Arial" w:cs="Arial"/>
          <w:sz w:val="22"/>
          <w:szCs w:val="22"/>
        </w:rPr>
        <w:t xml:space="preserve">4.6% of the </w:t>
      </w:r>
      <w:r w:rsidR="00937EF0">
        <w:rPr>
          <w:rFonts w:eastAsia="Arial" w:cs="Arial"/>
          <w:sz w:val="22"/>
          <w:szCs w:val="22"/>
        </w:rPr>
        <w:t>sub-</w:t>
      </w:r>
      <w:r w:rsidR="008428DE">
        <w:rPr>
          <w:rFonts w:eastAsia="Arial" w:cs="Arial"/>
          <w:sz w:val="22"/>
          <w:szCs w:val="22"/>
        </w:rPr>
        <w:t xml:space="preserve">Fund. </w:t>
      </w:r>
      <w:r w:rsidR="00A21390" w:rsidRPr="09F156E3">
        <w:rPr>
          <w:rFonts w:eastAsia="Arial" w:cs="Arial"/>
          <w:sz w:val="22"/>
          <w:szCs w:val="22"/>
        </w:rPr>
        <w:t>The Fund also operates a Development Facility (DF) to provide Technical Assistance (TA) to partners.</w:t>
      </w:r>
      <w:r w:rsidR="005D0D59" w:rsidRPr="09F156E3">
        <w:rPr>
          <w:rFonts w:eastAsia="Arial" w:cs="Arial"/>
          <w:sz w:val="22"/>
          <w:szCs w:val="22"/>
        </w:rPr>
        <w:t xml:space="preserve"> </w:t>
      </w:r>
      <w:r w:rsidR="00450B55" w:rsidRPr="09F156E3">
        <w:rPr>
          <w:rFonts w:eastAsia="Arial" w:cs="Arial"/>
          <w:sz w:val="22"/>
          <w:szCs w:val="22"/>
        </w:rPr>
        <w:t>FiM</w:t>
      </w:r>
      <w:r w:rsidR="006042A9" w:rsidRPr="09F156E3">
        <w:rPr>
          <w:rFonts w:eastAsia="Arial" w:cs="Arial"/>
          <w:sz w:val="22"/>
          <w:szCs w:val="22"/>
        </w:rPr>
        <w:t xml:space="preserve"> acts as an advis</w:t>
      </w:r>
      <w:r w:rsidR="1A46E943" w:rsidRPr="09F156E3">
        <w:rPr>
          <w:rFonts w:eastAsia="Arial" w:cs="Arial"/>
          <w:sz w:val="22"/>
          <w:szCs w:val="22"/>
        </w:rPr>
        <w:t>e</w:t>
      </w:r>
      <w:r w:rsidR="006042A9" w:rsidRPr="09F156E3">
        <w:rPr>
          <w:rFonts w:eastAsia="Arial" w:cs="Arial"/>
          <w:sz w:val="22"/>
          <w:szCs w:val="22"/>
        </w:rPr>
        <w:t>r to the Board of Directors – the independent panel nominated by the Fund’s shareholders</w:t>
      </w:r>
      <w:r w:rsidR="00C76853" w:rsidRPr="09F156E3">
        <w:rPr>
          <w:rFonts w:eastAsia="Arial" w:cs="Arial"/>
          <w:sz w:val="22"/>
          <w:szCs w:val="22"/>
        </w:rPr>
        <w:t xml:space="preserve"> – where Defra sits as an observer</w:t>
      </w:r>
      <w:r w:rsidR="006042A9" w:rsidRPr="09F156E3">
        <w:rPr>
          <w:rFonts w:eastAsia="Arial" w:cs="Arial"/>
          <w:sz w:val="22"/>
          <w:szCs w:val="22"/>
        </w:rPr>
        <w:t>. The Board has the ultimate decision-making authority, provid</w:t>
      </w:r>
      <w:r w:rsidR="00D94F7E" w:rsidRPr="09F156E3">
        <w:rPr>
          <w:rFonts w:eastAsia="Arial" w:cs="Arial"/>
          <w:sz w:val="22"/>
          <w:szCs w:val="22"/>
        </w:rPr>
        <w:t>ing</w:t>
      </w:r>
      <w:r w:rsidR="006042A9" w:rsidRPr="09F156E3">
        <w:rPr>
          <w:rFonts w:eastAsia="Arial" w:cs="Arial"/>
          <w:sz w:val="22"/>
          <w:szCs w:val="22"/>
        </w:rPr>
        <w:t xml:space="preserve"> scrutiny for investments and </w:t>
      </w:r>
      <w:r w:rsidR="00CD40CB" w:rsidRPr="09F156E3">
        <w:rPr>
          <w:rFonts w:eastAsia="Arial" w:cs="Arial"/>
          <w:sz w:val="22"/>
          <w:szCs w:val="22"/>
        </w:rPr>
        <w:t>guid</w:t>
      </w:r>
      <w:r w:rsidR="00D94F7E" w:rsidRPr="09F156E3">
        <w:rPr>
          <w:rFonts w:eastAsia="Arial" w:cs="Arial"/>
          <w:sz w:val="22"/>
          <w:szCs w:val="22"/>
        </w:rPr>
        <w:t>ing</w:t>
      </w:r>
      <w:r w:rsidR="00CD40CB" w:rsidRPr="09F156E3">
        <w:rPr>
          <w:rFonts w:eastAsia="Arial" w:cs="Arial"/>
          <w:sz w:val="22"/>
          <w:szCs w:val="22"/>
        </w:rPr>
        <w:t xml:space="preserve"> Fund strategy</w:t>
      </w:r>
      <w:r w:rsidR="006042A9" w:rsidRPr="09F156E3">
        <w:rPr>
          <w:rFonts w:eastAsia="Arial" w:cs="Arial"/>
          <w:sz w:val="22"/>
          <w:szCs w:val="22"/>
        </w:rPr>
        <w:t>.</w:t>
      </w:r>
    </w:p>
    <w:p w14:paraId="5339BD8A" w14:textId="139309F1" w:rsidR="006F3AE7" w:rsidRPr="006042A9" w:rsidRDefault="006F3AE7" w:rsidP="00F66B70">
      <w:pPr>
        <w:jc w:val="both"/>
        <w:rPr>
          <w:rFonts w:eastAsia="Arial" w:cs="Arial"/>
          <w:sz w:val="22"/>
          <w:szCs w:val="22"/>
        </w:rPr>
      </w:pPr>
    </w:p>
    <w:p w14:paraId="69294281" w14:textId="08885295" w:rsidR="006F3AE7" w:rsidRPr="00A54B18" w:rsidRDefault="7232A90E" w:rsidP="00F66B70">
      <w:pPr>
        <w:jc w:val="both"/>
        <w:rPr>
          <w:rFonts w:eastAsia="Arial" w:cs="Arial"/>
          <w:sz w:val="20"/>
          <w:szCs w:val="20"/>
        </w:rPr>
      </w:pPr>
      <w:r w:rsidRPr="237F14D3">
        <w:rPr>
          <w:rFonts w:eastAsia="Arial" w:cs="Arial"/>
          <w:b/>
          <w:bCs/>
          <w:sz w:val="22"/>
          <w:szCs w:val="22"/>
        </w:rPr>
        <w:t>Summary supporting narrative for the overall score in this review</w:t>
      </w:r>
    </w:p>
    <w:p w14:paraId="24ED0E67" w14:textId="77777777" w:rsidR="008068F2" w:rsidRDefault="008068F2" w:rsidP="00F66B70">
      <w:pPr>
        <w:jc w:val="both"/>
        <w:rPr>
          <w:rFonts w:eastAsia="Arial" w:cs="Arial"/>
          <w:sz w:val="22"/>
          <w:szCs w:val="22"/>
        </w:rPr>
      </w:pPr>
    </w:p>
    <w:p w14:paraId="3B73C416" w14:textId="1B13C0B8" w:rsidR="00D37310" w:rsidRPr="00D37310" w:rsidRDefault="6BFE3B37" w:rsidP="00F66B70">
      <w:pPr>
        <w:jc w:val="both"/>
        <w:rPr>
          <w:rFonts w:eastAsia="Arial" w:cs="Arial"/>
          <w:sz w:val="22"/>
          <w:szCs w:val="22"/>
        </w:rPr>
      </w:pPr>
      <w:r w:rsidRPr="6F019897">
        <w:rPr>
          <w:rFonts w:eastAsia="Arial" w:cs="Arial"/>
          <w:sz w:val="22"/>
          <w:szCs w:val="22"/>
        </w:rPr>
        <w:t>Output mile</w:t>
      </w:r>
      <w:r w:rsidR="6E633AD5" w:rsidRPr="6F019897">
        <w:rPr>
          <w:rFonts w:eastAsia="Arial" w:cs="Arial"/>
          <w:sz w:val="22"/>
          <w:szCs w:val="22"/>
        </w:rPr>
        <w:t xml:space="preserve">stones were revised upwards in 2023, and already by 2024 EBF was </w:t>
      </w:r>
      <w:r w:rsidR="3E011C25" w:rsidRPr="6F019897">
        <w:rPr>
          <w:rFonts w:eastAsia="Arial" w:cs="Arial"/>
          <w:sz w:val="22"/>
          <w:szCs w:val="22"/>
        </w:rPr>
        <w:t>beginning to substantially exceed most of the new, higher targets</w:t>
      </w:r>
      <w:r w:rsidR="0C148C76" w:rsidRPr="6F019897">
        <w:rPr>
          <w:rFonts w:eastAsia="Arial" w:cs="Arial"/>
          <w:sz w:val="22"/>
          <w:szCs w:val="22"/>
        </w:rPr>
        <w:t>, with notable increases in the number of commodities be</w:t>
      </w:r>
      <w:r w:rsidR="7D67299E" w:rsidRPr="6F019897">
        <w:rPr>
          <w:rFonts w:eastAsia="Arial" w:cs="Arial"/>
          <w:sz w:val="22"/>
          <w:szCs w:val="22"/>
        </w:rPr>
        <w:t>ing</w:t>
      </w:r>
      <w:r w:rsidR="0C148C76" w:rsidRPr="6F019897">
        <w:rPr>
          <w:rFonts w:eastAsia="Arial" w:cs="Arial"/>
          <w:sz w:val="22"/>
          <w:szCs w:val="22"/>
        </w:rPr>
        <w:t xml:space="preserve"> </w:t>
      </w:r>
      <w:r w:rsidR="672A12AB" w:rsidRPr="6F019897">
        <w:rPr>
          <w:rFonts w:eastAsia="Arial" w:cs="Arial"/>
          <w:sz w:val="22"/>
          <w:szCs w:val="22"/>
        </w:rPr>
        <w:t>funded, the number of Green List activities, and the proportion of loans going to Green List borrowers</w:t>
      </w:r>
      <w:r w:rsidR="00EC2881">
        <w:rPr>
          <w:rFonts w:eastAsia="Arial" w:cs="Arial"/>
          <w:sz w:val="22"/>
          <w:szCs w:val="22"/>
        </w:rPr>
        <w:t xml:space="preserve"> (borrowers who practise an approved </w:t>
      </w:r>
      <w:r w:rsidR="00FF394B">
        <w:rPr>
          <w:rFonts w:eastAsia="Arial" w:cs="Arial"/>
          <w:sz w:val="22"/>
          <w:szCs w:val="22"/>
        </w:rPr>
        <w:t>sustainability activity without having full certification – making finance available to smaller businesses with lower costs)</w:t>
      </w:r>
      <w:r w:rsidR="672A12AB" w:rsidRPr="6F019897">
        <w:rPr>
          <w:rFonts w:eastAsia="Arial" w:cs="Arial"/>
          <w:sz w:val="22"/>
          <w:szCs w:val="22"/>
        </w:rPr>
        <w:t>.</w:t>
      </w:r>
      <w:r w:rsidR="3D9516FA" w:rsidRPr="6F019897">
        <w:rPr>
          <w:rFonts w:eastAsia="Arial" w:cs="Arial"/>
          <w:sz w:val="22"/>
          <w:szCs w:val="22"/>
        </w:rPr>
        <w:t xml:space="preserve"> Across two out of three output categories the results scored A++</w:t>
      </w:r>
      <w:r w:rsidR="50F0C5A0" w:rsidRPr="6F019897">
        <w:rPr>
          <w:rFonts w:eastAsia="Arial" w:cs="Arial"/>
          <w:sz w:val="22"/>
          <w:szCs w:val="22"/>
        </w:rPr>
        <w:t>, with an A for TA outputs</w:t>
      </w:r>
      <w:r w:rsidR="3D9516FA" w:rsidRPr="6F019897">
        <w:rPr>
          <w:rFonts w:eastAsia="Arial" w:cs="Arial"/>
          <w:sz w:val="22"/>
          <w:szCs w:val="22"/>
        </w:rPr>
        <w:t>.</w:t>
      </w:r>
      <w:r w:rsidR="672A12AB" w:rsidRPr="6F019897">
        <w:rPr>
          <w:rFonts w:eastAsia="Arial" w:cs="Arial"/>
          <w:sz w:val="22"/>
          <w:szCs w:val="22"/>
        </w:rPr>
        <w:t xml:space="preserve"> </w:t>
      </w:r>
      <w:r w:rsidR="64D10422" w:rsidRPr="6F019897">
        <w:rPr>
          <w:rFonts w:eastAsia="Arial" w:cs="Arial"/>
          <w:sz w:val="22"/>
          <w:szCs w:val="22"/>
        </w:rPr>
        <w:t>Th</w:t>
      </w:r>
      <w:r w:rsidR="50F0C5A0" w:rsidRPr="6F019897">
        <w:rPr>
          <w:rFonts w:eastAsia="Arial" w:cs="Arial"/>
          <w:sz w:val="22"/>
          <w:szCs w:val="22"/>
        </w:rPr>
        <w:t xml:space="preserve">is is due to </w:t>
      </w:r>
      <w:r w:rsidR="64D10422" w:rsidRPr="6F019897">
        <w:rPr>
          <w:rFonts w:eastAsia="Arial" w:cs="Arial"/>
          <w:sz w:val="22"/>
          <w:szCs w:val="22"/>
        </w:rPr>
        <w:t>a</w:t>
      </w:r>
      <w:r w:rsidR="0C92D682" w:rsidRPr="6F019897">
        <w:rPr>
          <w:rFonts w:eastAsia="Arial" w:cs="Arial"/>
          <w:sz w:val="22"/>
          <w:szCs w:val="22"/>
        </w:rPr>
        <w:t xml:space="preserve"> </w:t>
      </w:r>
      <w:r w:rsidR="594FD870" w:rsidRPr="6F019897">
        <w:rPr>
          <w:rFonts w:eastAsia="Arial" w:cs="Arial"/>
          <w:sz w:val="22"/>
          <w:szCs w:val="22"/>
        </w:rPr>
        <w:t xml:space="preserve">slight </w:t>
      </w:r>
      <w:r w:rsidR="0C92D682" w:rsidRPr="6F019897">
        <w:rPr>
          <w:rFonts w:eastAsia="Arial" w:cs="Arial"/>
          <w:sz w:val="22"/>
          <w:szCs w:val="22"/>
        </w:rPr>
        <w:t>overshoot in the TA budget</w:t>
      </w:r>
      <w:r w:rsidR="64D10422" w:rsidRPr="6F019897">
        <w:rPr>
          <w:rFonts w:eastAsia="Arial" w:cs="Arial"/>
          <w:sz w:val="22"/>
          <w:szCs w:val="22"/>
        </w:rPr>
        <w:t xml:space="preserve">, </w:t>
      </w:r>
      <w:r w:rsidR="1CEE2400" w:rsidRPr="6F019897">
        <w:rPr>
          <w:rFonts w:eastAsia="Arial" w:cs="Arial"/>
          <w:sz w:val="22"/>
          <w:szCs w:val="22"/>
        </w:rPr>
        <w:t xml:space="preserve">although the overall cost per project came down, with a greater number of </w:t>
      </w:r>
      <w:r w:rsidR="21D5DF98" w:rsidRPr="6F019897">
        <w:rPr>
          <w:rFonts w:eastAsia="Arial" w:cs="Arial"/>
          <w:sz w:val="22"/>
          <w:szCs w:val="22"/>
        </w:rPr>
        <w:t>projects completed</w:t>
      </w:r>
      <w:r w:rsidR="206AE9E6" w:rsidRPr="6F019897">
        <w:rPr>
          <w:rFonts w:eastAsia="Arial" w:cs="Arial"/>
          <w:sz w:val="22"/>
          <w:szCs w:val="22"/>
        </w:rPr>
        <w:t>; in future</w:t>
      </w:r>
      <w:r w:rsidR="5722559F" w:rsidRPr="6F019897">
        <w:rPr>
          <w:rFonts w:eastAsia="Arial" w:cs="Arial"/>
          <w:sz w:val="22"/>
          <w:szCs w:val="22"/>
        </w:rPr>
        <w:t xml:space="preserve"> this indicator </w:t>
      </w:r>
      <w:r w:rsidR="0C1607C6" w:rsidRPr="6F019897">
        <w:rPr>
          <w:rFonts w:eastAsia="Arial" w:cs="Arial"/>
          <w:sz w:val="22"/>
          <w:szCs w:val="22"/>
        </w:rPr>
        <w:t>c</w:t>
      </w:r>
      <w:r w:rsidR="5722559F" w:rsidRPr="6F019897">
        <w:rPr>
          <w:rFonts w:eastAsia="Arial" w:cs="Arial"/>
          <w:sz w:val="22"/>
          <w:szCs w:val="22"/>
        </w:rPr>
        <w:t>ould be adjusted to represent cost efficiency per project, rather than overall spend targets</w:t>
      </w:r>
      <w:r w:rsidR="3A275F77" w:rsidRPr="6F019897">
        <w:rPr>
          <w:rFonts w:eastAsia="Arial" w:cs="Arial"/>
          <w:sz w:val="22"/>
          <w:szCs w:val="22"/>
        </w:rPr>
        <w:t xml:space="preserve">, which will make for </w:t>
      </w:r>
      <w:r w:rsidR="7DE3235A" w:rsidRPr="6F019897">
        <w:rPr>
          <w:rFonts w:eastAsia="Arial" w:cs="Arial"/>
          <w:sz w:val="22"/>
          <w:szCs w:val="22"/>
        </w:rPr>
        <w:t xml:space="preserve">a </w:t>
      </w:r>
      <w:r w:rsidR="3A275F77" w:rsidRPr="6F019897">
        <w:rPr>
          <w:rFonts w:eastAsia="Arial" w:cs="Arial"/>
          <w:sz w:val="22"/>
          <w:szCs w:val="22"/>
        </w:rPr>
        <w:t>more useful assessment</w:t>
      </w:r>
      <w:r w:rsidR="206AE9E6" w:rsidRPr="6F019897">
        <w:rPr>
          <w:rFonts w:eastAsia="Arial" w:cs="Arial"/>
          <w:sz w:val="22"/>
          <w:szCs w:val="22"/>
        </w:rPr>
        <w:t>.</w:t>
      </w:r>
      <w:r w:rsidR="77B84A49" w:rsidRPr="6F019897">
        <w:rPr>
          <w:rFonts w:eastAsia="Arial" w:cs="Arial"/>
          <w:sz w:val="22"/>
          <w:szCs w:val="22"/>
        </w:rPr>
        <w:t xml:space="preserve"> </w:t>
      </w:r>
      <w:r w:rsidR="456A91DC" w:rsidRPr="6F019897">
        <w:rPr>
          <w:rFonts w:eastAsia="Arial" w:cs="Arial"/>
          <w:sz w:val="22"/>
          <w:szCs w:val="22"/>
        </w:rPr>
        <w:t>The DF was</w:t>
      </w:r>
      <w:r w:rsidR="77B84A49" w:rsidRPr="6F019897">
        <w:rPr>
          <w:rFonts w:eastAsia="Arial" w:cs="Arial"/>
          <w:sz w:val="22"/>
          <w:szCs w:val="22"/>
        </w:rPr>
        <w:t xml:space="preserve"> slightly below target on the number of events delivered, as </w:t>
      </w:r>
      <w:r w:rsidR="206AE9E6" w:rsidRPr="6F019897">
        <w:rPr>
          <w:rFonts w:eastAsia="Arial" w:cs="Arial"/>
          <w:sz w:val="22"/>
          <w:szCs w:val="22"/>
        </w:rPr>
        <w:t>it</w:t>
      </w:r>
      <w:r w:rsidR="77B84A49" w:rsidRPr="6F019897">
        <w:rPr>
          <w:rFonts w:eastAsia="Arial" w:cs="Arial"/>
          <w:sz w:val="22"/>
          <w:szCs w:val="22"/>
        </w:rPr>
        <w:t xml:space="preserve"> </w:t>
      </w:r>
      <w:r w:rsidR="206AE9E6" w:rsidRPr="6F019897">
        <w:rPr>
          <w:rFonts w:eastAsia="Arial" w:cs="Arial"/>
          <w:sz w:val="22"/>
          <w:szCs w:val="22"/>
        </w:rPr>
        <w:t>has shifted focus to</w:t>
      </w:r>
      <w:r w:rsidR="77B84A49" w:rsidRPr="6F019897">
        <w:rPr>
          <w:rFonts w:eastAsia="Arial" w:cs="Arial"/>
          <w:sz w:val="22"/>
          <w:szCs w:val="22"/>
        </w:rPr>
        <w:t xml:space="preserve"> other forms of outreach</w:t>
      </w:r>
      <w:r w:rsidR="206AE9E6" w:rsidRPr="6F019897">
        <w:rPr>
          <w:rFonts w:eastAsia="Arial" w:cs="Arial"/>
          <w:sz w:val="22"/>
          <w:szCs w:val="22"/>
        </w:rPr>
        <w:t xml:space="preserve"> (e.g., online platforms)</w:t>
      </w:r>
      <w:r w:rsidR="462FFF66" w:rsidRPr="6F019897">
        <w:rPr>
          <w:rFonts w:eastAsia="Arial" w:cs="Arial"/>
          <w:sz w:val="22"/>
          <w:szCs w:val="22"/>
        </w:rPr>
        <w:t>.</w:t>
      </w:r>
      <w:r w:rsidR="30FB2B08" w:rsidRPr="6F019897">
        <w:rPr>
          <w:rFonts w:eastAsia="Arial" w:cs="Arial"/>
          <w:sz w:val="22"/>
          <w:szCs w:val="22"/>
        </w:rPr>
        <w:t xml:space="preserve"> </w:t>
      </w:r>
      <w:r w:rsidR="7FC050F7" w:rsidRPr="6F019897">
        <w:rPr>
          <w:rFonts w:eastAsia="Arial" w:cs="Arial"/>
          <w:sz w:val="22"/>
          <w:szCs w:val="22"/>
        </w:rPr>
        <w:t xml:space="preserve">The programme has therefore </w:t>
      </w:r>
      <w:r w:rsidR="30FB2B08" w:rsidRPr="6F019897">
        <w:rPr>
          <w:rFonts w:eastAsia="Arial" w:cs="Arial"/>
          <w:sz w:val="22"/>
          <w:szCs w:val="22"/>
        </w:rPr>
        <w:t xml:space="preserve">been given an </w:t>
      </w:r>
      <w:r w:rsidR="7F8CDB32" w:rsidRPr="6F019897">
        <w:rPr>
          <w:rFonts w:eastAsia="Arial" w:cs="Arial"/>
          <w:sz w:val="22"/>
          <w:szCs w:val="22"/>
        </w:rPr>
        <w:t>A</w:t>
      </w:r>
      <w:r w:rsidRPr="6F019897">
        <w:rPr>
          <w:rFonts w:eastAsia="Arial" w:cs="Arial"/>
          <w:sz w:val="22"/>
          <w:szCs w:val="22"/>
        </w:rPr>
        <w:t>+</w:t>
      </w:r>
      <w:r w:rsidR="30FB2B08" w:rsidRPr="6F019897">
        <w:rPr>
          <w:rFonts w:eastAsia="Arial" w:cs="Arial"/>
          <w:sz w:val="22"/>
          <w:szCs w:val="22"/>
        </w:rPr>
        <w:t xml:space="preserve"> as an overall sco</w:t>
      </w:r>
      <w:r w:rsidR="59EA51A6" w:rsidRPr="6F019897">
        <w:rPr>
          <w:rFonts w:eastAsia="Arial" w:cs="Arial"/>
          <w:sz w:val="22"/>
          <w:szCs w:val="22"/>
        </w:rPr>
        <w:t>re.</w:t>
      </w:r>
    </w:p>
    <w:p w14:paraId="24B9CC86" w14:textId="77777777" w:rsidR="00D37310" w:rsidRDefault="00D37310" w:rsidP="00F66B70">
      <w:pPr>
        <w:jc w:val="both"/>
        <w:rPr>
          <w:rFonts w:eastAsia="Arial" w:cs="Arial"/>
          <w:sz w:val="20"/>
          <w:szCs w:val="20"/>
        </w:rPr>
      </w:pPr>
    </w:p>
    <w:p w14:paraId="24192E46" w14:textId="12D260D7" w:rsidR="001418EC" w:rsidRPr="00F53E94" w:rsidRDefault="00A4224C" w:rsidP="00F66B70">
      <w:pPr>
        <w:jc w:val="both"/>
        <w:rPr>
          <w:rFonts w:eastAsia="Arial" w:cs="Arial"/>
          <w:b/>
          <w:bCs/>
          <w:sz w:val="22"/>
          <w:szCs w:val="22"/>
        </w:rPr>
      </w:pPr>
      <w:r w:rsidRPr="00F53E94">
        <w:rPr>
          <w:rFonts w:eastAsia="Arial" w:cs="Arial"/>
          <w:b/>
          <w:bCs/>
          <w:sz w:val="22"/>
          <w:szCs w:val="22"/>
        </w:rPr>
        <w:t>Performance</w:t>
      </w:r>
    </w:p>
    <w:p w14:paraId="7DF9D555" w14:textId="77777777" w:rsidR="001418EC" w:rsidRPr="001F10A9" w:rsidRDefault="001418EC" w:rsidP="00F66B70">
      <w:pPr>
        <w:jc w:val="both"/>
        <w:rPr>
          <w:rFonts w:eastAsia="Arial" w:cs="Arial"/>
          <w:sz w:val="22"/>
          <w:szCs w:val="22"/>
        </w:rPr>
      </w:pPr>
    </w:p>
    <w:p w14:paraId="0A19C2A9" w14:textId="5CA37502" w:rsidR="001F10A9" w:rsidRPr="001F10A9" w:rsidRDefault="001F10A9" w:rsidP="00F66B70">
      <w:pPr>
        <w:jc w:val="both"/>
        <w:rPr>
          <w:rFonts w:eastAsia="Arial" w:cs="Arial"/>
          <w:sz w:val="22"/>
          <w:szCs w:val="22"/>
        </w:rPr>
      </w:pPr>
      <w:r w:rsidRPr="001F10A9">
        <w:rPr>
          <w:rFonts w:eastAsia="Arial" w:cs="Arial"/>
          <w:sz w:val="22"/>
          <w:szCs w:val="22"/>
        </w:rPr>
        <w:t>2024 was a challenging year for the Fund</w:t>
      </w:r>
      <w:r w:rsidR="00CF7D6C">
        <w:rPr>
          <w:rFonts w:eastAsia="Arial" w:cs="Arial"/>
          <w:sz w:val="22"/>
          <w:szCs w:val="22"/>
        </w:rPr>
        <w:t>, with three investments losing money</w:t>
      </w:r>
      <w:r w:rsidR="003A6ECC">
        <w:rPr>
          <w:rFonts w:eastAsia="Arial" w:cs="Arial"/>
          <w:sz w:val="22"/>
          <w:szCs w:val="22"/>
        </w:rPr>
        <w:t xml:space="preserve">. However, the blended finance structure held up well under this strain, with senior investors </w:t>
      </w:r>
      <w:r w:rsidR="00BA2407">
        <w:rPr>
          <w:rFonts w:eastAsia="Arial" w:cs="Arial"/>
          <w:sz w:val="22"/>
          <w:szCs w:val="22"/>
        </w:rPr>
        <w:t xml:space="preserve">maintaining </w:t>
      </w:r>
      <w:r w:rsidR="004A1893">
        <w:rPr>
          <w:rFonts w:eastAsia="Arial" w:cs="Arial"/>
          <w:sz w:val="22"/>
          <w:szCs w:val="22"/>
        </w:rPr>
        <w:t>their positions</w:t>
      </w:r>
      <w:r w:rsidR="007B2EB1">
        <w:rPr>
          <w:rFonts w:eastAsia="Arial" w:cs="Arial"/>
          <w:sz w:val="22"/>
          <w:szCs w:val="22"/>
        </w:rPr>
        <w:t xml:space="preserve">, and a new investor even joining with full transparency about the </w:t>
      </w:r>
      <w:r w:rsidR="009241CB">
        <w:rPr>
          <w:rFonts w:eastAsia="Arial" w:cs="Arial"/>
          <w:sz w:val="22"/>
          <w:szCs w:val="22"/>
        </w:rPr>
        <w:t xml:space="preserve">ongoing difficulties. This means </w:t>
      </w:r>
      <w:r w:rsidR="00C81C0B">
        <w:rPr>
          <w:rFonts w:eastAsia="Arial" w:cs="Arial"/>
          <w:sz w:val="22"/>
          <w:szCs w:val="22"/>
        </w:rPr>
        <w:t>Defra’s</w:t>
      </w:r>
      <w:r w:rsidR="009241CB">
        <w:rPr>
          <w:rFonts w:eastAsia="Arial" w:cs="Arial"/>
          <w:sz w:val="22"/>
          <w:szCs w:val="22"/>
        </w:rPr>
        <w:t xml:space="preserve"> basic </w:t>
      </w:r>
      <w:r w:rsidR="00C81C0B">
        <w:rPr>
          <w:rFonts w:eastAsia="Arial" w:cs="Arial"/>
          <w:sz w:val="22"/>
          <w:szCs w:val="22"/>
        </w:rPr>
        <w:t>objective</w:t>
      </w:r>
      <w:r w:rsidR="009241CB">
        <w:rPr>
          <w:rFonts w:eastAsia="Arial" w:cs="Arial"/>
          <w:sz w:val="22"/>
          <w:szCs w:val="22"/>
        </w:rPr>
        <w:t xml:space="preserve"> as a public investor</w:t>
      </w:r>
      <w:r w:rsidR="00C81C0B">
        <w:rPr>
          <w:rFonts w:eastAsia="Arial" w:cs="Arial"/>
          <w:sz w:val="22"/>
          <w:szCs w:val="22"/>
        </w:rPr>
        <w:t xml:space="preserve"> </w:t>
      </w:r>
      <w:r w:rsidR="00D66CF8">
        <w:rPr>
          <w:rFonts w:eastAsia="Arial" w:cs="Arial"/>
          <w:sz w:val="22"/>
          <w:szCs w:val="22"/>
        </w:rPr>
        <w:t xml:space="preserve">(to derisk and incentivise private capital) </w:t>
      </w:r>
      <w:r w:rsidR="00397ED6">
        <w:rPr>
          <w:rFonts w:eastAsia="Arial" w:cs="Arial"/>
          <w:sz w:val="22"/>
          <w:szCs w:val="22"/>
        </w:rPr>
        <w:t>is working</w:t>
      </w:r>
      <w:r w:rsidR="00B05076">
        <w:rPr>
          <w:rFonts w:eastAsia="Arial" w:cs="Arial"/>
          <w:sz w:val="22"/>
          <w:szCs w:val="22"/>
        </w:rPr>
        <w:t xml:space="preserve"> and the Fund is still attractive to private impact investors</w:t>
      </w:r>
      <w:r w:rsidR="00F33792">
        <w:rPr>
          <w:rFonts w:eastAsia="Arial" w:cs="Arial"/>
          <w:sz w:val="22"/>
          <w:szCs w:val="22"/>
        </w:rPr>
        <w:t>:</w:t>
      </w:r>
      <w:r w:rsidR="00CC2621">
        <w:rPr>
          <w:rFonts w:eastAsia="Arial" w:cs="Arial"/>
          <w:sz w:val="22"/>
          <w:szCs w:val="22"/>
        </w:rPr>
        <w:t xml:space="preserve"> a success for our EBF </w:t>
      </w:r>
      <w:r w:rsidR="00A24BE9">
        <w:rPr>
          <w:rFonts w:eastAsia="Arial" w:cs="Arial"/>
          <w:sz w:val="22"/>
          <w:szCs w:val="22"/>
        </w:rPr>
        <w:t>p</w:t>
      </w:r>
      <w:r w:rsidR="00CC2621">
        <w:rPr>
          <w:rFonts w:eastAsia="Arial" w:cs="Arial"/>
          <w:sz w:val="22"/>
          <w:szCs w:val="22"/>
        </w:rPr>
        <w:t>rogramme.</w:t>
      </w:r>
      <w:r w:rsidR="00D53533">
        <w:rPr>
          <w:rFonts w:eastAsia="Arial" w:cs="Arial"/>
          <w:sz w:val="22"/>
          <w:szCs w:val="22"/>
        </w:rPr>
        <w:t xml:space="preserve"> Meanwhile the Fund exp</w:t>
      </w:r>
      <w:r w:rsidR="00F33792">
        <w:rPr>
          <w:rFonts w:eastAsia="Arial" w:cs="Arial"/>
          <w:sz w:val="22"/>
          <w:szCs w:val="22"/>
        </w:rPr>
        <w:t>a</w:t>
      </w:r>
      <w:r w:rsidR="00D53533">
        <w:rPr>
          <w:rFonts w:eastAsia="Arial" w:cs="Arial"/>
          <w:sz w:val="22"/>
          <w:szCs w:val="22"/>
        </w:rPr>
        <w:t xml:space="preserve">nded into Brazil, a country with huge potential for investment in future. The Fund fell short of fundraising targets, due to a </w:t>
      </w:r>
      <w:r w:rsidR="00C215C4">
        <w:rPr>
          <w:rFonts w:eastAsia="Arial" w:cs="Arial"/>
          <w:sz w:val="22"/>
          <w:szCs w:val="22"/>
        </w:rPr>
        <w:t>lack</w:t>
      </w:r>
      <w:r w:rsidR="00D53533">
        <w:rPr>
          <w:rFonts w:eastAsia="Arial" w:cs="Arial"/>
          <w:sz w:val="22"/>
          <w:szCs w:val="22"/>
        </w:rPr>
        <w:t xml:space="preserve"> of junio</w:t>
      </w:r>
      <w:r w:rsidR="001D5AD6">
        <w:rPr>
          <w:rFonts w:eastAsia="Arial" w:cs="Arial"/>
          <w:sz w:val="22"/>
          <w:szCs w:val="22"/>
        </w:rPr>
        <w:t>r</w:t>
      </w:r>
      <w:r w:rsidR="00D53533">
        <w:rPr>
          <w:rFonts w:eastAsia="Arial" w:cs="Arial"/>
          <w:sz w:val="22"/>
          <w:szCs w:val="22"/>
        </w:rPr>
        <w:t xml:space="preserve"> capital</w:t>
      </w:r>
      <w:r w:rsidR="001D5AD6">
        <w:rPr>
          <w:rFonts w:eastAsia="Arial" w:cs="Arial"/>
          <w:sz w:val="22"/>
          <w:szCs w:val="22"/>
        </w:rPr>
        <w:t xml:space="preserve">, but </w:t>
      </w:r>
      <w:r w:rsidR="00393289">
        <w:rPr>
          <w:rFonts w:eastAsia="Arial" w:cs="Arial"/>
          <w:sz w:val="22"/>
          <w:szCs w:val="22"/>
        </w:rPr>
        <w:t>in 2024</w:t>
      </w:r>
      <w:r w:rsidR="001D5AD6">
        <w:rPr>
          <w:rFonts w:eastAsia="Arial" w:cs="Arial"/>
          <w:sz w:val="22"/>
          <w:szCs w:val="22"/>
        </w:rPr>
        <w:t xml:space="preserve"> Defra allocated </w:t>
      </w:r>
      <w:r w:rsidR="00393289">
        <w:rPr>
          <w:rFonts w:eastAsia="Arial" w:cs="Arial"/>
          <w:sz w:val="22"/>
          <w:szCs w:val="22"/>
        </w:rPr>
        <w:t xml:space="preserve">a further £9.1 million </w:t>
      </w:r>
      <w:r w:rsidR="001D5AD6">
        <w:rPr>
          <w:rFonts w:eastAsia="Arial" w:cs="Arial"/>
          <w:sz w:val="22"/>
          <w:szCs w:val="22"/>
        </w:rPr>
        <w:t>to the programme</w:t>
      </w:r>
      <w:r w:rsidR="00F141DA">
        <w:rPr>
          <w:rFonts w:eastAsia="Arial" w:cs="Arial"/>
          <w:sz w:val="22"/>
          <w:szCs w:val="22"/>
        </w:rPr>
        <w:t>,</w:t>
      </w:r>
      <w:r w:rsidR="001D5AD6">
        <w:rPr>
          <w:rFonts w:eastAsia="Arial" w:cs="Arial"/>
          <w:sz w:val="22"/>
          <w:szCs w:val="22"/>
        </w:rPr>
        <w:t xml:space="preserve"> which is being invested in 2025 </w:t>
      </w:r>
      <w:r w:rsidR="00842A34">
        <w:rPr>
          <w:rFonts w:eastAsia="Arial" w:cs="Arial"/>
          <w:sz w:val="22"/>
          <w:szCs w:val="22"/>
        </w:rPr>
        <w:t xml:space="preserve">for a 15-year period </w:t>
      </w:r>
      <w:r w:rsidR="001D5AD6">
        <w:rPr>
          <w:rFonts w:eastAsia="Arial" w:cs="Arial"/>
          <w:sz w:val="22"/>
          <w:szCs w:val="22"/>
        </w:rPr>
        <w:t xml:space="preserve">and </w:t>
      </w:r>
      <w:r w:rsidR="0069720A">
        <w:rPr>
          <w:rFonts w:eastAsia="Arial" w:cs="Arial"/>
          <w:sz w:val="22"/>
          <w:szCs w:val="22"/>
        </w:rPr>
        <w:t>will unlock up to £36 million in senior (mostly private) capital</w:t>
      </w:r>
      <w:r w:rsidR="00E856BA">
        <w:rPr>
          <w:rFonts w:eastAsia="Arial" w:cs="Arial"/>
          <w:sz w:val="22"/>
          <w:szCs w:val="22"/>
        </w:rPr>
        <w:t>.</w:t>
      </w:r>
    </w:p>
    <w:p w14:paraId="4BD1AE24" w14:textId="77777777" w:rsidR="001F10A9" w:rsidRDefault="001F10A9" w:rsidP="00F66B70">
      <w:pPr>
        <w:jc w:val="both"/>
        <w:rPr>
          <w:rFonts w:eastAsia="Arial" w:cs="Arial"/>
          <w:sz w:val="22"/>
          <w:szCs w:val="22"/>
        </w:rPr>
      </w:pPr>
    </w:p>
    <w:p w14:paraId="42F4186E" w14:textId="38672B99" w:rsidR="2A1D9A31" w:rsidRDefault="00A61585" w:rsidP="00F66B70">
      <w:pPr>
        <w:jc w:val="both"/>
        <w:rPr>
          <w:rFonts w:eastAsia="Arial" w:cs="Arial"/>
          <w:color w:val="FF0000"/>
          <w:sz w:val="22"/>
          <w:szCs w:val="22"/>
        </w:rPr>
      </w:pPr>
      <w:r>
        <w:rPr>
          <w:rFonts w:eastAsia="Arial" w:cs="Arial"/>
          <w:sz w:val="22"/>
          <w:szCs w:val="22"/>
        </w:rPr>
        <w:t xml:space="preserve">EBF celebrated ten years since its launch in </w:t>
      </w:r>
      <w:r w:rsidR="00B82441">
        <w:rPr>
          <w:rFonts w:eastAsia="Arial" w:cs="Arial"/>
          <w:sz w:val="22"/>
          <w:szCs w:val="22"/>
        </w:rPr>
        <w:t>December</w:t>
      </w:r>
      <w:r>
        <w:rPr>
          <w:rFonts w:eastAsia="Arial" w:cs="Arial"/>
          <w:sz w:val="22"/>
          <w:szCs w:val="22"/>
        </w:rPr>
        <w:t xml:space="preserve">. </w:t>
      </w:r>
      <w:r w:rsidR="16E8BA55" w:rsidRPr="3B37011C">
        <w:rPr>
          <w:rFonts w:eastAsia="Arial" w:cs="Arial"/>
          <w:sz w:val="22"/>
          <w:szCs w:val="22"/>
        </w:rPr>
        <w:t>Since inception</w:t>
      </w:r>
      <w:r w:rsidR="62333E00" w:rsidRPr="3B37011C">
        <w:rPr>
          <w:rFonts w:eastAsia="Arial" w:cs="Arial"/>
          <w:sz w:val="22"/>
          <w:szCs w:val="22"/>
        </w:rPr>
        <w:t>,</w:t>
      </w:r>
      <w:r w:rsidR="16E8BA55" w:rsidRPr="3B37011C">
        <w:rPr>
          <w:rFonts w:eastAsia="Arial" w:cs="Arial"/>
          <w:sz w:val="22"/>
          <w:szCs w:val="22"/>
        </w:rPr>
        <w:t xml:space="preserve"> the Fund’s PIs have disbursed </w:t>
      </w:r>
      <w:r w:rsidR="000C30BC" w:rsidRPr="3B37011C">
        <w:rPr>
          <w:rFonts w:eastAsia="Arial" w:cs="Arial"/>
          <w:sz w:val="22"/>
          <w:szCs w:val="22"/>
        </w:rPr>
        <w:t>4</w:t>
      </w:r>
      <w:r w:rsidR="00E410C7">
        <w:rPr>
          <w:rFonts w:eastAsia="Arial" w:cs="Arial"/>
          <w:sz w:val="22"/>
          <w:szCs w:val="22"/>
        </w:rPr>
        <w:t>2</w:t>
      </w:r>
      <w:r w:rsidR="16E8BA55" w:rsidRPr="3B37011C">
        <w:rPr>
          <w:rFonts w:eastAsia="Arial" w:cs="Arial"/>
          <w:sz w:val="22"/>
          <w:szCs w:val="22"/>
        </w:rPr>
        <w:t>,</w:t>
      </w:r>
      <w:r w:rsidR="00E410C7">
        <w:rPr>
          <w:rFonts w:eastAsia="Arial" w:cs="Arial"/>
          <w:sz w:val="22"/>
          <w:szCs w:val="22"/>
        </w:rPr>
        <w:t>871</w:t>
      </w:r>
      <w:r w:rsidR="16E8BA55" w:rsidRPr="3B37011C">
        <w:rPr>
          <w:rFonts w:eastAsia="Arial" w:cs="Arial"/>
          <w:sz w:val="22"/>
          <w:szCs w:val="22"/>
        </w:rPr>
        <w:t xml:space="preserve"> sub-loans to end-borrowers, worth</w:t>
      </w:r>
      <w:r w:rsidR="005748E3">
        <w:rPr>
          <w:rFonts w:eastAsia="Arial" w:cs="Arial"/>
          <w:sz w:val="22"/>
          <w:szCs w:val="22"/>
        </w:rPr>
        <w:t xml:space="preserve"> </w:t>
      </w:r>
      <w:r w:rsidR="16E8BA55" w:rsidRPr="1EF1250E">
        <w:rPr>
          <w:rFonts w:eastAsia="Arial" w:cs="Arial"/>
          <w:sz w:val="22"/>
          <w:szCs w:val="22"/>
        </w:rPr>
        <w:t>$</w:t>
      </w:r>
      <w:r w:rsidR="00C1743F">
        <w:rPr>
          <w:rFonts w:eastAsia="Arial" w:cs="Arial"/>
          <w:sz w:val="22"/>
          <w:szCs w:val="22"/>
        </w:rPr>
        <w:t>4,252</w:t>
      </w:r>
      <w:r w:rsidR="009D3932">
        <w:rPr>
          <w:rFonts w:eastAsia="Arial" w:cs="Arial"/>
          <w:sz w:val="22"/>
          <w:szCs w:val="22"/>
        </w:rPr>
        <w:t xml:space="preserve"> million </w:t>
      </w:r>
      <w:r w:rsidR="16E8BA55">
        <w:rPr>
          <w:rFonts w:eastAsia="Arial" w:cs="Arial"/>
          <w:sz w:val="22"/>
          <w:szCs w:val="22"/>
        </w:rPr>
        <w:t>in total</w:t>
      </w:r>
      <w:r w:rsidR="16E8BA55" w:rsidRPr="1EF1250E">
        <w:rPr>
          <w:rFonts w:eastAsia="Arial" w:cs="Arial"/>
          <w:sz w:val="22"/>
          <w:szCs w:val="22"/>
        </w:rPr>
        <w:t>.</w:t>
      </w:r>
      <w:r w:rsidR="001F10A9">
        <w:rPr>
          <w:rFonts w:eastAsia="Arial" w:cs="Arial"/>
          <w:sz w:val="22"/>
          <w:szCs w:val="22"/>
        </w:rPr>
        <w:t xml:space="preserve"> </w:t>
      </w:r>
      <w:r w:rsidR="00EB5B18" w:rsidRPr="1A5ED8D9">
        <w:rPr>
          <w:rFonts w:eastAsia="Arial" w:cs="Arial"/>
          <w:sz w:val="22"/>
          <w:szCs w:val="22"/>
        </w:rPr>
        <w:t xml:space="preserve">From establishment to </w:t>
      </w:r>
      <w:r w:rsidR="00D00520" w:rsidRPr="1A5ED8D9">
        <w:rPr>
          <w:rFonts w:eastAsia="Arial" w:cs="Arial"/>
          <w:sz w:val="22"/>
          <w:szCs w:val="22"/>
        </w:rPr>
        <w:t>the end of 202</w:t>
      </w:r>
      <w:r w:rsidR="00E410C7">
        <w:rPr>
          <w:rFonts w:eastAsia="Arial" w:cs="Arial"/>
          <w:sz w:val="22"/>
          <w:szCs w:val="22"/>
        </w:rPr>
        <w:t>4</w:t>
      </w:r>
      <w:r w:rsidR="00D00520" w:rsidRPr="1A5ED8D9">
        <w:rPr>
          <w:rFonts w:eastAsia="Arial" w:cs="Arial"/>
          <w:sz w:val="22"/>
          <w:szCs w:val="22"/>
        </w:rPr>
        <w:t>, the work of the</w:t>
      </w:r>
      <w:r w:rsidR="554467BB" w:rsidRPr="1A5ED8D9">
        <w:rPr>
          <w:rFonts w:eastAsia="Arial" w:cs="Arial"/>
          <w:sz w:val="22"/>
          <w:szCs w:val="22"/>
        </w:rPr>
        <w:t xml:space="preserve"> Fund and DF</w:t>
      </w:r>
      <w:r w:rsidR="00D00520" w:rsidRPr="1A5ED8D9">
        <w:rPr>
          <w:rFonts w:eastAsia="Arial" w:cs="Arial"/>
          <w:sz w:val="22"/>
          <w:szCs w:val="22"/>
        </w:rPr>
        <w:t xml:space="preserve"> led to</w:t>
      </w:r>
      <w:r w:rsidR="554467BB" w:rsidRPr="1A5ED8D9">
        <w:rPr>
          <w:rFonts w:eastAsia="Arial" w:cs="Arial"/>
          <w:sz w:val="22"/>
          <w:szCs w:val="22"/>
        </w:rPr>
        <w:t xml:space="preserve"> 3.</w:t>
      </w:r>
      <w:r w:rsidR="004A0046">
        <w:rPr>
          <w:rFonts w:eastAsia="Arial" w:cs="Arial"/>
          <w:sz w:val="22"/>
          <w:szCs w:val="22"/>
        </w:rPr>
        <w:t>8</w:t>
      </w:r>
      <w:r w:rsidR="009D3932">
        <w:rPr>
          <w:rFonts w:eastAsia="Arial" w:cs="Arial"/>
          <w:sz w:val="22"/>
          <w:szCs w:val="22"/>
        </w:rPr>
        <w:t xml:space="preserve"> </w:t>
      </w:r>
      <w:r w:rsidR="00644579" w:rsidRPr="1A5ED8D9">
        <w:rPr>
          <w:rFonts w:eastAsia="Arial" w:cs="Arial"/>
          <w:sz w:val="22"/>
          <w:szCs w:val="22"/>
        </w:rPr>
        <w:t>m</w:t>
      </w:r>
      <w:r w:rsidR="00656106" w:rsidRPr="1A5ED8D9">
        <w:rPr>
          <w:rFonts w:eastAsia="Arial" w:cs="Arial"/>
          <w:sz w:val="22"/>
          <w:szCs w:val="22"/>
        </w:rPr>
        <w:t>illion</w:t>
      </w:r>
      <w:r w:rsidR="554467BB" w:rsidRPr="1A5ED8D9">
        <w:rPr>
          <w:rFonts w:eastAsia="Arial" w:cs="Arial"/>
          <w:sz w:val="22"/>
          <w:szCs w:val="22"/>
        </w:rPr>
        <w:t xml:space="preserve"> ton</w:t>
      </w:r>
      <w:r w:rsidR="0089644D" w:rsidRPr="1A5ED8D9">
        <w:rPr>
          <w:rFonts w:eastAsia="Arial" w:cs="Arial"/>
          <w:sz w:val="22"/>
          <w:szCs w:val="22"/>
        </w:rPr>
        <w:t>ne</w:t>
      </w:r>
      <w:r w:rsidR="554467BB" w:rsidRPr="1A5ED8D9">
        <w:rPr>
          <w:rFonts w:eastAsia="Arial" w:cs="Arial"/>
          <w:sz w:val="22"/>
          <w:szCs w:val="22"/>
        </w:rPr>
        <w:t>s of CO</w:t>
      </w:r>
      <w:r w:rsidR="554467BB" w:rsidRPr="1A5ED8D9">
        <w:rPr>
          <w:rFonts w:eastAsia="Arial" w:cs="Arial"/>
          <w:sz w:val="22"/>
          <w:szCs w:val="22"/>
          <w:vertAlign w:val="subscript"/>
        </w:rPr>
        <w:t>2</w:t>
      </w:r>
      <w:r w:rsidR="554467BB" w:rsidRPr="1A5ED8D9">
        <w:rPr>
          <w:rFonts w:eastAsia="Arial" w:cs="Arial"/>
          <w:sz w:val="22"/>
          <w:szCs w:val="22"/>
        </w:rPr>
        <w:t xml:space="preserve"> </w:t>
      </w:r>
      <w:r w:rsidR="00D00520" w:rsidRPr="1A5ED8D9">
        <w:rPr>
          <w:rFonts w:eastAsia="Arial" w:cs="Arial"/>
          <w:sz w:val="22"/>
          <w:szCs w:val="22"/>
        </w:rPr>
        <w:t>sequestered</w:t>
      </w:r>
      <w:r w:rsidR="554467BB" w:rsidRPr="1A5ED8D9">
        <w:rPr>
          <w:rFonts w:eastAsia="Arial" w:cs="Arial"/>
          <w:sz w:val="22"/>
          <w:szCs w:val="22"/>
        </w:rPr>
        <w:t xml:space="preserve"> through agroforestry activities</w:t>
      </w:r>
      <w:r w:rsidR="0063138A" w:rsidRPr="1A5ED8D9">
        <w:rPr>
          <w:rFonts w:eastAsia="Arial" w:cs="Arial"/>
          <w:sz w:val="22"/>
          <w:szCs w:val="22"/>
        </w:rPr>
        <w:t xml:space="preserve"> (net)</w:t>
      </w:r>
      <w:r w:rsidR="554467BB" w:rsidRPr="1A5ED8D9">
        <w:rPr>
          <w:rFonts w:eastAsia="Arial" w:cs="Arial"/>
          <w:sz w:val="22"/>
          <w:szCs w:val="22"/>
        </w:rPr>
        <w:t>,</w:t>
      </w:r>
      <w:r w:rsidR="00DE2CF5" w:rsidRPr="1A5ED8D9">
        <w:rPr>
          <w:rFonts w:eastAsia="Arial" w:cs="Arial"/>
          <w:sz w:val="22"/>
          <w:szCs w:val="22"/>
        </w:rPr>
        <w:t xml:space="preserve"> </w:t>
      </w:r>
      <w:r w:rsidR="004A0046">
        <w:rPr>
          <w:rFonts w:eastAsia="Arial" w:cs="Arial"/>
          <w:sz w:val="22"/>
          <w:szCs w:val="22"/>
        </w:rPr>
        <w:t>30.7</w:t>
      </w:r>
      <w:r w:rsidR="009D3932">
        <w:rPr>
          <w:rFonts w:eastAsia="Arial" w:cs="Arial"/>
          <w:sz w:val="22"/>
          <w:szCs w:val="22"/>
        </w:rPr>
        <w:t xml:space="preserve"> million </w:t>
      </w:r>
      <w:r w:rsidR="554467BB" w:rsidRPr="1A5ED8D9">
        <w:rPr>
          <w:rFonts w:eastAsia="Arial" w:cs="Arial"/>
          <w:sz w:val="22"/>
          <w:szCs w:val="22"/>
        </w:rPr>
        <w:t>m</w:t>
      </w:r>
      <w:r w:rsidR="554467BB" w:rsidRPr="1A5ED8D9">
        <w:rPr>
          <w:rFonts w:eastAsia="Arial" w:cs="Arial"/>
          <w:sz w:val="22"/>
          <w:szCs w:val="22"/>
          <w:vertAlign w:val="superscript"/>
        </w:rPr>
        <w:t>3</w:t>
      </w:r>
      <w:r w:rsidR="554467BB" w:rsidRPr="1A5ED8D9">
        <w:rPr>
          <w:rFonts w:eastAsia="Arial" w:cs="Arial"/>
          <w:sz w:val="22"/>
          <w:szCs w:val="22"/>
        </w:rPr>
        <w:t xml:space="preserve"> of water saved</w:t>
      </w:r>
      <w:r w:rsidR="00D00520" w:rsidRPr="1A5ED8D9">
        <w:rPr>
          <w:rFonts w:eastAsia="Arial" w:cs="Arial"/>
          <w:sz w:val="22"/>
          <w:szCs w:val="22"/>
        </w:rPr>
        <w:t xml:space="preserve"> and</w:t>
      </w:r>
      <w:r w:rsidR="554467BB" w:rsidRPr="1A5ED8D9">
        <w:rPr>
          <w:rFonts w:eastAsia="Arial" w:cs="Arial"/>
          <w:sz w:val="22"/>
          <w:szCs w:val="22"/>
        </w:rPr>
        <w:t xml:space="preserve"> </w:t>
      </w:r>
      <w:r w:rsidR="7461F864" w:rsidRPr="1A5ED8D9">
        <w:rPr>
          <w:rFonts w:eastAsia="Arial" w:cs="Arial"/>
          <w:sz w:val="22"/>
          <w:szCs w:val="22"/>
        </w:rPr>
        <w:t>1,</w:t>
      </w:r>
      <w:r w:rsidR="004A0046">
        <w:rPr>
          <w:rFonts w:eastAsia="Arial" w:cs="Arial"/>
          <w:sz w:val="22"/>
          <w:szCs w:val="22"/>
        </w:rPr>
        <w:t>157</w:t>
      </w:r>
      <w:r w:rsidR="554467BB" w:rsidRPr="1A5ED8D9">
        <w:rPr>
          <w:rFonts w:eastAsia="Arial" w:cs="Arial"/>
          <w:sz w:val="22"/>
          <w:szCs w:val="22"/>
        </w:rPr>
        <w:t>,000 h</w:t>
      </w:r>
      <w:r w:rsidR="004C0BE7" w:rsidRPr="1A5ED8D9">
        <w:rPr>
          <w:rFonts w:eastAsia="Arial" w:cs="Arial"/>
          <w:sz w:val="22"/>
          <w:szCs w:val="22"/>
        </w:rPr>
        <w:t>a</w:t>
      </w:r>
      <w:r w:rsidR="554467BB" w:rsidRPr="1A5ED8D9">
        <w:rPr>
          <w:rFonts w:eastAsia="Arial" w:cs="Arial"/>
          <w:sz w:val="22"/>
          <w:szCs w:val="22"/>
        </w:rPr>
        <w:t xml:space="preserve"> of farmland </w:t>
      </w:r>
      <w:r w:rsidR="007C2E3E">
        <w:rPr>
          <w:rFonts w:eastAsia="Arial" w:cs="Arial"/>
          <w:sz w:val="22"/>
          <w:szCs w:val="22"/>
        </w:rPr>
        <w:t xml:space="preserve">supported </w:t>
      </w:r>
      <w:r w:rsidR="554467BB" w:rsidRPr="1A5ED8D9">
        <w:rPr>
          <w:rFonts w:eastAsia="Arial" w:cs="Arial"/>
          <w:sz w:val="22"/>
          <w:szCs w:val="22"/>
        </w:rPr>
        <w:t>under sustainable management.</w:t>
      </w:r>
    </w:p>
    <w:p w14:paraId="413CC359" w14:textId="77777777" w:rsidR="00A4224C" w:rsidRPr="00400BF1" w:rsidRDefault="00A4224C" w:rsidP="00F66B70">
      <w:pPr>
        <w:jc w:val="both"/>
        <w:rPr>
          <w:rFonts w:eastAsia="Arial" w:cs="Arial"/>
          <w:b/>
          <w:bCs/>
          <w:color w:val="FF0000"/>
          <w:sz w:val="22"/>
          <w:szCs w:val="22"/>
        </w:rPr>
      </w:pPr>
    </w:p>
    <w:p w14:paraId="3DDFBBD0" w14:textId="3E22A99C" w:rsidR="2A1D9A31" w:rsidRPr="008D3032" w:rsidRDefault="0AD3E96E" w:rsidP="00F66B70">
      <w:pPr>
        <w:jc w:val="both"/>
        <w:rPr>
          <w:rFonts w:eastAsia="Arial" w:cs="Arial"/>
          <w:sz w:val="22"/>
          <w:szCs w:val="22"/>
          <w:u w:val="single"/>
        </w:rPr>
      </w:pPr>
      <w:r w:rsidRPr="008D3032">
        <w:rPr>
          <w:rFonts w:eastAsia="Arial" w:cs="Arial"/>
          <w:sz w:val="22"/>
          <w:szCs w:val="22"/>
          <w:u w:val="single"/>
        </w:rPr>
        <w:t>The Development Facility</w:t>
      </w:r>
    </w:p>
    <w:p w14:paraId="04E7F58A" w14:textId="466E2349" w:rsidR="16381FB0" w:rsidRPr="008D3032" w:rsidRDefault="16381FB0" w:rsidP="00F66B70">
      <w:pPr>
        <w:jc w:val="both"/>
        <w:rPr>
          <w:rFonts w:eastAsia="Arial" w:cs="Arial"/>
          <w:sz w:val="22"/>
          <w:szCs w:val="22"/>
        </w:rPr>
      </w:pPr>
    </w:p>
    <w:p w14:paraId="3F67C479" w14:textId="228C47AD" w:rsidR="16381FB0" w:rsidRPr="000D4C1A" w:rsidRDefault="566E2C4B" w:rsidP="00F66B70">
      <w:pPr>
        <w:jc w:val="both"/>
        <w:rPr>
          <w:rFonts w:eastAsia="Arial" w:cs="Arial"/>
          <w:sz w:val="22"/>
          <w:szCs w:val="22"/>
        </w:rPr>
      </w:pPr>
      <w:r w:rsidRPr="3542A3F9">
        <w:rPr>
          <w:rFonts w:eastAsia="Arial" w:cs="Arial"/>
          <w:sz w:val="22"/>
          <w:szCs w:val="22"/>
        </w:rPr>
        <w:t>The DF is a separate entity that sits alongside EBF’s investment portfolio</w:t>
      </w:r>
      <w:r w:rsidR="1E554FB0" w:rsidRPr="3542A3F9">
        <w:rPr>
          <w:rFonts w:eastAsia="Arial" w:cs="Arial"/>
          <w:sz w:val="22"/>
          <w:szCs w:val="22"/>
        </w:rPr>
        <w:t xml:space="preserve"> to </w:t>
      </w:r>
      <w:r w:rsidRPr="3542A3F9">
        <w:rPr>
          <w:rFonts w:eastAsia="Arial" w:cs="Arial"/>
          <w:sz w:val="22"/>
          <w:szCs w:val="22"/>
        </w:rPr>
        <w:t xml:space="preserve">provide grant finance directed at TA projects. </w:t>
      </w:r>
      <w:r w:rsidR="00DA674C">
        <w:rPr>
          <w:rFonts w:eastAsia="Arial" w:cs="Arial"/>
          <w:sz w:val="22"/>
          <w:szCs w:val="22"/>
        </w:rPr>
        <w:t xml:space="preserve">Most TA is </w:t>
      </w:r>
      <w:r w:rsidR="00E64224">
        <w:rPr>
          <w:rFonts w:eastAsia="Arial" w:cs="Arial"/>
          <w:sz w:val="22"/>
          <w:szCs w:val="22"/>
        </w:rPr>
        <w:t xml:space="preserve">provided to investees in order to maximise the impact of investments and embed </w:t>
      </w:r>
      <w:r w:rsidR="00136FA6">
        <w:rPr>
          <w:rFonts w:eastAsia="Arial" w:cs="Arial"/>
          <w:sz w:val="22"/>
          <w:szCs w:val="22"/>
        </w:rPr>
        <w:t>social and environmental practices into financial systems</w:t>
      </w:r>
      <w:r w:rsidR="00DA674C">
        <w:rPr>
          <w:rFonts w:eastAsia="Arial" w:cs="Arial"/>
          <w:sz w:val="22"/>
          <w:szCs w:val="22"/>
        </w:rPr>
        <w:t xml:space="preserve">. </w:t>
      </w:r>
      <w:r w:rsidRPr="3542A3F9">
        <w:rPr>
          <w:rFonts w:eastAsia="Arial" w:cs="Arial"/>
          <w:sz w:val="22"/>
          <w:szCs w:val="22"/>
        </w:rPr>
        <w:t xml:space="preserve">Typical examples of projects include promoting environmentally sustainable land-use practices within small businesses to enable environmental sustainability standards to be achieved, sponsoring events, running capacity building workshops, </w:t>
      </w:r>
      <w:r w:rsidR="2581962D" w:rsidRPr="3542A3F9">
        <w:rPr>
          <w:rFonts w:eastAsia="Arial" w:cs="Arial"/>
          <w:sz w:val="22"/>
          <w:szCs w:val="22"/>
        </w:rPr>
        <w:t xml:space="preserve">and with </w:t>
      </w:r>
      <w:r w:rsidR="476E2BE5" w:rsidRPr="3542A3F9">
        <w:rPr>
          <w:rFonts w:eastAsia="Arial" w:cs="Arial"/>
          <w:sz w:val="22"/>
          <w:szCs w:val="22"/>
        </w:rPr>
        <w:t xml:space="preserve">PIs </w:t>
      </w:r>
      <w:r w:rsidR="07D46EFD" w:rsidRPr="3542A3F9">
        <w:rPr>
          <w:rFonts w:eastAsia="Arial" w:cs="Arial"/>
          <w:sz w:val="22"/>
          <w:szCs w:val="22"/>
        </w:rPr>
        <w:t>developing sustainability strategies</w:t>
      </w:r>
      <w:r w:rsidRPr="3542A3F9">
        <w:rPr>
          <w:rFonts w:eastAsia="Arial" w:cs="Arial"/>
          <w:sz w:val="22"/>
          <w:szCs w:val="22"/>
        </w:rPr>
        <w:t xml:space="preserve"> and/or implementing Environmental and Social Management Systems (ESMS). In </w:t>
      </w:r>
      <w:r w:rsidR="0064110B" w:rsidRPr="3542A3F9">
        <w:rPr>
          <w:rFonts w:eastAsia="Arial" w:cs="Arial"/>
          <w:sz w:val="22"/>
          <w:szCs w:val="22"/>
        </w:rPr>
        <w:t>202</w:t>
      </w:r>
      <w:r w:rsidR="00136FA6">
        <w:rPr>
          <w:rFonts w:eastAsia="Arial" w:cs="Arial"/>
          <w:sz w:val="22"/>
          <w:szCs w:val="22"/>
        </w:rPr>
        <w:t>4</w:t>
      </w:r>
      <w:r w:rsidR="0064110B" w:rsidRPr="3542A3F9">
        <w:rPr>
          <w:rFonts w:eastAsia="Arial" w:cs="Arial"/>
          <w:sz w:val="22"/>
          <w:szCs w:val="22"/>
        </w:rPr>
        <w:t>,</w:t>
      </w:r>
      <w:r w:rsidRPr="3542A3F9">
        <w:rPr>
          <w:rFonts w:eastAsia="Arial" w:cs="Arial"/>
          <w:sz w:val="22"/>
          <w:szCs w:val="22"/>
        </w:rPr>
        <w:t xml:space="preserve"> the DF </w:t>
      </w:r>
      <w:r w:rsidR="4B4BF7C6" w:rsidRPr="3542A3F9">
        <w:rPr>
          <w:rFonts w:eastAsia="Arial" w:cs="Arial"/>
          <w:sz w:val="22"/>
          <w:szCs w:val="22"/>
        </w:rPr>
        <w:t xml:space="preserve">completed </w:t>
      </w:r>
      <w:r w:rsidR="004132AD">
        <w:rPr>
          <w:rFonts w:eastAsia="Arial" w:cs="Arial"/>
          <w:sz w:val="22"/>
          <w:szCs w:val="22"/>
        </w:rPr>
        <w:t>25</w:t>
      </w:r>
      <w:r w:rsidR="4B4BF7C6" w:rsidRPr="3542A3F9">
        <w:rPr>
          <w:rFonts w:eastAsia="Arial" w:cs="Arial"/>
          <w:sz w:val="22"/>
          <w:szCs w:val="22"/>
        </w:rPr>
        <w:t xml:space="preserve"> projects, </w:t>
      </w:r>
      <w:r w:rsidR="356B9409" w:rsidRPr="3542A3F9">
        <w:rPr>
          <w:rFonts w:eastAsia="Arial" w:cs="Arial"/>
          <w:sz w:val="22"/>
          <w:szCs w:val="22"/>
        </w:rPr>
        <w:t xml:space="preserve">totalling </w:t>
      </w:r>
      <w:r w:rsidR="004132AD">
        <w:rPr>
          <w:rFonts w:eastAsia="Arial" w:cs="Arial"/>
          <w:sz w:val="22"/>
          <w:szCs w:val="22"/>
        </w:rPr>
        <w:t>118</w:t>
      </w:r>
      <w:r w:rsidR="356B9409" w:rsidRPr="3542A3F9">
        <w:rPr>
          <w:rFonts w:eastAsia="Arial" w:cs="Arial"/>
          <w:sz w:val="22"/>
          <w:szCs w:val="22"/>
        </w:rPr>
        <w:t xml:space="preserve"> since inception </w:t>
      </w:r>
      <w:r w:rsidR="00314E01">
        <w:rPr>
          <w:rFonts w:eastAsia="Arial" w:cs="Arial"/>
          <w:sz w:val="22"/>
          <w:szCs w:val="22"/>
        </w:rPr>
        <w:t>and a big increase on previous annual project completion</w:t>
      </w:r>
      <w:r w:rsidRPr="3542A3F9">
        <w:rPr>
          <w:rFonts w:eastAsia="Arial" w:cs="Arial"/>
          <w:sz w:val="22"/>
          <w:szCs w:val="22"/>
        </w:rPr>
        <w:t>.</w:t>
      </w:r>
      <w:r w:rsidR="001B49F7">
        <w:rPr>
          <w:rFonts w:eastAsia="Arial" w:cs="Arial"/>
          <w:sz w:val="22"/>
          <w:szCs w:val="22"/>
        </w:rPr>
        <w:t xml:space="preserve"> A </w:t>
      </w:r>
      <w:r w:rsidR="00B82441">
        <w:rPr>
          <w:rFonts w:eastAsia="Arial" w:cs="Arial"/>
          <w:sz w:val="22"/>
          <w:szCs w:val="22"/>
        </w:rPr>
        <w:t>highlight for the DF and EBF</w:t>
      </w:r>
      <w:r w:rsidR="00E019CF">
        <w:rPr>
          <w:rFonts w:eastAsia="Arial" w:cs="Arial"/>
          <w:sz w:val="22"/>
          <w:szCs w:val="22"/>
        </w:rPr>
        <w:t xml:space="preserve"> </w:t>
      </w:r>
      <w:r w:rsidR="00B82441">
        <w:rPr>
          <w:rFonts w:eastAsia="Arial" w:cs="Arial"/>
          <w:sz w:val="22"/>
          <w:szCs w:val="22"/>
        </w:rPr>
        <w:t xml:space="preserve">was development of a </w:t>
      </w:r>
      <w:hyperlink r:id="rId12" w:history="1">
        <w:r w:rsidR="001B49F7" w:rsidRPr="005D0177">
          <w:rPr>
            <w:rStyle w:val="Hyperlink"/>
            <w:rFonts w:eastAsia="Arial" w:cs="Arial"/>
            <w:sz w:val="22"/>
            <w:szCs w:val="22"/>
          </w:rPr>
          <w:t>new biodiversity indicator</w:t>
        </w:r>
      </w:hyperlink>
      <w:r w:rsidR="00A61585">
        <w:rPr>
          <w:rFonts w:eastAsia="Arial" w:cs="Arial"/>
          <w:sz w:val="22"/>
          <w:szCs w:val="22"/>
        </w:rPr>
        <w:t xml:space="preserve">, </w:t>
      </w:r>
      <w:r w:rsidR="00B82441">
        <w:rPr>
          <w:rFonts w:eastAsia="Arial" w:cs="Arial"/>
          <w:sz w:val="22"/>
          <w:szCs w:val="22"/>
        </w:rPr>
        <w:t>for</w:t>
      </w:r>
      <w:r w:rsidR="00A61585">
        <w:rPr>
          <w:rFonts w:eastAsia="Arial" w:cs="Arial"/>
          <w:sz w:val="22"/>
          <w:szCs w:val="22"/>
        </w:rPr>
        <w:t xml:space="preserve"> launch in 2025</w:t>
      </w:r>
      <w:r w:rsidR="00B82441">
        <w:rPr>
          <w:rFonts w:eastAsia="Arial" w:cs="Arial"/>
          <w:sz w:val="22"/>
          <w:szCs w:val="22"/>
        </w:rPr>
        <w:t>.</w:t>
      </w:r>
      <w:r w:rsidR="0042197A">
        <w:rPr>
          <w:rFonts w:eastAsia="Arial" w:cs="Arial"/>
          <w:sz w:val="22"/>
          <w:szCs w:val="22"/>
        </w:rPr>
        <w:t xml:space="preserve"> Having made a small contribution of £170,000 to the DF in 2018, Defra </w:t>
      </w:r>
      <w:r w:rsidR="00781377">
        <w:rPr>
          <w:rFonts w:eastAsia="Arial" w:cs="Arial"/>
          <w:sz w:val="22"/>
          <w:szCs w:val="22"/>
        </w:rPr>
        <w:t xml:space="preserve">made a </w:t>
      </w:r>
      <w:r w:rsidR="002107F1">
        <w:rPr>
          <w:rFonts w:eastAsia="Arial" w:cs="Arial"/>
          <w:sz w:val="22"/>
          <w:szCs w:val="22"/>
        </w:rPr>
        <w:t>£2 million</w:t>
      </w:r>
      <w:r w:rsidR="00781377">
        <w:rPr>
          <w:rFonts w:eastAsia="Arial" w:cs="Arial"/>
          <w:sz w:val="22"/>
          <w:szCs w:val="22"/>
        </w:rPr>
        <w:t xml:space="preserve"> contribution in March 2025 which</w:t>
      </w:r>
      <w:r w:rsidR="00066714">
        <w:rPr>
          <w:rFonts w:eastAsia="Arial" w:cs="Arial"/>
          <w:sz w:val="22"/>
          <w:szCs w:val="22"/>
        </w:rPr>
        <w:t xml:space="preserve"> will </w:t>
      </w:r>
      <w:r w:rsidR="00BE5EA0">
        <w:rPr>
          <w:rFonts w:eastAsia="Arial" w:cs="Arial"/>
          <w:sz w:val="22"/>
          <w:szCs w:val="22"/>
        </w:rPr>
        <w:t>fund</w:t>
      </w:r>
      <w:r w:rsidR="00066714">
        <w:rPr>
          <w:rFonts w:eastAsia="Arial" w:cs="Arial"/>
          <w:sz w:val="22"/>
          <w:szCs w:val="22"/>
        </w:rPr>
        <w:t xml:space="preserve"> many more TA projects </w:t>
      </w:r>
      <w:r w:rsidR="00BE5EA0">
        <w:rPr>
          <w:rFonts w:eastAsia="Arial" w:cs="Arial"/>
          <w:sz w:val="22"/>
          <w:szCs w:val="22"/>
        </w:rPr>
        <w:t xml:space="preserve">that increase the effectiveness of </w:t>
      </w:r>
      <w:r w:rsidR="00EB0B15">
        <w:rPr>
          <w:rFonts w:eastAsia="Arial" w:cs="Arial"/>
          <w:sz w:val="22"/>
          <w:szCs w:val="22"/>
        </w:rPr>
        <w:t>EBF’s loans</w:t>
      </w:r>
      <w:r w:rsidR="00066714">
        <w:rPr>
          <w:rFonts w:eastAsia="Arial" w:cs="Arial"/>
          <w:sz w:val="22"/>
          <w:szCs w:val="22"/>
        </w:rPr>
        <w:t>.</w:t>
      </w:r>
    </w:p>
    <w:p w14:paraId="49973694" w14:textId="2B53742C" w:rsidR="16381FB0" w:rsidRPr="008B63E0" w:rsidRDefault="16381FB0" w:rsidP="00F66B70">
      <w:pPr>
        <w:jc w:val="both"/>
        <w:rPr>
          <w:rFonts w:eastAsia="Arial" w:cs="Arial"/>
          <w:color w:val="000000" w:themeColor="text1"/>
          <w:sz w:val="22"/>
          <w:szCs w:val="22"/>
        </w:rPr>
      </w:pPr>
    </w:p>
    <w:p w14:paraId="17F1C1E2" w14:textId="3993CC80" w:rsidR="1B686662" w:rsidRDefault="1B686662" w:rsidP="68316884">
      <w:pPr>
        <w:jc w:val="both"/>
        <w:rPr>
          <w:rFonts w:eastAsia="Arial" w:cs="Arial"/>
          <w:color w:val="000000" w:themeColor="text1"/>
          <w:sz w:val="22"/>
          <w:szCs w:val="22"/>
        </w:rPr>
      </w:pPr>
      <w:r w:rsidRPr="68316884">
        <w:rPr>
          <w:rFonts w:eastAsia="Arial" w:cs="Arial"/>
          <w:b/>
          <w:bCs/>
          <w:color w:val="000000" w:themeColor="text1"/>
          <w:sz w:val="22"/>
          <w:szCs w:val="22"/>
        </w:rPr>
        <w:t xml:space="preserve">Progress on </w:t>
      </w:r>
      <w:r w:rsidR="00E856BA" w:rsidRPr="68316884">
        <w:rPr>
          <w:rFonts w:eastAsia="Arial" w:cs="Arial"/>
          <w:b/>
          <w:bCs/>
          <w:color w:val="000000" w:themeColor="text1"/>
          <w:sz w:val="22"/>
          <w:szCs w:val="22"/>
        </w:rPr>
        <w:t>202</w:t>
      </w:r>
      <w:r w:rsidR="00E856BA">
        <w:rPr>
          <w:rFonts w:eastAsia="Arial" w:cs="Arial"/>
          <w:b/>
          <w:bCs/>
          <w:color w:val="000000" w:themeColor="text1"/>
          <w:sz w:val="22"/>
          <w:szCs w:val="22"/>
        </w:rPr>
        <w:t>3 AR</w:t>
      </w:r>
      <w:r w:rsidR="00E856BA" w:rsidRPr="68316884">
        <w:rPr>
          <w:rFonts w:eastAsia="Arial" w:cs="Arial"/>
          <w:b/>
          <w:bCs/>
          <w:color w:val="000000" w:themeColor="text1"/>
          <w:sz w:val="22"/>
          <w:szCs w:val="22"/>
        </w:rPr>
        <w:t xml:space="preserve"> </w:t>
      </w:r>
      <w:r w:rsidRPr="68316884">
        <w:rPr>
          <w:rFonts w:eastAsia="Arial" w:cs="Arial"/>
          <w:b/>
          <w:bCs/>
          <w:color w:val="000000" w:themeColor="text1"/>
          <w:sz w:val="22"/>
          <w:szCs w:val="22"/>
        </w:rPr>
        <w:t>recommendations</w:t>
      </w:r>
    </w:p>
    <w:p w14:paraId="517C0436" w14:textId="7D89F779" w:rsidR="68316884" w:rsidRDefault="68316884" w:rsidP="68316884">
      <w:pPr>
        <w:jc w:val="both"/>
        <w:rPr>
          <w:rFonts w:eastAsia="Arial" w:cs="Arial"/>
          <w:color w:val="000000" w:themeColor="text1"/>
          <w:sz w:val="22"/>
          <w:szCs w:val="22"/>
        </w:rPr>
      </w:pPr>
    </w:p>
    <w:p w14:paraId="090A3D0B" w14:textId="492BB647" w:rsidR="00314E01" w:rsidRDefault="00314E01" w:rsidP="00314E01">
      <w:pPr>
        <w:pStyle w:val="ListParagraph"/>
        <w:numPr>
          <w:ilvl w:val="0"/>
          <w:numId w:val="14"/>
        </w:numPr>
        <w:tabs>
          <w:tab w:val="left" w:pos="6915"/>
          <w:tab w:val="left" w:pos="9495"/>
        </w:tabs>
        <w:jc w:val="both"/>
        <w:rPr>
          <w:rFonts w:eastAsia="Arial" w:cs="Arial"/>
          <w:sz w:val="22"/>
          <w:szCs w:val="22"/>
        </w:rPr>
      </w:pPr>
      <w:r>
        <w:rPr>
          <w:rFonts w:eastAsia="Arial" w:cs="Arial"/>
          <w:sz w:val="22"/>
          <w:szCs w:val="22"/>
        </w:rPr>
        <w:t>Review FiM’s updated T</w:t>
      </w:r>
      <w:r w:rsidR="00F708E9">
        <w:rPr>
          <w:rFonts w:eastAsia="Arial" w:cs="Arial"/>
          <w:sz w:val="22"/>
          <w:szCs w:val="22"/>
        </w:rPr>
        <w:t xml:space="preserve">heory </w:t>
      </w:r>
      <w:r>
        <w:rPr>
          <w:rFonts w:eastAsia="Arial" w:cs="Arial"/>
          <w:sz w:val="22"/>
          <w:szCs w:val="22"/>
        </w:rPr>
        <w:t>o</w:t>
      </w:r>
      <w:r w:rsidR="00F708E9">
        <w:rPr>
          <w:rFonts w:eastAsia="Arial" w:cs="Arial"/>
          <w:sz w:val="22"/>
          <w:szCs w:val="22"/>
        </w:rPr>
        <w:t xml:space="preserve">f </w:t>
      </w:r>
      <w:r>
        <w:rPr>
          <w:rFonts w:eastAsia="Arial" w:cs="Arial"/>
          <w:sz w:val="22"/>
          <w:szCs w:val="22"/>
        </w:rPr>
        <w:t>C</w:t>
      </w:r>
      <w:r w:rsidR="00F708E9">
        <w:rPr>
          <w:rFonts w:eastAsia="Arial" w:cs="Arial"/>
          <w:sz w:val="22"/>
          <w:szCs w:val="22"/>
        </w:rPr>
        <w:t>hange (ToC)</w:t>
      </w:r>
      <w:r>
        <w:rPr>
          <w:rFonts w:eastAsia="Arial" w:cs="Arial"/>
          <w:sz w:val="22"/>
          <w:szCs w:val="22"/>
        </w:rPr>
        <w:t xml:space="preserve"> and its underlying assumptions</w:t>
      </w:r>
      <w:r w:rsidR="007C53A6">
        <w:rPr>
          <w:rFonts w:eastAsia="Arial" w:cs="Arial"/>
          <w:sz w:val="22"/>
          <w:szCs w:val="22"/>
        </w:rPr>
        <w:t xml:space="preserve"> (based on standard ODA </w:t>
      </w:r>
      <w:r w:rsidR="00E047BB">
        <w:rPr>
          <w:rFonts w:eastAsia="Arial" w:cs="Arial"/>
          <w:sz w:val="22"/>
          <w:szCs w:val="22"/>
        </w:rPr>
        <w:t>best practice that a ToC should be reviewed every three years)</w:t>
      </w:r>
      <w:r>
        <w:rPr>
          <w:rFonts w:eastAsia="Arial" w:cs="Arial"/>
          <w:sz w:val="22"/>
          <w:szCs w:val="22"/>
        </w:rPr>
        <w:t>.</w:t>
      </w:r>
    </w:p>
    <w:p w14:paraId="146BEE5E" w14:textId="6B4DAB1E" w:rsidR="00314E01" w:rsidRDefault="005B3F98" w:rsidP="7B27B1AC">
      <w:pPr>
        <w:pStyle w:val="ListParagraph"/>
        <w:tabs>
          <w:tab w:val="left" w:pos="6915"/>
          <w:tab w:val="left" w:pos="9495"/>
        </w:tabs>
        <w:ind w:left="360"/>
        <w:jc w:val="both"/>
        <w:rPr>
          <w:rFonts w:eastAsia="Arial" w:cs="Arial"/>
          <w:i/>
          <w:iCs/>
          <w:sz w:val="22"/>
          <w:szCs w:val="22"/>
        </w:rPr>
      </w:pPr>
      <w:r w:rsidRPr="005B3F98">
        <w:rPr>
          <w:rFonts w:eastAsia="Arial" w:cs="Arial"/>
          <w:i/>
          <w:iCs/>
          <w:sz w:val="22"/>
          <w:szCs w:val="22"/>
        </w:rPr>
        <w:t xml:space="preserve">After consideration, the ToC was not updated or reviewed in depth, reflecting the fact it is owned and managed by the Fund and, critically, no significant change in approach has </w:t>
      </w:r>
      <w:r w:rsidRPr="005B3F98">
        <w:rPr>
          <w:rFonts w:eastAsia="Arial" w:cs="Arial"/>
          <w:i/>
          <w:iCs/>
          <w:sz w:val="22"/>
          <w:szCs w:val="22"/>
        </w:rPr>
        <w:lastRenderedPageBreak/>
        <w:t>occurred. However, the</w:t>
      </w:r>
      <w:r w:rsidR="00E12A2C" w:rsidRPr="7B27B1AC">
        <w:rPr>
          <w:rFonts w:eastAsia="Arial" w:cs="Arial"/>
          <w:i/>
          <w:iCs/>
          <w:sz w:val="22"/>
          <w:szCs w:val="22"/>
        </w:rPr>
        <w:t xml:space="preserve"> Impact Framework of the TA Facility was strengthened, </w:t>
      </w:r>
      <w:r w:rsidR="00A70BB7" w:rsidRPr="7B27B1AC">
        <w:rPr>
          <w:rFonts w:eastAsia="Arial" w:cs="Arial"/>
          <w:i/>
          <w:iCs/>
          <w:sz w:val="22"/>
          <w:szCs w:val="22"/>
        </w:rPr>
        <w:t>contributing</w:t>
      </w:r>
      <w:r w:rsidR="00E12A2C" w:rsidRPr="7B27B1AC">
        <w:rPr>
          <w:rFonts w:eastAsia="Arial" w:cs="Arial"/>
          <w:i/>
          <w:iCs/>
          <w:sz w:val="22"/>
          <w:szCs w:val="22"/>
        </w:rPr>
        <w:t xml:space="preserve"> to the </w:t>
      </w:r>
      <w:r w:rsidR="00A70BB7" w:rsidRPr="7B27B1AC">
        <w:rPr>
          <w:rFonts w:eastAsia="Arial" w:cs="Arial"/>
          <w:i/>
          <w:iCs/>
          <w:sz w:val="22"/>
          <w:szCs w:val="22"/>
        </w:rPr>
        <w:t xml:space="preserve">Fund’s </w:t>
      </w:r>
      <w:r w:rsidR="00E12A2C" w:rsidRPr="7B27B1AC">
        <w:rPr>
          <w:rFonts w:eastAsia="Arial" w:cs="Arial"/>
          <w:i/>
          <w:iCs/>
          <w:sz w:val="22"/>
          <w:szCs w:val="22"/>
        </w:rPr>
        <w:t>ToC</w:t>
      </w:r>
      <w:r w:rsidR="00F708E9" w:rsidRPr="7B27B1AC">
        <w:rPr>
          <w:rFonts w:eastAsia="Arial" w:cs="Arial"/>
          <w:i/>
          <w:iCs/>
          <w:sz w:val="22"/>
          <w:szCs w:val="22"/>
        </w:rPr>
        <w:t>.</w:t>
      </w:r>
      <w:r w:rsidR="0093012D">
        <w:rPr>
          <w:rFonts w:eastAsia="Arial" w:cs="Arial"/>
          <w:i/>
          <w:iCs/>
          <w:sz w:val="22"/>
          <w:szCs w:val="22"/>
        </w:rPr>
        <w:t xml:space="preserve"> This recommendation can be closed </w:t>
      </w:r>
      <w:r w:rsidR="00F054C9">
        <w:rPr>
          <w:rFonts w:eastAsia="Arial" w:cs="Arial"/>
          <w:i/>
          <w:iCs/>
          <w:sz w:val="22"/>
          <w:szCs w:val="22"/>
        </w:rPr>
        <w:t xml:space="preserve">unless or </w:t>
      </w:r>
      <w:r w:rsidR="0093012D">
        <w:rPr>
          <w:rFonts w:eastAsia="Arial" w:cs="Arial"/>
          <w:i/>
          <w:iCs/>
          <w:sz w:val="22"/>
          <w:szCs w:val="22"/>
        </w:rPr>
        <w:t xml:space="preserve">until the Fund </w:t>
      </w:r>
      <w:r w:rsidR="00F054C9">
        <w:rPr>
          <w:rFonts w:eastAsia="Arial" w:cs="Arial"/>
          <w:i/>
          <w:iCs/>
          <w:sz w:val="22"/>
          <w:szCs w:val="22"/>
        </w:rPr>
        <w:t>significantly changes it</w:t>
      </w:r>
      <w:r w:rsidR="007779EE">
        <w:rPr>
          <w:rFonts w:eastAsia="Arial" w:cs="Arial"/>
          <w:i/>
          <w:iCs/>
          <w:sz w:val="22"/>
          <w:szCs w:val="22"/>
        </w:rPr>
        <w:t>s methods of operation.</w:t>
      </w:r>
    </w:p>
    <w:p w14:paraId="6303959E" w14:textId="77777777" w:rsidR="007D7F19" w:rsidRPr="007D7F19" w:rsidRDefault="007D7F19" w:rsidP="007D7F19">
      <w:pPr>
        <w:pStyle w:val="ListParagraph"/>
        <w:tabs>
          <w:tab w:val="left" w:pos="6915"/>
          <w:tab w:val="left" w:pos="9495"/>
        </w:tabs>
        <w:ind w:left="360"/>
        <w:jc w:val="both"/>
        <w:rPr>
          <w:rFonts w:eastAsia="Arial" w:cs="Arial"/>
          <w:i/>
          <w:iCs/>
          <w:sz w:val="22"/>
          <w:szCs w:val="22"/>
        </w:rPr>
      </w:pPr>
    </w:p>
    <w:p w14:paraId="68D48D69" w14:textId="69649872" w:rsidR="00314E01" w:rsidRDefault="00314E01" w:rsidP="00314E01">
      <w:pPr>
        <w:pStyle w:val="ListParagraph"/>
        <w:numPr>
          <w:ilvl w:val="0"/>
          <w:numId w:val="14"/>
        </w:numPr>
        <w:tabs>
          <w:tab w:val="left" w:pos="6915"/>
          <w:tab w:val="left" w:pos="9495"/>
        </w:tabs>
        <w:jc w:val="both"/>
        <w:rPr>
          <w:rFonts w:eastAsia="Arial" w:cs="Arial"/>
          <w:sz w:val="22"/>
          <w:szCs w:val="22"/>
        </w:rPr>
      </w:pPr>
      <w:r>
        <w:rPr>
          <w:rFonts w:eastAsia="Arial" w:cs="Arial"/>
          <w:sz w:val="22"/>
          <w:szCs w:val="22"/>
        </w:rPr>
        <w:t>2024 AR should report on FiM’s pilot of collecting gender data for sub-borrowers.</w:t>
      </w:r>
    </w:p>
    <w:p w14:paraId="5F34E410" w14:textId="3B1ED1BF" w:rsidR="007D7F19" w:rsidRDefault="00992D8F" w:rsidP="007D7F19">
      <w:pPr>
        <w:pStyle w:val="ListParagraph"/>
        <w:tabs>
          <w:tab w:val="left" w:pos="6915"/>
          <w:tab w:val="left" w:pos="9495"/>
        </w:tabs>
        <w:ind w:left="360"/>
        <w:jc w:val="both"/>
        <w:rPr>
          <w:rFonts w:eastAsia="Arial" w:cs="Arial"/>
          <w:i/>
          <w:iCs/>
          <w:sz w:val="22"/>
          <w:szCs w:val="22"/>
        </w:rPr>
      </w:pPr>
      <w:r>
        <w:rPr>
          <w:rFonts w:eastAsia="Arial" w:cs="Arial"/>
          <w:i/>
          <w:iCs/>
          <w:sz w:val="22"/>
          <w:szCs w:val="22"/>
        </w:rPr>
        <w:t xml:space="preserve">The pilot is ongoing. As reporting was on a voluntary basis only </w:t>
      </w:r>
      <w:r w:rsidR="00F96316">
        <w:rPr>
          <w:rFonts w:eastAsia="Arial" w:cs="Arial"/>
          <w:i/>
          <w:iCs/>
          <w:sz w:val="22"/>
          <w:szCs w:val="22"/>
        </w:rPr>
        <w:t>three of ten PIs asked</w:t>
      </w:r>
      <w:r>
        <w:rPr>
          <w:rFonts w:eastAsia="Arial" w:cs="Arial"/>
          <w:i/>
          <w:iCs/>
          <w:sz w:val="22"/>
          <w:szCs w:val="22"/>
        </w:rPr>
        <w:t xml:space="preserve"> reported this data</w:t>
      </w:r>
      <w:r w:rsidR="00F96316">
        <w:rPr>
          <w:rFonts w:eastAsia="Arial" w:cs="Arial"/>
          <w:i/>
          <w:iCs/>
          <w:sz w:val="22"/>
          <w:szCs w:val="22"/>
        </w:rPr>
        <w:t>, which was not enough to draw any conclusions</w:t>
      </w:r>
      <w:r w:rsidR="00995BCD">
        <w:rPr>
          <w:rFonts w:eastAsia="Arial" w:cs="Arial"/>
          <w:i/>
          <w:iCs/>
          <w:sz w:val="22"/>
          <w:szCs w:val="22"/>
        </w:rPr>
        <w:t>. A gender indicator was rolled out to all PIs at the end of the year, but still not as an obligatory reporting</w:t>
      </w:r>
      <w:r w:rsidR="003F5956">
        <w:rPr>
          <w:rFonts w:eastAsia="Arial" w:cs="Arial"/>
          <w:i/>
          <w:iCs/>
          <w:sz w:val="22"/>
          <w:szCs w:val="22"/>
        </w:rPr>
        <w:t xml:space="preserve"> duty; the Fund continues to encourage reporting on this, but notes that PIs have a heavy reporting burd</w:t>
      </w:r>
      <w:r w:rsidR="007D7F19">
        <w:rPr>
          <w:rFonts w:eastAsia="Arial" w:cs="Arial"/>
          <w:i/>
          <w:iCs/>
          <w:sz w:val="22"/>
          <w:szCs w:val="22"/>
        </w:rPr>
        <w:t xml:space="preserve">en </w:t>
      </w:r>
      <w:r w:rsidR="00E37400">
        <w:rPr>
          <w:rFonts w:eastAsia="Arial" w:cs="Arial"/>
          <w:i/>
          <w:iCs/>
          <w:sz w:val="22"/>
          <w:szCs w:val="22"/>
        </w:rPr>
        <w:t xml:space="preserve">to the Fund </w:t>
      </w:r>
      <w:r w:rsidR="00366579">
        <w:rPr>
          <w:rFonts w:eastAsia="Arial" w:cs="Arial"/>
          <w:i/>
          <w:iCs/>
          <w:sz w:val="22"/>
          <w:szCs w:val="22"/>
        </w:rPr>
        <w:t>Advisor</w:t>
      </w:r>
      <w:r w:rsidR="00E37400">
        <w:rPr>
          <w:rFonts w:eastAsia="Arial" w:cs="Arial"/>
          <w:i/>
          <w:iCs/>
          <w:sz w:val="22"/>
          <w:szCs w:val="22"/>
        </w:rPr>
        <w:t xml:space="preserve"> </w:t>
      </w:r>
      <w:r w:rsidR="007D7F19">
        <w:rPr>
          <w:rFonts w:eastAsia="Arial" w:cs="Arial"/>
          <w:i/>
          <w:iCs/>
          <w:sz w:val="22"/>
          <w:szCs w:val="22"/>
        </w:rPr>
        <w:t>already in relation to EBF funding.</w:t>
      </w:r>
    </w:p>
    <w:p w14:paraId="419585E6" w14:textId="77777777" w:rsidR="007D7F19" w:rsidRPr="007D7F19" w:rsidRDefault="007D7F19" w:rsidP="007D7F19">
      <w:pPr>
        <w:pStyle w:val="ListParagraph"/>
        <w:tabs>
          <w:tab w:val="left" w:pos="6915"/>
          <w:tab w:val="left" w:pos="9495"/>
        </w:tabs>
        <w:ind w:left="360"/>
        <w:jc w:val="both"/>
        <w:rPr>
          <w:rFonts w:eastAsia="Arial" w:cs="Arial"/>
          <w:i/>
          <w:iCs/>
          <w:sz w:val="22"/>
          <w:szCs w:val="22"/>
        </w:rPr>
      </w:pPr>
    </w:p>
    <w:p w14:paraId="1592935C" w14:textId="76229594" w:rsidR="00314E01" w:rsidRDefault="00314E01" w:rsidP="00314E01">
      <w:pPr>
        <w:pStyle w:val="ListParagraph"/>
        <w:numPr>
          <w:ilvl w:val="0"/>
          <w:numId w:val="14"/>
        </w:numPr>
        <w:tabs>
          <w:tab w:val="left" w:pos="6915"/>
          <w:tab w:val="left" w:pos="9495"/>
        </w:tabs>
        <w:jc w:val="both"/>
        <w:rPr>
          <w:rFonts w:eastAsia="Arial" w:cs="Arial"/>
          <w:sz w:val="22"/>
          <w:szCs w:val="22"/>
        </w:rPr>
      </w:pPr>
      <w:r>
        <w:rPr>
          <w:rFonts w:eastAsia="Arial" w:cs="Arial"/>
          <w:sz w:val="22"/>
          <w:szCs w:val="22"/>
        </w:rPr>
        <w:t>Explore with FiM for the next AR the impact of the Fund on smallholders and Indigenous Communities.</w:t>
      </w:r>
    </w:p>
    <w:p w14:paraId="53B20629" w14:textId="251A58A0" w:rsidR="00B22283" w:rsidRPr="00B22283" w:rsidRDefault="00CE2B41" w:rsidP="00B22283">
      <w:pPr>
        <w:pStyle w:val="ListParagraph"/>
        <w:tabs>
          <w:tab w:val="left" w:pos="6915"/>
          <w:tab w:val="left" w:pos="9495"/>
        </w:tabs>
        <w:ind w:left="360"/>
        <w:jc w:val="both"/>
        <w:rPr>
          <w:rFonts w:eastAsia="Arial" w:cs="Arial"/>
          <w:i/>
          <w:iCs/>
          <w:sz w:val="22"/>
          <w:szCs w:val="22"/>
        </w:rPr>
      </w:pPr>
      <w:r>
        <w:rPr>
          <w:rFonts w:eastAsia="Arial" w:cs="Arial"/>
          <w:i/>
          <w:iCs/>
          <w:sz w:val="22"/>
          <w:szCs w:val="22"/>
        </w:rPr>
        <w:t>EBF has financ</w:t>
      </w:r>
      <w:r w:rsidR="00D0536E">
        <w:rPr>
          <w:rFonts w:eastAsia="Arial" w:cs="Arial"/>
          <w:i/>
          <w:iCs/>
          <w:sz w:val="22"/>
          <w:szCs w:val="22"/>
        </w:rPr>
        <w:t>ed</w:t>
      </w:r>
      <w:r>
        <w:rPr>
          <w:rFonts w:eastAsia="Arial" w:cs="Arial"/>
          <w:i/>
          <w:iCs/>
          <w:sz w:val="22"/>
          <w:szCs w:val="22"/>
        </w:rPr>
        <w:t xml:space="preserve"> more micro-finance institutions in 2024, including two Cajas (Cusco and Arequipa) in Peru and Genesis in Guatemala</w:t>
      </w:r>
      <w:r w:rsidR="00D0536E">
        <w:rPr>
          <w:rFonts w:eastAsia="Arial" w:cs="Arial"/>
          <w:i/>
          <w:iCs/>
          <w:sz w:val="22"/>
          <w:szCs w:val="22"/>
        </w:rPr>
        <w:t>, increasing outreach to indigenous populations</w:t>
      </w:r>
      <w:r w:rsidR="00C75459">
        <w:rPr>
          <w:rFonts w:eastAsia="Arial" w:cs="Arial"/>
          <w:i/>
          <w:iCs/>
          <w:sz w:val="22"/>
          <w:szCs w:val="22"/>
        </w:rPr>
        <w:t xml:space="preserve">, though in some countries requesting racial data is illegal, so these impacts will be hard to quantify despite good qualitative evidence </w:t>
      </w:r>
      <w:r w:rsidR="001B49F7">
        <w:rPr>
          <w:rFonts w:eastAsia="Arial" w:cs="Arial"/>
          <w:i/>
          <w:iCs/>
          <w:sz w:val="22"/>
          <w:szCs w:val="22"/>
        </w:rPr>
        <w:t>of benefits to IPLCs.</w:t>
      </w:r>
      <w:r w:rsidR="002C63EE">
        <w:rPr>
          <w:rFonts w:eastAsia="Arial" w:cs="Arial"/>
          <w:i/>
          <w:iCs/>
          <w:sz w:val="22"/>
          <w:szCs w:val="22"/>
        </w:rPr>
        <w:t xml:space="preserve"> Data from PIs shows that </w:t>
      </w:r>
      <w:r w:rsidR="005875E7">
        <w:rPr>
          <w:rFonts w:eastAsia="Arial" w:cs="Arial"/>
          <w:i/>
          <w:iCs/>
          <w:sz w:val="22"/>
          <w:szCs w:val="22"/>
        </w:rPr>
        <w:t xml:space="preserve">a partner in El Salvador made tens of thousands of </w:t>
      </w:r>
      <w:r w:rsidR="00B57C51">
        <w:rPr>
          <w:rFonts w:eastAsia="Arial" w:cs="Arial"/>
          <w:i/>
          <w:iCs/>
          <w:sz w:val="22"/>
          <w:szCs w:val="22"/>
        </w:rPr>
        <w:t>sub-</w:t>
      </w:r>
      <w:r w:rsidR="005875E7">
        <w:rPr>
          <w:rFonts w:eastAsia="Arial" w:cs="Arial"/>
          <w:i/>
          <w:iCs/>
          <w:sz w:val="22"/>
          <w:szCs w:val="22"/>
        </w:rPr>
        <w:t>loans at an average</w:t>
      </w:r>
      <w:r w:rsidR="001D54F9">
        <w:rPr>
          <w:rFonts w:eastAsia="Arial" w:cs="Arial"/>
          <w:i/>
          <w:iCs/>
          <w:sz w:val="22"/>
          <w:szCs w:val="22"/>
        </w:rPr>
        <w:t xml:space="preserve"> size</w:t>
      </w:r>
      <w:r w:rsidR="005875E7">
        <w:rPr>
          <w:rFonts w:eastAsia="Arial" w:cs="Arial"/>
          <w:i/>
          <w:iCs/>
          <w:sz w:val="22"/>
          <w:szCs w:val="22"/>
        </w:rPr>
        <w:t xml:space="preserve"> of $3,500</w:t>
      </w:r>
      <w:r w:rsidR="00D95BEC">
        <w:rPr>
          <w:rFonts w:eastAsia="Arial" w:cs="Arial"/>
          <w:i/>
          <w:iCs/>
          <w:sz w:val="22"/>
          <w:szCs w:val="22"/>
        </w:rPr>
        <w:t xml:space="preserve">, while </w:t>
      </w:r>
      <w:r w:rsidR="001C43CF">
        <w:rPr>
          <w:rFonts w:eastAsia="Arial" w:cs="Arial"/>
          <w:i/>
          <w:iCs/>
          <w:sz w:val="22"/>
          <w:szCs w:val="22"/>
        </w:rPr>
        <w:t>a PI</w:t>
      </w:r>
      <w:r w:rsidR="00B57C51">
        <w:rPr>
          <w:rFonts w:eastAsia="Arial" w:cs="Arial"/>
          <w:i/>
          <w:iCs/>
          <w:sz w:val="22"/>
          <w:szCs w:val="22"/>
        </w:rPr>
        <w:t xml:space="preserve"> </w:t>
      </w:r>
      <w:r w:rsidR="00BB2C93">
        <w:rPr>
          <w:rFonts w:eastAsia="Arial" w:cs="Arial"/>
          <w:i/>
          <w:iCs/>
          <w:sz w:val="22"/>
          <w:szCs w:val="22"/>
        </w:rPr>
        <w:t xml:space="preserve">in Peru </w:t>
      </w:r>
      <w:r w:rsidR="00B57C51">
        <w:rPr>
          <w:rFonts w:eastAsia="Arial" w:cs="Arial"/>
          <w:i/>
          <w:iCs/>
          <w:sz w:val="22"/>
          <w:szCs w:val="22"/>
        </w:rPr>
        <w:t>had average sub</w:t>
      </w:r>
      <w:r w:rsidR="003F3086">
        <w:rPr>
          <w:rFonts w:eastAsia="Arial" w:cs="Arial"/>
          <w:i/>
          <w:iCs/>
          <w:sz w:val="22"/>
          <w:szCs w:val="22"/>
        </w:rPr>
        <w:t>-</w:t>
      </w:r>
      <w:r w:rsidR="00B57C51">
        <w:rPr>
          <w:rFonts w:eastAsia="Arial" w:cs="Arial"/>
          <w:i/>
          <w:iCs/>
          <w:sz w:val="22"/>
          <w:szCs w:val="22"/>
        </w:rPr>
        <w:t>loans of $13,000</w:t>
      </w:r>
      <w:r w:rsidR="003F3086">
        <w:rPr>
          <w:rFonts w:eastAsia="Arial" w:cs="Arial"/>
          <w:i/>
          <w:iCs/>
          <w:sz w:val="22"/>
          <w:szCs w:val="22"/>
        </w:rPr>
        <w:t xml:space="preserve">. </w:t>
      </w:r>
      <w:r w:rsidR="00E12F32">
        <w:rPr>
          <w:rFonts w:eastAsia="Arial" w:cs="Arial"/>
          <w:i/>
          <w:iCs/>
          <w:sz w:val="22"/>
          <w:szCs w:val="22"/>
        </w:rPr>
        <w:t xml:space="preserve">On a field visit </w:t>
      </w:r>
      <w:r w:rsidR="00472D82">
        <w:rPr>
          <w:rFonts w:eastAsia="Arial" w:cs="Arial"/>
          <w:i/>
          <w:iCs/>
          <w:sz w:val="22"/>
          <w:szCs w:val="22"/>
        </w:rPr>
        <w:t xml:space="preserve">to Peru </w:t>
      </w:r>
      <w:r w:rsidR="00E12F32">
        <w:rPr>
          <w:rFonts w:eastAsia="Arial" w:cs="Arial"/>
          <w:i/>
          <w:iCs/>
          <w:sz w:val="22"/>
          <w:szCs w:val="22"/>
        </w:rPr>
        <w:t xml:space="preserve">Defra officials met </w:t>
      </w:r>
      <w:r w:rsidR="00554A77">
        <w:rPr>
          <w:rFonts w:eastAsia="Arial" w:cs="Arial"/>
          <w:i/>
          <w:iCs/>
          <w:sz w:val="22"/>
          <w:szCs w:val="22"/>
        </w:rPr>
        <w:t xml:space="preserve">three </w:t>
      </w:r>
      <w:r w:rsidR="00E12F32">
        <w:rPr>
          <w:rFonts w:eastAsia="Arial" w:cs="Arial"/>
          <w:i/>
          <w:iCs/>
          <w:sz w:val="22"/>
          <w:szCs w:val="22"/>
        </w:rPr>
        <w:t xml:space="preserve">Quechua smallholders </w:t>
      </w:r>
      <w:r w:rsidR="00F87970">
        <w:rPr>
          <w:rFonts w:eastAsia="Arial" w:cs="Arial"/>
          <w:i/>
          <w:iCs/>
          <w:sz w:val="22"/>
          <w:szCs w:val="22"/>
        </w:rPr>
        <w:t xml:space="preserve">in receipt of </w:t>
      </w:r>
      <w:r w:rsidR="00627ADC">
        <w:rPr>
          <w:rFonts w:eastAsia="Arial" w:cs="Arial"/>
          <w:i/>
          <w:iCs/>
          <w:sz w:val="22"/>
          <w:szCs w:val="22"/>
        </w:rPr>
        <w:t>sub-</w:t>
      </w:r>
      <w:r w:rsidR="00F87970">
        <w:rPr>
          <w:rFonts w:eastAsia="Arial" w:cs="Arial"/>
          <w:i/>
          <w:iCs/>
          <w:sz w:val="22"/>
          <w:szCs w:val="22"/>
        </w:rPr>
        <w:t xml:space="preserve">loans </w:t>
      </w:r>
      <w:r w:rsidR="00A9742C">
        <w:rPr>
          <w:rFonts w:eastAsia="Arial" w:cs="Arial"/>
          <w:i/>
          <w:iCs/>
          <w:sz w:val="22"/>
          <w:szCs w:val="22"/>
        </w:rPr>
        <w:t>worth about $10,000</w:t>
      </w:r>
      <w:r w:rsidR="00472D82">
        <w:rPr>
          <w:rFonts w:eastAsia="Arial" w:cs="Arial"/>
          <w:i/>
          <w:iCs/>
          <w:sz w:val="22"/>
          <w:szCs w:val="22"/>
        </w:rPr>
        <w:t xml:space="preserve">, with well-planned repayment terms; </w:t>
      </w:r>
      <w:r w:rsidR="00554A77">
        <w:rPr>
          <w:rFonts w:eastAsia="Arial" w:cs="Arial"/>
          <w:i/>
          <w:iCs/>
          <w:sz w:val="22"/>
          <w:szCs w:val="22"/>
        </w:rPr>
        <w:t>they all felt they had benefitted from the loans and were planning further loans and expansion of their businesses</w:t>
      </w:r>
      <w:r w:rsidR="00627ADC">
        <w:rPr>
          <w:rFonts w:eastAsia="Arial" w:cs="Arial"/>
          <w:i/>
          <w:iCs/>
          <w:sz w:val="22"/>
          <w:szCs w:val="22"/>
        </w:rPr>
        <w:t xml:space="preserve"> in future</w:t>
      </w:r>
      <w:r w:rsidR="00554A77">
        <w:rPr>
          <w:rFonts w:eastAsia="Arial" w:cs="Arial"/>
          <w:i/>
          <w:iCs/>
          <w:sz w:val="22"/>
          <w:szCs w:val="22"/>
        </w:rPr>
        <w:t>.</w:t>
      </w:r>
      <w:r w:rsidR="00A9742C">
        <w:rPr>
          <w:rFonts w:eastAsia="Arial" w:cs="Arial"/>
          <w:i/>
          <w:iCs/>
          <w:sz w:val="22"/>
          <w:szCs w:val="22"/>
        </w:rPr>
        <w:t xml:space="preserve"> </w:t>
      </w:r>
      <w:r w:rsidR="005C7269">
        <w:rPr>
          <w:rFonts w:eastAsia="Arial" w:cs="Arial"/>
          <w:i/>
          <w:iCs/>
          <w:sz w:val="22"/>
          <w:szCs w:val="22"/>
        </w:rPr>
        <w:t>T</w:t>
      </w:r>
      <w:r w:rsidR="003F3086">
        <w:rPr>
          <w:rFonts w:eastAsia="Arial" w:cs="Arial"/>
          <w:i/>
          <w:iCs/>
          <w:sz w:val="22"/>
          <w:szCs w:val="22"/>
        </w:rPr>
        <w:t xml:space="preserve">his </w:t>
      </w:r>
      <w:r w:rsidR="005C7269">
        <w:rPr>
          <w:rFonts w:eastAsia="Arial" w:cs="Arial"/>
          <w:i/>
          <w:iCs/>
          <w:sz w:val="22"/>
          <w:szCs w:val="22"/>
        </w:rPr>
        <w:t>shows</w:t>
      </w:r>
      <w:r w:rsidR="003F3086">
        <w:rPr>
          <w:rFonts w:eastAsia="Arial" w:cs="Arial"/>
          <w:i/>
          <w:iCs/>
          <w:sz w:val="22"/>
          <w:szCs w:val="22"/>
        </w:rPr>
        <w:t xml:space="preserve"> that some of the Fund’s PIs are making </w:t>
      </w:r>
      <w:r w:rsidR="00A361C9">
        <w:rPr>
          <w:rFonts w:eastAsia="Arial" w:cs="Arial"/>
          <w:i/>
          <w:iCs/>
          <w:sz w:val="22"/>
          <w:szCs w:val="22"/>
        </w:rPr>
        <w:t>micro-</w:t>
      </w:r>
      <w:r w:rsidR="003F3086">
        <w:rPr>
          <w:rFonts w:eastAsia="Arial" w:cs="Arial"/>
          <w:i/>
          <w:iCs/>
          <w:sz w:val="22"/>
          <w:szCs w:val="22"/>
        </w:rPr>
        <w:t>finance available to smallholders</w:t>
      </w:r>
      <w:r w:rsidR="00A361C9">
        <w:rPr>
          <w:rFonts w:eastAsia="Arial" w:cs="Arial"/>
          <w:i/>
          <w:iCs/>
          <w:sz w:val="22"/>
          <w:szCs w:val="22"/>
        </w:rPr>
        <w:t xml:space="preserve"> and very small businesses</w:t>
      </w:r>
      <w:r w:rsidR="005C7269">
        <w:rPr>
          <w:rFonts w:eastAsia="Arial" w:cs="Arial"/>
          <w:i/>
          <w:iCs/>
          <w:sz w:val="22"/>
          <w:szCs w:val="22"/>
        </w:rPr>
        <w:t xml:space="preserve">, which ought to </w:t>
      </w:r>
      <w:r w:rsidR="001C43CF">
        <w:rPr>
          <w:rFonts w:eastAsia="Arial" w:cs="Arial"/>
          <w:i/>
          <w:iCs/>
          <w:sz w:val="22"/>
          <w:szCs w:val="22"/>
        </w:rPr>
        <w:t>benefit</w:t>
      </w:r>
      <w:r w:rsidR="005C7269">
        <w:rPr>
          <w:rFonts w:eastAsia="Arial" w:cs="Arial"/>
          <w:i/>
          <w:iCs/>
          <w:sz w:val="22"/>
          <w:szCs w:val="22"/>
        </w:rPr>
        <w:t xml:space="preserve"> the poorest communities and IPLCs; it is hoped that the trend towards this </w:t>
      </w:r>
      <w:r w:rsidR="007C05A9">
        <w:rPr>
          <w:rFonts w:eastAsia="Arial" w:cs="Arial"/>
          <w:i/>
          <w:iCs/>
          <w:sz w:val="22"/>
          <w:szCs w:val="22"/>
        </w:rPr>
        <w:t xml:space="preserve">observed </w:t>
      </w:r>
      <w:r w:rsidR="005C7269">
        <w:rPr>
          <w:rFonts w:eastAsia="Arial" w:cs="Arial"/>
          <w:i/>
          <w:iCs/>
          <w:sz w:val="22"/>
          <w:szCs w:val="22"/>
        </w:rPr>
        <w:t>in 2024 will continue</w:t>
      </w:r>
      <w:r w:rsidR="001C43CF">
        <w:rPr>
          <w:rFonts w:eastAsia="Arial" w:cs="Arial"/>
          <w:i/>
          <w:iCs/>
          <w:sz w:val="22"/>
          <w:szCs w:val="22"/>
        </w:rPr>
        <w:t xml:space="preserve">, but </w:t>
      </w:r>
      <w:r w:rsidR="007E6998">
        <w:rPr>
          <w:rFonts w:eastAsia="Arial" w:cs="Arial"/>
          <w:i/>
          <w:iCs/>
          <w:sz w:val="22"/>
          <w:szCs w:val="22"/>
        </w:rPr>
        <w:t>alternative approaches may be</w:t>
      </w:r>
      <w:r w:rsidR="001C43CF">
        <w:rPr>
          <w:rFonts w:eastAsia="Arial" w:cs="Arial"/>
          <w:i/>
          <w:iCs/>
          <w:sz w:val="22"/>
          <w:szCs w:val="22"/>
        </w:rPr>
        <w:t xml:space="preserve"> needed to better understand </w:t>
      </w:r>
      <w:r w:rsidR="00B013B8">
        <w:rPr>
          <w:rFonts w:eastAsia="Arial" w:cs="Arial"/>
          <w:i/>
          <w:iCs/>
          <w:sz w:val="22"/>
          <w:szCs w:val="22"/>
        </w:rPr>
        <w:t xml:space="preserve">and demonstrate </w:t>
      </w:r>
      <w:r w:rsidR="001C43CF">
        <w:rPr>
          <w:rFonts w:eastAsia="Arial" w:cs="Arial"/>
          <w:i/>
          <w:iCs/>
          <w:sz w:val="22"/>
          <w:szCs w:val="22"/>
        </w:rPr>
        <w:t>the</w:t>
      </w:r>
      <w:r w:rsidR="00B013B8">
        <w:rPr>
          <w:rFonts w:eastAsia="Arial" w:cs="Arial"/>
          <w:i/>
          <w:iCs/>
          <w:sz w:val="22"/>
          <w:szCs w:val="22"/>
        </w:rPr>
        <w:t>se</w:t>
      </w:r>
      <w:r w:rsidR="001C43CF">
        <w:rPr>
          <w:rFonts w:eastAsia="Arial" w:cs="Arial"/>
          <w:i/>
          <w:iCs/>
          <w:sz w:val="22"/>
          <w:szCs w:val="22"/>
        </w:rPr>
        <w:t xml:space="preserve"> connec</w:t>
      </w:r>
      <w:r w:rsidR="00B013B8">
        <w:rPr>
          <w:rFonts w:eastAsia="Arial" w:cs="Arial"/>
          <w:i/>
          <w:iCs/>
          <w:sz w:val="22"/>
          <w:szCs w:val="22"/>
        </w:rPr>
        <w:t>tions</w:t>
      </w:r>
      <w:r w:rsidR="005C7269">
        <w:rPr>
          <w:rFonts w:eastAsia="Arial" w:cs="Arial"/>
          <w:i/>
          <w:iCs/>
          <w:sz w:val="22"/>
          <w:szCs w:val="22"/>
        </w:rPr>
        <w:t>.</w:t>
      </w:r>
    </w:p>
    <w:p w14:paraId="03EA13D5" w14:textId="0F9D778F" w:rsidR="00B22283" w:rsidRDefault="00744276" w:rsidP="00B22283">
      <w:pPr>
        <w:tabs>
          <w:tab w:val="left" w:pos="6915"/>
          <w:tab w:val="left" w:pos="9495"/>
        </w:tabs>
        <w:jc w:val="both"/>
        <w:rPr>
          <w:rFonts w:eastAsia="Arial" w:cs="Arial"/>
          <w:sz w:val="22"/>
          <w:szCs w:val="22"/>
        </w:rPr>
      </w:pPr>
      <w:r>
        <w:rPr>
          <w:rFonts w:eastAsia="Arial" w:cs="Arial"/>
          <w:b/>
          <w:bCs/>
          <w:sz w:val="22"/>
          <w:szCs w:val="22"/>
        </w:rPr>
        <w:t>2024 r</w:t>
      </w:r>
      <w:r w:rsidR="00B22283" w:rsidRPr="00744276">
        <w:rPr>
          <w:rFonts w:eastAsia="Arial" w:cs="Arial"/>
          <w:b/>
          <w:bCs/>
          <w:sz w:val="22"/>
          <w:szCs w:val="22"/>
        </w:rPr>
        <w:t>ecommendations</w:t>
      </w:r>
      <w:r w:rsidR="00B22283">
        <w:rPr>
          <w:rFonts w:eastAsia="Arial" w:cs="Arial"/>
          <w:sz w:val="22"/>
          <w:szCs w:val="22"/>
        </w:rPr>
        <w:t>:</w:t>
      </w:r>
    </w:p>
    <w:p w14:paraId="310D79D6" w14:textId="77777777" w:rsidR="00744276" w:rsidRPr="00B22283" w:rsidRDefault="00744276" w:rsidP="00B22283">
      <w:pPr>
        <w:tabs>
          <w:tab w:val="left" w:pos="6915"/>
          <w:tab w:val="left" w:pos="9495"/>
        </w:tabs>
        <w:jc w:val="both"/>
        <w:rPr>
          <w:rFonts w:eastAsia="Arial" w:cs="Arial"/>
          <w:sz w:val="22"/>
          <w:szCs w:val="22"/>
        </w:rPr>
      </w:pPr>
    </w:p>
    <w:p w14:paraId="6DE51836" w14:textId="3F0474F4" w:rsidR="00B22283" w:rsidRDefault="00BA16D4" w:rsidP="00B22283">
      <w:pPr>
        <w:pStyle w:val="ListParagraph"/>
        <w:numPr>
          <w:ilvl w:val="0"/>
          <w:numId w:val="16"/>
        </w:numPr>
        <w:tabs>
          <w:tab w:val="left" w:pos="6915"/>
          <w:tab w:val="left" w:pos="9495"/>
        </w:tabs>
        <w:jc w:val="both"/>
        <w:rPr>
          <w:rFonts w:eastAsia="Arial" w:cs="Arial"/>
          <w:sz w:val="22"/>
          <w:szCs w:val="22"/>
        </w:rPr>
      </w:pPr>
      <w:r>
        <w:rPr>
          <w:rFonts w:eastAsia="Arial" w:cs="Arial"/>
          <w:sz w:val="22"/>
          <w:szCs w:val="22"/>
        </w:rPr>
        <w:t xml:space="preserve">Seek further evidence on links between </w:t>
      </w:r>
      <w:r w:rsidR="00A13D42">
        <w:rPr>
          <w:rFonts w:eastAsia="Arial" w:cs="Arial"/>
          <w:sz w:val="22"/>
          <w:szCs w:val="22"/>
        </w:rPr>
        <w:t xml:space="preserve">sub-loans and </w:t>
      </w:r>
      <w:r>
        <w:rPr>
          <w:rFonts w:eastAsia="Arial" w:cs="Arial"/>
          <w:sz w:val="22"/>
          <w:szCs w:val="22"/>
        </w:rPr>
        <w:t xml:space="preserve">microfinance </w:t>
      </w:r>
      <w:r w:rsidR="00DA4A52">
        <w:rPr>
          <w:rFonts w:eastAsia="Arial" w:cs="Arial"/>
          <w:sz w:val="22"/>
          <w:szCs w:val="22"/>
        </w:rPr>
        <w:t xml:space="preserve">provided by the Fund </w:t>
      </w:r>
      <w:r>
        <w:rPr>
          <w:rFonts w:eastAsia="Arial" w:cs="Arial"/>
          <w:sz w:val="22"/>
          <w:szCs w:val="22"/>
        </w:rPr>
        <w:t>and its impact on poverty and IPLCs.</w:t>
      </w:r>
    </w:p>
    <w:p w14:paraId="3DF909A7" w14:textId="798BCFA4" w:rsidR="008F2143" w:rsidRDefault="008F2143" w:rsidP="00B22283">
      <w:pPr>
        <w:pStyle w:val="ListParagraph"/>
        <w:numPr>
          <w:ilvl w:val="0"/>
          <w:numId w:val="16"/>
        </w:numPr>
        <w:tabs>
          <w:tab w:val="left" w:pos="6915"/>
          <w:tab w:val="left" w:pos="9495"/>
        </w:tabs>
        <w:jc w:val="both"/>
        <w:rPr>
          <w:rFonts w:eastAsia="Arial" w:cs="Arial"/>
          <w:sz w:val="22"/>
          <w:szCs w:val="22"/>
        </w:rPr>
      </w:pPr>
      <w:r>
        <w:rPr>
          <w:rFonts w:eastAsia="Arial" w:cs="Arial"/>
          <w:sz w:val="22"/>
          <w:szCs w:val="22"/>
        </w:rPr>
        <w:t>Follow up on gender reporting pilot.</w:t>
      </w:r>
    </w:p>
    <w:p w14:paraId="16DC79CE" w14:textId="51FB82BA" w:rsidR="00DA4A52" w:rsidRDefault="00DA4A52" w:rsidP="00B22283">
      <w:pPr>
        <w:pStyle w:val="ListParagraph"/>
        <w:numPr>
          <w:ilvl w:val="0"/>
          <w:numId w:val="16"/>
        </w:numPr>
        <w:tabs>
          <w:tab w:val="left" w:pos="6915"/>
          <w:tab w:val="left" w:pos="9495"/>
        </w:tabs>
        <w:jc w:val="both"/>
        <w:rPr>
          <w:rFonts w:eastAsia="Arial" w:cs="Arial"/>
          <w:sz w:val="22"/>
          <w:szCs w:val="22"/>
        </w:rPr>
      </w:pPr>
      <w:r>
        <w:rPr>
          <w:rFonts w:eastAsia="Arial" w:cs="Arial"/>
          <w:sz w:val="22"/>
          <w:szCs w:val="22"/>
        </w:rPr>
        <w:t xml:space="preserve">Consider reframing output indicator 3.4 to </w:t>
      </w:r>
      <w:r w:rsidR="00744276">
        <w:rPr>
          <w:rFonts w:eastAsia="Arial" w:cs="Arial"/>
          <w:sz w:val="22"/>
          <w:szCs w:val="22"/>
        </w:rPr>
        <w:t>make it ‘spend per project’ rather than overall spend, so that completing additional TA projects is not disincentivised.</w:t>
      </w:r>
    </w:p>
    <w:p w14:paraId="41BCF4DB" w14:textId="6CE96A02" w:rsidR="00314E01" w:rsidRPr="002D15F7" w:rsidRDefault="00A20664" w:rsidP="008873BB">
      <w:pPr>
        <w:pStyle w:val="ListParagraph"/>
        <w:numPr>
          <w:ilvl w:val="0"/>
          <w:numId w:val="16"/>
        </w:numPr>
        <w:tabs>
          <w:tab w:val="left" w:pos="6915"/>
          <w:tab w:val="left" w:pos="9495"/>
        </w:tabs>
        <w:jc w:val="both"/>
        <w:rPr>
          <w:rFonts w:eastAsia="Arial" w:cs="Arial"/>
          <w:sz w:val="22"/>
          <w:szCs w:val="22"/>
        </w:rPr>
      </w:pPr>
      <w:r>
        <w:rPr>
          <w:rFonts w:eastAsia="Arial" w:cs="Arial"/>
          <w:sz w:val="22"/>
          <w:szCs w:val="22"/>
        </w:rPr>
        <w:t>Programme team to engage in more detail with FiM on their counter-fraud</w:t>
      </w:r>
      <w:r w:rsidR="00CC4BC5">
        <w:rPr>
          <w:rFonts w:eastAsia="Arial" w:cs="Arial"/>
          <w:sz w:val="22"/>
          <w:szCs w:val="22"/>
        </w:rPr>
        <w:t xml:space="preserve"> policies and monitoring to improve </w:t>
      </w:r>
      <w:r w:rsidR="00A45122">
        <w:rPr>
          <w:rFonts w:eastAsia="Arial" w:cs="Arial"/>
          <w:sz w:val="22"/>
          <w:szCs w:val="22"/>
        </w:rPr>
        <w:t xml:space="preserve">our </w:t>
      </w:r>
      <w:r w:rsidR="00CC4BC5">
        <w:rPr>
          <w:rFonts w:eastAsia="Arial" w:cs="Arial"/>
          <w:sz w:val="22"/>
          <w:szCs w:val="22"/>
        </w:rPr>
        <w:t>assurance.</w:t>
      </w:r>
    </w:p>
    <w:p w14:paraId="29C81E76" w14:textId="7B8F3CFA" w:rsidR="008873BB" w:rsidRDefault="008873BB" w:rsidP="008873BB">
      <w:pPr>
        <w:jc w:val="both"/>
        <w:rPr>
          <w:rFonts w:eastAsia="Arial" w:cs="Arial"/>
          <w:color w:val="000000" w:themeColor="text1"/>
          <w:sz w:val="22"/>
          <w:szCs w:val="22"/>
        </w:rPr>
      </w:pPr>
      <w:r>
        <w:rPr>
          <w:rFonts w:eastAsia="Arial" w:cs="Arial"/>
          <w:b/>
          <w:bCs/>
          <w:color w:val="000000" w:themeColor="text1"/>
          <w:sz w:val="22"/>
          <w:szCs w:val="22"/>
        </w:rPr>
        <w:t>G</w:t>
      </w:r>
      <w:r w:rsidR="00DB3BA8">
        <w:rPr>
          <w:rFonts w:eastAsia="Arial" w:cs="Arial"/>
          <w:b/>
          <w:bCs/>
          <w:color w:val="000000" w:themeColor="text1"/>
          <w:sz w:val="22"/>
          <w:szCs w:val="22"/>
        </w:rPr>
        <w:t xml:space="preserve">ender </w:t>
      </w:r>
      <w:r>
        <w:rPr>
          <w:rFonts w:eastAsia="Arial" w:cs="Arial"/>
          <w:b/>
          <w:bCs/>
          <w:color w:val="000000" w:themeColor="text1"/>
          <w:sz w:val="22"/>
          <w:szCs w:val="22"/>
        </w:rPr>
        <w:t>E</w:t>
      </w:r>
      <w:r w:rsidR="00DB3BA8">
        <w:rPr>
          <w:rFonts w:eastAsia="Arial" w:cs="Arial"/>
          <w:b/>
          <w:bCs/>
          <w:color w:val="000000" w:themeColor="text1"/>
          <w:sz w:val="22"/>
          <w:szCs w:val="22"/>
        </w:rPr>
        <w:t>quality, Disabil</w:t>
      </w:r>
      <w:r w:rsidR="00EC18D8">
        <w:rPr>
          <w:rFonts w:eastAsia="Arial" w:cs="Arial"/>
          <w:b/>
          <w:bCs/>
          <w:color w:val="000000" w:themeColor="text1"/>
          <w:sz w:val="22"/>
          <w:szCs w:val="22"/>
        </w:rPr>
        <w:t>it</w:t>
      </w:r>
      <w:r w:rsidR="008F6EC1">
        <w:rPr>
          <w:rFonts w:eastAsia="Arial" w:cs="Arial"/>
          <w:b/>
          <w:bCs/>
          <w:color w:val="000000" w:themeColor="text1"/>
          <w:sz w:val="22"/>
          <w:szCs w:val="22"/>
        </w:rPr>
        <w:t>y,</w:t>
      </w:r>
      <w:r w:rsidR="00DB3BA8">
        <w:rPr>
          <w:rFonts w:eastAsia="Arial" w:cs="Arial"/>
          <w:b/>
          <w:bCs/>
          <w:color w:val="000000" w:themeColor="text1"/>
          <w:sz w:val="22"/>
          <w:szCs w:val="22"/>
        </w:rPr>
        <w:t xml:space="preserve"> and </w:t>
      </w:r>
      <w:r>
        <w:rPr>
          <w:rFonts w:eastAsia="Arial" w:cs="Arial"/>
          <w:b/>
          <w:bCs/>
          <w:color w:val="000000" w:themeColor="text1"/>
          <w:sz w:val="22"/>
          <w:szCs w:val="22"/>
        </w:rPr>
        <w:t>S</w:t>
      </w:r>
      <w:r w:rsidR="00DB3BA8">
        <w:rPr>
          <w:rFonts w:eastAsia="Arial" w:cs="Arial"/>
          <w:b/>
          <w:bCs/>
          <w:color w:val="000000" w:themeColor="text1"/>
          <w:sz w:val="22"/>
          <w:szCs w:val="22"/>
        </w:rPr>
        <w:t xml:space="preserve">ocial </w:t>
      </w:r>
      <w:r>
        <w:rPr>
          <w:rFonts w:eastAsia="Arial" w:cs="Arial"/>
          <w:b/>
          <w:bCs/>
          <w:color w:val="000000" w:themeColor="text1"/>
          <w:sz w:val="22"/>
          <w:szCs w:val="22"/>
        </w:rPr>
        <w:t>I</w:t>
      </w:r>
      <w:r w:rsidR="00DB3BA8">
        <w:rPr>
          <w:rFonts w:eastAsia="Arial" w:cs="Arial"/>
          <w:b/>
          <w:bCs/>
          <w:color w:val="000000" w:themeColor="text1"/>
          <w:sz w:val="22"/>
          <w:szCs w:val="22"/>
        </w:rPr>
        <w:t>nclusion (GE</w:t>
      </w:r>
      <w:r w:rsidR="008F6EC1">
        <w:rPr>
          <w:rFonts w:eastAsia="Arial" w:cs="Arial"/>
          <w:b/>
          <w:bCs/>
          <w:color w:val="000000" w:themeColor="text1"/>
          <w:sz w:val="22"/>
          <w:szCs w:val="22"/>
        </w:rPr>
        <w:t>D</w:t>
      </w:r>
      <w:r w:rsidR="00DB3BA8">
        <w:rPr>
          <w:rFonts w:eastAsia="Arial" w:cs="Arial"/>
          <w:b/>
          <w:bCs/>
          <w:color w:val="000000" w:themeColor="text1"/>
          <w:sz w:val="22"/>
          <w:szCs w:val="22"/>
        </w:rPr>
        <w:t>SI)</w:t>
      </w:r>
      <w:r>
        <w:rPr>
          <w:rFonts w:eastAsia="Arial" w:cs="Arial"/>
          <w:b/>
          <w:bCs/>
          <w:color w:val="000000" w:themeColor="text1"/>
          <w:sz w:val="22"/>
          <w:szCs w:val="22"/>
        </w:rPr>
        <w:t xml:space="preserve"> update</w:t>
      </w:r>
    </w:p>
    <w:p w14:paraId="4A842BC1" w14:textId="77777777" w:rsidR="008873BB" w:rsidRDefault="008873BB" w:rsidP="008873BB">
      <w:pPr>
        <w:jc w:val="both"/>
        <w:rPr>
          <w:rFonts w:eastAsia="Arial" w:cs="Arial"/>
          <w:color w:val="000000" w:themeColor="text1"/>
          <w:sz w:val="22"/>
          <w:szCs w:val="22"/>
        </w:rPr>
      </w:pPr>
    </w:p>
    <w:p w14:paraId="55FB8381" w14:textId="58B7C423" w:rsidR="008873BB" w:rsidRDefault="00D577D2" w:rsidP="008873BB">
      <w:pPr>
        <w:jc w:val="both"/>
        <w:rPr>
          <w:rFonts w:eastAsia="Arial" w:cs="Arial"/>
          <w:color w:val="000000" w:themeColor="text1"/>
          <w:sz w:val="22"/>
          <w:szCs w:val="22"/>
        </w:rPr>
      </w:pPr>
      <w:r w:rsidRPr="1022CED8">
        <w:rPr>
          <w:rFonts w:eastAsia="Arial" w:cs="Arial"/>
          <w:color w:val="000000" w:themeColor="text1"/>
          <w:sz w:val="22"/>
          <w:szCs w:val="22"/>
        </w:rPr>
        <w:t>I</w:t>
      </w:r>
      <w:r w:rsidR="008873BB" w:rsidRPr="1022CED8">
        <w:rPr>
          <w:rFonts w:eastAsia="Arial" w:cs="Arial"/>
          <w:color w:val="000000" w:themeColor="text1"/>
          <w:sz w:val="22"/>
          <w:szCs w:val="22"/>
        </w:rPr>
        <w:t>n 2024</w:t>
      </w:r>
      <w:r w:rsidR="00DE6CED" w:rsidRPr="1022CED8">
        <w:rPr>
          <w:rFonts w:eastAsia="Arial" w:cs="Arial"/>
          <w:color w:val="000000" w:themeColor="text1"/>
          <w:sz w:val="22"/>
          <w:szCs w:val="22"/>
        </w:rPr>
        <w:t>,</w:t>
      </w:r>
      <w:r w:rsidR="008873BB" w:rsidRPr="1022CED8">
        <w:rPr>
          <w:rFonts w:eastAsia="Arial" w:cs="Arial"/>
          <w:color w:val="000000" w:themeColor="text1"/>
          <w:sz w:val="22"/>
          <w:szCs w:val="22"/>
        </w:rPr>
        <w:t xml:space="preserve"> </w:t>
      </w:r>
      <w:r w:rsidRPr="1022CED8">
        <w:rPr>
          <w:rFonts w:eastAsia="Arial" w:cs="Arial"/>
          <w:color w:val="000000" w:themeColor="text1"/>
          <w:sz w:val="22"/>
          <w:szCs w:val="22"/>
        </w:rPr>
        <w:t>following a review and discussions with Fund staff,</w:t>
      </w:r>
      <w:r w:rsidR="008873BB" w:rsidRPr="1022CED8">
        <w:rPr>
          <w:rFonts w:eastAsia="Arial" w:cs="Arial"/>
          <w:color w:val="000000" w:themeColor="text1"/>
          <w:sz w:val="22"/>
          <w:szCs w:val="22"/>
        </w:rPr>
        <w:t xml:space="preserve"> the EBF programme </w:t>
      </w:r>
      <w:r w:rsidRPr="1022CED8">
        <w:rPr>
          <w:rFonts w:eastAsia="Arial" w:cs="Arial"/>
          <w:color w:val="000000" w:themeColor="text1"/>
          <w:sz w:val="22"/>
          <w:szCs w:val="22"/>
        </w:rPr>
        <w:t xml:space="preserve">was </w:t>
      </w:r>
      <w:r w:rsidR="008873BB" w:rsidRPr="1022CED8">
        <w:rPr>
          <w:rFonts w:eastAsia="Arial" w:cs="Arial"/>
          <w:color w:val="000000" w:themeColor="text1"/>
          <w:sz w:val="22"/>
          <w:szCs w:val="22"/>
        </w:rPr>
        <w:t>upgraded to GE</w:t>
      </w:r>
      <w:r w:rsidR="00142A03">
        <w:rPr>
          <w:rFonts w:eastAsia="Arial" w:cs="Arial"/>
          <w:color w:val="000000" w:themeColor="text1"/>
          <w:sz w:val="22"/>
          <w:szCs w:val="22"/>
        </w:rPr>
        <w:t>D</w:t>
      </w:r>
      <w:r w:rsidR="008873BB" w:rsidRPr="1022CED8">
        <w:rPr>
          <w:rFonts w:eastAsia="Arial" w:cs="Arial"/>
          <w:color w:val="000000" w:themeColor="text1"/>
          <w:sz w:val="22"/>
          <w:szCs w:val="22"/>
        </w:rPr>
        <w:t>SI Sensitive</w:t>
      </w:r>
      <w:r w:rsidR="008873BB" w:rsidRPr="00955038">
        <w:rPr>
          <w:rFonts w:eastAsia="Arial" w:cs="Arial"/>
          <w:color w:val="000000" w:themeColor="text1"/>
          <w:sz w:val="22"/>
          <w:szCs w:val="22"/>
        </w:rPr>
        <w:t>.</w:t>
      </w:r>
      <w:r w:rsidR="00955038" w:rsidRPr="00955038">
        <w:rPr>
          <w:rFonts w:eastAsia="Arial" w:cs="Arial"/>
          <w:color w:val="000000" w:themeColor="text1"/>
          <w:sz w:val="22"/>
          <w:szCs w:val="22"/>
        </w:rPr>
        <w:t xml:space="preserve"> </w:t>
      </w:r>
      <w:r w:rsidR="001B569E">
        <w:rPr>
          <w:rFonts w:eastAsia="Arial" w:cs="Arial"/>
          <w:color w:val="000000" w:themeColor="text1"/>
          <w:sz w:val="22"/>
          <w:szCs w:val="22"/>
        </w:rPr>
        <w:t xml:space="preserve">As a </w:t>
      </w:r>
      <w:r w:rsidR="001F7B39">
        <w:rPr>
          <w:rFonts w:eastAsia="Arial" w:cs="Arial"/>
          <w:color w:val="000000" w:themeColor="text1"/>
          <w:sz w:val="22"/>
          <w:szCs w:val="22"/>
        </w:rPr>
        <w:t xml:space="preserve">minor shareholder in a multilateral Fund, Defra has </w:t>
      </w:r>
      <w:r w:rsidR="0019112C">
        <w:rPr>
          <w:rFonts w:eastAsia="Arial" w:cs="Arial"/>
          <w:color w:val="000000" w:themeColor="text1"/>
          <w:sz w:val="22"/>
          <w:szCs w:val="22"/>
        </w:rPr>
        <w:t>no direct levers to influence GE</w:t>
      </w:r>
      <w:r w:rsidR="009D531F">
        <w:rPr>
          <w:rFonts w:eastAsia="Arial" w:cs="Arial"/>
          <w:color w:val="000000" w:themeColor="text1"/>
          <w:sz w:val="22"/>
          <w:szCs w:val="22"/>
        </w:rPr>
        <w:t xml:space="preserve">DSI </w:t>
      </w:r>
      <w:r w:rsidR="00003947">
        <w:rPr>
          <w:rFonts w:eastAsia="Arial" w:cs="Arial"/>
          <w:color w:val="000000" w:themeColor="text1"/>
          <w:sz w:val="22"/>
          <w:szCs w:val="22"/>
        </w:rPr>
        <w:t xml:space="preserve">aspects </w:t>
      </w:r>
      <w:r w:rsidR="00E50B91">
        <w:rPr>
          <w:rFonts w:eastAsia="Arial" w:cs="Arial"/>
          <w:color w:val="000000" w:themeColor="text1"/>
          <w:sz w:val="22"/>
          <w:szCs w:val="22"/>
        </w:rPr>
        <w:t>of the programme’s implementation</w:t>
      </w:r>
      <w:r w:rsidR="00576ABE">
        <w:rPr>
          <w:rFonts w:eastAsia="Arial" w:cs="Arial"/>
          <w:color w:val="000000" w:themeColor="text1"/>
          <w:sz w:val="22"/>
          <w:szCs w:val="22"/>
        </w:rPr>
        <w:t>. F</w:t>
      </w:r>
      <w:r w:rsidR="00D8224F">
        <w:rPr>
          <w:rFonts w:eastAsia="Arial" w:cs="Arial"/>
          <w:color w:val="000000" w:themeColor="text1"/>
          <w:sz w:val="22"/>
          <w:szCs w:val="22"/>
        </w:rPr>
        <w:t xml:space="preserve">or most </w:t>
      </w:r>
      <w:r w:rsidR="00637979">
        <w:rPr>
          <w:rFonts w:eastAsia="Arial" w:cs="Arial"/>
          <w:color w:val="000000" w:themeColor="text1"/>
          <w:sz w:val="22"/>
          <w:szCs w:val="22"/>
        </w:rPr>
        <w:t xml:space="preserve">sub-loan products </w:t>
      </w:r>
      <w:r w:rsidR="00022CD7">
        <w:rPr>
          <w:rFonts w:eastAsia="Arial" w:cs="Arial"/>
          <w:color w:val="000000" w:themeColor="text1"/>
          <w:sz w:val="22"/>
          <w:szCs w:val="22"/>
        </w:rPr>
        <w:t xml:space="preserve">the criteria are </w:t>
      </w:r>
      <w:r w:rsidR="00A40455">
        <w:rPr>
          <w:rFonts w:eastAsia="Arial" w:cs="Arial"/>
          <w:color w:val="000000" w:themeColor="text1"/>
          <w:sz w:val="22"/>
          <w:szCs w:val="22"/>
        </w:rPr>
        <w:t xml:space="preserve">based </w:t>
      </w:r>
      <w:r w:rsidR="000066C9">
        <w:rPr>
          <w:rFonts w:eastAsia="Arial" w:cs="Arial"/>
          <w:color w:val="000000" w:themeColor="text1"/>
          <w:sz w:val="22"/>
          <w:szCs w:val="22"/>
        </w:rPr>
        <w:t xml:space="preserve">primarily </w:t>
      </w:r>
      <w:r w:rsidR="00A40455">
        <w:rPr>
          <w:rFonts w:eastAsia="Arial" w:cs="Arial"/>
          <w:color w:val="000000" w:themeColor="text1"/>
          <w:sz w:val="22"/>
          <w:szCs w:val="22"/>
        </w:rPr>
        <w:t xml:space="preserve">on </w:t>
      </w:r>
      <w:r w:rsidR="009D3CDB">
        <w:rPr>
          <w:rFonts w:eastAsia="Arial" w:cs="Arial"/>
          <w:color w:val="000000" w:themeColor="text1"/>
          <w:sz w:val="22"/>
          <w:szCs w:val="22"/>
        </w:rPr>
        <w:t>sustainability criteria</w:t>
      </w:r>
      <w:r w:rsidR="00D301F2">
        <w:rPr>
          <w:rFonts w:eastAsia="Arial" w:cs="Arial"/>
          <w:color w:val="000000" w:themeColor="text1"/>
          <w:sz w:val="22"/>
          <w:szCs w:val="22"/>
        </w:rPr>
        <w:t xml:space="preserve">, so </w:t>
      </w:r>
      <w:r w:rsidR="000770B2">
        <w:rPr>
          <w:rFonts w:eastAsia="Arial" w:cs="Arial"/>
          <w:color w:val="000000" w:themeColor="text1"/>
          <w:sz w:val="22"/>
          <w:szCs w:val="22"/>
        </w:rPr>
        <w:t xml:space="preserve">even the Fund is not able to directly </w:t>
      </w:r>
      <w:r w:rsidR="002D1C12">
        <w:rPr>
          <w:rFonts w:eastAsia="Arial" w:cs="Arial"/>
          <w:color w:val="000000" w:themeColor="text1"/>
          <w:sz w:val="22"/>
          <w:szCs w:val="22"/>
        </w:rPr>
        <w:t>affect</w:t>
      </w:r>
      <w:r w:rsidR="000770B2">
        <w:rPr>
          <w:rFonts w:eastAsia="Arial" w:cs="Arial"/>
          <w:color w:val="000000" w:themeColor="text1"/>
          <w:sz w:val="22"/>
          <w:szCs w:val="22"/>
        </w:rPr>
        <w:t xml:space="preserve"> </w:t>
      </w:r>
      <w:r w:rsidR="00325C89">
        <w:rPr>
          <w:rFonts w:eastAsia="Arial" w:cs="Arial"/>
          <w:color w:val="000000" w:themeColor="text1"/>
          <w:sz w:val="22"/>
          <w:szCs w:val="22"/>
        </w:rPr>
        <w:t>the ratio of women</w:t>
      </w:r>
      <w:r w:rsidR="00996BFF">
        <w:rPr>
          <w:rFonts w:eastAsia="Arial" w:cs="Arial"/>
          <w:color w:val="000000" w:themeColor="text1"/>
          <w:sz w:val="22"/>
          <w:szCs w:val="22"/>
        </w:rPr>
        <w:t xml:space="preserve">, </w:t>
      </w:r>
      <w:r w:rsidR="00996BFF" w:rsidRPr="00996BFF">
        <w:rPr>
          <w:rFonts w:eastAsia="Arial" w:cs="Arial"/>
          <w:color w:val="000000" w:themeColor="text1"/>
          <w:sz w:val="22"/>
          <w:szCs w:val="22"/>
        </w:rPr>
        <w:t>people with disabilities, or Indigenous People</w:t>
      </w:r>
      <w:r w:rsidR="00325C89">
        <w:rPr>
          <w:rFonts w:eastAsia="Arial" w:cs="Arial"/>
          <w:color w:val="000000" w:themeColor="text1"/>
          <w:sz w:val="22"/>
          <w:szCs w:val="22"/>
        </w:rPr>
        <w:t xml:space="preserve"> seeking loans</w:t>
      </w:r>
      <w:r w:rsidR="00E50B91">
        <w:rPr>
          <w:rFonts w:eastAsia="Arial" w:cs="Arial"/>
          <w:color w:val="000000" w:themeColor="text1"/>
          <w:sz w:val="22"/>
          <w:szCs w:val="22"/>
        </w:rPr>
        <w:t>. However, we</w:t>
      </w:r>
      <w:r w:rsidR="007567AD">
        <w:rPr>
          <w:rFonts w:eastAsia="Arial" w:cs="Arial"/>
          <w:color w:val="000000" w:themeColor="text1"/>
          <w:sz w:val="22"/>
          <w:szCs w:val="22"/>
        </w:rPr>
        <w:t xml:space="preserve"> proactively engage with EBF on GE</w:t>
      </w:r>
      <w:r w:rsidR="00F27424">
        <w:rPr>
          <w:rFonts w:eastAsia="Arial" w:cs="Arial"/>
          <w:color w:val="000000" w:themeColor="text1"/>
          <w:sz w:val="22"/>
          <w:szCs w:val="22"/>
        </w:rPr>
        <w:t>D</w:t>
      </w:r>
      <w:r w:rsidR="007567AD">
        <w:rPr>
          <w:rFonts w:eastAsia="Arial" w:cs="Arial"/>
          <w:color w:val="000000" w:themeColor="text1"/>
          <w:sz w:val="22"/>
          <w:szCs w:val="22"/>
        </w:rPr>
        <w:t>SI issues on a regular basis</w:t>
      </w:r>
      <w:r w:rsidR="001B569E">
        <w:rPr>
          <w:rFonts w:eastAsia="Arial" w:cs="Arial"/>
          <w:color w:val="000000" w:themeColor="text1"/>
          <w:sz w:val="22"/>
          <w:szCs w:val="22"/>
        </w:rPr>
        <w:t>, including directly with FiM, and through the quarterly Board meetings</w:t>
      </w:r>
      <w:r w:rsidR="006C653A">
        <w:rPr>
          <w:rFonts w:eastAsia="Arial" w:cs="Arial"/>
          <w:color w:val="000000" w:themeColor="text1"/>
          <w:sz w:val="22"/>
          <w:szCs w:val="22"/>
        </w:rPr>
        <w:t>,</w:t>
      </w:r>
      <w:r w:rsidR="001B569E">
        <w:rPr>
          <w:rFonts w:eastAsia="Arial" w:cs="Arial"/>
          <w:color w:val="000000" w:themeColor="text1"/>
          <w:sz w:val="22"/>
          <w:szCs w:val="22"/>
        </w:rPr>
        <w:t xml:space="preserve"> to help identify opportunities for </w:t>
      </w:r>
      <w:r w:rsidR="00056509">
        <w:rPr>
          <w:rFonts w:eastAsia="Arial" w:cs="Arial"/>
          <w:color w:val="000000" w:themeColor="text1"/>
          <w:sz w:val="22"/>
          <w:szCs w:val="22"/>
        </w:rPr>
        <w:t>the</w:t>
      </w:r>
      <w:r w:rsidR="001B569E">
        <w:rPr>
          <w:rFonts w:eastAsia="Arial" w:cs="Arial"/>
          <w:color w:val="000000" w:themeColor="text1"/>
          <w:sz w:val="22"/>
          <w:szCs w:val="22"/>
        </w:rPr>
        <w:t xml:space="preserve"> future</w:t>
      </w:r>
      <w:r w:rsidR="00CF5A6A">
        <w:rPr>
          <w:rFonts w:eastAsia="Arial" w:cs="Arial"/>
          <w:color w:val="000000" w:themeColor="text1"/>
          <w:sz w:val="22"/>
          <w:szCs w:val="22"/>
        </w:rPr>
        <w:t>, such as improved reporting or dedicated TA projects</w:t>
      </w:r>
      <w:r w:rsidR="008873BB" w:rsidRPr="1022CED8">
        <w:rPr>
          <w:rFonts w:eastAsia="Arial" w:cs="Arial"/>
          <w:color w:val="000000" w:themeColor="text1"/>
          <w:sz w:val="22"/>
          <w:szCs w:val="22"/>
        </w:rPr>
        <w:t>.</w:t>
      </w:r>
      <w:r w:rsidR="006824E2">
        <w:rPr>
          <w:rFonts w:eastAsia="Arial" w:cs="Arial"/>
          <w:color w:val="000000" w:themeColor="text1"/>
          <w:sz w:val="22"/>
          <w:szCs w:val="22"/>
        </w:rPr>
        <w:t xml:space="preserve"> We understand that this is also a growing priority for other investors</w:t>
      </w:r>
      <w:r w:rsidR="008F1E89">
        <w:rPr>
          <w:rFonts w:eastAsia="Arial" w:cs="Arial"/>
          <w:color w:val="000000" w:themeColor="text1"/>
          <w:sz w:val="22"/>
          <w:szCs w:val="22"/>
        </w:rPr>
        <w:t xml:space="preserve">, which makes it an area where we can exert </w:t>
      </w:r>
      <w:r w:rsidR="00DA05F9">
        <w:rPr>
          <w:rFonts w:eastAsia="Arial" w:cs="Arial"/>
          <w:color w:val="000000" w:themeColor="text1"/>
          <w:sz w:val="22"/>
          <w:szCs w:val="22"/>
        </w:rPr>
        <w:t>‘soft power’ and encourage</w:t>
      </w:r>
      <w:r w:rsidR="006C653A">
        <w:rPr>
          <w:rFonts w:eastAsia="Arial" w:cs="Arial"/>
          <w:color w:val="000000" w:themeColor="text1"/>
          <w:sz w:val="22"/>
          <w:szCs w:val="22"/>
        </w:rPr>
        <w:t xml:space="preserve"> change</w:t>
      </w:r>
      <w:r w:rsidR="003333B0">
        <w:rPr>
          <w:rFonts w:eastAsia="Arial" w:cs="Arial"/>
          <w:color w:val="000000" w:themeColor="text1"/>
          <w:sz w:val="22"/>
          <w:szCs w:val="22"/>
        </w:rPr>
        <w:t xml:space="preserve"> by working with FiM</w:t>
      </w:r>
      <w:r w:rsidR="009B2A3D">
        <w:rPr>
          <w:rFonts w:eastAsia="Arial" w:cs="Arial"/>
          <w:color w:val="000000" w:themeColor="text1"/>
          <w:sz w:val="22"/>
          <w:szCs w:val="22"/>
        </w:rPr>
        <w:t>, and we will continue to do so</w:t>
      </w:r>
      <w:r w:rsidR="00137685">
        <w:rPr>
          <w:rFonts w:eastAsia="Arial" w:cs="Arial"/>
          <w:color w:val="000000" w:themeColor="text1"/>
          <w:sz w:val="22"/>
          <w:szCs w:val="22"/>
        </w:rPr>
        <w:t xml:space="preserve"> where improvement</w:t>
      </w:r>
      <w:r w:rsidR="00E95203">
        <w:rPr>
          <w:rFonts w:eastAsia="Arial" w:cs="Arial"/>
          <w:color w:val="000000" w:themeColor="text1"/>
          <w:sz w:val="22"/>
          <w:szCs w:val="22"/>
        </w:rPr>
        <w:t>s</w:t>
      </w:r>
      <w:r w:rsidR="00137685">
        <w:rPr>
          <w:rFonts w:eastAsia="Arial" w:cs="Arial"/>
          <w:color w:val="000000" w:themeColor="text1"/>
          <w:sz w:val="22"/>
          <w:szCs w:val="22"/>
        </w:rPr>
        <w:t xml:space="preserve"> can be made in data disaggregation</w:t>
      </w:r>
      <w:r w:rsidR="00E95203">
        <w:rPr>
          <w:rFonts w:eastAsia="Arial" w:cs="Arial"/>
          <w:color w:val="000000" w:themeColor="text1"/>
          <w:sz w:val="22"/>
          <w:szCs w:val="22"/>
        </w:rPr>
        <w:t xml:space="preserve"> and gender reporting</w:t>
      </w:r>
      <w:r w:rsidR="006C653A">
        <w:rPr>
          <w:rFonts w:eastAsia="Arial" w:cs="Arial"/>
          <w:color w:val="000000" w:themeColor="text1"/>
          <w:sz w:val="22"/>
          <w:szCs w:val="22"/>
        </w:rPr>
        <w:t>.</w:t>
      </w:r>
    </w:p>
    <w:p w14:paraId="5E25778B" w14:textId="77777777" w:rsidR="00C61DFE" w:rsidRDefault="00C61DFE" w:rsidP="008873BB">
      <w:pPr>
        <w:jc w:val="both"/>
        <w:rPr>
          <w:rFonts w:eastAsia="Arial" w:cs="Arial"/>
          <w:color w:val="000000" w:themeColor="text1"/>
          <w:sz w:val="22"/>
          <w:szCs w:val="22"/>
        </w:rPr>
      </w:pPr>
    </w:p>
    <w:p w14:paraId="2A383852" w14:textId="77777777" w:rsidR="00C61DFE" w:rsidRDefault="00C61DFE" w:rsidP="00C61DFE">
      <w:pPr>
        <w:tabs>
          <w:tab w:val="left" w:pos="6915"/>
          <w:tab w:val="left" w:pos="9495"/>
        </w:tabs>
        <w:rPr>
          <w:b/>
          <w:bCs/>
          <w:color w:val="000000" w:themeColor="text1"/>
          <w:sz w:val="22"/>
          <w:szCs w:val="22"/>
        </w:rPr>
      </w:pPr>
      <w:r>
        <w:rPr>
          <w:b/>
          <w:bCs/>
          <w:color w:val="000000" w:themeColor="text1"/>
          <w:sz w:val="22"/>
          <w:szCs w:val="22"/>
        </w:rPr>
        <w:t>Project visit</w:t>
      </w:r>
    </w:p>
    <w:p w14:paraId="49D56A2B" w14:textId="77777777" w:rsidR="00C61DFE" w:rsidRDefault="00C61DFE" w:rsidP="00C61DFE">
      <w:pPr>
        <w:tabs>
          <w:tab w:val="left" w:pos="6915"/>
          <w:tab w:val="left" w:pos="9495"/>
        </w:tabs>
        <w:jc w:val="both"/>
        <w:rPr>
          <w:rFonts w:eastAsia="Arial" w:cs="Arial"/>
          <w:sz w:val="22"/>
          <w:szCs w:val="22"/>
        </w:rPr>
      </w:pPr>
    </w:p>
    <w:p w14:paraId="57DBE6F5" w14:textId="6907B24F" w:rsidR="00C61DFE" w:rsidRPr="00FC3CC9" w:rsidRDefault="00C61DFE" w:rsidP="008873BB">
      <w:pPr>
        <w:jc w:val="both"/>
        <w:rPr>
          <w:rFonts w:eastAsia="Arial" w:cs="Arial"/>
          <w:color w:val="000000" w:themeColor="text1"/>
          <w:sz w:val="22"/>
          <w:szCs w:val="22"/>
        </w:rPr>
      </w:pPr>
      <w:r>
        <w:rPr>
          <w:rFonts w:eastAsia="Arial" w:cs="Arial"/>
          <w:color w:val="000000" w:themeColor="text1"/>
          <w:sz w:val="22"/>
          <w:szCs w:val="22"/>
        </w:rPr>
        <w:t xml:space="preserve">On 13 June 2025 a visit to an EBF PI in Peru, ‘Caja Cusco’, was carried out with a British Embassy colleague and two members of the DF. Three smallholders in receipt of finance were </w:t>
      </w:r>
      <w:r>
        <w:rPr>
          <w:rFonts w:eastAsia="Arial" w:cs="Arial"/>
          <w:color w:val="000000" w:themeColor="text1"/>
          <w:sz w:val="22"/>
          <w:szCs w:val="22"/>
        </w:rPr>
        <w:lastRenderedPageBreak/>
        <w:t>visited, as well as a meeting for the Bank to present on its social and environmental activities, including sponsorships and dedicated financial products. The bank gave a strong impression of alignment with Defra’s priorities, with its focus on gender equality, climate and biodiversity through micro-loans to smallholders. The three growers we met in the high Andes above Cusco were all women, and were receiving special loans to support native maize and potato varieties and organic strawberries. All were native Quechua speakers with little Spanish; the bank explained the dedicated approach it has taken since 2020 to increase access to finance for these communities. Visits like these form part of EBF’s routine monitoring of its PIs and TA recipients, and give invaluable insight to programme teams.</w:t>
      </w:r>
    </w:p>
    <w:p w14:paraId="5A32CE11" w14:textId="77777777" w:rsidR="00314E01" w:rsidRPr="00314E01" w:rsidRDefault="00314E01" w:rsidP="00314E01">
      <w:pPr>
        <w:jc w:val="both"/>
        <w:rPr>
          <w:rFonts w:eastAsia="Arial" w:cs="Arial"/>
          <w:color w:val="000000" w:themeColor="text1"/>
          <w:sz w:val="22"/>
          <w:szCs w:val="22"/>
        </w:rPr>
      </w:pPr>
    </w:p>
    <w:p w14:paraId="5B0C6A76" w14:textId="3201DBDE" w:rsidR="006F3AE7" w:rsidRPr="00A54B18" w:rsidRDefault="7232A90E" w:rsidP="005E557A">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rPr>
          <w:rFonts w:eastAsia="Arial" w:cs="Arial"/>
          <w:b w:val="0"/>
          <w:i w:val="0"/>
          <w:sz w:val="20"/>
          <w:szCs w:val="20"/>
        </w:rPr>
      </w:pPr>
      <w:r w:rsidRPr="00A54B18">
        <w:rPr>
          <w:rFonts w:eastAsia="Arial" w:cs="Arial"/>
          <w:i w:val="0"/>
        </w:rPr>
        <w:t>B: THEORY OF CHANGE AND PROGRESS TOWARDS OUTCOMES</w:t>
      </w:r>
    </w:p>
    <w:p w14:paraId="065D0850" w14:textId="77777777" w:rsidR="006F3AE7" w:rsidRPr="00A54B18" w:rsidRDefault="006F3AE7" w:rsidP="005E557A">
      <w:pPr>
        <w:rPr>
          <w:rFonts w:eastAsia="Arial" w:cs="Arial"/>
          <w:b/>
          <w:bCs/>
          <w:sz w:val="22"/>
          <w:szCs w:val="22"/>
        </w:rPr>
      </w:pPr>
    </w:p>
    <w:p w14:paraId="748B9119" w14:textId="186E6D76" w:rsidR="0D311865" w:rsidRDefault="5B65B8F3" w:rsidP="005E557A">
      <w:pPr>
        <w:jc w:val="both"/>
        <w:rPr>
          <w:rFonts w:eastAsia="Arial" w:cs="Arial"/>
          <w:color w:val="000000" w:themeColor="text1"/>
          <w:sz w:val="22"/>
          <w:szCs w:val="22"/>
        </w:rPr>
      </w:pPr>
      <w:r w:rsidRPr="6C540CC8">
        <w:rPr>
          <w:rFonts w:eastAsia="Arial" w:cs="Arial"/>
          <w:color w:val="000000" w:themeColor="text1"/>
          <w:sz w:val="22"/>
          <w:szCs w:val="22"/>
        </w:rPr>
        <w:t>E</w:t>
      </w:r>
      <w:r w:rsidR="12715272" w:rsidRPr="6C540CC8">
        <w:rPr>
          <w:rFonts w:eastAsia="Arial" w:cs="Arial"/>
          <w:color w:val="000000" w:themeColor="text1"/>
          <w:sz w:val="22"/>
          <w:szCs w:val="22"/>
        </w:rPr>
        <w:t>BF manages its impact based on a Theory of Change (ToC)</w:t>
      </w:r>
      <w:r w:rsidR="00401B67">
        <w:rPr>
          <w:rFonts w:eastAsia="Arial" w:cs="Arial"/>
          <w:color w:val="000000" w:themeColor="text1"/>
          <w:sz w:val="22"/>
          <w:szCs w:val="22"/>
        </w:rPr>
        <w:t xml:space="preserve"> for the Fund as a whole</w:t>
      </w:r>
      <w:r w:rsidR="12715272" w:rsidRPr="6C540CC8">
        <w:rPr>
          <w:rFonts w:eastAsia="Arial" w:cs="Arial"/>
          <w:color w:val="000000" w:themeColor="text1"/>
          <w:sz w:val="22"/>
          <w:szCs w:val="22"/>
        </w:rPr>
        <w:t xml:space="preserve"> and in alignment with the </w:t>
      </w:r>
      <w:hyperlink r:id="rId13">
        <w:r w:rsidR="12715272" w:rsidRPr="6C540CC8">
          <w:rPr>
            <w:rStyle w:val="Hyperlink"/>
            <w:rFonts w:eastAsia="Arial" w:cs="Arial"/>
            <w:sz w:val="22"/>
            <w:szCs w:val="22"/>
          </w:rPr>
          <w:t>Operating Principles for Impact Management</w:t>
        </w:r>
      </w:hyperlink>
      <w:r w:rsidR="00B50692" w:rsidRPr="6C540CC8">
        <w:rPr>
          <w:rStyle w:val="Hyperlink"/>
          <w:rFonts w:eastAsia="Arial" w:cs="Arial"/>
          <w:sz w:val="22"/>
          <w:szCs w:val="22"/>
          <w:u w:val="none"/>
        </w:rPr>
        <w:t xml:space="preserve"> </w:t>
      </w:r>
      <w:r w:rsidR="00B50692" w:rsidRPr="6C540CC8">
        <w:rPr>
          <w:rStyle w:val="Hyperlink"/>
          <w:rFonts w:eastAsia="Arial" w:cs="Arial"/>
          <w:color w:val="000000" w:themeColor="text1"/>
          <w:sz w:val="22"/>
          <w:szCs w:val="22"/>
          <w:u w:val="none"/>
        </w:rPr>
        <w:t>(OPIM)</w:t>
      </w:r>
      <w:r w:rsidR="45B5F8A2" w:rsidRPr="6C540CC8">
        <w:rPr>
          <w:rStyle w:val="Hyperlink"/>
          <w:rFonts w:eastAsia="Arial" w:cs="Arial"/>
          <w:color w:val="000000" w:themeColor="text1"/>
          <w:sz w:val="22"/>
          <w:szCs w:val="22"/>
          <w:u w:val="none"/>
        </w:rPr>
        <w:t>.</w:t>
      </w:r>
      <w:r w:rsidR="00877D39" w:rsidRPr="6C540CC8">
        <w:rPr>
          <w:rStyle w:val="Hyperlink"/>
          <w:rFonts w:eastAsia="Arial" w:cs="Arial"/>
          <w:color w:val="000000" w:themeColor="text1"/>
          <w:sz w:val="22"/>
          <w:szCs w:val="22"/>
          <w:u w:val="none"/>
        </w:rPr>
        <w:t xml:space="preserve"> </w:t>
      </w:r>
      <w:r w:rsidR="007C4DE7">
        <w:rPr>
          <w:rStyle w:val="Hyperlink"/>
          <w:rFonts w:eastAsia="Arial" w:cs="Arial"/>
          <w:color w:val="000000" w:themeColor="text1"/>
          <w:sz w:val="22"/>
          <w:szCs w:val="22"/>
          <w:u w:val="none"/>
        </w:rPr>
        <w:t>Although there is substantial overlap, the</w:t>
      </w:r>
      <w:r w:rsidR="0094311E">
        <w:rPr>
          <w:rStyle w:val="Hyperlink"/>
          <w:rFonts w:eastAsia="Arial" w:cs="Arial"/>
          <w:color w:val="000000" w:themeColor="text1"/>
          <w:sz w:val="22"/>
          <w:szCs w:val="22"/>
          <w:u w:val="none"/>
        </w:rPr>
        <w:t xml:space="preserve"> ToC</w:t>
      </w:r>
      <w:r w:rsidR="00B96414">
        <w:rPr>
          <w:rStyle w:val="Hyperlink"/>
          <w:rFonts w:eastAsia="Arial" w:cs="Arial"/>
          <w:color w:val="000000" w:themeColor="text1"/>
          <w:sz w:val="22"/>
          <w:szCs w:val="22"/>
          <w:u w:val="none"/>
        </w:rPr>
        <w:t xml:space="preserve">, which is </w:t>
      </w:r>
      <w:r w:rsidR="007C4DE7">
        <w:rPr>
          <w:rStyle w:val="Hyperlink"/>
          <w:rFonts w:eastAsia="Arial" w:cs="Arial"/>
          <w:color w:val="000000" w:themeColor="text1"/>
          <w:sz w:val="22"/>
          <w:szCs w:val="22"/>
          <w:u w:val="none"/>
        </w:rPr>
        <w:t>a</w:t>
      </w:r>
      <w:r w:rsidR="00B96414">
        <w:rPr>
          <w:rStyle w:val="Hyperlink"/>
          <w:rFonts w:eastAsia="Arial" w:cs="Arial"/>
          <w:color w:val="000000" w:themeColor="text1"/>
          <w:sz w:val="22"/>
          <w:szCs w:val="22"/>
          <w:u w:val="none"/>
        </w:rPr>
        <w:t xml:space="preserve"> Fund-level document,</w:t>
      </w:r>
      <w:r w:rsidR="0094311E">
        <w:rPr>
          <w:rStyle w:val="Hyperlink"/>
          <w:rFonts w:eastAsia="Arial" w:cs="Arial"/>
          <w:color w:val="000000" w:themeColor="text1"/>
          <w:sz w:val="22"/>
          <w:szCs w:val="22"/>
          <w:u w:val="none"/>
        </w:rPr>
        <w:t xml:space="preserve"> is not directly </w:t>
      </w:r>
      <w:r w:rsidR="007C4DE7">
        <w:rPr>
          <w:rStyle w:val="Hyperlink"/>
          <w:rFonts w:eastAsia="Arial" w:cs="Arial"/>
          <w:color w:val="000000" w:themeColor="text1"/>
          <w:sz w:val="22"/>
          <w:szCs w:val="22"/>
          <w:u w:val="none"/>
        </w:rPr>
        <w:t>related</w:t>
      </w:r>
      <w:r w:rsidR="00B96414">
        <w:rPr>
          <w:rStyle w:val="Hyperlink"/>
          <w:rFonts w:eastAsia="Arial" w:cs="Arial"/>
          <w:color w:val="000000" w:themeColor="text1"/>
          <w:sz w:val="22"/>
          <w:szCs w:val="22"/>
          <w:u w:val="none"/>
        </w:rPr>
        <w:t xml:space="preserve"> to the specific outputs and outcomes Defra tracks from the programme</w:t>
      </w:r>
      <w:r w:rsidR="008B27CB">
        <w:rPr>
          <w:rStyle w:val="Hyperlink"/>
          <w:rFonts w:eastAsia="Arial" w:cs="Arial"/>
          <w:color w:val="000000" w:themeColor="text1"/>
          <w:sz w:val="22"/>
          <w:szCs w:val="22"/>
          <w:u w:val="none"/>
        </w:rPr>
        <w:t xml:space="preserve"> which covers our own investment</w:t>
      </w:r>
      <w:r w:rsidR="007C4DE7">
        <w:rPr>
          <w:rStyle w:val="Hyperlink"/>
          <w:rFonts w:eastAsia="Arial" w:cs="Arial"/>
          <w:color w:val="000000" w:themeColor="text1"/>
          <w:sz w:val="22"/>
          <w:szCs w:val="22"/>
          <w:u w:val="none"/>
        </w:rPr>
        <w:t xml:space="preserve"> in it</w:t>
      </w:r>
      <w:r w:rsidR="00B96414">
        <w:rPr>
          <w:rStyle w:val="Hyperlink"/>
          <w:rFonts w:eastAsia="Arial" w:cs="Arial"/>
          <w:color w:val="000000" w:themeColor="text1"/>
          <w:sz w:val="22"/>
          <w:szCs w:val="22"/>
          <w:u w:val="none"/>
        </w:rPr>
        <w:t xml:space="preserve">. </w:t>
      </w:r>
      <w:r w:rsidR="00877D39" w:rsidRPr="6C540CC8">
        <w:rPr>
          <w:rStyle w:val="Hyperlink"/>
          <w:rFonts w:eastAsia="Arial" w:cs="Arial"/>
          <w:color w:val="000000" w:themeColor="text1"/>
          <w:sz w:val="22"/>
          <w:szCs w:val="22"/>
          <w:u w:val="none"/>
        </w:rPr>
        <w:t>FiM</w:t>
      </w:r>
      <w:r w:rsidR="006B36B2" w:rsidRPr="6C540CC8">
        <w:rPr>
          <w:rStyle w:val="Hyperlink"/>
          <w:rFonts w:eastAsia="Arial" w:cs="Arial"/>
          <w:color w:val="000000" w:themeColor="text1"/>
          <w:sz w:val="22"/>
          <w:szCs w:val="22"/>
          <w:u w:val="none"/>
        </w:rPr>
        <w:t>,</w:t>
      </w:r>
      <w:r w:rsidR="00877D39" w:rsidRPr="6C540CC8">
        <w:rPr>
          <w:rStyle w:val="Hyperlink"/>
          <w:rFonts w:eastAsia="Arial" w:cs="Arial"/>
          <w:color w:val="000000" w:themeColor="text1"/>
          <w:sz w:val="22"/>
          <w:szCs w:val="22"/>
          <w:u w:val="none"/>
        </w:rPr>
        <w:t xml:space="preserve"> as advis</w:t>
      </w:r>
      <w:r w:rsidR="6589350E" w:rsidRPr="6C540CC8">
        <w:rPr>
          <w:rStyle w:val="Hyperlink"/>
          <w:rFonts w:eastAsia="Arial" w:cs="Arial"/>
          <w:color w:val="000000" w:themeColor="text1"/>
          <w:sz w:val="22"/>
          <w:szCs w:val="22"/>
          <w:u w:val="none"/>
        </w:rPr>
        <w:t>e</w:t>
      </w:r>
      <w:r w:rsidR="00877D39" w:rsidRPr="6C540CC8">
        <w:rPr>
          <w:rStyle w:val="Hyperlink"/>
          <w:rFonts w:eastAsia="Arial" w:cs="Arial"/>
          <w:color w:val="000000" w:themeColor="text1"/>
          <w:sz w:val="22"/>
          <w:szCs w:val="22"/>
          <w:u w:val="none"/>
        </w:rPr>
        <w:t>r of the fund</w:t>
      </w:r>
      <w:r w:rsidR="006B36B2" w:rsidRPr="6C540CC8">
        <w:rPr>
          <w:rStyle w:val="Hyperlink"/>
          <w:rFonts w:eastAsia="Arial" w:cs="Arial"/>
          <w:color w:val="000000" w:themeColor="text1"/>
          <w:sz w:val="22"/>
          <w:szCs w:val="22"/>
          <w:u w:val="none"/>
        </w:rPr>
        <w:t>,</w:t>
      </w:r>
      <w:r w:rsidR="00877D39" w:rsidRPr="6C540CC8">
        <w:rPr>
          <w:rStyle w:val="Hyperlink"/>
          <w:rFonts w:eastAsia="Arial" w:cs="Arial"/>
          <w:color w:val="000000" w:themeColor="text1"/>
          <w:sz w:val="22"/>
          <w:szCs w:val="22"/>
          <w:u w:val="none"/>
        </w:rPr>
        <w:t xml:space="preserve"> </w:t>
      </w:r>
      <w:r w:rsidR="002635EC" w:rsidRPr="6C540CC8">
        <w:rPr>
          <w:rStyle w:val="Hyperlink"/>
          <w:rFonts w:eastAsia="Arial" w:cs="Arial"/>
          <w:color w:val="000000" w:themeColor="text1"/>
          <w:sz w:val="22"/>
          <w:szCs w:val="22"/>
          <w:u w:val="none"/>
        </w:rPr>
        <w:t>underwent</w:t>
      </w:r>
      <w:r w:rsidR="00E014A6" w:rsidRPr="6C540CC8">
        <w:rPr>
          <w:rStyle w:val="Hyperlink"/>
          <w:rFonts w:eastAsia="Arial" w:cs="Arial"/>
          <w:color w:val="000000" w:themeColor="text1"/>
          <w:sz w:val="22"/>
          <w:szCs w:val="22"/>
          <w:u w:val="none"/>
        </w:rPr>
        <w:t xml:space="preserve"> a</w:t>
      </w:r>
      <w:r w:rsidR="002635EC" w:rsidRPr="6C540CC8">
        <w:rPr>
          <w:rStyle w:val="Hyperlink"/>
          <w:rFonts w:eastAsia="Arial" w:cs="Arial"/>
          <w:color w:val="000000" w:themeColor="text1"/>
          <w:sz w:val="22"/>
          <w:szCs w:val="22"/>
          <w:u w:val="none"/>
        </w:rPr>
        <w:t xml:space="preserve">n </w:t>
      </w:r>
      <w:r w:rsidR="002635EC" w:rsidRPr="6C540CC8">
        <w:rPr>
          <w:rFonts w:eastAsia="Arial" w:cs="Arial"/>
          <w:color w:val="000000" w:themeColor="text1"/>
          <w:sz w:val="22"/>
          <w:szCs w:val="22"/>
        </w:rPr>
        <w:t>independent</w:t>
      </w:r>
      <w:r w:rsidR="00E014A6" w:rsidRPr="6C540CC8">
        <w:rPr>
          <w:rFonts w:eastAsia="Arial" w:cs="Arial"/>
          <w:color w:val="000000" w:themeColor="text1"/>
          <w:sz w:val="22"/>
          <w:szCs w:val="22"/>
        </w:rPr>
        <w:t xml:space="preserve"> verification</w:t>
      </w:r>
      <w:r w:rsidR="00B50692" w:rsidRPr="6C540CC8">
        <w:rPr>
          <w:rStyle w:val="Hyperlink"/>
          <w:rFonts w:eastAsia="Arial" w:cs="Arial"/>
          <w:color w:val="000000" w:themeColor="text1"/>
          <w:sz w:val="22"/>
          <w:szCs w:val="22"/>
          <w:u w:val="none"/>
        </w:rPr>
        <w:t xml:space="preserve"> of</w:t>
      </w:r>
      <w:r w:rsidR="00E014A6" w:rsidRPr="6C540CC8">
        <w:rPr>
          <w:rStyle w:val="Hyperlink"/>
          <w:rFonts w:eastAsia="Arial" w:cs="Arial"/>
          <w:color w:val="000000" w:themeColor="text1"/>
          <w:sz w:val="22"/>
          <w:szCs w:val="22"/>
          <w:u w:val="none"/>
        </w:rPr>
        <w:t xml:space="preserve"> </w:t>
      </w:r>
      <w:r w:rsidR="00B50692" w:rsidRPr="6C540CC8">
        <w:rPr>
          <w:rStyle w:val="Hyperlink"/>
          <w:rFonts w:eastAsia="Arial" w:cs="Arial"/>
          <w:color w:val="000000" w:themeColor="text1"/>
          <w:sz w:val="22"/>
          <w:szCs w:val="22"/>
          <w:u w:val="none"/>
        </w:rPr>
        <w:t>the alignment with the OPIM in 2023</w:t>
      </w:r>
      <w:r w:rsidR="12715272" w:rsidRPr="6C540CC8">
        <w:rPr>
          <w:rFonts w:eastAsia="Arial" w:cs="Arial"/>
          <w:color w:val="000000" w:themeColor="text1"/>
          <w:sz w:val="22"/>
          <w:szCs w:val="22"/>
        </w:rPr>
        <w:t>. The ToC considers four levels</w:t>
      </w:r>
      <w:r w:rsidR="00046384" w:rsidRPr="6C540CC8">
        <w:rPr>
          <w:rFonts w:eastAsia="Arial" w:cs="Arial"/>
          <w:color w:val="000000" w:themeColor="text1"/>
          <w:sz w:val="22"/>
          <w:szCs w:val="22"/>
        </w:rPr>
        <w:t>:</w:t>
      </w:r>
      <w:r w:rsidR="12715272" w:rsidRPr="6C540CC8">
        <w:rPr>
          <w:rFonts w:eastAsia="Arial" w:cs="Arial"/>
          <w:color w:val="000000" w:themeColor="text1"/>
          <w:sz w:val="22"/>
          <w:szCs w:val="22"/>
        </w:rPr>
        <w:t xml:space="preserve"> activities, outputs, outcomes, and final impact. Some elements of the ToC are directly controlled by the Fund, for example raising public and private capital or providing </w:t>
      </w:r>
      <w:r w:rsidR="00D0174A" w:rsidRPr="6C540CC8">
        <w:rPr>
          <w:rFonts w:eastAsia="Arial" w:cs="Arial"/>
          <w:color w:val="000000" w:themeColor="text1"/>
          <w:sz w:val="22"/>
          <w:szCs w:val="22"/>
        </w:rPr>
        <w:t>TA</w:t>
      </w:r>
      <w:r w:rsidR="12715272" w:rsidRPr="6C540CC8">
        <w:rPr>
          <w:rFonts w:eastAsia="Arial" w:cs="Arial"/>
          <w:color w:val="000000" w:themeColor="text1"/>
          <w:sz w:val="22"/>
          <w:szCs w:val="22"/>
        </w:rPr>
        <w:t xml:space="preserve"> to financial institutions</w:t>
      </w:r>
      <w:r w:rsidR="00EA44A7" w:rsidRPr="6C540CC8">
        <w:rPr>
          <w:rFonts w:eastAsia="Arial" w:cs="Arial"/>
          <w:color w:val="000000" w:themeColor="text1"/>
          <w:sz w:val="22"/>
          <w:szCs w:val="22"/>
        </w:rPr>
        <w:t xml:space="preserve"> (FIs)</w:t>
      </w:r>
      <w:r w:rsidR="12715272" w:rsidRPr="6C540CC8">
        <w:rPr>
          <w:rFonts w:eastAsia="Arial" w:cs="Arial"/>
          <w:color w:val="000000" w:themeColor="text1"/>
          <w:sz w:val="22"/>
          <w:szCs w:val="22"/>
        </w:rPr>
        <w:t xml:space="preserve"> (activities and outputs). However, some are a result of both the </w:t>
      </w:r>
      <w:r w:rsidR="007E633F" w:rsidRPr="6C540CC8">
        <w:rPr>
          <w:rFonts w:eastAsia="Arial" w:cs="Arial"/>
          <w:color w:val="000000" w:themeColor="text1"/>
          <w:sz w:val="22"/>
          <w:szCs w:val="22"/>
        </w:rPr>
        <w:t>F</w:t>
      </w:r>
      <w:r w:rsidR="12715272" w:rsidRPr="6C540CC8">
        <w:rPr>
          <w:rFonts w:eastAsia="Arial" w:cs="Arial"/>
          <w:color w:val="000000" w:themeColor="text1"/>
          <w:sz w:val="22"/>
          <w:szCs w:val="22"/>
        </w:rPr>
        <w:t>und and external factors, for example an increased integration of sustainability considerations in investment and production practices in the short term and scaling sustainable investment and production practices in the long term (outcomes and final impacts).</w:t>
      </w:r>
      <w:r w:rsidR="005214FC" w:rsidRPr="6C540CC8">
        <w:rPr>
          <w:rFonts w:eastAsia="Arial" w:cs="Arial"/>
          <w:color w:val="000000" w:themeColor="text1"/>
          <w:sz w:val="22"/>
          <w:szCs w:val="22"/>
        </w:rPr>
        <w:t xml:space="preserve"> The Fund’s ToC can be found </w:t>
      </w:r>
      <w:hyperlink r:id="rId14">
        <w:r w:rsidR="005214FC" w:rsidRPr="6C540CC8">
          <w:rPr>
            <w:rStyle w:val="Hyperlink"/>
            <w:rFonts w:eastAsia="Arial" w:cs="Arial"/>
            <w:sz w:val="22"/>
            <w:szCs w:val="22"/>
            <w:lang w:val="en-US"/>
          </w:rPr>
          <w:t>here.</w:t>
        </w:r>
      </w:hyperlink>
      <w:r w:rsidR="00B912FB">
        <w:rPr>
          <w:rStyle w:val="CommentReference"/>
          <w:sz w:val="22"/>
          <w:szCs w:val="22"/>
        </w:rPr>
        <w:t xml:space="preserve"> </w:t>
      </w:r>
      <w:r w:rsidR="00194E21" w:rsidRPr="6C540CC8">
        <w:rPr>
          <w:rStyle w:val="CommentReference"/>
          <w:sz w:val="22"/>
          <w:szCs w:val="22"/>
        </w:rPr>
        <w:t xml:space="preserve">The assumptions underlying the ToC are </w:t>
      </w:r>
      <w:r w:rsidR="00D521A7" w:rsidRPr="6C540CC8">
        <w:rPr>
          <w:rStyle w:val="CommentReference"/>
          <w:sz w:val="22"/>
          <w:szCs w:val="22"/>
        </w:rPr>
        <w:t>reviewed periodically</w:t>
      </w:r>
      <w:r w:rsidR="00B1457C" w:rsidRPr="6C540CC8">
        <w:rPr>
          <w:rStyle w:val="CommentReference"/>
          <w:sz w:val="22"/>
          <w:szCs w:val="22"/>
        </w:rPr>
        <w:t xml:space="preserve"> outside the ToC review cycle, and a</w:t>
      </w:r>
      <w:r w:rsidR="00FE70B2" w:rsidRPr="6C540CC8">
        <w:rPr>
          <w:rStyle w:val="CommentReference"/>
          <w:sz w:val="22"/>
          <w:szCs w:val="22"/>
        </w:rPr>
        <w:t xml:space="preserve">n </w:t>
      </w:r>
      <w:r w:rsidR="00C03493" w:rsidRPr="6C540CC8">
        <w:rPr>
          <w:rStyle w:val="CommentReference"/>
          <w:sz w:val="22"/>
          <w:szCs w:val="22"/>
        </w:rPr>
        <w:t>I</w:t>
      </w:r>
      <w:r w:rsidR="00FE70B2" w:rsidRPr="6C540CC8">
        <w:rPr>
          <w:rStyle w:val="CommentReference"/>
          <w:sz w:val="22"/>
          <w:szCs w:val="22"/>
        </w:rPr>
        <w:t xml:space="preserve">mpact </w:t>
      </w:r>
      <w:r w:rsidR="00C03493" w:rsidRPr="6C540CC8">
        <w:rPr>
          <w:rStyle w:val="CommentReference"/>
          <w:sz w:val="22"/>
          <w:szCs w:val="22"/>
        </w:rPr>
        <w:t>S</w:t>
      </w:r>
      <w:r w:rsidR="00FE70B2" w:rsidRPr="6C540CC8">
        <w:rPr>
          <w:rStyle w:val="CommentReference"/>
          <w:sz w:val="22"/>
          <w:szCs w:val="22"/>
        </w:rPr>
        <w:t xml:space="preserve">coring </w:t>
      </w:r>
      <w:r w:rsidR="00C03493" w:rsidRPr="6C540CC8">
        <w:rPr>
          <w:rStyle w:val="CommentReference"/>
          <w:sz w:val="22"/>
          <w:szCs w:val="22"/>
        </w:rPr>
        <w:t>T</w:t>
      </w:r>
      <w:r w:rsidR="00FE70B2" w:rsidRPr="6C540CC8">
        <w:rPr>
          <w:rStyle w:val="CommentReference"/>
          <w:sz w:val="22"/>
          <w:szCs w:val="22"/>
        </w:rPr>
        <w:t xml:space="preserve">ool </w:t>
      </w:r>
      <w:r w:rsidR="006C415F" w:rsidRPr="6C540CC8">
        <w:rPr>
          <w:rStyle w:val="CommentReference"/>
          <w:sz w:val="22"/>
          <w:szCs w:val="22"/>
        </w:rPr>
        <w:t xml:space="preserve">is used to </w:t>
      </w:r>
      <w:r w:rsidR="00257368" w:rsidRPr="6C540CC8">
        <w:rPr>
          <w:rStyle w:val="CommentReference"/>
          <w:sz w:val="22"/>
          <w:szCs w:val="22"/>
        </w:rPr>
        <w:t>monitor assumptions at outcome level</w:t>
      </w:r>
      <w:r w:rsidR="004001B0" w:rsidRPr="6C540CC8">
        <w:rPr>
          <w:rStyle w:val="CommentReference"/>
          <w:sz w:val="22"/>
          <w:szCs w:val="22"/>
        </w:rPr>
        <w:t>, giving reassurance that underlying assumptions are still valid.</w:t>
      </w:r>
    </w:p>
    <w:p w14:paraId="1210D3D8" w14:textId="77777777" w:rsidR="007954D4" w:rsidRDefault="007954D4" w:rsidP="005E557A">
      <w:pPr>
        <w:jc w:val="both"/>
        <w:rPr>
          <w:rFonts w:eastAsia="Arial" w:cs="Arial"/>
          <w:color w:val="000000" w:themeColor="text1"/>
          <w:sz w:val="22"/>
          <w:szCs w:val="22"/>
        </w:rPr>
      </w:pPr>
    </w:p>
    <w:p w14:paraId="3BCC5E80" w14:textId="14EE9E4E" w:rsidR="0D311865" w:rsidRPr="008D3032" w:rsidRDefault="12715272" w:rsidP="005E557A">
      <w:pPr>
        <w:jc w:val="both"/>
        <w:rPr>
          <w:rFonts w:eastAsia="Arial" w:cs="Arial"/>
          <w:color w:val="000000" w:themeColor="text1"/>
          <w:sz w:val="22"/>
          <w:szCs w:val="22"/>
        </w:rPr>
      </w:pPr>
      <w:r w:rsidRPr="3D160706">
        <w:rPr>
          <w:rFonts w:eastAsia="Arial" w:cs="Arial"/>
          <w:color w:val="000000" w:themeColor="text1"/>
          <w:sz w:val="22"/>
          <w:szCs w:val="22"/>
        </w:rPr>
        <w:t xml:space="preserve">Given the nature of the </w:t>
      </w:r>
      <w:r w:rsidR="00D215DB" w:rsidRPr="3D160706">
        <w:rPr>
          <w:rFonts w:eastAsia="Arial" w:cs="Arial"/>
          <w:color w:val="000000" w:themeColor="text1"/>
          <w:sz w:val="22"/>
          <w:szCs w:val="22"/>
        </w:rPr>
        <w:t>F</w:t>
      </w:r>
      <w:r w:rsidRPr="3D160706">
        <w:rPr>
          <w:rFonts w:eastAsia="Arial" w:cs="Arial"/>
          <w:color w:val="000000" w:themeColor="text1"/>
          <w:sz w:val="22"/>
          <w:szCs w:val="22"/>
        </w:rPr>
        <w:t xml:space="preserve">und (lending to </w:t>
      </w:r>
      <w:r w:rsidR="00EA44A7" w:rsidRPr="3D160706">
        <w:rPr>
          <w:rFonts w:eastAsia="Arial" w:cs="Arial"/>
          <w:color w:val="000000" w:themeColor="text1"/>
          <w:sz w:val="22"/>
          <w:szCs w:val="22"/>
        </w:rPr>
        <w:t>FIs</w:t>
      </w:r>
      <w:r w:rsidRPr="3D160706">
        <w:rPr>
          <w:rFonts w:eastAsia="Arial" w:cs="Arial"/>
          <w:color w:val="000000" w:themeColor="text1"/>
          <w:sz w:val="22"/>
          <w:szCs w:val="22"/>
        </w:rPr>
        <w:t xml:space="preserve"> who then on-lend to end borrowers) and the complex environments in which the </w:t>
      </w:r>
      <w:r w:rsidR="00D215DB" w:rsidRPr="3D160706">
        <w:rPr>
          <w:rFonts w:eastAsia="Arial" w:cs="Arial"/>
          <w:color w:val="000000" w:themeColor="text1"/>
          <w:sz w:val="22"/>
          <w:szCs w:val="22"/>
        </w:rPr>
        <w:t>F</w:t>
      </w:r>
      <w:r w:rsidRPr="3D160706">
        <w:rPr>
          <w:rFonts w:eastAsia="Arial" w:cs="Arial"/>
          <w:color w:val="000000" w:themeColor="text1"/>
          <w:sz w:val="22"/>
          <w:szCs w:val="22"/>
        </w:rPr>
        <w:t xml:space="preserve">und’s investees and stakeholders operate, EBF does not attribute the total change happening at outcome and final impact level exclusively to the Fund’s contributions. Instead, the ToC focuses on the processes that are likely to be triggered by the Fund’s activities and how these lead to the final environmental and socio-economic impacts. This analysis draws on evidence from </w:t>
      </w:r>
      <w:r w:rsidR="000D0504" w:rsidRPr="3D160706">
        <w:rPr>
          <w:rFonts w:eastAsia="Arial" w:cs="Arial"/>
          <w:color w:val="000000" w:themeColor="text1"/>
          <w:sz w:val="22"/>
          <w:szCs w:val="22"/>
        </w:rPr>
        <w:t>FIs</w:t>
      </w:r>
      <w:r w:rsidRPr="3D160706">
        <w:rPr>
          <w:rFonts w:eastAsia="Arial" w:cs="Arial"/>
          <w:color w:val="000000" w:themeColor="text1"/>
          <w:sz w:val="22"/>
          <w:szCs w:val="22"/>
        </w:rPr>
        <w:t xml:space="preserve">, industry networks, international institutions, academia, and conservation organisations. </w:t>
      </w:r>
    </w:p>
    <w:p w14:paraId="69582ADA" w14:textId="3D86ECFE" w:rsidR="0D311865" w:rsidRPr="008D3032" w:rsidRDefault="0D311865" w:rsidP="005E557A">
      <w:pPr>
        <w:jc w:val="both"/>
        <w:rPr>
          <w:rFonts w:eastAsia="Arial" w:cs="Arial"/>
          <w:color w:val="000000" w:themeColor="text1"/>
        </w:rPr>
      </w:pPr>
    </w:p>
    <w:p w14:paraId="3DEA4163" w14:textId="363B5E25" w:rsidR="0D311865" w:rsidRPr="00AC35E8" w:rsidRDefault="12715272" w:rsidP="00F66B70">
      <w:pPr>
        <w:jc w:val="both"/>
        <w:rPr>
          <w:rFonts w:eastAsia="Arial" w:cs="Arial"/>
          <w:color w:val="000000" w:themeColor="text1"/>
          <w:sz w:val="22"/>
          <w:szCs w:val="22"/>
        </w:rPr>
      </w:pPr>
      <w:r w:rsidRPr="31D45C84">
        <w:rPr>
          <w:rFonts w:eastAsia="Arial" w:cs="Arial"/>
          <w:color w:val="000000" w:themeColor="text1"/>
          <w:sz w:val="22"/>
          <w:szCs w:val="22"/>
          <w:lang w:val="en-US"/>
        </w:rPr>
        <w:t xml:space="preserve">The Fund’s </w:t>
      </w:r>
      <w:hyperlink r:id="rId15">
        <w:r w:rsidRPr="31D45C84">
          <w:rPr>
            <w:rStyle w:val="Hyperlink"/>
            <w:rFonts w:eastAsia="Arial" w:cs="Arial"/>
            <w:sz w:val="22"/>
            <w:szCs w:val="22"/>
          </w:rPr>
          <w:t>Impact Framework</w:t>
        </w:r>
      </w:hyperlink>
      <w:r w:rsidRPr="31D45C84">
        <w:rPr>
          <w:rFonts w:eastAsia="Arial" w:cs="Arial"/>
          <w:color w:val="000000" w:themeColor="text1"/>
          <w:sz w:val="20"/>
          <w:szCs w:val="20"/>
          <w:lang w:val="en-US"/>
        </w:rPr>
        <w:t xml:space="preserve"> </w:t>
      </w:r>
      <w:r w:rsidRPr="31D45C84">
        <w:rPr>
          <w:rFonts w:eastAsia="Arial" w:cs="Arial"/>
          <w:color w:val="000000" w:themeColor="text1"/>
          <w:sz w:val="22"/>
          <w:szCs w:val="22"/>
          <w:lang w:val="en-US"/>
        </w:rPr>
        <w:t>complements the ToC and illustrates how the Fund meets its objectives by connecting actions to defined outcomes and final impacts. It also maps out how progress is measured and reported.</w:t>
      </w:r>
      <w:r w:rsidR="00B82B9B" w:rsidRPr="31D45C84">
        <w:rPr>
          <w:rFonts w:eastAsia="Arial" w:cs="Arial"/>
          <w:color w:val="000000" w:themeColor="text1"/>
          <w:sz w:val="22"/>
          <w:szCs w:val="22"/>
        </w:rPr>
        <w:t xml:space="preserve"> The Fund</w:t>
      </w:r>
      <w:r w:rsidR="00CD70EB" w:rsidRPr="31D45C84">
        <w:rPr>
          <w:rFonts w:eastAsia="Arial" w:cs="Arial"/>
          <w:color w:val="000000" w:themeColor="text1"/>
          <w:sz w:val="22"/>
          <w:szCs w:val="22"/>
        </w:rPr>
        <w:t xml:space="preserve"> </w:t>
      </w:r>
      <w:r w:rsidR="00EF15A6" w:rsidRPr="31D45C84">
        <w:rPr>
          <w:rFonts w:eastAsia="Arial" w:cs="Arial"/>
          <w:color w:val="000000" w:themeColor="text1"/>
          <w:sz w:val="22"/>
          <w:szCs w:val="22"/>
        </w:rPr>
        <w:t>use</w:t>
      </w:r>
      <w:r w:rsidR="008A4ED4" w:rsidRPr="31D45C84">
        <w:rPr>
          <w:rFonts w:eastAsia="Arial" w:cs="Arial"/>
          <w:color w:val="000000" w:themeColor="text1"/>
          <w:sz w:val="22"/>
          <w:szCs w:val="22"/>
        </w:rPr>
        <w:t>s</w:t>
      </w:r>
      <w:r w:rsidR="00B82B9B" w:rsidRPr="31D45C84">
        <w:rPr>
          <w:rFonts w:eastAsia="Arial" w:cs="Arial"/>
          <w:color w:val="000000" w:themeColor="text1"/>
          <w:sz w:val="22"/>
          <w:szCs w:val="22"/>
        </w:rPr>
        <w:t xml:space="preserve"> its bespoke</w:t>
      </w:r>
      <w:r w:rsidR="00CD70EB" w:rsidRPr="31D45C84">
        <w:rPr>
          <w:rFonts w:eastAsia="Arial" w:cs="Arial"/>
          <w:color w:val="000000" w:themeColor="text1"/>
          <w:sz w:val="22"/>
          <w:szCs w:val="22"/>
        </w:rPr>
        <w:t xml:space="preserve"> Impact Scoring Tool to</w:t>
      </w:r>
      <w:r w:rsidR="004B29BA" w:rsidRPr="31D45C84">
        <w:rPr>
          <w:rFonts w:eastAsia="Arial" w:cs="Arial"/>
          <w:color w:val="000000" w:themeColor="text1"/>
          <w:sz w:val="22"/>
          <w:szCs w:val="22"/>
        </w:rPr>
        <w:t xml:space="preserve"> systematically</w:t>
      </w:r>
      <w:r w:rsidR="00CD70EB" w:rsidRPr="31D45C84">
        <w:rPr>
          <w:rFonts w:eastAsia="Arial" w:cs="Arial"/>
          <w:color w:val="000000" w:themeColor="text1"/>
          <w:sz w:val="22"/>
          <w:szCs w:val="22"/>
        </w:rPr>
        <w:t xml:space="preserve"> evaluate</w:t>
      </w:r>
      <w:r w:rsidR="00B82B9B" w:rsidRPr="31D45C84">
        <w:rPr>
          <w:rFonts w:eastAsia="Arial" w:cs="Arial"/>
          <w:color w:val="000000" w:themeColor="text1"/>
          <w:sz w:val="22"/>
          <w:szCs w:val="22"/>
        </w:rPr>
        <w:t xml:space="preserve"> and monitor</w:t>
      </w:r>
      <w:r w:rsidR="00CD70EB" w:rsidRPr="31D45C84">
        <w:rPr>
          <w:rFonts w:eastAsia="Arial" w:cs="Arial"/>
          <w:color w:val="000000" w:themeColor="text1"/>
          <w:sz w:val="22"/>
          <w:szCs w:val="22"/>
        </w:rPr>
        <w:t xml:space="preserve"> the impact of </w:t>
      </w:r>
      <w:r w:rsidR="00B82B9B" w:rsidRPr="31D45C84">
        <w:rPr>
          <w:rFonts w:eastAsia="Arial" w:cs="Arial"/>
          <w:color w:val="000000" w:themeColor="text1"/>
          <w:sz w:val="22"/>
          <w:szCs w:val="22"/>
        </w:rPr>
        <w:t xml:space="preserve">its </w:t>
      </w:r>
      <w:r w:rsidR="00CD70EB" w:rsidRPr="31D45C84">
        <w:rPr>
          <w:rFonts w:eastAsia="Arial" w:cs="Arial"/>
          <w:color w:val="000000" w:themeColor="text1"/>
          <w:sz w:val="22"/>
          <w:szCs w:val="22"/>
        </w:rPr>
        <w:t xml:space="preserve">investments. It considers the </w:t>
      </w:r>
      <w:r w:rsidR="00810998" w:rsidRPr="31D45C84">
        <w:rPr>
          <w:rFonts w:eastAsia="Arial" w:cs="Arial"/>
          <w:color w:val="000000" w:themeColor="text1"/>
          <w:sz w:val="22"/>
          <w:szCs w:val="22"/>
        </w:rPr>
        <w:t>F</w:t>
      </w:r>
      <w:r w:rsidR="00CD70EB" w:rsidRPr="31D45C84">
        <w:rPr>
          <w:rFonts w:eastAsia="Arial" w:cs="Arial"/>
          <w:color w:val="000000" w:themeColor="text1"/>
          <w:sz w:val="22"/>
          <w:szCs w:val="22"/>
        </w:rPr>
        <w:t xml:space="preserve">und’s impacts on its investees and the final environmental impact supported through its investments. The tool is aligned with industry best practices, including the </w:t>
      </w:r>
      <w:hyperlink r:id="rId16">
        <w:r w:rsidR="00CD70EB" w:rsidRPr="31D45C84">
          <w:rPr>
            <w:rStyle w:val="Hyperlink"/>
            <w:rFonts w:eastAsia="Arial" w:cs="Arial"/>
            <w:sz w:val="22"/>
            <w:szCs w:val="22"/>
          </w:rPr>
          <w:t>five Dimensions of Impact</w:t>
        </w:r>
      </w:hyperlink>
      <w:r w:rsidR="00CD70EB" w:rsidRPr="31D45C84">
        <w:rPr>
          <w:rFonts w:eastAsia="Arial" w:cs="Arial"/>
          <w:color w:val="000000" w:themeColor="text1"/>
          <w:sz w:val="22"/>
          <w:szCs w:val="22"/>
        </w:rPr>
        <w:t>.</w:t>
      </w:r>
      <w:r w:rsidR="00B3101A" w:rsidRPr="31D45C84">
        <w:rPr>
          <w:rFonts w:eastAsia="Arial" w:cs="Arial"/>
          <w:color w:val="000000" w:themeColor="text1"/>
          <w:sz w:val="22"/>
          <w:szCs w:val="22"/>
        </w:rPr>
        <w:t xml:space="preserve"> </w:t>
      </w:r>
      <w:r w:rsidR="0075433C" w:rsidRPr="31D45C84">
        <w:rPr>
          <w:rFonts w:eastAsia="Arial" w:cs="Arial"/>
          <w:color w:val="000000" w:themeColor="text1"/>
          <w:sz w:val="22"/>
          <w:szCs w:val="22"/>
        </w:rPr>
        <w:t xml:space="preserve">In terms of </w:t>
      </w:r>
      <w:r w:rsidR="00B616E1" w:rsidRPr="31D45C84">
        <w:rPr>
          <w:rFonts w:eastAsia="Arial" w:cs="Arial"/>
          <w:color w:val="000000" w:themeColor="text1"/>
          <w:sz w:val="22"/>
          <w:szCs w:val="22"/>
        </w:rPr>
        <w:t>‘who’ is impacted</w:t>
      </w:r>
      <w:r w:rsidR="00CC5204" w:rsidRPr="31D45C84">
        <w:rPr>
          <w:rFonts w:eastAsia="Arial" w:cs="Arial"/>
          <w:color w:val="000000" w:themeColor="text1"/>
          <w:sz w:val="22"/>
          <w:szCs w:val="22"/>
        </w:rPr>
        <w:t xml:space="preserve"> and how poverty is addressed</w:t>
      </w:r>
      <w:r w:rsidR="0075433C" w:rsidRPr="31D45C84">
        <w:rPr>
          <w:rFonts w:eastAsia="Arial" w:cs="Arial"/>
          <w:color w:val="000000" w:themeColor="text1"/>
          <w:sz w:val="22"/>
          <w:szCs w:val="22"/>
        </w:rPr>
        <w:t>, t</w:t>
      </w:r>
      <w:r w:rsidR="00100AA6" w:rsidRPr="31D45C84">
        <w:rPr>
          <w:rFonts w:eastAsia="Arial" w:cs="Arial"/>
          <w:color w:val="000000" w:themeColor="text1"/>
          <w:sz w:val="22"/>
          <w:szCs w:val="22"/>
        </w:rPr>
        <w:t>he Fund’s primary target group are FI</w:t>
      </w:r>
      <w:r w:rsidR="0008079B" w:rsidRPr="31D45C84">
        <w:rPr>
          <w:rFonts w:eastAsia="Arial" w:cs="Arial"/>
          <w:color w:val="000000" w:themeColor="text1"/>
          <w:sz w:val="22"/>
          <w:szCs w:val="22"/>
        </w:rPr>
        <w:t>s</w:t>
      </w:r>
      <w:r w:rsidR="001C3C3E" w:rsidRPr="31D45C84">
        <w:rPr>
          <w:rFonts w:eastAsia="Arial" w:cs="Arial"/>
          <w:color w:val="000000" w:themeColor="text1"/>
          <w:sz w:val="22"/>
          <w:szCs w:val="22"/>
        </w:rPr>
        <w:t>, and through them agri-corporates and agricultural producers</w:t>
      </w:r>
      <w:r w:rsidR="002D01AB" w:rsidRPr="31D45C84">
        <w:rPr>
          <w:rFonts w:eastAsia="Arial" w:cs="Arial"/>
          <w:color w:val="000000" w:themeColor="text1"/>
          <w:sz w:val="22"/>
          <w:szCs w:val="22"/>
        </w:rPr>
        <w:t xml:space="preserve">, traders and processors; </w:t>
      </w:r>
      <w:r w:rsidR="00EF364D" w:rsidRPr="31D45C84">
        <w:rPr>
          <w:rFonts w:eastAsia="Arial" w:cs="Arial"/>
          <w:color w:val="000000" w:themeColor="text1"/>
          <w:sz w:val="22"/>
          <w:szCs w:val="22"/>
        </w:rPr>
        <w:t xml:space="preserve">this funding </w:t>
      </w:r>
      <w:r w:rsidR="00C67155" w:rsidRPr="31D45C84">
        <w:rPr>
          <w:rFonts w:eastAsia="Arial" w:cs="Arial"/>
          <w:color w:val="000000" w:themeColor="text1"/>
          <w:sz w:val="22"/>
          <w:szCs w:val="22"/>
        </w:rPr>
        <w:t xml:space="preserve">in turn </w:t>
      </w:r>
      <w:r w:rsidR="00EF364D" w:rsidRPr="31D45C84">
        <w:rPr>
          <w:rFonts w:eastAsia="Arial" w:cs="Arial"/>
          <w:color w:val="000000" w:themeColor="text1"/>
          <w:sz w:val="22"/>
          <w:szCs w:val="22"/>
        </w:rPr>
        <w:t>benefits</w:t>
      </w:r>
      <w:r w:rsidR="00723117" w:rsidRPr="31D45C84">
        <w:rPr>
          <w:rFonts w:eastAsia="Arial" w:cs="Arial"/>
          <w:color w:val="000000" w:themeColor="text1"/>
          <w:sz w:val="22"/>
          <w:szCs w:val="22"/>
        </w:rPr>
        <w:t xml:space="preserve"> local communities</w:t>
      </w:r>
      <w:r w:rsidR="00C0672D" w:rsidRPr="31D45C84">
        <w:rPr>
          <w:rFonts w:eastAsia="Arial" w:cs="Arial"/>
          <w:color w:val="000000" w:themeColor="text1"/>
          <w:sz w:val="22"/>
          <w:szCs w:val="22"/>
        </w:rPr>
        <w:t xml:space="preserve">, including </w:t>
      </w:r>
      <w:r w:rsidR="00200804" w:rsidRPr="31D45C84">
        <w:rPr>
          <w:rFonts w:eastAsia="Arial" w:cs="Arial"/>
          <w:color w:val="000000" w:themeColor="text1"/>
          <w:sz w:val="22"/>
          <w:szCs w:val="22"/>
        </w:rPr>
        <w:t>women, who</w:t>
      </w:r>
      <w:r w:rsidR="00723117" w:rsidRPr="31D45C84">
        <w:rPr>
          <w:rFonts w:eastAsia="Arial" w:cs="Arial"/>
          <w:color w:val="000000" w:themeColor="text1"/>
          <w:sz w:val="22"/>
          <w:szCs w:val="22"/>
        </w:rPr>
        <w:t xml:space="preserve"> represent a </w:t>
      </w:r>
      <w:r w:rsidR="004340AB">
        <w:rPr>
          <w:rFonts w:eastAsia="Arial" w:cs="Arial"/>
          <w:color w:val="000000" w:themeColor="text1"/>
          <w:sz w:val="22"/>
          <w:szCs w:val="22"/>
        </w:rPr>
        <w:t>significant proportion</w:t>
      </w:r>
      <w:r w:rsidR="00723117" w:rsidRPr="31D45C84">
        <w:rPr>
          <w:rFonts w:eastAsia="Arial" w:cs="Arial"/>
          <w:color w:val="000000" w:themeColor="text1"/>
          <w:sz w:val="22"/>
          <w:szCs w:val="22"/>
        </w:rPr>
        <w:t xml:space="preserve"> of the agricultural labour force</w:t>
      </w:r>
      <w:r w:rsidR="00F33F47" w:rsidRPr="31D45C84">
        <w:rPr>
          <w:rFonts w:eastAsia="Arial" w:cs="Arial"/>
          <w:color w:val="000000" w:themeColor="text1"/>
          <w:sz w:val="22"/>
          <w:szCs w:val="22"/>
        </w:rPr>
        <w:t>.</w:t>
      </w:r>
      <w:r w:rsidR="00F74D25" w:rsidRPr="31D45C84">
        <w:rPr>
          <w:rFonts w:eastAsia="Arial" w:cs="Arial"/>
          <w:color w:val="000000" w:themeColor="text1"/>
          <w:sz w:val="22"/>
          <w:szCs w:val="22"/>
        </w:rPr>
        <w:t xml:space="preserve"> T</w:t>
      </w:r>
      <w:r w:rsidR="006224C1" w:rsidRPr="31D45C84">
        <w:rPr>
          <w:rFonts w:eastAsia="Arial" w:cs="Arial"/>
          <w:color w:val="000000" w:themeColor="text1"/>
          <w:sz w:val="22"/>
          <w:szCs w:val="22"/>
        </w:rPr>
        <w:t>o</w:t>
      </w:r>
      <w:r w:rsidR="00F74D25" w:rsidRPr="31D45C84">
        <w:rPr>
          <w:rFonts w:eastAsia="Arial" w:cs="Arial"/>
          <w:color w:val="000000" w:themeColor="text1"/>
          <w:sz w:val="22"/>
          <w:szCs w:val="22"/>
        </w:rPr>
        <w:t xml:space="preserve"> enhance outreach to smallholder farmers, the Fund also </w:t>
      </w:r>
      <w:r w:rsidR="006224C1" w:rsidRPr="31D45C84">
        <w:rPr>
          <w:rFonts w:eastAsia="Arial" w:cs="Arial"/>
          <w:color w:val="000000" w:themeColor="text1"/>
          <w:sz w:val="22"/>
          <w:szCs w:val="22"/>
        </w:rPr>
        <w:t>partners</w:t>
      </w:r>
      <w:r w:rsidR="00F74D25" w:rsidRPr="31D45C84">
        <w:rPr>
          <w:rFonts w:eastAsia="Arial" w:cs="Arial"/>
          <w:color w:val="000000" w:themeColor="text1"/>
          <w:sz w:val="22"/>
          <w:szCs w:val="22"/>
        </w:rPr>
        <w:t xml:space="preserve"> with F</w:t>
      </w:r>
      <w:r w:rsidR="006224C1" w:rsidRPr="31D45C84">
        <w:rPr>
          <w:rFonts w:eastAsia="Arial" w:cs="Arial"/>
          <w:color w:val="000000" w:themeColor="text1"/>
          <w:sz w:val="22"/>
          <w:szCs w:val="22"/>
        </w:rPr>
        <w:t>I</w:t>
      </w:r>
      <w:r w:rsidR="00F74D25" w:rsidRPr="31D45C84">
        <w:rPr>
          <w:rFonts w:eastAsia="Arial" w:cs="Arial"/>
          <w:color w:val="000000" w:themeColor="text1"/>
          <w:sz w:val="22"/>
          <w:szCs w:val="22"/>
        </w:rPr>
        <w:t xml:space="preserve">s dedicated to </w:t>
      </w:r>
      <w:r w:rsidR="006224C1" w:rsidRPr="31D45C84">
        <w:rPr>
          <w:rFonts w:eastAsia="Arial" w:cs="Arial"/>
          <w:color w:val="000000" w:themeColor="text1"/>
          <w:sz w:val="22"/>
          <w:szCs w:val="22"/>
        </w:rPr>
        <w:t>providing micro-finance, such as Caja Municipal Arequipa in Peru.</w:t>
      </w:r>
      <w:r w:rsidR="00AC35E8">
        <w:rPr>
          <w:rFonts w:eastAsia="Arial" w:cs="Arial"/>
          <w:color w:val="000000" w:themeColor="text1"/>
          <w:sz w:val="22"/>
          <w:szCs w:val="22"/>
        </w:rPr>
        <w:t xml:space="preserve"> </w:t>
      </w:r>
      <w:r w:rsidR="46CA9E58" w:rsidRPr="68316884">
        <w:rPr>
          <w:rFonts w:eastAsia="Arial" w:cs="Arial"/>
          <w:sz w:val="22"/>
          <w:szCs w:val="22"/>
        </w:rPr>
        <w:t>EBF</w:t>
      </w:r>
      <w:r w:rsidR="7F0C0882" w:rsidRPr="68316884">
        <w:rPr>
          <w:rFonts w:eastAsia="Arial" w:cs="Arial"/>
          <w:sz w:val="22"/>
          <w:szCs w:val="22"/>
        </w:rPr>
        <w:t xml:space="preserve"> published its </w:t>
      </w:r>
      <w:r w:rsidR="00B912FB">
        <w:rPr>
          <w:rFonts w:eastAsia="Arial" w:cs="Arial"/>
          <w:sz w:val="22"/>
          <w:szCs w:val="22"/>
        </w:rPr>
        <w:t>seventh</w:t>
      </w:r>
      <w:r w:rsidR="14D36C5B" w:rsidRPr="68316884">
        <w:rPr>
          <w:rFonts w:eastAsia="Arial" w:cs="Arial"/>
          <w:sz w:val="22"/>
          <w:szCs w:val="22"/>
        </w:rPr>
        <w:t xml:space="preserve"> </w:t>
      </w:r>
      <w:hyperlink r:id="rId17" w:history="1">
        <w:r w:rsidR="7F0C0882" w:rsidRPr="00571DC0">
          <w:rPr>
            <w:rStyle w:val="Hyperlink"/>
            <w:rFonts w:eastAsia="Arial" w:cs="Arial"/>
            <w:sz w:val="22"/>
            <w:szCs w:val="22"/>
          </w:rPr>
          <w:t>Impact Report</w:t>
        </w:r>
        <w:r w:rsidR="00F34EC8" w:rsidRPr="00571DC0">
          <w:rPr>
            <w:rStyle w:val="Hyperlink"/>
            <w:rFonts w:eastAsia="Arial" w:cs="Arial"/>
            <w:sz w:val="22"/>
            <w:szCs w:val="22"/>
          </w:rPr>
          <w:t xml:space="preserve"> in 202</w:t>
        </w:r>
        <w:r w:rsidR="00B912FB">
          <w:rPr>
            <w:rStyle w:val="Hyperlink"/>
            <w:rFonts w:eastAsia="Arial" w:cs="Arial"/>
            <w:sz w:val="22"/>
            <w:szCs w:val="22"/>
          </w:rPr>
          <w:t>4</w:t>
        </w:r>
      </w:hyperlink>
      <w:r w:rsidR="00F34EC8" w:rsidRPr="68316884">
        <w:rPr>
          <w:rFonts w:eastAsia="Arial" w:cs="Arial"/>
          <w:sz w:val="22"/>
          <w:szCs w:val="22"/>
        </w:rPr>
        <w:t>. The Report features</w:t>
      </w:r>
      <w:r w:rsidR="0088189D">
        <w:rPr>
          <w:rFonts w:eastAsia="Arial" w:cs="Arial"/>
          <w:sz w:val="22"/>
          <w:szCs w:val="22"/>
        </w:rPr>
        <w:t xml:space="preserve"> </w:t>
      </w:r>
      <w:r w:rsidR="00F34EC8" w:rsidRPr="68316884">
        <w:rPr>
          <w:rFonts w:eastAsia="Arial" w:cs="Arial"/>
          <w:sz w:val="22"/>
          <w:szCs w:val="22"/>
        </w:rPr>
        <w:t xml:space="preserve">TA projects funded by the </w:t>
      </w:r>
      <w:r w:rsidR="001D6F65" w:rsidRPr="68316884">
        <w:rPr>
          <w:rFonts w:eastAsia="Arial" w:cs="Arial"/>
          <w:sz w:val="22"/>
          <w:szCs w:val="22"/>
        </w:rPr>
        <w:t>DF</w:t>
      </w:r>
      <w:r w:rsidR="00F34EC8" w:rsidRPr="68316884">
        <w:rPr>
          <w:rFonts w:eastAsia="Arial" w:cs="Arial"/>
          <w:sz w:val="22"/>
          <w:szCs w:val="22"/>
        </w:rPr>
        <w:t>, as well as public impact and operating results</w:t>
      </w:r>
      <w:r w:rsidR="7F0C0882" w:rsidRPr="68316884">
        <w:rPr>
          <w:rFonts w:eastAsia="Arial" w:cs="Arial"/>
          <w:sz w:val="22"/>
          <w:szCs w:val="22"/>
        </w:rPr>
        <w:t>.</w:t>
      </w:r>
    </w:p>
    <w:p w14:paraId="3FFF6236" w14:textId="77777777" w:rsidR="00C718DD" w:rsidRPr="00A54B18" w:rsidRDefault="00C718DD" w:rsidP="00F66B70">
      <w:pPr>
        <w:jc w:val="both"/>
        <w:rPr>
          <w:rFonts w:eastAsia="Arial" w:cs="Arial"/>
          <w:sz w:val="22"/>
          <w:szCs w:val="22"/>
        </w:rPr>
      </w:pPr>
    </w:p>
    <w:p w14:paraId="30D42A9D" w14:textId="3934A18E" w:rsidR="0044219A" w:rsidRPr="00D01E4F" w:rsidRDefault="00D01E4F" w:rsidP="005E557A">
      <w:pPr>
        <w:rPr>
          <w:rFonts w:eastAsia="Arial" w:cs="Arial"/>
          <w:b/>
          <w:bCs/>
          <w:sz w:val="22"/>
          <w:szCs w:val="22"/>
        </w:rPr>
      </w:pPr>
      <w:r w:rsidRPr="00D01E4F">
        <w:rPr>
          <w:rFonts w:eastAsia="Arial" w:cs="Arial"/>
          <w:b/>
          <w:bCs/>
          <w:sz w:val="22"/>
          <w:szCs w:val="22"/>
        </w:rPr>
        <w:t>Impact Indicators</w:t>
      </w:r>
    </w:p>
    <w:p w14:paraId="2A5F3E07" w14:textId="77777777" w:rsidR="0044219A" w:rsidRPr="00715C4C" w:rsidRDefault="0044219A" w:rsidP="005E557A">
      <w:pPr>
        <w:rPr>
          <w:rFonts w:eastAsia="Arial" w:cs="Arial"/>
          <w:color w:val="FF0000"/>
          <w:sz w:val="22"/>
          <w:szCs w:val="22"/>
        </w:rPr>
      </w:pPr>
    </w:p>
    <w:p w14:paraId="534A8645" w14:textId="660BFAD0" w:rsidR="0044219A" w:rsidRPr="00715C4C" w:rsidRDefault="00F4431F" w:rsidP="0003098B">
      <w:pPr>
        <w:jc w:val="both"/>
        <w:rPr>
          <w:rFonts w:eastAsia="Arial" w:cs="Arial"/>
          <w:sz w:val="22"/>
          <w:szCs w:val="22"/>
        </w:rPr>
      </w:pPr>
      <w:r w:rsidRPr="638BBF33">
        <w:rPr>
          <w:rFonts w:eastAsia="Arial" w:cs="Arial"/>
          <w:sz w:val="22"/>
          <w:szCs w:val="22"/>
        </w:rPr>
        <w:t xml:space="preserve">These indicators assess </w:t>
      </w:r>
      <w:r w:rsidR="00F207C4">
        <w:rPr>
          <w:rFonts w:eastAsia="Arial" w:cs="Arial"/>
          <w:sz w:val="22"/>
          <w:szCs w:val="22"/>
        </w:rPr>
        <w:t>EBF’s overall</w:t>
      </w:r>
      <w:r w:rsidRPr="638BBF33">
        <w:rPr>
          <w:rFonts w:eastAsia="Arial" w:cs="Arial"/>
          <w:sz w:val="22"/>
          <w:szCs w:val="22"/>
        </w:rPr>
        <w:t xml:space="preserve"> transformational </w:t>
      </w:r>
      <w:r w:rsidR="006F6CFC">
        <w:rPr>
          <w:rFonts w:eastAsia="Arial" w:cs="Arial"/>
          <w:sz w:val="22"/>
          <w:szCs w:val="22"/>
        </w:rPr>
        <w:t>impact</w:t>
      </w:r>
      <w:r w:rsidRPr="638BBF33">
        <w:rPr>
          <w:rFonts w:eastAsia="Arial" w:cs="Arial"/>
          <w:sz w:val="22"/>
          <w:szCs w:val="22"/>
        </w:rPr>
        <w:t xml:space="preserve"> </w:t>
      </w:r>
      <w:r w:rsidR="006F6CFC">
        <w:rPr>
          <w:rFonts w:eastAsia="Arial" w:cs="Arial"/>
          <w:sz w:val="22"/>
          <w:szCs w:val="22"/>
        </w:rPr>
        <w:t>o</w:t>
      </w:r>
      <w:r w:rsidRPr="638BBF33">
        <w:rPr>
          <w:rFonts w:eastAsia="Arial" w:cs="Arial"/>
          <w:sz w:val="22"/>
          <w:szCs w:val="22"/>
        </w:rPr>
        <w:t xml:space="preserve">n financial and </w:t>
      </w:r>
      <w:r w:rsidR="00C358F7" w:rsidRPr="638BBF33">
        <w:rPr>
          <w:rFonts w:eastAsia="Arial" w:cs="Arial"/>
          <w:sz w:val="22"/>
          <w:szCs w:val="22"/>
        </w:rPr>
        <w:t>land use</w:t>
      </w:r>
      <w:r w:rsidRPr="638BBF33">
        <w:rPr>
          <w:rFonts w:eastAsia="Arial" w:cs="Arial"/>
          <w:sz w:val="22"/>
          <w:szCs w:val="22"/>
        </w:rPr>
        <w:t xml:space="preserve"> sectors</w:t>
      </w:r>
      <w:r w:rsidR="00B21B90" w:rsidRPr="638BBF33">
        <w:rPr>
          <w:rFonts w:eastAsia="Arial" w:cs="Arial"/>
          <w:sz w:val="22"/>
          <w:szCs w:val="22"/>
        </w:rPr>
        <w:t>,</w:t>
      </w:r>
      <w:r w:rsidRPr="638BBF33">
        <w:rPr>
          <w:rFonts w:eastAsia="Arial" w:cs="Arial"/>
          <w:sz w:val="22"/>
          <w:szCs w:val="22"/>
        </w:rPr>
        <w:t xml:space="preserve"> </w:t>
      </w:r>
      <w:r w:rsidR="00A254CC">
        <w:rPr>
          <w:rFonts w:eastAsia="Arial" w:cs="Arial"/>
          <w:sz w:val="22"/>
          <w:szCs w:val="22"/>
        </w:rPr>
        <w:t>which</w:t>
      </w:r>
      <w:r w:rsidRPr="638BBF33">
        <w:rPr>
          <w:rFonts w:eastAsia="Arial" w:cs="Arial"/>
          <w:sz w:val="22"/>
          <w:szCs w:val="22"/>
        </w:rPr>
        <w:t xml:space="preserve"> contribute</w:t>
      </w:r>
      <w:r w:rsidR="0042098C" w:rsidRPr="638BBF33">
        <w:rPr>
          <w:rFonts w:eastAsia="Arial" w:cs="Arial"/>
          <w:sz w:val="22"/>
          <w:szCs w:val="22"/>
        </w:rPr>
        <w:t>s</w:t>
      </w:r>
      <w:r w:rsidRPr="638BBF33">
        <w:rPr>
          <w:rFonts w:eastAsia="Arial" w:cs="Arial"/>
          <w:sz w:val="22"/>
          <w:szCs w:val="22"/>
        </w:rPr>
        <w:t xml:space="preserve"> to biodiversity conservation, sustainable use of natural resources, </w:t>
      </w:r>
      <w:r w:rsidRPr="638BBF33">
        <w:rPr>
          <w:rFonts w:eastAsia="Arial" w:cs="Arial"/>
          <w:sz w:val="22"/>
          <w:szCs w:val="22"/>
        </w:rPr>
        <w:lastRenderedPageBreak/>
        <w:t>and climate change mitigation and adaptation.</w:t>
      </w:r>
      <w:r w:rsidR="00167CE7" w:rsidRPr="638BBF33">
        <w:rPr>
          <w:rFonts w:eastAsia="Arial" w:cs="Arial"/>
          <w:sz w:val="22"/>
          <w:szCs w:val="22"/>
        </w:rPr>
        <w:t xml:space="preserve"> </w:t>
      </w:r>
      <w:r w:rsidR="004F56F6">
        <w:rPr>
          <w:rFonts w:eastAsia="Arial" w:cs="Arial"/>
          <w:sz w:val="22"/>
          <w:szCs w:val="22"/>
        </w:rPr>
        <w:t xml:space="preserve">Between them they show </w:t>
      </w:r>
      <w:r w:rsidR="005B0A24">
        <w:rPr>
          <w:rFonts w:eastAsia="Arial" w:cs="Arial"/>
          <w:sz w:val="22"/>
          <w:szCs w:val="22"/>
        </w:rPr>
        <w:t xml:space="preserve">(1) </w:t>
      </w:r>
      <w:r w:rsidR="004F56F6">
        <w:rPr>
          <w:rFonts w:eastAsia="Arial" w:cs="Arial"/>
          <w:sz w:val="22"/>
          <w:szCs w:val="22"/>
        </w:rPr>
        <w:t>the operational size of the Fund itself</w:t>
      </w:r>
      <w:r w:rsidR="0052279A">
        <w:rPr>
          <w:rFonts w:eastAsia="Arial" w:cs="Arial"/>
          <w:sz w:val="22"/>
          <w:szCs w:val="22"/>
        </w:rPr>
        <w:t xml:space="preserve"> (how much </w:t>
      </w:r>
      <w:r w:rsidR="00175C87">
        <w:rPr>
          <w:rFonts w:eastAsia="Arial" w:cs="Arial"/>
          <w:sz w:val="22"/>
          <w:szCs w:val="22"/>
        </w:rPr>
        <w:t>investor capital it is currently managing</w:t>
      </w:r>
      <w:r w:rsidR="009F1A77">
        <w:rPr>
          <w:rFonts w:eastAsia="Arial" w:cs="Arial"/>
          <w:sz w:val="22"/>
          <w:szCs w:val="22"/>
        </w:rPr>
        <w:t xml:space="preserve"> as a pool of finance for investmen</w:t>
      </w:r>
      <w:r w:rsidR="001F43AF">
        <w:rPr>
          <w:rFonts w:eastAsia="Arial" w:cs="Arial"/>
          <w:sz w:val="22"/>
          <w:szCs w:val="22"/>
        </w:rPr>
        <w:t>ts in LAC</w:t>
      </w:r>
      <w:r w:rsidR="00175C87">
        <w:rPr>
          <w:rFonts w:eastAsia="Arial" w:cs="Arial"/>
          <w:sz w:val="22"/>
          <w:szCs w:val="22"/>
        </w:rPr>
        <w:t>)</w:t>
      </w:r>
      <w:r w:rsidR="005012BF">
        <w:rPr>
          <w:rFonts w:eastAsia="Arial" w:cs="Arial"/>
          <w:sz w:val="22"/>
          <w:szCs w:val="22"/>
        </w:rPr>
        <w:t xml:space="preserve">, </w:t>
      </w:r>
      <w:r w:rsidR="005B0A24">
        <w:rPr>
          <w:rFonts w:eastAsia="Arial" w:cs="Arial"/>
          <w:sz w:val="22"/>
          <w:szCs w:val="22"/>
        </w:rPr>
        <w:t xml:space="preserve">(2) </w:t>
      </w:r>
      <w:r w:rsidR="005012BF">
        <w:rPr>
          <w:rFonts w:eastAsia="Arial" w:cs="Arial"/>
          <w:sz w:val="22"/>
          <w:szCs w:val="22"/>
        </w:rPr>
        <w:t>the total volume of sub</w:t>
      </w:r>
      <w:r w:rsidR="00175C87">
        <w:rPr>
          <w:rFonts w:eastAsia="Arial" w:cs="Arial"/>
          <w:sz w:val="22"/>
          <w:szCs w:val="22"/>
        </w:rPr>
        <w:t>-</w:t>
      </w:r>
      <w:r w:rsidR="005012BF">
        <w:rPr>
          <w:rFonts w:eastAsia="Arial" w:cs="Arial"/>
          <w:sz w:val="22"/>
          <w:szCs w:val="22"/>
        </w:rPr>
        <w:t xml:space="preserve">loans provided by </w:t>
      </w:r>
      <w:r w:rsidR="00CB774C">
        <w:rPr>
          <w:rFonts w:eastAsia="Arial" w:cs="Arial"/>
          <w:sz w:val="22"/>
          <w:szCs w:val="22"/>
        </w:rPr>
        <w:t xml:space="preserve">PIs, and </w:t>
      </w:r>
      <w:r w:rsidR="005B0A24">
        <w:rPr>
          <w:rFonts w:eastAsia="Arial" w:cs="Arial"/>
          <w:sz w:val="22"/>
          <w:szCs w:val="22"/>
        </w:rPr>
        <w:t xml:space="preserve">(3) </w:t>
      </w:r>
      <w:r w:rsidR="00CB774C">
        <w:rPr>
          <w:rFonts w:eastAsia="Arial" w:cs="Arial"/>
          <w:sz w:val="22"/>
          <w:szCs w:val="22"/>
        </w:rPr>
        <w:t xml:space="preserve">the number of PIs </w:t>
      </w:r>
      <w:r w:rsidR="005B0A24">
        <w:rPr>
          <w:rFonts w:eastAsia="Arial" w:cs="Arial"/>
          <w:sz w:val="22"/>
          <w:szCs w:val="22"/>
        </w:rPr>
        <w:t>who have received</w:t>
      </w:r>
      <w:r w:rsidR="004915CB">
        <w:rPr>
          <w:rFonts w:eastAsia="Arial" w:cs="Arial"/>
          <w:sz w:val="22"/>
          <w:szCs w:val="22"/>
        </w:rPr>
        <w:t xml:space="preserve"> </w:t>
      </w:r>
      <w:r w:rsidR="00947D4A">
        <w:rPr>
          <w:rFonts w:eastAsia="Arial" w:cs="Arial"/>
          <w:sz w:val="22"/>
          <w:szCs w:val="22"/>
        </w:rPr>
        <w:t xml:space="preserve">TA provided by </w:t>
      </w:r>
      <w:r w:rsidR="004915CB">
        <w:rPr>
          <w:rFonts w:eastAsia="Arial" w:cs="Arial"/>
          <w:sz w:val="22"/>
          <w:szCs w:val="22"/>
        </w:rPr>
        <w:t>EBF</w:t>
      </w:r>
      <w:r w:rsidR="005641C8">
        <w:rPr>
          <w:rFonts w:eastAsia="Arial" w:cs="Arial"/>
          <w:sz w:val="22"/>
          <w:szCs w:val="22"/>
        </w:rPr>
        <w:t xml:space="preserve">. Indicator 4 provides an overall score out of </w:t>
      </w:r>
      <w:r w:rsidR="00347A9A">
        <w:rPr>
          <w:rFonts w:eastAsia="Arial" w:cs="Arial"/>
          <w:sz w:val="22"/>
          <w:szCs w:val="22"/>
        </w:rPr>
        <w:t>5</w:t>
      </w:r>
      <w:r w:rsidR="005641C8">
        <w:rPr>
          <w:rFonts w:eastAsia="Arial" w:cs="Arial"/>
          <w:sz w:val="22"/>
          <w:szCs w:val="22"/>
        </w:rPr>
        <w:t xml:space="preserve"> </w:t>
      </w:r>
      <w:r w:rsidR="000C6C6E">
        <w:rPr>
          <w:rFonts w:eastAsia="Arial" w:cs="Arial"/>
          <w:sz w:val="22"/>
          <w:szCs w:val="22"/>
        </w:rPr>
        <w:t xml:space="preserve">for transformational change, through a proportional </w:t>
      </w:r>
      <w:r w:rsidR="004337F5">
        <w:rPr>
          <w:rFonts w:eastAsia="Arial" w:cs="Arial"/>
          <w:sz w:val="22"/>
          <w:szCs w:val="22"/>
        </w:rPr>
        <w:t xml:space="preserve">scoring of </w:t>
      </w:r>
      <w:r w:rsidR="000859BE">
        <w:rPr>
          <w:rFonts w:eastAsia="Arial" w:cs="Arial"/>
          <w:sz w:val="22"/>
          <w:szCs w:val="22"/>
        </w:rPr>
        <w:t>selected</w:t>
      </w:r>
      <w:r w:rsidR="004337F5">
        <w:rPr>
          <w:rFonts w:eastAsia="Arial" w:cs="Arial"/>
          <w:sz w:val="22"/>
          <w:szCs w:val="22"/>
        </w:rPr>
        <w:t xml:space="preserve"> outcome and output indicators</w:t>
      </w:r>
      <w:r w:rsidR="000859BE">
        <w:rPr>
          <w:rFonts w:eastAsia="Arial" w:cs="Arial"/>
          <w:sz w:val="22"/>
          <w:szCs w:val="22"/>
        </w:rPr>
        <w:t>.</w:t>
      </w:r>
    </w:p>
    <w:p w14:paraId="4869993D" w14:textId="77777777" w:rsidR="0044219A" w:rsidRPr="00715C4C" w:rsidRDefault="0044219A" w:rsidP="005E557A">
      <w:pPr>
        <w:rPr>
          <w:rFonts w:eastAsia="Arial" w:cs="Arial"/>
          <w:color w:val="FF0000"/>
          <w:sz w:val="22"/>
          <w:szCs w:val="22"/>
        </w:rPr>
      </w:pPr>
    </w:p>
    <w:tbl>
      <w:tblPr>
        <w:tblStyle w:val="TableGrid"/>
        <w:tblpPr w:leftFromText="180" w:rightFromText="180" w:vertAnchor="text" w:horzAnchor="margin" w:tblpXSpec="center" w:tblpY="8"/>
        <w:tblOverlap w:val="never"/>
        <w:tblW w:w="10343" w:type="dxa"/>
        <w:tblLayout w:type="fixed"/>
        <w:tblLook w:val="04A0" w:firstRow="1" w:lastRow="0" w:firstColumn="1" w:lastColumn="0" w:noHBand="0" w:noVBand="1"/>
      </w:tblPr>
      <w:tblGrid>
        <w:gridCol w:w="5382"/>
        <w:gridCol w:w="2410"/>
        <w:gridCol w:w="2551"/>
      </w:tblGrid>
      <w:tr w:rsidR="00114095" w:rsidRPr="008B73F2" w14:paraId="43BE2636" w14:textId="77777777" w:rsidTr="00C60A57">
        <w:trPr>
          <w:trHeight w:val="280"/>
        </w:trPr>
        <w:tc>
          <w:tcPr>
            <w:tcW w:w="5382" w:type="dxa"/>
            <w:shd w:val="clear" w:color="auto" w:fill="D9E2F3" w:themeFill="accent1" w:themeFillTint="33"/>
          </w:tcPr>
          <w:p w14:paraId="67F2B8D6" w14:textId="43712CBD" w:rsidR="00114095" w:rsidRPr="008B73F2" w:rsidRDefault="00E17976" w:rsidP="005D7D44">
            <w:pPr>
              <w:pStyle w:val="Normal1"/>
              <w:spacing w:after="120"/>
              <w:rPr>
                <w:b/>
                <w:bCs/>
                <w:sz w:val="20"/>
                <w:szCs w:val="20"/>
              </w:rPr>
            </w:pPr>
            <w:r>
              <w:rPr>
                <w:b/>
                <w:bCs/>
                <w:sz w:val="20"/>
                <w:szCs w:val="20"/>
              </w:rPr>
              <w:t>Impact</w:t>
            </w:r>
            <w:r w:rsidR="00114095" w:rsidRPr="008B73F2">
              <w:rPr>
                <w:b/>
                <w:bCs/>
                <w:sz w:val="20"/>
                <w:szCs w:val="20"/>
              </w:rPr>
              <w:t xml:space="preserve"> indicator</w:t>
            </w:r>
          </w:p>
        </w:tc>
        <w:tc>
          <w:tcPr>
            <w:tcW w:w="2410" w:type="dxa"/>
            <w:shd w:val="clear" w:color="auto" w:fill="D9E2F3" w:themeFill="accent1" w:themeFillTint="33"/>
          </w:tcPr>
          <w:p w14:paraId="65A9E167" w14:textId="3158F43F" w:rsidR="00114095" w:rsidRPr="008B73F2" w:rsidRDefault="00114095" w:rsidP="005D7D44">
            <w:pPr>
              <w:pStyle w:val="Normal1"/>
              <w:spacing w:after="120"/>
              <w:rPr>
                <w:b/>
                <w:bCs/>
                <w:sz w:val="20"/>
                <w:szCs w:val="20"/>
              </w:rPr>
            </w:pPr>
            <w:r w:rsidRPr="008B73F2">
              <w:rPr>
                <w:b/>
                <w:bCs/>
                <w:sz w:val="20"/>
                <w:szCs w:val="20"/>
              </w:rPr>
              <w:t>Defra Target 202</w:t>
            </w:r>
            <w:r w:rsidR="00FD530A">
              <w:rPr>
                <w:b/>
                <w:bCs/>
                <w:sz w:val="20"/>
                <w:szCs w:val="20"/>
              </w:rPr>
              <w:t>4</w:t>
            </w:r>
            <w:r w:rsidRPr="008B73F2">
              <w:rPr>
                <w:b/>
                <w:bCs/>
                <w:sz w:val="20"/>
                <w:szCs w:val="20"/>
              </w:rPr>
              <w:t xml:space="preserve"> </w:t>
            </w:r>
            <w:r w:rsidRPr="008B73F2">
              <w:rPr>
                <w:sz w:val="20"/>
                <w:szCs w:val="20"/>
              </w:rPr>
              <w:t>(cumulative fund level)</w:t>
            </w:r>
          </w:p>
        </w:tc>
        <w:tc>
          <w:tcPr>
            <w:tcW w:w="2551" w:type="dxa"/>
            <w:shd w:val="clear" w:color="auto" w:fill="D9E2F3" w:themeFill="accent1" w:themeFillTint="33"/>
          </w:tcPr>
          <w:p w14:paraId="41390954" w14:textId="4FAE4310" w:rsidR="00114095" w:rsidRPr="008B73F2" w:rsidRDefault="3F67C0F1" w:rsidP="005D7D44">
            <w:pPr>
              <w:pStyle w:val="Normal1"/>
              <w:spacing w:after="120"/>
              <w:rPr>
                <w:b/>
                <w:bCs/>
                <w:sz w:val="20"/>
                <w:szCs w:val="20"/>
              </w:rPr>
            </w:pPr>
            <w:r w:rsidRPr="68316884">
              <w:rPr>
                <w:b/>
                <w:bCs/>
                <w:sz w:val="20"/>
                <w:szCs w:val="20"/>
              </w:rPr>
              <w:t>Achieved 202</w:t>
            </w:r>
            <w:r w:rsidR="00FD530A">
              <w:rPr>
                <w:b/>
                <w:bCs/>
                <w:sz w:val="20"/>
                <w:szCs w:val="20"/>
              </w:rPr>
              <w:t>4</w:t>
            </w:r>
            <w:r w:rsidRPr="68316884">
              <w:rPr>
                <w:sz w:val="20"/>
                <w:szCs w:val="20"/>
              </w:rPr>
              <w:t xml:space="preserve"> (cumulative fund level</w:t>
            </w:r>
            <w:r w:rsidR="00C60A57">
              <w:rPr>
                <w:sz w:val="20"/>
                <w:szCs w:val="20"/>
              </w:rPr>
              <w:t>,</w:t>
            </w:r>
            <w:r w:rsidR="00C60A57">
              <w:t xml:space="preserve"> </w:t>
            </w:r>
            <w:r w:rsidR="00C60A57" w:rsidRPr="00C60A57">
              <w:rPr>
                <w:sz w:val="20"/>
                <w:szCs w:val="20"/>
              </w:rPr>
              <w:t>in-year change in brackets</w:t>
            </w:r>
            <w:r w:rsidRPr="68316884">
              <w:rPr>
                <w:sz w:val="20"/>
                <w:szCs w:val="20"/>
              </w:rPr>
              <w:t>)</w:t>
            </w:r>
          </w:p>
        </w:tc>
      </w:tr>
      <w:tr w:rsidR="00114095" w:rsidRPr="008B73F2" w14:paraId="10489BB0" w14:textId="77777777" w:rsidTr="00C60A57">
        <w:trPr>
          <w:trHeight w:val="283"/>
        </w:trPr>
        <w:tc>
          <w:tcPr>
            <w:tcW w:w="5382" w:type="dxa"/>
          </w:tcPr>
          <w:p w14:paraId="70CCC333" w14:textId="4CE10389" w:rsidR="00114095" w:rsidRPr="00A80CB1" w:rsidRDefault="00A80CB1" w:rsidP="00674C5F">
            <w:pPr>
              <w:pStyle w:val="Normal1"/>
              <w:numPr>
                <w:ilvl w:val="0"/>
                <w:numId w:val="12"/>
              </w:numPr>
              <w:spacing w:after="120"/>
              <w:rPr>
                <w:sz w:val="20"/>
                <w:szCs w:val="20"/>
              </w:rPr>
            </w:pPr>
            <w:r w:rsidRPr="00A80CB1">
              <w:rPr>
                <w:sz w:val="20"/>
                <w:szCs w:val="20"/>
              </w:rPr>
              <w:t>Sustained and increased levels of funding in impact investment funds in Latin America</w:t>
            </w:r>
            <w:r>
              <w:rPr>
                <w:sz w:val="20"/>
                <w:szCs w:val="20"/>
              </w:rPr>
              <w:t xml:space="preserve"> ($m)</w:t>
            </w:r>
          </w:p>
        </w:tc>
        <w:tc>
          <w:tcPr>
            <w:tcW w:w="2410" w:type="dxa"/>
            <w:vAlign w:val="center"/>
          </w:tcPr>
          <w:p w14:paraId="7A6976B5" w14:textId="1D708EE6" w:rsidR="00114095" w:rsidRPr="008B73F2" w:rsidRDefault="00A80CB1" w:rsidP="00C97DA6">
            <w:pPr>
              <w:pStyle w:val="Normal1"/>
              <w:spacing w:after="120"/>
              <w:jc w:val="center"/>
              <w:rPr>
                <w:sz w:val="20"/>
                <w:szCs w:val="20"/>
              </w:rPr>
            </w:pPr>
            <w:r>
              <w:rPr>
                <w:sz w:val="20"/>
                <w:szCs w:val="20"/>
              </w:rPr>
              <w:t>7</w:t>
            </w:r>
            <w:r w:rsidR="00A30DFC">
              <w:rPr>
                <w:sz w:val="20"/>
                <w:szCs w:val="20"/>
              </w:rPr>
              <w:t>80</w:t>
            </w:r>
          </w:p>
        </w:tc>
        <w:tc>
          <w:tcPr>
            <w:tcW w:w="2551" w:type="dxa"/>
            <w:shd w:val="clear" w:color="auto" w:fill="FF0000"/>
            <w:vAlign w:val="center"/>
          </w:tcPr>
          <w:p w14:paraId="3AFBEF45" w14:textId="46830CE3" w:rsidR="00114095" w:rsidRPr="008B73F2" w:rsidRDefault="5F72FE8A" w:rsidP="00C97DA6">
            <w:pPr>
              <w:pStyle w:val="Normal1"/>
              <w:spacing w:after="120"/>
              <w:jc w:val="center"/>
              <w:rPr>
                <w:sz w:val="20"/>
                <w:szCs w:val="20"/>
              </w:rPr>
            </w:pPr>
            <w:r w:rsidRPr="698C49C7">
              <w:rPr>
                <w:sz w:val="20"/>
                <w:szCs w:val="20"/>
              </w:rPr>
              <w:t>6</w:t>
            </w:r>
            <w:r w:rsidR="001E68A2" w:rsidRPr="698C49C7">
              <w:rPr>
                <w:sz w:val="20"/>
                <w:szCs w:val="20"/>
              </w:rPr>
              <w:t>8</w:t>
            </w:r>
            <w:r w:rsidR="00A30DFC" w:rsidRPr="698C49C7">
              <w:rPr>
                <w:sz w:val="20"/>
                <w:szCs w:val="20"/>
              </w:rPr>
              <w:t>2</w:t>
            </w:r>
            <w:r w:rsidR="00FA3EEE" w:rsidRPr="698C49C7">
              <w:rPr>
                <w:sz w:val="20"/>
                <w:szCs w:val="20"/>
              </w:rPr>
              <w:t>(</w:t>
            </w:r>
            <w:r w:rsidR="77CB8744" w:rsidRPr="698C49C7">
              <w:rPr>
                <w:sz w:val="20"/>
                <w:szCs w:val="20"/>
              </w:rPr>
              <w:t>+</w:t>
            </w:r>
            <w:r w:rsidR="62E1CE9B" w:rsidRPr="698C49C7">
              <w:rPr>
                <w:sz w:val="20"/>
                <w:szCs w:val="20"/>
              </w:rPr>
              <w:t>3</w:t>
            </w:r>
            <w:r w:rsidR="3E264B7D" w:rsidRPr="698C49C7">
              <w:rPr>
                <w:sz w:val="20"/>
                <w:szCs w:val="20"/>
              </w:rPr>
              <w:t>7.6</w:t>
            </w:r>
            <w:r w:rsidR="3DD87B52" w:rsidRPr="698C49C7">
              <w:rPr>
                <w:sz w:val="20"/>
                <w:szCs w:val="20"/>
              </w:rPr>
              <w:t>)</w:t>
            </w:r>
          </w:p>
        </w:tc>
      </w:tr>
      <w:tr w:rsidR="00114095" w:rsidRPr="008B73F2" w14:paraId="227A861B" w14:textId="77777777" w:rsidTr="00C60A57">
        <w:trPr>
          <w:trHeight w:val="284"/>
        </w:trPr>
        <w:tc>
          <w:tcPr>
            <w:tcW w:w="5382" w:type="dxa"/>
          </w:tcPr>
          <w:p w14:paraId="4C896256" w14:textId="108224A9" w:rsidR="00114095" w:rsidRPr="003D6869" w:rsidRDefault="00114095" w:rsidP="00674C5F">
            <w:pPr>
              <w:pStyle w:val="Normal1"/>
              <w:numPr>
                <w:ilvl w:val="0"/>
                <w:numId w:val="12"/>
              </w:numPr>
              <w:spacing w:after="120"/>
              <w:rPr>
                <w:sz w:val="20"/>
                <w:szCs w:val="20"/>
              </w:rPr>
            </w:pPr>
            <w:r w:rsidRPr="003D6869">
              <w:rPr>
                <w:sz w:val="20"/>
                <w:szCs w:val="20"/>
              </w:rPr>
              <w:t xml:space="preserve">Level of funding provided by </w:t>
            </w:r>
            <w:r w:rsidR="00CB774C">
              <w:rPr>
                <w:sz w:val="20"/>
                <w:szCs w:val="20"/>
              </w:rPr>
              <w:t>P</w:t>
            </w:r>
            <w:r w:rsidRPr="003D6869">
              <w:rPr>
                <w:sz w:val="20"/>
                <w:szCs w:val="20"/>
              </w:rPr>
              <w:t>Is to businesses that adopt sustainable practices ($m)</w:t>
            </w:r>
          </w:p>
        </w:tc>
        <w:tc>
          <w:tcPr>
            <w:tcW w:w="2410" w:type="dxa"/>
            <w:vAlign w:val="center"/>
          </w:tcPr>
          <w:p w14:paraId="4D8E6E4F" w14:textId="411CCFED" w:rsidR="00114095" w:rsidRPr="008B73F2" w:rsidRDefault="5DDD7116" w:rsidP="00C97DA6">
            <w:pPr>
              <w:pStyle w:val="Normal1"/>
              <w:spacing w:after="120"/>
              <w:jc w:val="center"/>
              <w:rPr>
                <w:sz w:val="20"/>
                <w:szCs w:val="20"/>
              </w:rPr>
            </w:pPr>
            <w:r w:rsidRPr="68316884">
              <w:rPr>
                <w:sz w:val="20"/>
                <w:szCs w:val="20"/>
              </w:rPr>
              <w:t>3</w:t>
            </w:r>
            <w:r w:rsidR="470B5F01" w:rsidRPr="68316884">
              <w:rPr>
                <w:sz w:val="20"/>
                <w:szCs w:val="20"/>
              </w:rPr>
              <w:t>,</w:t>
            </w:r>
            <w:r w:rsidRPr="68316884">
              <w:rPr>
                <w:sz w:val="20"/>
                <w:szCs w:val="20"/>
              </w:rPr>
              <w:t>7</w:t>
            </w:r>
            <w:r w:rsidR="00E82D5C">
              <w:rPr>
                <w:sz w:val="20"/>
                <w:szCs w:val="20"/>
              </w:rPr>
              <w:t>94.4</w:t>
            </w:r>
          </w:p>
        </w:tc>
        <w:tc>
          <w:tcPr>
            <w:tcW w:w="2551" w:type="dxa"/>
            <w:shd w:val="clear" w:color="auto" w:fill="A8D08D" w:themeFill="accent6" w:themeFillTint="99"/>
            <w:vAlign w:val="center"/>
          </w:tcPr>
          <w:p w14:paraId="6C2AAA35" w14:textId="4B947233" w:rsidR="00114095" w:rsidRPr="008B73F2" w:rsidRDefault="00E82D5C" w:rsidP="00C97DA6">
            <w:pPr>
              <w:pStyle w:val="Normal1"/>
              <w:spacing w:after="120"/>
              <w:jc w:val="center"/>
              <w:rPr>
                <w:sz w:val="20"/>
                <w:szCs w:val="20"/>
              </w:rPr>
            </w:pPr>
            <w:r>
              <w:rPr>
                <w:sz w:val="20"/>
                <w:szCs w:val="20"/>
              </w:rPr>
              <w:t>4,252</w:t>
            </w:r>
            <w:r w:rsidR="00FA3EEE">
              <w:rPr>
                <w:sz w:val="20"/>
                <w:szCs w:val="20"/>
              </w:rPr>
              <w:t xml:space="preserve"> (+</w:t>
            </w:r>
            <w:r w:rsidR="00990517">
              <w:rPr>
                <w:sz w:val="20"/>
                <w:szCs w:val="20"/>
              </w:rPr>
              <w:t>272</w:t>
            </w:r>
            <w:r w:rsidR="00FA3EEE">
              <w:rPr>
                <w:sz w:val="20"/>
                <w:szCs w:val="20"/>
              </w:rPr>
              <w:t>)</w:t>
            </w:r>
          </w:p>
        </w:tc>
      </w:tr>
      <w:tr w:rsidR="00114095" w:rsidRPr="008B73F2" w14:paraId="31ACB00A" w14:textId="77777777" w:rsidTr="00C60A57">
        <w:trPr>
          <w:trHeight w:val="205"/>
        </w:trPr>
        <w:tc>
          <w:tcPr>
            <w:tcW w:w="5382" w:type="dxa"/>
          </w:tcPr>
          <w:p w14:paraId="51776E55" w14:textId="02A7BA11" w:rsidR="00114095" w:rsidRPr="008B73F2" w:rsidRDefault="003D6869" w:rsidP="00674C5F">
            <w:pPr>
              <w:pStyle w:val="Normal1"/>
              <w:numPr>
                <w:ilvl w:val="0"/>
                <w:numId w:val="12"/>
              </w:numPr>
              <w:spacing w:after="120"/>
              <w:rPr>
                <w:sz w:val="20"/>
                <w:szCs w:val="20"/>
              </w:rPr>
            </w:pPr>
            <w:r w:rsidRPr="003D6869">
              <w:rPr>
                <w:sz w:val="20"/>
                <w:szCs w:val="20"/>
              </w:rPr>
              <w:t xml:space="preserve">Number of </w:t>
            </w:r>
            <w:r w:rsidR="00CB774C">
              <w:rPr>
                <w:sz w:val="20"/>
                <w:szCs w:val="20"/>
              </w:rPr>
              <w:t>P</w:t>
            </w:r>
            <w:r w:rsidR="00FC2300">
              <w:rPr>
                <w:sz w:val="20"/>
                <w:szCs w:val="20"/>
              </w:rPr>
              <w:t>Is</w:t>
            </w:r>
            <w:r w:rsidRPr="003D6869">
              <w:rPr>
                <w:sz w:val="20"/>
                <w:szCs w:val="20"/>
              </w:rPr>
              <w:t xml:space="preserve"> within Latin America using lessons learned from </w:t>
            </w:r>
            <w:r w:rsidR="00CF571F">
              <w:rPr>
                <w:sz w:val="20"/>
                <w:szCs w:val="20"/>
              </w:rPr>
              <w:t>EBF’s</w:t>
            </w:r>
            <w:r w:rsidRPr="003D6869">
              <w:rPr>
                <w:sz w:val="20"/>
                <w:szCs w:val="20"/>
              </w:rPr>
              <w:t xml:space="preserve"> approach</w:t>
            </w:r>
          </w:p>
        </w:tc>
        <w:tc>
          <w:tcPr>
            <w:tcW w:w="2410" w:type="dxa"/>
            <w:vAlign w:val="center"/>
          </w:tcPr>
          <w:p w14:paraId="6DD09961" w14:textId="0962AD07" w:rsidR="00114095" w:rsidRPr="008B73F2" w:rsidRDefault="00BE3B19" w:rsidP="00C97DA6">
            <w:pPr>
              <w:pStyle w:val="Normal1"/>
              <w:spacing w:after="120"/>
              <w:jc w:val="center"/>
              <w:rPr>
                <w:sz w:val="20"/>
                <w:szCs w:val="20"/>
              </w:rPr>
            </w:pPr>
            <w:r>
              <w:rPr>
                <w:sz w:val="20"/>
                <w:szCs w:val="20"/>
              </w:rPr>
              <w:t>2</w:t>
            </w:r>
            <w:r w:rsidR="00894500">
              <w:rPr>
                <w:sz w:val="20"/>
                <w:szCs w:val="20"/>
              </w:rPr>
              <w:t>9</w:t>
            </w:r>
          </w:p>
        </w:tc>
        <w:tc>
          <w:tcPr>
            <w:tcW w:w="2551" w:type="dxa"/>
            <w:shd w:val="clear" w:color="auto" w:fill="A8D08D" w:themeFill="accent6" w:themeFillTint="99"/>
            <w:vAlign w:val="center"/>
          </w:tcPr>
          <w:p w14:paraId="76990AA8" w14:textId="16EC3FE7" w:rsidR="00114095" w:rsidRPr="008B73F2" w:rsidRDefault="00990517" w:rsidP="00C97DA6">
            <w:pPr>
              <w:pStyle w:val="Normal1"/>
              <w:spacing w:after="120"/>
              <w:jc w:val="center"/>
              <w:rPr>
                <w:sz w:val="20"/>
                <w:szCs w:val="20"/>
              </w:rPr>
            </w:pPr>
            <w:r>
              <w:rPr>
                <w:sz w:val="20"/>
                <w:szCs w:val="20"/>
              </w:rPr>
              <w:t>30</w:t>
            </w:r>
            <w:r w:rsidR="00E25506">
              <w:rPr>
                <w:sz w:val="20"/>
                <w:szCs w:val="20"/>
              </w:rPr>
              <w:t xml:space="preserve"> (+</w:t>
            </w:r>
            <w:r>
              <w:rPr>
                <w:sz w:val="20"/>
                <w:szCs w:val="20"/>
              </w:rPr>
              <w:t>2</w:t>
            </w:r>
            <w:r w:rsidR="00E25506">
              <w:rPr>
                <w:sz w:val="20"/>
                <w:szCs w:val="20"/>
              </w:rPr>
              <w:t>)</w:t>
            </w:r>
          </w:p>
        </w:tc>
      </w:tr>
      <w:tr w:rsidR="003D6869" w:rsidRPr="008B73F2" w14:paraId="4C60D71E" w14:textId="77777777" w:rsidTr="00C60A57">
        <w:trPr>
          <w:trHeight w:val="228"/>
        </w:trPr>
        <w:tc>
          <w:tcPr>
            <w:tcW w:w="5382" w:type="dxa"/>
          </w:tcPr>
          <w:p w14:paraId="55B0FB7F" w14:textId="166847B5" w:rsidR="003D6869" w:rsidRPr="008B73F2" w:rsidRDefault="00A20583" w:rsidP="00674C5F">
            <w:pPr>
              <w:pStyle w:val="Normal1"/>
              <w:numPr>
                <w:ilvl w:val="0"/>
                <w:numId w:val="12"/>
              </w:numPr>
              <w:spacing w:after="120"/>
              <w:rPr>
                <w:sz w:val="20"/>
                <w:szCs w:val="20"/>
              </w:rPr>
            </w:pPr>
            <w:r w:rsidRPr="00A20583">
              <w:rPr>
                <w:sz w:val="20"/>
                <w:szCs w:val="20"/>
              </w:rPr>
              <w:t>Extent to which ICF intervention is likely to lead to Transformational Chang</w:t>
            </w:r>
            <w:r>
              <w:rPr>
                <w:sz w:val="20"/>
                <w:szCs w:val="20"/>
              </w:rPr>
              <w:t>e</w:t>
            </w:r>
            <w:r w:rsidRPr="00A20583">
              <w:rPr>
                <w:sz w:val="20"/>
                <w:szCs w:val="20"/>
              </w:rPr>
              <w:t xml:space="preserve"> </w:t>
            </w:r>
            <w:r>
              <w:rPr>
                <w:sz w:val="20"/>
                <w:szCs w:val="20"/>
              </w:rPr>
              <w:t>(</w:t>
            </w:r>
            <w:r w:rsidRPr="00A20583">
              <w:rPr>
                <w:sz w:val="20"/>
                <w:szCs w:val="20"/>
              </w:rPr>
              <w:t>KPI 15</w:t>
            </w:r>
            <w:r>
              <w:rPr>
                <w:sz w:val="20"/>
                <w:szCs w:val="20"/>
              </w:rPr>
              <w:t>)</w:t>
            </w:r>
            <w:r w:rsidR="00691AE9">
              <w:rPr>
                <w:sz w:val="20"/>
                <w:szCs w:val="20"/>
              </w:rPr>
              <w:t xml:space="preserve"> (scale </w:t>
            </w:r>
            <w:r w:rsidR="004F6830">
              <w:rPr>
                <w:sz w:val="20"/>
                <w:szCs w:val="20"/>
              </w:rPr>
              <w:t>1</w:t>
            </w:r>
            <w:r w:rsidR="00691AE9">
              <w:rPr>
                <w:sz w:val="20"/>
                <w:szCs w:val="20"/>
              </w:rPr>
              <w:t>-</w:t>
            </w:r>
            <w:r w:rsidR="004F6830">
              <w:rPr>
                <w:sz w:val="20"/>
                <w:szCs w:val="20"/>
              </w:rPr>
              <w:t>5</w:t>
            </w:r>
            <w:r w:rsidR="00691AE9">
              <w:rPr>
                <w:sz w:val="20"/>
                <w:szCs w:val="20"/>
              </w:rPr>
              <w:t>)</w:t>
            </w:r>
          </w:p>
        </w:tc>
        <w:tc>
          <w:tcPr>
            <w:tcW w:w="2410" w:type="dxa"/>
            <w:vAlign w:val="center"/>
          </w:tcPr>
          <w:p w14:paraId="69318451" w14:textId="054ACE59" w:rsidR="003D6869" w:rsidRPr="008B73F2" w:rsidRDefault="00BE3B19" w:rsidP="00C97DA6">
            <w:pPr>
              <w:pStyle w:val="Normal1"/>
              <w:spacing w:after="120"/>
              <w:jc w:val="center"/>
              <w:rPr>
                <w:sz w:val="20"/>
                <w:szCs w:val="20"/>
              </w:rPr>
            </w:pPr>
            <w:r>
              <w:rPr>
                <w:sz w:val="20"/>
                <w:szCs w:val="20"/>
              </w:rPr>
              <w:t>n/a</w:t>
            </w:r>
          </w:p>
        </w:tc>
        <w:tc>
          <w:tcPr>
            <w:tcW w:w="2551" w:type="dxa"/>
            <w:vAlign w:val="center"/>
          </w:tcPr>
          <w:p w14:paraId="2BADFA1C" w14:textId="705221C8" w:rsidR="003D6869" w:rsidRPr="008B73F2" w:rsidRDefault="004F6830" w:rsidP="00C97DA6">
            <w:pPr>
              <w:pStyle w:val="Normal1"/>
              <w:spacing w:after="120"/>
              <w:jc w:val="center"/>
              <w:rPr>
                <w:sz w:val="20"/>
                <w:szCs w:val="20"/>
              </w:rPr>
            </w:pPr>
            <w:r>
              <w:rPr>
                <w:sz w:val="20"/>
                <w:szCs w:val="20"/>
              </w:rPr>
              <w:t>4</w:t>
            </w:r>
          </w:p>
        </w:tc>
      </w:tr>
    </w:tbl>
    <w:p w14:paraId="298D4EB4" w14:textId="77777777" w:rsidR="005D7D44" w:rsidRDefault="005D7D44" w:rsidP="0023232E">
      <w:pPr>
        <w:pStyle w:val="Normal1"/>
        <w:jc w:val="both"/>
        <w:rPr>
          <w:b/>
          <w:bCs/>
          <w:sz w:val="22"/>
          <w:szCs w:val="22"/>
        </w:rPr>
      </w:pPr>
    </w:p>
    <w:p w14:paraId="09718A56" w14:textId="12B75F1C" w:rsidR="00B53083" w:rsidRDefault="001C29F5" w:rsidP="0023232E">
      <w:pPr>
        <w:pStyle w:val="Normal1"/>
        <w:jc w:val="both"/>
        <w:rPr>
          <w:sz w:val="22"/>
          <w:szCs w:val="22"/>
        </w:rPr>
      </w:pPr>
      <w:r>
        <w:rPr>
          <w:sz w:val="22"/>
          <w:szCs w:val="22"/>
        </w:rPr>
        <w:t xml:space="preserve">Increase in funding for the Fund was held back below target due to a shortage of </w:t>
      </w:r>
      <w:r w:rsidR="00F832A9">
        <w:rPr>
          <w:sz w:val="22"/>
          <w:szCs w:val="22"/>
        </w:rPr>
        <w:t>Junior</w:t>
      </w:r>
      <w:r>
        <w:rPr>
          <w:sz w:val="22"/>
          <w:szCs w:val="22"/>
        </w:rPr>
        <w:t xml:space="preserve"> investment over the last few years</w:t>
      </w:r>
      <w:r w:rsidR="00F832A9">
        <w:rPr>
          <w:sz w:val="22"/>
          <w:szCs w:val="22"/>
        </w:rPr>
        <w:t xml:space="preserve"> as COVID-19 and the Ukraine war have consumed additional resource from the Fund’s main public backers</w:t>
      </w:r>
      <w:r w:rsidR="00250BEE">
        <w:rPr>
          <w:sz w:val="22"/>
          <w:szCs w:val="22"/>
        </w:rPr>
        <w:t>. Lack of public investment</w:t>
      </w:r>
      <w:r>
        <w:rPr>
          <w:sz w:val="22"/>
          <w:szCs w:val="22"/>
        </w:rPr>
        <w:t xml:space="preserve"> mean</w:t>
      </w:r>
      <w:r w:rsidR="00250BEE">
        <w:rPr>
          <w:sz w:val="22"/>
          <w:szCs w:val="22"/>
        </w:rPr>
        <w:t>s</w:t>
      </w:r>
      <w:r>
        <w:rPr>
          <w:sz w:val="22"/>
          <w:szCs w:val="22"/>
        </w:rPr>
        <w:t xml:space="preserve"> the Fund is unable to raise additional senior investment and grow the Fund’s </w:t>
      </w:r>
      <w:r w:rsidR="000F55BE">
        <w:rPr>
          <w:sz w:val="22"/>
          <w:szCs w:val="22"/>
        </w:rPr>
        <w:t xml:space="preserve">size (Impact Indicator 1). </w:t>
      </w:r>
      <w:r w:rsidR="00250BEE">
        <w:rPr>
          <w:sz w:val="22"/>
          <w:szCs w:val="22"/>
        </w:rPr>
        <w:t>The UK’s new investment in 2025 will help. O</w:t>
      </w:r>
      <w:r w:rsidR="000F55BE">
        <w:rPr>
          <w:sz w:val="22"/>
          <w:szCs w:val="22"/>
        </w:rPr>
        <w:t xml:space="preserve">ther impact indicators </w:t>
      </w:r>
      <w:r w:rsidR="00B53083">
        <w:rPr>
          <w:sz w:val="22"/>
          <w:szCs w:val="22"/>
        </w:rPr>
        <w:t>show good progress.</w:t>
      </w:r>
    </w:p>
    <w:p w14:paraId="2536085A" w14:textId="77777777" w:rsidR="0023232E" w:rsidRPr="001C29F5" w:rsidRDefault="0023232E" w:rsidP="0023232E">
      <w:pPr>
        <w:pStyle w:val="Normal1"/>
        <w:jc w:val="both"/>
        <w:rPr>
          <w:sz w:val="22"/>
          <w:szCs w:val="22"/>
        </w:rPr>
      </w:pPr>
    </w:p>
    <w:p w14:paraId="40F0D1CD" w14:textId="59BE59FE" w:rsidR="0D311865" w:rsidRPr="00715C4C" w:rsidRDefault="12715272" w:rsidP="005E557A">
      <w:pPr>
        <w:pStyle w:val="Normal1"/>
        <w:spacing w:after="120"/>
        <w:jc w:val="both"/>
        <w:rPr>
          <w:sz w:val="22"/>
          <w:szCs w:val="22"/>
        </w:rPr>
      </w:pPr>
      <w:r w:rsidRPr="00715C4C">
        <w:rPr>
          <w:b/>
          <w:bCs/>
          <w:sz w:val="22"/>
          <w:szCs w:val="22"/>
        </w:rPr>
        <w:t>Annual outcome assessment</w:t>
      </w:r>
    </w:p>
    <w:p w14:paraId="00A22DE8" w14:textId="2E43831A" w:rsidR="0D311865" w:rsidRPr="008D3032" w:rsidRDefault="12715272" w:rsidP="005E557A">
      <w:pPr>
        <w:pStyle w:val="Normal1"/>
        <w:spacing w:after="120"/>
        <w:jc w:val="both"/>
        <w:rPr>
          <w:sz w:val="22"/>
          <w:szCs w:val="22"/>
        </w:rPr>
      </w:pPr>
      <w:r w:rsidRPr="008D3032">
        <w:rPr>
          <w:sz w:val="22"/>
          <w:szCs w:val="22"/>
        </w:rPr>
        <w:t xml:space="preserve">In Defra’s </w:t>
      </w:r>
      <w:r w:rsidR="00A0386B">
        <w:rPr>
          <w:sz w:val="22"/>
          <w:szCs w:val="22"/>
        </w:rPr>
        <w:t>L</w:t>
      </w:r>
      <w:r w:rsidR="00EF2578" w:rsidRPr="008D3032">
        <w:rPr>
          <w:sz w:val="22"/>
          <w:szCs w:val="22"/>
        </w:rPr>
        <w:t>og</w:t>
      </w:r>
      <w:r w:rsidR="00A0386B">
        <w:rPr>
          <w:sz w:val="22"/>
          <w:szCs w:val="22"/>
        </w:rPr>
        <w:t>F</w:t>
      </w:r>
      <w:r w:rsidR="00EF2578" w:rsidRPr="008D3032">
        <w:rPr>
          <w:sz w:val="22"/>
          <w:szCs w:val="22"/>
        </w:rPr>
        <w:t>rame</w:t>
      </w:r>
      <w:r w:rsidRPr="008D3032">
        <w:rPr>
          <w:sz w:val="22"/>
          <w:szCs w:val="22"/>
        </w:rPr>
        <w:t xml:space="preserve"> for the EBF, outcome indicators are </w:t>
      </w:r>
      <w:r w:rsidR="2ABE4508" w:rsidRPr="008D3032">
        <w:rPr>
          <w:sz w:val="22"/>
          <w:szCs w:val="22"/>
        </w:rPr>
        <w:t xml:space="preserve">categorised </w:t>
      </w:r>
      <w:r w:rsidRPr="008D3032">
        <w:rPr>
          <w:sz w:val="22"/>
          <w:szCs w:val="22"/>
        </w:rPr>
        <w:t>as</w:t>
      </w:r>
      <w:r w:rsidR="23151AB2" w:rsidRPr="008D3032">
        <w:rPr>
          <w:sz w:val="22"/>
          <w:szCs w:val="22"/>
        </w:rPr>
        <w:t xml:space="preserve"> either measuring</w:t>
      </w:r>
      <w:r w:rsidRPr="008D3032">
        <w:rPr>
          <w:sz w:val="22"/>
          <w:szCs w:val="22"/>
        </w:rPr>
        <w:t xml:space="preserve">: </w:t>
      </w:r>
    </w:p>
    <w:p w14:paraId="72DE1684" w14:textId="5F448370" w:rsidR="0D311865" w:rsidRPr="008D3032" w:rsidRDefault="12715272" w:rsidP="00674C5F">
      <w:pPr>
        <w:pStyle w:val="Normal1"/>
        <w:numPr>
          <w:ilvl w:val="0"/>
          <w:numId w:val="5"/>
        </w:numPr>
        <w:spacing w:after="120"/>
        <w:jc w:val="both"/>
        <w:rPr>
          <w:sz w:val="22"/>
          <w:szCs w:val="22"/>
        </w:rPr>
      </w:pPr>
      <w:r w:rsidRPr="008D3032">
        <w:rPr>
          <w:sz w:val="22"/>
          <w:szCs w:val="22"/>
        </w:rPr>
        <w:t xml:space="preserve">EBF's success in contributing to biodiversity conservation, the sustainable use of natural resources and climate change adaptation and mitigation; and this success creating an incentive for others to also act towards these goals. </w:t>
      </w:r>
    </w:p>
    <w:p w14:paraId="08F83662" w14:textId="15D8834C" w:rsidR="00CE3AC6" w:rsidRPr="00CE3AC6" w:rsidRDefault="12715272" w:rsidP="00CE3AC6">
      <w:pPr>
        <w:pStyle w:val="Normal1"/>
        <w:numPr>
          <w:ilvl w:val="0"/>
          <w:numId w:val="5"/>
        </w:numPr>
        <w:spacing w:after="120"/>
        <w:jc w:val="both"/>
        <w:rPr>
          <w:sz w:val="22"/>
          <w:szCs w:val="22"/>
        </w:rPr>
      </w:pPr>
      <w:r w:rsidRPr="008D3032">
        <w:rPr>
          <w:sz w:val="22"/>
          <w:szCs w:val="22"/>
        </w:rPr>
        <w:t xml:space="preserve">Level of behavioural change embedded in downstream lenders and </w:t>
      </w:r>
      <w:r w:rsidR="000E7CEF">
        <w:rPr>
          <w:sz w:val="22"/>
          <w:szCs w:val="22"/>
        </w:rPr>
        <w:t>FIs</w:t>
      </w:r>
      <w:r w:rsidRPr="008D3032">
        <w:rPr>
          <w:sz w:val="22"/>
          <w:szCs w:val="22"/>
        </w:rPr>
        <w:t>.</w:t>
      </w:r>
    </w:p>
    <w:tbl>
      <w:tblPr>
        <w:tblStyle w:val="TableGrid"/>
        <w:tblW w:w="9219" w:type="dxa"/>
        <w:jc w:val="center"/>
        <w:tblLayout w:type="fixed"/>
        <w:tblLook w:val="04A0" w:firstRow="1" w:lastRow="0" w:firstColumn="1" w:lastColumn="0" w:noHBand="0" w:noVBand="1"/>
      </w:tblPr>
      <w:tblGrid>
        <w:gridCol w:w="5675"/>
        <w:gridCol w:w="1843"/>
        <w:gridCol w:w="1701"/>
      </w:tblGrid>
      <w:tr w:rsidR="00890874" w:rsidRPr="008B73F2" w14:paraId="7F5E8CA1" w14:textId="77777777" w:rsidTr="00890874">
        <w:trPr>
          <w:trHeight w:val="300"/>
          <w:jc w:val="center"/>
        </w:trPr>
        <w:tc>
          <w:tcPr>
            <w:tcW w:w="5675" w:type="dxa"/>
            <w:shd w:val="clear" w:color="auto" w:fill="D9E2F3" w:themeFill="accent1" w:themeFillTint="33"/>
          </w:tcPr>
          <w:p w14:paraId="7D632B59" w14:textId="138198C5" w:rsidR="00890874" w:rsidRPr="008B73F2" w:rsidRDefault="00890874">
            <w:pPr>
              <w:pStyle w:val="Normal1"/>
              <w:spacing w:after="120"/>
              <w:rPr>
                <w:b/>
                <w:bCs/>
                <w:sz w:val="20"/>
                <w:szCs w:val="20"/>
              </w:rPr>
            </w:pPr>
            <w:r w:rsidRPr="30361899">
              <w:rPr>
                <w:b/>
                <w:bCs/>
                <w:sz w:val="20"/>
                <w:szCs w:val="20"/>
              </w:rPr>
              <w:t>Outcome indicator (</w:t>
            </w:r>
            <w:r>
              <w:rPr>
                <w:b/>
                <w:bCs/>
                <w:sz w:val="20"/>
                <w:szCs w:val="20"/>
              </w:rPr>
              <w:t xml:space="preserve">all </w:t>
            </w:r>
            <w:r w:rsidRPr="30361899">
              <w:rPr>
                <w:b/>
                <w:bCs/>
                <w:sz w:val="20"/>
                <w:szCs w:val="20"/>
              </w:rPr>
              <w:t>cumulative</w:t>
            </w:r>
            <w:r>
              <w:rPr>
                <w:b/>
                <w:bCs/>
                <w:sz w:val="20"/>
                <w:szCs w:val="20"/>
              </w:rPr>
              <w:t>, in-year change in brackets</w:t>
            </w:r>
            <w:r w:rsidRPr="30361899">
              <w:rPr>
                <w:b/>
                <w:bCs/>
                <w:sz w:val="20"/>
                <w:szCs w:val="20"/>
              </w:rPr>
              <w:t>)</w:t>
            </w:r>
          </w:p>
        </w:tc>
        <w:tc>
          <w:tcPr>
            <w:tcW w:w="1843" w:type="dxa"/>
            <w:shd w:val="clear" w:color="auto" w:fill="D9E2F3" w:themeFill="accent1" w:themeFillTint="33"/>
          </w:tcPr>
          <w:p w14:paraId="6082FCBA" w14:textId="6637B81A" w:rsidR="00890874" w:rsidRPr="008B73F2" w:rsidRDefault="00890874">
            <w:pPr>
              <w:pStyle w:val="Normal1"/>
              <w:spacing w:after="120"/>
              <w:rPr>
                <w:b/>
                <w:bCs/>
                <w:sz w:val="20"/>
                <w:szCs w:val="20"/>
              </w:rPr>
            </w:pPr>
            <w:r w:rsidRPr="008B73F2">
              <w:rPr>
                <w:b/>
                <w:bCs/>
                <w:sz w:val="20"/>
                <w:szCs w:val="20"/>
              </w:rPr>
              <w:t>Defra Target 202</w:t>
            </w:r>
            <w:r>
              <w:rPr>
                <w:b/>
                <w:bCs/>
                <w:sz w:val="20"/>
                <w:szCs w:val="20"/>
              </w:rPr>
              <w:t>4</w:t>
            </w:r>
            <w:r w:rsidRPr="008B73F2">
              <w:rPr>
                <w:b/>
                <w:bCs/>
                <w:sz w:val="20"/>
                <w:szCs w:val="20"/>
              </w:rPr>
              <w:t xml:space="preserve"> </w:t>
            </w:r>
            <w:r w:rsidRPr="008B73F2">
              <w:rPr>
                <w:sz w:val="20"/>
                <w:szCs w:val="20"/>
              </w:rPr>
              <w:t>(fund level)</w:t>
            </w:r>
          </w:p>
        </w:tc>
        <w:tc>
          <w:tcPr>
            <w:tcW w:w="1701" w:type="dxa"/>
            <w:shd w:val="clear" w:color="auto" w:fill="D9E2F3" w:themeFill="accent1" w:themeFillTint="33"/>
          </w:tcPr>
          <w:p w14:paraId="1C264E1B" w14:textId="1EC47C25" w:rsidR="00890874" w:rsidRPr="008B73F2" w:rsidRDefault="00890874">
            <w:pPr>
              <w:pStyle w:val="Normal1"/>
              <w:spacing w:after="120"/>
              <w:rPr>
                <w:b/>
                <w:bCs/>
                <w:sz w:val="20"/>
                <w:szCs w:val="20"/>
              </w:rPr>
            </w:pPr>
            <w:r w:rsidRPr="07FC4C9B">
              <w:rPr>
                <w:b/>
                <w:bCs/>
                <w:sz w:val="20"/>
                <w:szCs w:val="20"/>
              </w:rPr>
              <w:t>Achieved 202</w:t>
            </w:r>
            <w:r>
              <w:rPr>
                <w:b/>
                <w:bCs/>
                <w:sz w:val="20"/>
                <w:szCs w:val="20"/>
              </w:rPr>
              <w:t>4</w:t>
            </w:r>
            <w:r w:rsidRPr="07FC4C9B">
              <w:rPr>
                <w:sz w:val="20"/>
                <w:szCs w:val="20"/>
              </w:rPr>
              <w:t xml:space="preserve"> (fund level)</w:t>
            </w:r>
          </w:p>
        </w:tc>
      </w:tr>
      <w:tr w:rsidR="00890874" w:rsidRPr="008B73F2" w14:paraId="4F462402" w14:textId="77777777" w:rsidTr="00890874">
        <w:trPr>
          <w:trHeight w:val="304"/>
          <w:jc w:val="center"/>
        </w:trPr>
        <w:tc>
          <w:tcPr>
            <w:tcW w:w="5675" w:type="dxa"/>
          </w:tcPr>
          <w:p w14:paraId="6945F62B" w14:textId="77777777" w:rsidR="00890874" w:rsidRPr="008B73F2" w:rsidRDefault="00890874">
            <w:pPr>
              <w:pStyle w:val="Normal1"/>
              <w:spacing w:after="120"/>
              <w:rPr>
                <w:sz w:val="20"/>
                <w:szCs w:val="20"/>
              </w:rPr>
            </w:pPr>
            <w:r w:rsidRPr="008B73F2">
              <w:rPr>
                <w:sz w:val="20"/>
                <w:szCs w:val="20"/>
              </w:rPr>
              <w:t>1.1 Amount of water savings entirely or partly attributable to the intervention of the EBF (million m</w:t>
            </w:r>
            <w:r w:rsidRPr="008B73F2">
              <w:rPr>
                <w:sz w:val="20"/>
                <w:szCs w:val="20"/>
                <w:vertAlign w:val="superscript"/>
              </w:rPr>
              <w:t>3</w:t>
            </w:r>
            <w:r w:rsidRPr="008B73F2">
              <w:rPr>
                <w:sz w:val="20"/>
                <w:szCs w:val="20"/>
              </w:rPr>
              <w:t>)</w:t>
            </w:r>
          </w:p>
        </w:tc>
        <w:tc>
          <w:tcPr>
            <w:tcW w:w="1843" w:type="dxa"/>
          </w:tcPr>
          <w:p w14:paraId="3C01CF39" w14:textId="27F6B259" w:rsidR="00890874" w:rsidRPr="008B73F2" w:rsidRDefault="00890874">
            <w:pPr>
              <w:pStyle w:val="Normal1"/>
              <w:spacing w:after="120"/>
              <w:rPr>
                <w:sz w:val="20"/>
                <w:szCs w:val="20"/>
              </w:rPr>
            </w:pPr>
            <w:r>
              <w:rPr>
                <w:sz w:val="20"/>
                <w:szCs w:val="20"/>
              </w:rPr>
              <w:t>9.2</w:t>
            </w:r>
          </w:p>
        </w:tc>
        <w:tc>
          <w:tcPr>
            <w:tcW w:w="1701" w:type="dxa"/>
            <w:shd w:val="clear" w:color="auto" w:fill="A8D08D" w:themeFill="accent6" w:themeFillTint="99"/>
          </w:tcPr>
          <w:p w14:paraId="2C77A45C" w14:textId="4BC78AB1" w:rsidR="00890874" w:rsidRPr="008B73F2" w:rsidRDefault="00890874">
            <w:pPr>
              <w:pStyle w:val="Normal1"/>
              <w:spacing w:after="120"/>
              <w:rPr>
                <w:sz w:val="20"/>
                <w:szCs w:val="20"/>
              </w:rPr>
            </w:pPr>
            <w:r>
              <w:rPr>
                <w:sz w:val="20"/>
                <w:szCs w:val="20"/>
              </w:rPr>
              <w:t>30.7 (+14.1)</w:t>
            </w:r>
          </w:p>
        </w:tc>
      </w:tr>
      <w:tr w:rsidR="00890874" w14:paraId="19E4F555" w14:textId="77777777" w:rsidTr="00890874">
        <w:trPr>
          <w:trHeight w:val="221"/>
          <w:jc w:val="center"/>
        </w:trPr>
        <w:tc>
          <w:tcPr>
            <w:tcW w:w="5675" w:type="dxa"/>
          </w:tcPr>
          <w:p w14:paraId="71D93628" w14:textId="664C4207" w:rsidR="00890874" w:rsidRDefault="00890874" w:rsidP="07FC4C9B">
            <w:pPr>
              <w:pStyle w:val="Normal1"/>
              <w:spacing w:after="120"/>
              <w:rPr>
                <w:sz w:val="20"/>
                <w:szCs w:val="20"/>
              </w:rPr>
            </w:pPr>
            <w:r w:rsidRPr="07FC4C9B">
              <w:rPr>
                <w:sz w:val="20"/>
                <w:szCs w:val="20"/>
              </w:rPr>
              <w:t>1.2 ICF KPI 6: Net CO</w:t>
            </w:r>
            <w:r w:rsidRPr="07FC4C9B">
              <w:rPr>
                <w:sz w:val="20"/>
                <w:szCs w:val="20"/>
                <w:vertAlign w:val="subscript"/>
              </w:rPr>
              <w:t>2</w:t>
            </w:r>
            <w:r w:rsidRPr="07FC4C9B">
              <w:rPr>
                <w:sz w:val="20"/>
                <w:szCs w:val="20"/>
                <w:vertAlign w:val="superscript"/>
              </w:rPr>
              <w:t xml:space="preserve"> </w:t>
            </w:r>
            <w:r w:rsidRPr="07FC4C9B">
              <w:rPr>
                <w:sz w:val="20"/>
                <w:szCs w:val="20"/>
              </w:rPr>
              <w:t>storage as a result of EBF support to agroforestry (tonnes)</w:t>
            </w:r>
          </w:p>
        </w:tc>
        <w:tc>
          <w:tcPr>
            <w:tcW w:w="1843" w:type="dxa"/>
          </w:tcPr>
          <w:p w14:paraId="5FA9D2B9" w14:textId="6DA43EB5" w:rsidR="00890874" w:rsidRDefault="00890874" w:rsidP="07FC4C9B">
            <w:pPr>
              <w:pStyle w:val="Normal1"/>
              <w:spacing w:after="120"/>
              <w:rPr>
                <w:sz w:val="20"/>
                <w:szCs w:val="20"/>
              </w:rPr>
            </w:pPr>
            <w:r w:rsidRPr="07FC4C9B">
              <w:rPr>
                <w:sz w:val="20"/>
                <w:szCs w:val="20"/>
              </w:rPr>
              <w:t>3,</w:t>
            </w:r>
            <w:r>
              <w:rPr>
                <w:sz w:val="20"/>
                <w:szCs w:val="20"/>
              </w:rPr>
              <w:t>808</w:t>
            </w:r>
            <w:r w:rsidRPr="07FC4C9B">
              <w:rPr>
                <w:sz w:val="20"/>
                <w:szCs w:val="20"/>
              </w:rPr>
              <w:t>,000</w:t>
            </w:r>
          </w:p>
        </w:tc>
        <w:tc>
          <w:tcPr>
            <w:tcW w:w="1701" w:type="dxa"/>
            <w:shd w:val="clear" w:color="auto" w:fill="FFC000" w:themeFill="accent4"/>
          </w:tcPr>
          <w:p w14:paraId="39254414" w14:textId="3FE69D11" w:rsidR="00890874" w:rsidRDefault="00890874" w:rsidP="07FC4C9B">
            <w:pPr>
              <w:pStyle w:val="Normal1"/>
              <w:spacing w:after="120"/>
              <w:rPr>
                <w:sz w:val="20"/>
                <w:szCs w:val="20"/>
              </w:rPr>
            </w:pPr>
            <w:r w:rsidRPr="07FC4C9B">
              <w:rPr>
                <w:sz w:val="20"/>
                <w:szCs w:val="20"/>
              </w:rPr>
              <w:t>3,7</w:t>
            </w:r>
            <w:r>
              <w:rPr>
                <w:sz w:val="20"/>
                <w:szCs w:val="20"/>
              </w:rPr>
              <w:t>70</w:t>
            </w:r>
            <w:r w:rsidRPr="07FC4C9B">
              <w:rPr>
                <w:sz w:val="20"/>
                <w:szCs w:val="20"/>
              </w:rPr>
              <w:t>,000</w:t>
            </w:r>
            <w:r>
              <w:rPr>
                <w:sz w:val="20"/>
                <w:szCs w:val="20"/>
              </w:rPr>
              <w:t xml:space="preserve"> (+66,000)</w:t>
            </w:r>
          </w:p>
        </w:tc>
      </w:tr>
      <w:tr w:rsidR="00890874" w:rsidRPr="008B73F2" w14:paraId="448573DA" w14:textId="77777777" w:rsidTr="00890874">
        <w:trPr>
          <w:trHeight w:val="221"/>
          <w:jc w:val="center"/>
        </w:trPr>
        <w:tc>
          <w:tcPr>
            <w:tcW w:w="5675" w:type="dxa"/>
          </w:tcPr>
          <w:p w14:paraId="2214C7FF" w14:textId="77777777" w:rsidR="00890874" w:rsidRPr="008B73F2" w:rsidRDefault="00890874">
            <w:pPr>
              <w:pStyle w:val="Normal1"/>
              <w:spacing w:after="120"/>
              <w:rPr>
                <w:sz w:val="20"/>
                <w:szCs w:val="20"/>
              </w:rPr>
            </w:pPr>
            <w:r w:rsidRPr="008B73F2">
              <w:rPr>
                <w:sz w:val="20"/>
                <w:szCs w:val="20"/>
              </w:rPr>
              <w:t>1.3 Land sustainably managed through the EBF's portfolio (Ha)</w:t>
            </w:r>
          </w:p>
        </w:tc>
        <w:tc>
          <w:tcPr>
            <w:tcW w:w="1843" w:type="dxa"/>
          </w:tcPr>
          <w:p w14:paraId="12494779" w14:textId="3D67B492" w:rsidR="00890874" w:rsidRPr="008B73F2" w:rsidRDefault="00890874">
            <w:pPr>
              <w:pStyle w:val="Normal1"/>
              <w:spacing w:after="120"/>
              <w:rPr>
                <w:sz w:val="20"/>
                <w:szCs w:val="20"/>
              </w:rPr>
            </w:pPr>
            <w:r>
              <w:rPr>
                <w:sz w:val="20"/>
                <w:szCs w:val="20"/>
              </w:rPr>
              <w:t>1,093,000</w:t>
            </w:r>
          </w:p>
        </w:tc>
        <w:tc>
          <w:tcPr>
            <w:tcW w:w="1701" w:type="dxa"/>
            <w:shd w:val="clear" w:color="auto" w:fill="A8D08D" w:themeFill="accent6" w:themeFillTint="99"/>
          </w:tcPr>
          <w:p w14:paraId="2047AB86" w14:textId="06CEA3B7" w:rsidR="00890874" w:rsidRPr="008B73F2" w:rsidRDefault="00890874">
            <w:pPr>
              <w:pStyle w:val="Normal1"/>
              <w:spacing w:after="120"/>
              <w:rPr>
                <w:sz w:val="20"/>
                <w:szCs w:val="20"/>
              </w:rPr>
            </w:pPr>
            <w:r w:rsidRPr="68316884">
              <w:rPr>
                <w:sz w:val="20"/>
                <w:szCs w:val="20"/>
              </w:rPr>
              <w:t>1,</w:t>
            </w:r>
            <w:r>
              <w:rPr>
                <w:sz w:val="20"/>
                <w:szCs w:val="20"/>
              </w:rPr>
              <w:t>1</w:t>
            </w:r>
            <w:r w:rsidRPr="68316884">
              <w:rPr>
                <w:sz w:val="20"/>
                <w:szCs w:val="20"/>
              </w:rPr>
              <w:t>5</w:t>
            </w:r>
            <w:r>
              <w:rPr>
                <w:sz w:val="20"/>
                <w:szCs w:val="20"/>
              </w:rPr>
              <w:t>7</w:t>
            </w:r>
            <w:r w:rsidRPr="68316884">
              <w:rPr>
                <w:sz w:val="20"/>
                <w:szCs w:val="20"/>
              </w:rPr>
              <w:t>,000</w:t>
            </w:r>
            <w:r>
              <w:rPr>
                <w:sz w:val="20"/>
                <w:szCs w:val="20"/>
              </w:rPr>
              <w:t xml:space="preserve"> (+107,000)</w:t>
            </w:r>
          </w:p>
        </w:tc>
      </w:tr>
      <w:tr w:rsidR="00890874" w14:paraId="577C07F9" w14:textId="77777777" w:rsidTr="00890874">
        <w:trPr>
          <w:trHeight w:val="221"/>
          <w:jc w:val="center"/>
        </w:trPr>
        <w:tc>
          <w:tcPr>
            <w:tcW w:w="5675" w:type="dxa"/>
          </w:tcPr>
          <w:p w14:paraId="17EB2719" w14:textId="6C676684" w:rsidR="00890874" w:rsidRDefault="00890874" w:rsidP="00CD3161">
            <w:pPr>
              <w:rPr>
                <w:rFonts w:eastAsia="Arial" w:cs="Arial"/>
                <w:sz w:val="20"/>
                <w:szCs w:val="20"/>
              </w:rPr>
            </w:pPr>
            <w:r w:rsidRPr="07FC4C9B">
              <w:rPr>
                <w:rFonts w:eastAsia="Arial" w:cs="Arial"/>
                <w:sz w:val="20"/>
                <w:szCs w:val="20"/>
              </w:rPr>
              <w:t>1.4 Value of ecosystem services generated or protected as a result of International Climate Finance (KPI 10)</w:t>
            </w:r>
            <w:r>
              <w:rPr>
                <w:rFonts w:eastAsia="Arial" w:cs="Arial"/>
                <w:sz w:val="20"/>
                <w:szCs w:val="20"/>
              </w:rPr>
              <w:t xml:space="preserve"> ($m)</w:t>
            </w:r>
          </w:p>
        </w:tc>
        <w:tc>
          <w:tcPr>
            <w:tcW w:w="1843" w:type="dxa"/>
          </w:tcPr>
          <w:p w14:paraId="707B64A2" w14:textId="65A6835E" w:rsidR="00890874" w:rsidRDefault="00890874" w:rsidP="07FC4C9B">
            <w:pPr>
              <w:pStyle w:val="Normal1"/>
              <w:rPr>
                <w:sz w:val="20"/>
                <w:szCs w:val="20"/>
              </w:rPr>
            </w:pPr>
            <w:r w:rsidRPr="07FC4C9B">
              <w:rPr>
                <w:sz w:val="20"/>
                <w:szCs w:val="20"/>
              </w:rPr>
              <w:t>N/A</w:t>
            </w:r>
          </w:p>
        </w:tc>
        <w:tc>
          <w:tcPr>
            <w:tcW w:w="1701" w:type="dxa"/>
          </w:tcPr>
          <w:p w14:paraId="7D5CBBA2" w14:textId="5ECCE96F" w:rsidR="00890874" w:rsidRDefault="00890874" w:rsidP="07FC4C9B">
            <w:pPr>
              <w:pStyle w:val="Normal1"/>
              <w:rPr>
                <w:sz w:val="20"/>
                <w:szCs w:val="20"/>
              </w:rPr>
            </w:pPr>
            <w:r w:rsidRPr="07FC4C9B">
              <w:rPr>
                <w:sz w:val="20"/>
                <w:szCs w:val="20"/>
              </w:rPr>
              <w:t>7</w:t>
            </w:r>
            <w:r>
              <w:rPr>
                <w:sz w:val="20"/>
                <w:szCs w:val="20"/>
              </w:rPr>
              <w:t>40</w:t>
            </w:r>
          </w:p>
        </w:tc>
      </w:tr>
      <w:tr w:rsidR="00A5339C" w:rsidRPr="008B73F2" w14:paraId="771D7366" w14:textId="77777777" w:rsidTr="00483E1D">
        <w:trPr>
          <w:trHeight w:val="393"/>
          <w:jc w:val="center"/>
        </w:trPr>
        <w:tc>
          <w:tcPr>
            <w:tcW w:w="5675" w:type="dxa"/>
          </w:tcPr>
          <w:p w14:paraId="153B0117" w14:textId="77777777" w:rsidR="00A5339C" w:rsidRPr="008B73F2" w:rsidRDefault="00A5339C">
            <w:pPr>
              <w:pStyle w:val="Normal1"/>
              <w:spacing w:after="120"/>
              <w:rPr>
                <w:sz w:val="20"/>
                <w:szCs w:val="20"/>
              </w:rPr>
            </w:pPr>
            <w:r w:rsidRPr="008B73F2">
              <w:rPr>
                <w:sz w:val="20"/>
                <w:szCs w:val="20"/>
              </w:rPr>
              <w:t>1.5 ICF KPI 12: Volume of private finance mobilised for climate change purposes as a result of ICF funding ($m)</w:t>
            </w:r>
          </w:p>
        </w:tc>
        <w:tc>
          <w:tcPr>
            <w:tcW w:w="3544" w:type="dxa"/>
            <w:gridSpan w:val="2"/>
          </w:tcPr>
          <w:p w14:paraId="50930BCC" w14:textId="6465F4B3" w:rsidR="00A5339C" w:rsidRPr="008B73F2" w:rsidRDefault="00A5339C">
            <w:pPr>
              <w:pStyle w:val="Normal1"/>
              <w:spacing w:after="120"/>
              <w:rPr>
                <w:sz w:val="20"/>
                <w:szCs w:val="20"/>
              </w:rPr>
            </w:pPr>
            <w:r>
              <w:rPr>
                <w:sz w:val="20"/>
                <w:szCs w:val="20"/>
              </w:rPr>
              <w:t>Commercially sensitive</w:t>
            </w:r>
          </w:p>
        </w:tc>
      </w:tr>
      <w:tr w:rsidR="00A5339C" w:rsidRPr="008B73F2" w14:paraId="04BD7D34" w14:textId="77777777" w:rsidTr="00601463">
        <w:trPr>
          <w:trHeight w:val="393"/>
          <w:jc w:val="center"/>
        </w:trPr>
        <w:tc>
          <w:tcPr>
            <w:tcW w:w="5675" w:type="dxa"/>
          </w:tcPr>
          <w:p w14:paraId="3FE102B2" w14:textId="77777777" w:rsidR="00A5339C" w:rsidRPr="008B73F2" w:rsidRDefault="00A5339C">
            <w:pPr>
              <w:pStyle w:val="Normal1"/>
              <w:spacing w:after="120"/>
              <w:rPr>
                <w:sz w:val="20"/>
                <w:szCs w:val="20"/>
              </w:rPr>
            </w:pPr>
            <w:r w:rsidRPr="008B73F2">
              <w:rPr>
                <w:sz w:val="20"/>
                <w:szCs w:val="20"/>
              </w:rPr>
              <w:t>1.6 ICF KPI 11: Volume of public finance mobilised for climate change purposes as a result of ICF funding ($m)</w:t>
            </w:r>
          </w:p>
        </w:tc>
        <w:tc>
          <w:tcPr>
            <w:tcW w:w="3544" w:type="dxa"/>
            <w:gridSpan w:val="2"/>
          </w:tcPr>
          <w:p w14:paraId="1A05EC3A" w14:textId="7739CE83" w:rsidR="00A5339C" w:rsidRPr="008B73F2" w:rsidRDefault="00A5339C">
            <w:pPr>
              <w:pStyle w:val="Normal1"/>
              <w:spacing w:after="120"/>
              <w:rPr>
                <w:sz w:val="20"/>
                <w:szCs w:val="20"/>
              </w:rPr>
            </w:pPr>
            <w:r>
              <w:rPr>
                <w:sz w:val="20"/>
                <w:szCs w:val="20"/>
              </w:rPr>
              <w:t>Commercially sensitive</w:t>
            </w:r>
          </w:p>
        </w:tc>
      </w:tr>
      <w:tr w:rsidR="00890874" w:rsidRPr="008B73F2" w14:paraId="1E93E728" w14:textId="77777777" w:rsidTr="00890874">
        <w:trPr>
          <w:trHeight w:val="304"/>
          <w:jc w:val="center"/>
        </w:trPr>
        <w:tc>
          <w:tcPr>
            <w:tcW w:w="5675" w:type="dxa"/>
          </w:tcPr>
          <w:p w14:paraId="7478DAC7" w14:textId="4827A41B" w:rsidR="00890874" w:rsidRPr="008B73F2" w:rsidRDefault="00890874" w:rsidP="00F5619F">
            <w:pPr>
              <w:pStyle w:val="Normal1"/>
              <w:rPr>
                <w:sz w:val="20"/>
                <w:szCs w:val="20"/>
              </w:rPr>
            </w:pPr>
            <w:r w:rsidRPr="008B73F2">
              <w:rPr>
                <w:sz w:val="20"/>
                <w:szCs w:val="20"/>
              </w:rPr>
              <w:t>1.7 Number of jobs supported by sub-borrowers as a result of EBF support</w:t>
            </w:r>
            <w:r>
              <w:rPr>
                <w:sz w:val="20"/>
                <w:szCs w:val="20"/>
              </w:rPr>
              <w:t xml:space="preserve"> (F: held by women)</w:t>
            </w:r>
          </w:p>
        </w:tc>
        <w:tc>
          <w:tcPr>
            <w:tcW w:w="1843" w:type="dxa"/>
          </w:tcPr>
          <w:p w14:paraId="5B6DE88C" w14:textId="43F33B27" w:rsidR="00890874" w:rsidRPr="008B73F2" w:rsidRDefault="00890874" w:rsidP="00F5619F">
            <w:pPr>
              <w:pStyle w:val="Normal1"/>
              <w:rPr>
                <w:sz w:val="20"/>
                <w:szCs w:val="20"/>
              </w:rPr>
            </w:pPr>
            <w:r>
              <w:rPr>
                <w:sz w:val="20"/>
                <w:szCs w:val="20"/>
              </w:rPr>
              <w:t>687</w:t>
            </w:r>
            <w:r w:rsidRPr="008B73F2">
              <w:rPr>
                <w:sz w:val="20"/>
                <w:szCs w:val="20"/>
              </w:rPr>
              <w:t>,000</w:t>
            </w:r>
          </w:p>
        </w:tc>
        <w:tc>
          <w:tcPr>
            <w:tcW w:w="1701" w:type="dxa"/>
            <w:shd w:val="clear" w:color="auto" w:fill="A8D08D" w:themeFill="accent6" w:themeFillTint="99"/>
          </w:tcPr>
          <w:p w14:paraId="39412990" w14:textId="31A037D3" w:rsidR="00890874" w:rsidRDefault="00890874" w:rsidP="00F5619F">
            <w:pPr>
              <w:pStyle w:val="Normal1"/>
              <w:rPr>
                <w:sz w:val="20"/>
                <w:szCs w:val="20"/>
              </w:rPr>
            </w:pPr>
            <w:r w:rsidRPr="07FC4C9B">
              <w:rPr>
                <w:sz w:val="20"/>
                <w:szCs w:val="20"/>
              </w:rPr>
              <w:t>7</w:t>
            </w:r>
            <w:r>
              <w:rPr>
                <w:sz w:val="20"/>
                <w:szCs w:val="20"/>
              </w:rPr>
              <w:t>50</w:t>
            </w:r>
            <w:r w:rsidRPr="07FC4C9B">
              <w:rPr>
                <w:sz w:val="20"/>
                <w:szCs w:val="20"/>
              </w:rPr>
              <w:t>,000</w:t>
            </w:r>
            <w:r>
              <w:rPr>
                <w:sz w:val="20"/>
                <w:szCs w:val="20"/>
              </w:rPr>
              <w:t xml:space="preserve"> (+29,000)</w:t>
            </w:r>
          </w:p>
          <w:p w14:paraId="227F1E33" w14:textId="3774822C" w:rsidR="00890874" w:rsidRPr="008B73F2" w:rsidRDefault="00890874" w:rsidP="00F5619F">
            <w:pPr>
              <w:pStyle w:val="Normal1"/>
              <w:rPr>
                <w:sz w:val="20"/>
                <w:szCs w:val="20"/>
              </w:rPr>
            </w:pPr>
            <w:r>
              <w:rPr>
                <w:sz w:val="20"/>
                <w:szCs w:val="20"/>
              </w:rPr>
              <w:t>(F: 178,000)</w:t>
            </w:r>
          </w:p>
        </w:tc>
      </w:tr>
      <w:tr w:rsidR="006E39EF" w:rsidRPr="008B73F2" w14:paraId="30432AE8" w14:textId="77777777" w:rsidTr="009B360A">
        <w:trPr>
          <w:trHeight w:val="300"/>
          <w:jc w:val="center"/>
        </w:trPr>
        <w:tc>
          <w:tcPr>
            <w:tcW w:w="5675" w:type="dxa"/>
          </w:tcPr>
          <w:p w14:paraId="54315CCB" w14:textId="77777777" w:rsidR="006E39EF" w:rsidRPr="008B73F2" w:rsidRDefault="006E39EF">
            <w:pPr>
              <w:pStyle w:val="Normal1"/>
              <w:spacing w:after="120"/>
              <w:rPr>
                <w:sz w:val="20"/>
                <w:szCs w:val="20"/>
              </w:rPr>
            </w:pPr>
            <w:r w:rsidRPr="008B73F2">
              <w:rPr>
                <w:sz w:val="20"/>
                <w:szCs w:val="20"/>
              </w:rPr>
              <w:lastRenderedPageBreak/>
              <w:t>2.1 Number of sub-borrowers supported by EBF’s PIs to incorporate sustainable practices</w:t>
            </w:r>
          </w:p>
        </w:tc>
        <w:tc>
          <w:tcPr>
            <w:tcW w:w="3544" w:type="dxa"/>
            <w:gridSpan w:val="2"/>
          </w:tcPr>
          <w:p w14:paraId="19BA6BA5" w14:textId="22437AB8" w:rsidR="006E39EF" w:rsidRPr="004B5FFE" w:rsidRDefault="006E39EF" w:rsidP="004B5FFE">
            <w:pPr>
              <w:rPr>
                <w:rFonts w:cs="Arial"/>
                <w:sz w:val="20"/>
                <w:szCs w:val="20"/>
              </w:rPr>
            </w:pPr>
            <w:r>
              <w:rPr>
                <w:sz w:val="20"/>
                <w:szCs w:val="20"/>
              </w:rPr>
              <w:t>Commercially sensitive</w:t>
            </w:r>
          </w:p>
        </w:tc>
      </w:tr>
      <w:tr w:rsidR="00890874" w:rsidRPr="008B73F2" w14:paraId="4093FC99" w14:textId="77777777" w:rsidTr="00890874">
        <w:trPr>
          <w:trHeight w:val="300"/>
          <w:jc w:val="center"/>
        </w:trPr>
        <w:tc>
          <w:tcPr>
            <w:tcW w:w="5675" w:type="dxa"/>
          </w:tcPr>
          <w:p w14:paraId="1BD1C60C" w14:textId="77777777" w:rsidR="00890874" w:rsidRPr="008B73F2" w:rsidRDefault="00890874">
            <w:pPr>
              <w:pStyle w:val="Normal1"/>
              <w:spacing w:after="120"/>
              <w:rPr>
                <w:sz w:val="20"/>
                <w:szCs w:val="20"/>
              </w:rPr>
            </w:pPr>
            <w:r w:rsidRPr="008B73F2">
              <w:rPr>
                <w:sz w:val="20"/>
                <w:szCs w:val="20"/>
              </w:rPr>
              <w:t>2.2 Number of individuals reached through conferences and events</w:t>
            </w:r>
          </w:p>
        </w:tc>
        <w:tc>
          <w:tcPr>
            <w:tcW w:w="1843" w:type="dxa"/>
          </w:tcPr>
          <w:p w14:paraId="59A783F0" w14:textId="64F0706D" w:rsidR="00890874" w:rsidRPr="008B73F2" w:rsidRDefault="00890874">
            <w:pPr>
              <w:pStyle w:val="Normal1"/>
              <w:spacing w:after="120"/>
              <w:rPr>
                <w:sz w:val="20"/>
                <w:szCs w:val="20"/>
              </w:rPr>
            </w:pPr>
            <w:r>
              <w:rPr>
                <w:sz w:val="20"/>
                <w:szCs w:val="20"/>
              </w:rPr>
              <w:t>422,000</w:t>
            </w:r>
          </w:p>
        </w:tc>
        <w:tc>
          <w:tcPr>
            <w:tcW w:w="1701" w:type="dxa"/>
            <w:shd w:val="clear" w:color="auto" w:fill="FFC000" w:themeFill="accent4"/>
          </w:tcPr>
          <w:p w14:paraId="0A7D7644" w14:textId="5C183FE8" w:rsidR="00890874" w:rsidRPr="008B73F2" w:rsidRDefault="00890874">
            <w:pPr>
              <w:pStyle w:val="Normal1"/>
              <w:spacing w:after="120"/>
              <w:rPr>
                <w:sz w:val="20"/>
                <w:szCs w:val="20"/>
              </w:rPr>
            </w:pPr>
            <w:r w:rsidRPr="07FC4C9B">
              <w:rPr>
                <w:sz w:val="20"/>
                <w:szCs w:val="20"/>
              </w:rPr>
              <w:t>41</w:t>
            </w:r>
            <w:r>
              <w:rPr>
                <w:sz w:val="20"/>
                <w:szCs w:val="20"/>
              </w:rPr>
              <w:t>9</w:t>
            </w:r>
            <w:r w:rsidRPr="07FC4C9B">
              <w:rPr>
                <w:sz w:val="20"/>
                <w:szCs w:val="20"/>
              </w:rPr>
              <w:t>,</w:t>
            </w:r>
            <w:r>
              <w:rPr>
                <w:sz w:val="20"/>
                <w:szCs w:val="20"/>
              </w:rPr>
              <w:t>8</w:t>
            </w:r>
            <w:r w:rsidRPr="07FC4C9B">
              <w:rPr>
                <w:sz w:val="20"/>
                <w:szCs w:val="20"/>
              </w:rPr>
              <w:t>0</w:t>
            </w:r>
            <w:r>
              <w:rPr>
                <w:sz w:val="20"/>
                <w:szCs w:val="20"/>
              </w:rPr>
              <w:t>5 (+1,005)</w:t>
            </w:r>
          </w:p>
        </w:tc>
      </w:tr>
      <w:tr w:rsidR="00890874" w:rsidRPr="008B73F2" w14:paraId="6F10A669" w14:textId="77777777" w:rsidTr="00890874">
        <w:trPr>
          <w:trHeight w:val="300"/>
          <w:jc w:val="center"/>
        </w:trPr>
        <w:tc>
          <w:tcPr>
            <w:tcW w:w="5675" w:type="dxa"/>
          </w:tcPr>
          <w:p w14:paraId="084E4244" w14:textId="2AD8D9E6" w:rsidR="00890874" w:rsidRPr="008B73F2" w:rsidRDefault="00890874">
            <w:pPr>
              <w:pStyle w:val="Normal1"/>
              <w:spacing w:after="120"/>
              <w:rPr>
                <w:sz w:val="20"/>
                <w:szCs w:val="20"/>
              </w:rPr>
            </w:pPr>
            <w:r w:rsidRPr="008B73F2">
              <w:rPr>
                <w:sz w:val="20"/>
                <w:szCs w:val="20"/>
              </w:rPr>
              <w:t>2.3 Individuals benefitting from Technical Assistance (M/F)</w:t>
            </w:r>
          </w:p>
        </w:tc>
        <w:tc>
          <w:tcPr>
            <w:tcW w:w="1843" w:type="dxa"/>
          </w:tcPr>
          <w:p w14:paraId="3D50E586" w14:textId="501ADA65" w:rsidR="00890874" w:rsidRPr="008B73F2" w:rsidRDefault="00890874">
            <w:pPr>
              <w:pStyle w:val="Normal1"/>
              <w:spacing w:after="120"/>
              <w:rPr>
                <w:sz w:val="20"/>
                <w:szCs w:val="20"/>
              </w:rPr>
            </w:pPr>
            <w:r>
              <w:rPr>
                <w:sz w:val="20"/>
                <w:szCs w:val="20"/>
              </w:rPr>
              <w:t>8,800</w:t>
            </w:r>
          </w:p>
        </w:tc>
        <w:tc>
          <w:tcPr>
            <w:tcW w:w="1701" w:type="dxa"/>
            <w:shd w:val="clear" w:color="auto" w:fill="FFC000" w:themeFill="accent4"/>
          </w:tcPr>
          <w:p w14:paraId="2962EEE8" w14:textId="0C13F380" w:rsidR="00890874" w:rsidRDefault="00890874">
            <w:pPr>
              <w:pStyle w:val="Normal1"/>
              <w:rPr>
                <w:sz w:val="20"/>
                <w:szCs w:val="20"/>
              </w:rPr>
            </w:pPr>
            <w:r>
              <w:rPr>
                <w:sz w:val="20"/>
                <w:szCs w:val="20"/>
              </w:rPr>
              <w:t>8,391 (+517)</w:t>
            </w:r>
          </w:p>
          <w:p w14:paraId="63820FB5" w14:textId="2A44B866" w:rsidR="00890874" w:rsidRPr="008B73F2" w:rsidRDefault="00890874">
            <w:pPr>
              <w:pStyle w:val="Normal1"/>
              <w:rPr>
                <w:sz w:val="20"/>
                <w:szCs w:val="20"/>
              </w:rPr>
            </w:pPr>
            <w:r w:rsidRPr="5743D546">
              <w:rPr>
                <w:sz w:val="20"/>
                <w:szCs w:val="20"/>
              </w:rPr>
              <w:t>M: 4,039 (+334)</w:t>
            </w:r>
          </w:p>
          <w:p w14:paraId="0FA17E47" w14:textId="7CE7C82E" w:rsidR="00890874" w:rsidRPr="008B73F2" w:rsidRDefault="00890874">
            <w:pPr>
              <w:pStyle w:val="Normal1"/>
              <w:rPr>
                <w:sz w:val="20"/>
                <w:szCs w:val="20"/>
              </w:rPr>
            </w:pPr>
            <w:r w:rsidRPr="5743D546">
              <w:rPr>
                <w:sz w:val="20"/>
                <w:szCs w:val="20"/>
              </w:rPr>
              <w:t>F: 4,352 (+183)</w:t>
            </w:r>
          </w:p>
        </w:tc>
      </w:tr>
      <w:tr w:rsidR="00890874" w:rsidRPr="008B73F2" w14:paraId="376AD19E" w14:textId="77777777" w:rsidTr="00890874">
        <w:trPr>
          <w:trHeight w:val="270"/>
          <w:jc w:val="center"/>
        </w:trPr>
        <w:tc>
          <w:tcPr>
            <w:tcW w:w="5675" w:type="dxa"/>
            <w:vMerge w:val="restart"/>
          </w:tcPr>
          <w:p w14:paraId="6CCD0A6B" w14:textId="0CC5382F" w:rsidR="00890874" w:rsidRPr="008B73F2" w:rsidRDefault="00890874" w:rsidP="0038390D">
            <w:pPr>
              <w:pStyle w:val="Normal1"/>
              <w:rPr>
                <w:sz w:val="20"/>
                <w:szCs w:val="20"/>
              </w:rPr>
            </w:pPr>
            <w:r w:rsidRPr="008B73F2">
              <w:rPr>
                <w:sz w:val="20"/>
                <w:szCs w:val="20"/>
              </w:rPr>
              <w:t xml:space="preserve">2.4 Percentage of women employed by PIs: a) overall; b) management; c) Board </w:t>
            </w:r>
          </w:p>
        </w:tc>
        <w:tc>
          <w:tcPr>
            <w:tcW w:w="1843" w:type="dxa"/>
            <w:vMerge w:val="restart"/>
          </w:tcPr>
          <w:p w14:paraId="214923A3" w14:textId="768A5063" w:rsidR="00890874" w:rsidRDefault="00890874" w:rsidP="0038390D">
            <w:pPr>
              <w:pStyle w:val="Normal1"/>
              <w:rPr>
                <w:sz w:val="20"/>
                <w:szCs w:val="20"/>
              </w:rPr>
            </w:pPr>
            <w:r>
              <w:rPr>
                <w:sz w:val="20"/>
                <w:szCs w:val="20"/>
              </w:rPr>
              <w:t>a) 46%</w:t>
            </w:r>
          </w:p>
          <w:p w14:paraId="30159334" w14:textId="77777777" w:rsidR="00890874" w:rsidRDefault="00890874" w:rsidP="0038390D">
            <w:pPr>
              <w:pStyle w:val="Normal1"/>
              <w:rPr>
                <w:sz w:val="20"/>
                <w:szCs w:val="20"/>
              </w:rPr>
            </w:pPr>
            <w:r>
              <w:rPr>
                <w:sz w:val="20"/>
                <w:szCs w:val="20"/>
              </w:rPr>
              <w:t>b) 43%</w:t>
            </w:r>
          </w:p>
          <w:p w14:paraId="1115A9E1" w14:textId="750DDE49" w:rsidR="00890874" w:rsidRPr="008B73F2" w:rsidRDefault="00890874" w:rsidP="0038390D">
            <w:pPr>
              <w:pStyle w:val="Normal1"/>
              <w:rPr>
                <w:sz w:val="20"/>
                <w:szCs w:val="20"/>
              </w:rPr>
            </w:pPr>
            <w:r>
              <w:rPr>
                <w:sz w:val="20"/>
                <w:szCs w:val="20"/>
              </w:rPr>
              <w:t>c) 30%</w:t>
            </w:r>
          </w:p>
        </w:tc>
        <w:tc>
          <w:tcPr>
            <w:tcW w:w="1701" w:type="dxa"/>
            <w:shd w:val="clear" w:color="auto" w:fill="A8D08D" w:themeFill="accent6" w:themeFillTint="99"/>
          </w:tcPr>
          <w:p w14:paraId="0722CBB9" w14:textId="069748CE" w:rsidR="00890874" w:rsidRPr="008B73F2" w:rsidRDefault="00890874" w:rsidP="0038390D">
            <w:pPr>
              <w:pStyle w:val="Normal1"/>
              <w:rPr>
                <w:sz w:val="20"/>
                <w:szCs w:val="20"/>
              </w:rPr>
            </w:pPr>
            <w:r w:rsidRPr="07FC4C9B">
              <w:rPr>
                <w:sz w:val="20"/>
                <w:szCs w:val="20"/>
              </w:rPr>
              <w:t>a) 5</w:t>
            </w:r>
            <w:r>
              <w:rPr>
                <w:sz w:val="20"/>
                <w:szCs w:val="20"/>
              </w:rPr>
              <w:t>4.4</w:t>
            </w:r>
            <w:r w:rsidRPr="07FC4C9B">
              <w:rPr>
                <w:sz w:val="20"/>
                <w:szCs w:val="20"/>
              </w:rPr>
              <w:t>%</w:t>
            </w:r>
            <w:r>
              <w:rPr>
                <w:sz w:val="20"/>
                <w:szCs w:val="20"/>
              </w:rPr>
              <w:t xml:space="preserve"> (-0.6)</w:t>
            </w:r>
          </w:p>
        </w:tc>
      </w:tr>
      <w:tr w:rsidR="00890874" w:rsidRPr="008B73F2" w14:paraId="3EBFCC4B" w14:textId="77777777" w:rsidTr="00890874">
        <w:trPr>
          <w:trHeight w:val="270"/>
          <w:jc w:val="center"/>
        </w:trPr>
        <w:tc>
          <w:tcPr>
            <w:tcW w:w="5675" w:type="dxa"/>
            <w:vMerge/>
          </w:tcPr>
          <w:p w14:paraId="0A908938" w14:textId="77777777" w:rsidR="00890874" w:rsidRPr="008B73F2" w:rsidRDefault="00890874" w:rsidP="0038390D">
            <w:pPr>
              <w:pStyle w:val="Normal1"/>
              <w:rPr>
                <w:sz w:val="20"/>
                <w:szCs w:val="20"/>
              </w:rPr>
            </w:pPr>
          </w:p>
        </w:tc>
        <w:tc>
          <w:tcPr>
            <w:tcW w:w="1843" w:type="dxa"/>
            <w:vMerge/>
          </w:tcPr>
          <w:p w14:paraId="65ECD71F" w14:textId="77777777" w:rsidR="00890874" w:rsidRDefault="00890874" w:rsidP="0038390D">
            <w:pPr>
              <w:pStyle w:val="Normal1"/>
              <w:rPr>
                <w:sz w:val="20"/>
                <w:szCs w:val="20"/>
              </w:rPr>
            </w:pPr>
          </w:p>
        </w:tc>
        <w:tc>
          <w:tcPr>
            <w:tcW w:w="1701" w:type="dxa"/>
            <w:shd w:val="clear" w:color="auto" w:fill="A8D08D" w:themeFill="accent6" w:themeFillTint="99"/>
          </w:tcPr>
          <w:p w14:paraId="4A05BFCA" w14:textId="74D0C40D" w:rsidR="00890874" w:rsidRPr="07FC4C9B" w:rsidRDefault="00890874" w:rsidP="0038390D">
            <w:pPr>
              <w:pStyle w:val="Normal1"/>
              <w:rPr>
                <w:sz w:val="20"/>
                <w:szCs w:val="20"/>
              </w:rPr>
            </w:pPr>
            <w:r w:rsidRPr="07FC4C9B">
              <w:rPr>
                <w:sz w:val="20"/>
                <w:szCs w:val="20"/>
              </w:rPr>
              <w:t xml:space="preserve">b) </w:t>
            </w:r>
            <w:r>
              <w:rPr>
                <w:sz w:val="20"/>
                <w:szCs w:val="20"/>
              </w:rPr>
              <w:t>44.1</w:t>
            </w:r>
            <w:r w:rsidRPr="07FC4C9B">
              <w:rPr>
                <w:sz w:val="20"/>
                <w:szCs w:val="20"/>
              </w:rPr>
              <w:t>%</w:t>
            </w:r>
            <w:r>
              <w:rPr>
                <w:sz w:val="20"/>
                <w:szCs w:val="20"/>
              </w:rPr>
              <w:t xml:space="preserve"> (+8.1)</w:t>
            </w:r>
          </w:p>
        </w:tc>
      </w:tr>
      <w:tr w:rsidR="00890874" w:rsidRPr="008B73F2" w14:paraId="59C09BDC" w14:textId="77777777" w:rsidTr="00890874">
        <w:trPr>
          <w:trHeight w:val="270"/>
          <w:jc w:val="center"/>
        </w:trPr>
        <w:tc>
          <w:tcPr>
            <w:tcW w:w="5675" w:type="dxa"/>
            <w:vMerge/>
          </w:tcPr>
          <w:p w14:paraId="5F0D2419" w14:textId="77777777" w:rsidR="00890874" w:rsidRPr="008B73F2" w:rsidRDefault="00890874" w:rsidP="0038390D">
            <w:pPr>
              <w:pStyle w:val="Normal1"/>
              <w:rPr>
                <w:sz w:val="20"/>
                <w:szCs w:val="20"/>
              </w:rPr>
            </w:pPr>
          </w:p>
        </w:tc>
        <w:tc>
          <w:tcPr>
            <w:tcW w:w="1843" w:type="dxa"/>
            <w:vMerge/>
          </w:tcPr>
          <w:p w14:paraId="162EBE88" w14:textId="77777777" w:rsidR="00890874" w:rsidRDefault="00890874" w:rsidP="0038390D">
            <w:pPr>
              <w:pStyle w:val="Normal1"/>
              <w:rPr>
                <w:sz w:val="20"/>
                <w:szCs w:val="20"/>
              </w:rPr>
            </w:pPr>
          </w:p>
        </w:tc>
        <w:tc>
          <w:tcPr>
            <w:tcW w:w="1701" w:type="dxa"/>
            <w:shd w:val="clear" w:color="auto" w:fill="FFC000" w:themeFill="accent4"/>
          </w:tcPr>
          <w:p w14:paraId="1A502D04" w14:textId="5B66F7C4" w:rsidR="00890874" w:rsidRPr="07FC4C9B" w:rsidRDefault="00890874" w:rsidP="0038390D">
            <w:pPr>
              <w:pStyle w:val="Normal1"/>
              <w:rPr>
                <w:sz w:val="20"/>
                <w:szCs w:val="20"/>
              </w:rPr>
            </w:pPr>
            <w:r w:rsidRPr="07FC4C9B">
              <w:rPr>
                <w:sz w:val="20"/>
                <w:szCs w:val="20"/>
              </w:rPr>
              <w:t>c) 19</w:t>
            </w:r>
            <w:r>
              <w:rPr>
                <w:sz w:val="20"/>
                <w:szCs w:val="20"/>
              </w:rPr>
              <w:t>.4</w:t>
            </w:r>
            <w:r w:rsidRPr="07FC4C9B">
              <w:rPr>
                <w:sz w:val="20"/>
                <w:szCs w:val="20"/>
              </w:rPr>
              <w:t xml:space="preserve">% </w:t>
            </w:r>
            <w:r>
              <w:rPr>
                <w:sz w:val="20"/>
                <w:szCs w:val="20"/>
              </w:rPr>
              <w:t>(+0.4)</w:t>
            </w:r>
          </w:p>
        </w:tc>
      </w:tr>
    </w:tbl>
    <w:p w14:paraId="567F1A78" w14:textId="7CEF8CA6" w:rsidR="00943F06" w:rsidRDefault="00943F06" w:rsidP="00943F06">
      <w:pPr>
        <w:rPr>
          <w:sz w:val="22"/>
          <w:szCs w:val="22"/>
          <w:lang w:val="en-US"/>
        </w:rPr>
      </w:pPr>
    </w:p>
    <w:p w14:paraId="7077070C" w14:textId="6385F550" w:rsidR="00943F06" w:rsidRPr="00FE4F4A" w:rsidRDefault="00943F06" w:rsidP="00943F06">
      <w:pPr>
        <w:rPr>
          <w:sz w:val="22"/>
          <w:szCs w:val="22"/>
        </w:rPr>
      </w:pPr>
      <w:r w:rsidRPr="00FE4F4A">
        <w:rPr>
          <w:sz w:val="22"/>
          <w:szCs w:val="22"/>
          <w:lang w:val="en-US"/>
        </w:rPr>
        <w:t xml:space="preserve">Defra’s attribution is based on the percentage of the Fund which Defra represents directly as well as investment leveraged off Defra’s investment. </w:t>
      </w:r>
      <w:r>
        <w:rPr>
          <w:sz w:val="22"/>
          <w:szCs w:val="22"/>
        </w:rPr>
        <w:t>Direct a</w:t>
      </w:r>
      <w:r w:rsidRPr="00FE4F4A">
        <w:rPr>
          <w:sz w:val="22"/>
          <w:szCs w:val="22"/>
        </w:rPr>
        <w:t xml:space="preserve">ttribution is calculated </w:t>
      </w:r>
      <w:r>
        <w:rPr>
          <w:sz w:val="22"/>
          <w:szCs w:val="22"/>
        </w:rPr>
        <w:t>as</w:t>
      </w:r>
      <w:r w:rsidRPr="00FE4F4A">
        <w:rPr>
          <w:sz w:val="22"/>
          <w:szCs w:val="22"/>
        </w:rPr>
        <w:t xml:space="preserve"> the percentage of Defra’s share in the Fund each year (in 202</w:t>
      </w:r>
      <w:r>
        <w:rPr>
          <w:sz w:val="22"/>
          <w:szCs w:val="22"/>
        </w:rPr>
        <w:t>4</w:t>
      </w:r>
      <w:r w:rsidRPr="00FE4F4A">
        <w:rPr>
          <w:sz w:val="22"/>
          <w:szCs w:val="22"/>
        </w:rPr>
        <w:t xml:space="preserve"> this was </w:t>
      </w:r>
      <w:r>
        <w:rPr>
          <w:sz w:val="22"/>
          <w:szCs w:val="22"/>
        </w:rPr>
        <w:t>4.6</w:t>
      </w:r>
      <w:r w:rsidRPr="00FE4F4A">
        <w:rPr>
          <w:sz w:val="22"/>
          <w:szCs w:val="22"/>
        </w:rPr>
        <w:t xml:space="preserve">%) </w:t>
      </w:r>
      <w:r>
        <w:rPr>
          <w:sz w:val="22"/>
          <w:szCs w:val="22"/>
        </w:rPr>
        <w:t>multiplied by</w:t>
      </w:r>
      <w:r w:rsidRPr="00FE4F4A">
        <w:rPr>
          <w:sz w:val="22"/>
          <w:szCs w:val="22"/>
        </w:rPr>
        <w:t xml:space="preserve"> the increase in Fund level results, and added to the previous year’s attribution. </w:t>
      </w:r>
      <w:r w:rsidRPr="00FE4F4A">
        <w:rPr>
          <w:sz w:val="22"/>
          <w:szCs w:val="22"/>
          <w:lang w:val="en-US"/>
        </w:rPr>
        <w:t>Leveraged attribution is</w:t>
      </w:r>
      <w:r w:rsidR="007820BA">
        <w:rPr>
          <w:sz w:val="22"/>
          <w:szCs w:val="22"/>
          <w:lang w:val="en-US"/>
        </w:rPr>
        <w:t xml:space="preserve"> also calculated</w:t>
      </w:r>
      <w:r w:rsidRPr="00FE4F4A">
        <w:rPr>
          <w:sz w:val="22"/>
          <w:szCs w:val="22"/>
          <w:lang w:val="en-US"/>
        </w:rPr>
        <w:t xml:space="preserve"> based on the impacts of additional finance leveraged by Defra’s investment</w:t>
      </w:r>
      <w:r w:rsidR="007820BA">
        <w:rPr>
          <w:sz w:val="22"/>
          <w:szCs w:val="22"/>
          <w:lang w:val="en-US"/>
        </w:rPr>
        <w:t xml:space="preserve">, but this </w:t>
      </w:r>
      <w:r w:rsidR="00091ADA">
        <w:rPr>
          <w:sz w:val="22"/>
          <w:szCs w:val="22"/>
          <w:lang w:val="en-US"/>
        </w:rPr>
        <w:t>is for internal use</w:t>
      </w:r>
      <w:r w:rsidR="0098602B">
        <w:rPr>
          <w:sz w:val="22"/>
          <w:szCs w:val="22"/>
          <w:lang w:val="en-US"/>
        </w:rPr>
        <w:t xml:space="preserve"> and is not published</w:t>
      </w:r>
      <w:r w:rsidR="00091ADA">
        <w:rPr>
          <w:sz w:val="22"/>
          <w:szCs w:val="22"/>
          <w:lang w:val="en-US"/>
        </w:rPr>
        <w:t>.</w:t>
      </w:r>
    </w:p>
    <w:p w14:paraId="3FB118D0" w14:textId="256B8ABE" w:rsidR="0D311865" w:rsidRPr="00A54B18" w:rsidRDefault="002F645F" w:rsidP="00E44797">
      <w:pPr>
        <w:tabs>
          <w:tab w:val="left" w:pos="2214"/>
        </w:tabs>
        <w:rPr>
          <w:rFonts w:eastAsia="Arial" w:cs="Arial"/>
          <w:b/>
          <w:bCs/>
        </w:rPr>
      </w:pPr>
      <w:r>
        <w:tab/>
      </w:r>
    </w:p>
    <w:p w14:paraId="55B1420C" w14:textId="23C1CB75" w:rsidR="00FE4F4A" w:rsidRPr="00FE4F4A" w:rsidRDefault="00FE4F4A" w:rsidP="07FC4C9B">
      <w:pPr>
        <w:jc w:val="both"/>
        <w:rPr>
          <w:b/>
          <w:bCs/>
          <w:sz w:val="22"/>
          <w:szCs w:val="22"/>
        </w:rPr>
      </w:pPr>
      <w:r>
        <w:rPr>
          <w:b/>
          <w:bCs/>
          <w:sz w:val="22"/>
          <w:szCs w:val="22"/>
        </w:rPr>
        <w:t xml:space="preserve">Indicator </w:t>
      </w:r>
      <w:r w:rsidRPr="00FE4F4A">
        <w:rPr>
          <w:b/>
          <w:bCs/>
          <w:sz w:val="22"/>
          <w:szCs w:val="22"/>
        </w:rPr>
        <w:t>Analysis</w:t>
      </w:r>
    </w:p>
    <w:p w14:paraId="175390B0" w14:textId="18AD03E5" w:rsidR="07FC4C9B" w:rsidRDefault="07FC4C9B" w:rsidP="07FC4C9B">
      <w:pPr>
        <w:jc w:val="both"/>
        <w:rPr>
          <w:sz w:val="22"/>
          <w:szCs w:val="22"/>
        </w:rPr>
      </w:pPr>
    </w:p>
    <w:p w14:paraId="122BF441" w14:textId="1D3B968B" w:rsidR="00A32F68" w:rsidRDefault="00A32F68" w:rsidP="07FC4C9B">
      <w:pPr>
        <w:jc w:val="both"/>
        <w:rPr>
          <w:sz w:val="22"/>
          <w:szCs w:val="22"/>
        </w:rPr>
      </w:pPr>
      <w:r>
        <w:rPr>
          <w:sz w:val="22"/>
          <w:szCs w:val="22"/>
        </w:rPr>
        <w:t xml:space="preserve">The following charts show fund level progress </w:t>
      </w:r>
      <w:r w:rsidR="00451C30">
        <w:rPr>
          <w:sz w:val="22"/>
          <w:szCs w:val="22"/>
        </w:rPr>
        <w:t xml:space="preserve">for key indicators </w:t>
      </w:r>
      <w:r w:rsidR="00702135">
        <w:rPr>
          <w:sz w:val="22"/>
          <w:szCs w:val="22"/>
        </w:rPr>
        <w:t xml:space="preserve">from the </w:t>
      </w:r>
      <w:r w:rsidR="00986404">
        <w:rPr>
          <w:sz w:val="22"/>
          <w:szCs w:val="22"/>
        </w:rPr>
        <w:t>baselines in 2017</w:t>
      </w:r>
      <w:r w:rsidR="00F84EE2">
        <w:rPr>
          <w:sz w:val="22"/>
          <w:szCs w:val="22"/>
        </w:rPr>
        <w:t xml:space="preserve"> and 2018</w:t>
      </w:r>
      <w:r w:rsidR="00986404">
        <w:rPr>
          <w:sz w:val="22"/>
          <w:szCs w:val="22"/>
        </w:rPr>
        <w:t xml:space="preserve"> </w:t>
      </w:r>
      <w:r w:rsidR="00EF4F49">
        <w:rPr>
          <w:sz w:val="22"/>
          <w:szCs w:val="22"/>
        </w:rPr>
        <w:t>(</w:t>
      </w:r>
      <w:r w:rsidR="00FB52F8">
        <w:rPr>
          <w:sz w:val="22"/>
          <w:szCs w:val="22"/>
        </w:rPr>
        <w:t>depending when results were first available</w:t>
      </w:r>
      <w:r w:rsidR="00EF4F49">
        <w:rPr>
          <w:sz w:val="22"/>
          <w:szCs w:val="22"/>
        </w:rPr>
        <w:t>)</w:t>
      </w:r>
      <w:r w:rsidR="00F84EE2">
        <w:rPr>
          <w:sz w:val="22"/>
          <w:szCs w:val="22"/>
        </w:rPr>
        <w:t xml:space="preserve">. Note the </w:t>
      </w:r>
      <w:r w:rsidR="00DB1A7B">
        <w:rPr>
          <w:sz w:val="22"/>
          <w:szCs w:val="22"/>
        </w:rPr>
        <w:t>increase</w:t>
      </w:r>
      <w:r w:rsidR="00EF4F49">
        <w:rPr>
          <w:sz w:val="22"/>
          <w:szCs w:val="22"/>
        </w:rPr>
        <w:t>s</w:t>
      </w:r>
      <w:r w:rsidR="00DB1A7B">
        <w:rPr>
          <w:sz w:val="22"/>
          <w:szCs w:val="22"/>
        </w:rPr>
        <w:t xml:space="preserve"> in milestone targets agreed </w:t>
      </w:r>
      <w:r w:rsidR="000801FE">
        <w:rPr>
          <w:sz w:val="22"/>
          <w:szCs w:val="22"/>
        </w:rPr>
        <w:t>for</w:t>
      </w:r>
      <w:r w:rsidR="00DB1A7B">
        <w:rPr>
          <w:sz w:val="22"/>
          <w:szCs w:val="22"/>
        </w:rPr>
        <w:t xml:space="preserve"> 2023 </w:t>
      </w:r>
      <w:r w:rsidR="000801FE">
        <w:rPr>
          <w:sz w:val="22"/>
          <w:szCs w:val="22"/>
        </w:rPr>
        <w:t xml:space="preserve">onwards </w:t>
      </w:r>
      <w:r w:rsidR="00DB1A7B">
        <w:rPr>
          <w:sz w:val="22"/>
          <w:szCs w:val="22"/>
        </w:rPr>
        <w:t>after the Fund had exceeded targets for several years.</w:t>
      </w:r>
    </w:p>
    <w:p w14:paraId="608C7F0A" w14:textId="1C6BB130" w:rsidR="00FB52F8" w:rsidRDefault="00AC35E8" w:rsidP="07FC4C9B">
      <w:pPr>
        <w:jc w:val="both"/>
        <w:rPr>
          <w:sz w:val="22"/>
          <w:szCs w:val="22"/>
        </w:rPr>
      </w:pPr>
      <w:r>
        <w:rPr>
          <w:noProof/>
        </w:rPr>
        <w:drawing>
          <wp:anchor distT="0" distB="0" distL="114300" distR="114300" simplePos="0" relativeHeight="251658240" behindDoc="1" locked="0" layoutInCell="1" allowOverlap="1" wp14:anchorId="700201EA" wp14:editId="4BCFA92C">
            <wp:simplePos x="0" y="0"/>
            <wp:positionH relativeFrom="margin">
              <wp:posOffset>-448945</wp:posOffset>
            </wp:positionH>
            <wp:positionV relativeFrom="paragraph">
              <wp:posOffset>177165</wp:posOffset>
            </wp:positionV>
            <wp:extent cx="3317875" cy="2216785"/>
            <wp:effectExtent l="0" t="0" r="15875" b="12065"/>
            <wp:wrapTight wrapText="bothSides">
              <wp:wrapPolygon edited="0">
                <wp:start x="0" y="0"/>
                <wp:lineTo x="0" y="21532"/>
                <wp:lineTo x="21579" y="21532"/>
                <wp:lineTo x="21579" y="0"/>
                <wp:lineTo x="0" y="0"/>
              </wp:wrapPolygon>
            </wp:wrapTight>
            <wp:docPr id="1516809097" name="Chart 1">
              <a:extLst xmlns:a="http://schemas.openxmlformats.org/drawingml/2006/main">
                <a:ext uri="{FF2B5EF4-FFF2-40B4-BE49-F238E27FC236}">
                  <a16:creationId xmlns:a16="http://schemas.microsoft.com/office/drawing/2014/main" id="{8A2EDA66-D35F-2B7E-27CB-8AA2BF24B38A}"/>
                </a:ext>
                <a:ext uri="{147F2762-F138-4A5C-976F-8EAC2B608ADB}">
                  <a16:predDERef xmlns:a16="http://schemas.microsoft.com/office/drawing/2014/main" pred="{30E1F7B3-C452-FA74-A765-EE3CA2C46E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4FD4A011" wp14:editId="6B1DA161">
            <wp:simplePos x="0" y="0"/>
            <wp:positionH relativeFrom="column">
              <wp:posOffset>-448945</wp:posOffset>
            </wp:positionH>
            <wp:positionV relativeFrom="paragraph">
              <wp:posOffset>2428240</wp:posOffset>
            </wp:positionV>
            <wp:extent cx="3303270" cy="2277110"/>
            <wp:effectExtent l="0" t="0" r="11430" b="8890"/>
            <wp:wrapTopAndBottom/>
            <wp:docPr id="2049876333" name="Chart 1">
              <a:extLst xmlns:a="http://schemas.openxmlformats.org/drawingml/2006/main">
                <a:ext uri="{FF2B5EF4-FFF2-40B4-BE49-F238E27FC236}">
                  <a16:creationId xmlns:a16="http://schemas.microsoft.com/office/drawing/2014/main" id="{173D8328-2D93-0A00-374E-0C5C3E8BEFBA}"/>
                </a:ext>
                <a:ext uri="{147F2762-F138-4A5C-976F-8EAC2B608ADB}">
                  <a16:predDERef xmlns:a16="http://schemas.microsoft.com/office/drawing/2014/main" pred="{3E809352-2E3F-C6B8-E75C-50D06FF744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66B6FCBA" wp14:editId="3628DAB8">
            <wp:simplePos x="0" y="0"/>
            <wp:positionH relativeFrom="column">
              <wp:posOffset>2941320</wp:posOffset>
            </wp:positionH>
            <wp:positionV relativeFrom="paragraph">
              <wp:posOffset>2428240</wp:posOffset>
            </wp:positionV>
            <wp:extent cx="3369310" cy="2268220"/>
            <wp:effectExtent l="0" t="0" r="2540" b="17780"/>
            <wp:wrapTight wrapText="bothSides">
              <wp:wrapPolygon edited="0">
                <wp:start x="0" y="0"/>
                <wp:lineTo x="0" y="21588"/>
                <wp:lineTo x="21494" y="21588"/>
                <wp:lineTo x="21494" y="0"/>
                <wp:lineTo x="0" y="0"/>
              </wp:wrapPolygon>
            </wp:wrapTight>
            <wp:docPr id="1899922849" name="Chart 1">
              <a:extLst xmlns:a="http://schemas.openxmlformats.org/drawingml/2006/main">
                <a:ext uri="{FF2B5EF4-FFF2-40B4-BE49-F238E27FC236}">
                  <a16:creationId xmlns:a16="http://schemas.microsoft.com/office/drawing/2014/main" id="{30E1F7B3-C452-FA74-A765-EE3CA2C46E01}"/>
                </a:ext>
                <a:ext uri="{147F2762-F138-4A5C-976F-8EAC2B608ADB}">
                  <a16:predDERef xmlns:a16="http://schemas.microsoft.com/office/drawing/2014/main" pred="{7F49AFCA-0A17-67AE-8819-A42BE181D2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57C7DBD" wp14:editId="585B90D2">
            <wp:simplePos x="0" y="0"/>
            <wp:positionH relativeFrom="margin">
              <wp:posOffset>2950210</wp:posOffset>
            </wp:positionH>
            <wp:positionV relativeFrom="paragraph">
              <wp:posOffset>159385</wp:posOffset>
            </wp:positionV>
            <wp:extent cx="3372485" cy="2225040"/>
            <wp:effectExtent l="0" t="0" r="18415" b="3810"/>
            <wp:wrapTight wrapText="bothSides">
              <wp:wrapPolygon edited="0">
                <wp:start x="0" y="0"/>
                <wp:lineTo x="0" y="21452"/>
                <wp:lineTo x="21596" y="21452"/>
                <wp:lineTo x="21596" y="0"/>
                <wp:lineTo x="0" y="0"/>
              </wp:wrapPolygon>
            </wp:wrapTight>
            <wp:docPr id="1740388183" name="Chart 1">
              <a:extLst xmlns:a="http://schemas.openxmlformats.org/drawingml/2006/main">
                <a:ext uri="{FF2B5EF4-FFF2-40B4-BE49-F238E27FC236}">
                  <a16:creationId xmlns:a16="http://schemas.microsoft.com/office/drawing/2014/main" id="{AB3C0F95-E3E4-7245-7436-82A8B1D90265}"/>
                </a:ext>
                <a:ext uri="{147F2762-F138-4A5C-976F-8EAC2B608ADB}">
                  <a16:predDERef xmlns:a16="http://schemas.microsoft.com/office/drawing/2014/main" pred="{173D8328-2D93-0A00-374E-0C5C3E8BE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6CDFD259" w14:textId="51095AE7" w:rsidR="0087404B" w:rsidRPr="00247831" w:rsidRDefault="00C058D1" w:rsidP="07FC4C9B">
      <w:pPr>
        <w:jc w:val="both"/>
        <w:rPr>
          <w:rFonts w:eastAsia="Arial" w:cs="Arial"/>
          <w:color w:val="000000" w:themeColor="text1"/>
          <w:sz w:val="22"/>
          <w:szCs w:val="22"/>
        </w:rPr>
      </w:pPr>
      <w:r>
        <w:rPr>
          <w:sz w:val="22"/>
          <w:szCs w:val="22"/>
        </w:rPr>
        <w:lastRenderedPageBreak/>
        <w:t>The dramatic increase in</w:t>
      </w:r>
      <w:r w:rsidR="0E891172" w:rsidRPr="07FC4C9B">
        <w:rPr>
          <w:sz w:val="22"/>
          <w:szCs w:val="22"/>
        </w:rPr>
        <w:t xml:space="preserve"> water saving</w:t>
      </w:r>
      <w:r w:rsidR="47DB7CE2" w:rsidRPr="07FC4C9B">
        <w:rPr>
          <w:sz w:val="22"/>
          <w:szCs w:val="22"/>
        </w:rPr>
        <w:t xml:space="preserve"> results</w:t>
      </w:r>
      <w:r w:rsidR="00AB3EEE">
        <w:rPr>
          <w:sz w:val="22"/>
          <w:szCs w:val="22"/>
        </w:rPr>
        <w:t xml:space="preserve"> (1.1)</w:t>
      </w:r>
      <w:r w:rsidR="00A64A2C">
        <w:rPr>
          <w:sz w:val="22"/>
          <w:szCs w:val="22"/>
        </w:rPr>
        <w:t xml:space="preserve"> is </w:t>
      </w:r>
      <w:r w:rsidR="3AC250AD" w:rsidRPr="07FC4C9B">
        <w:rPr>
          <w:sz w:val="22"/>
          <w:szCs w:val="22"/>
        </w:rPr>
        <w:t>due to</w:t>
      </w:r>
      <w:r w:rsidR="0011784F">
        <w:rPr>
          <w:sz w:val="22"/>
          <w:szCs w:val="22"/>
        </w:rPr>
        <w:t xml:space="preserve"> the </w:t>
      </w:r>
      <w:r w:rsidR="00A64A2C">
        <w:rPr>
          <w:sz w:val="22"/>
          <w:szCs w:val="22"/>
        </w:rPr>
        <w:t xml:space="preserve">further </w:t>
      </w:r>
      <w:r w:rsidR="0011784F">
        <w:rPr>
          <w:sz w:val="22"/>
          <w:szCs w:val="22"/>
        </w:rPr>
        <w:t>addition of a</w:t>
      </w:r>
      <w:r w:rsidR="00554EC5">
        <w:rPr>
          <w:sz w:val="22"/>
          <w:szCs w:val="22"/>
        </w:rPr>
        <w:t xml:space="preserve"> </w:t>
      </w:r>
      <w:r w:rsidR="3AC250AD" w:rsidRPr="07FC4C9B">
        <w:rPr>
          <w:sz w:val="22"/>
          <w:szCs w:val="22"/>
        </w:rPr>
        <w:t>methodology</w:t>
      </w:r>
      <w:r w:rsidR="00554EC5">
        <w:rPr>
          <w:sz w:val="22"/>
          <w:szCs w:val="22"/>
        </w:rPr>
        <w:t xml:space="preserve"> </w:t>
      </w:r>
      <w:r w:rsidR="00A26365">
        <w:rPr>
          <w:sz w:val="22"/>
          <w:szCs w:val="22"/>
        </w:rPr>
        <w:t>for</w:t>
      </w:r>
      <w:r w:rsidR="00554EC5">
        <w:rPr>
          <w:sz w:val="22"/>
          <w:szCs w:val="22"/>
        </w:rPr>
        <w:t xml:space="preserve"> </w:t>
      </w:r>
      <w:r w:rsidR="00DD6924">
        <w:rPr>
          <w:sz w:val="22"/>
          <w:szCs w:val="22"/>
        </w:rPr>
        <w:t xml:space="preserve">efficient irrigation of sugar cane, following the addition of </w:t>
      </w:r>
      <w:r w:rsidR="00DE7D51">
        <w:rPr>
          <w:sz w:val="22"/>
          <w:szCs w:val="22"/>
        </w:rPr>
        <w:t>dry-cleaning</w:t>
      </w:r>
      <w:r w:rsidR="00554EC5">
        <w:rPr>
          <w:sz w:val="22"/>
          <w:szCs w:val="22"/>
        </w:rPr>
        <w:t xml:space="preserve"> </w:t>
      </w:r>
      <w:r w:rsidR="00D275CD">
        <w:rPr>
          <w:sz w:val="22"/>
          <w:szCs w:val="22"/>
        </w:rPr>
        <w:t xml:space="preserve">technology </w:t>
      </w:r>
      <w:r w:rsidR="00554EC5">
        <w:rPr>
          <w:sz w:val="22"/>
          <w:szCs w:val="22"/>
        </w:rPr>
        <w:t>of sugar cane</w:t>
      </w:r>
      <w:r w:rsidR="00DD6924">
        <w:rPr>
          <w:sz w:val="22"/>
          <w:szCs w:val="22"/>
        </w:rPr>
        <w:t xml:space="preserve"> last year</w:t>
      </w:r>
      <w:r w:rsidR="00DE137C">
        <w:rPr>
          <w:sz w:val="22"/>
          <w:szCs w:val="22"/>
        </w:rPr>
        <w:t>.</w:t>
      </w:r>
      <w:r w:rsidR="00334E97">
        <w:rPr>
          <w:sz w:val="22"/>
          <w:szCs w:val="22"/>
        </w:rPr>
        <w:t xml:space="preserve"> </w:t>
      </w:r>
      <w:r w:rsidR="0AD1C15A" w:rsidRPr="07FC4C9B">
        <w:rPr>
          <w:sz w:val="22"/>
          <w:szCs w:val="22"/>
        </w:rPr>
        <w:t>Net CO</w:t>
      </w:r>
      <w:r w:rsidR="0AD1C15A" w:rsidRPr="006A419B">
        <w:rPr>
          <w:sz w:val="22"/>
          <w:szCs w:val="22"/>
          <w:vertAlign w:val="subscript"/>
        </w:rPr>
        <w:t>2</w:t>
      </w:r>
      <w:r w:rsidR="0AD1C15A" w:rsidRPr="07FC4C9B">
        <w:rPr>
          <w:sz w:val="22"/>
          <w:szCs w:val="22"/>
        </w:rPr>
        <w:t xml:space="preserve"> stor</w:t>
      </w:r>
      <w:r w:rsidR="00334E97">
        <w:rPr>
          <w:sz w:val="22"/>
          <w:szCs w:val="22"/>
        </w:rPr>
        <w:t>age</w:t>
      </w:r>
      <w:r w:rsidR="00AB3EEE">
        <w:rPr>
          <w:sz w:val="22"/>
          <w:szCs w:val="22"/>
        </w:rPr>
        <w:t xml:space="preserve"> (1.2)</w:t>
      </w:r>
      <w:r w:rsidR="00334E97">
        <w:rPr>
          <w:sz w:val="22"/>
          <w:szCs w:val="22"/>
        </w:rPr>
        <w:t xml:space="preserve"> has slowed with fewer investments </w:t>
      </w:r>
      <w:r w:rsidR="00D85E74">
        <w:rPr>
          <w:sz w:val="22"/>
          <w:szCs w:val="22"/>
        </w:rPr>
        <w:t xml:space="preserve">than anticipated </w:t>
      </w:r>
      <w:r w:rsidR="00334E97">
        <w:rPr>
          <w:sz w:val="22"/>
          <w:szCs w:val="22"/>
        </w:rPr>
        <w:t>in coffee and coc</w:t>
      </w:r>
      <w:r w:rsidR="00123A89">
        <w:rPr>
          <w:sz w:val="22"/>
          <w:szCs w:val="22"/>
        </w:rPr>
        <w:t xml:space="preserve">oa, the two main agroforestry crops </w:t>
      </w:r>
      <w:r w:rsidR="63E638E3" w:rsidRPr="07FC4C9B">
        <w:rPr>
          <w:rFonts w:eastAsia="Arial" w:cs="Arial"/>
          <w:color w:val="000000" w:themeColor="text1"/>
          <w:sz w:val="22"/>
          <w:szCs w:val="22"/>
        </w:rPr>
        <w:t xml:space="preserve">for which the methodology is </w:t>
      </w:r>
      <w:r w:rsidR="00987DDD" w:rsidRPr="07FC4C9B">
        <w:rPr>
          <w:rFonts w:eastAsia="Arial" w:cs="Arial"/>
          <w:color w:val="000000" w:themeColor="text1"/>
          <w:sz w:val="22"/>
          <w:szCs w:val="22"/>
        </w:rPr>
        <w:t>built</w:t>
      </w:r>
      <w:r w:rsidR="00754560">
        <w:rPr>
          <w:rFonts w:eastAsia="Arial" w:cs="Arial"/>
          <w:color w:val="000000" w:themeColor="text1"/>
          <w:sz w:val="22"/>
          <w:szCs w:val="22"/>
        </w:rPr>
        <w:t>,</w:t>
      </w:r>
      <w:r w:rsidR="00987DDD">
        <w:rPr>
          <w:rFonts w:eastAsia="Arial" w:cs="Arial"/>
          <w:color w:val="000000" w:themeColor="text1"/>
          <w:sz w:val="22"/>
          <w:szCs w:val="22"/>
        </w:rPr>
        <w:t xml:space="preserve"> but</w:t>
      </w:r>
      <w:r w:rsidR="00B62F53">
        <w:rPr>
          <w:rFonts w:eastAsia="Arial" w:cs="Arial"/>
          <w:color w:val="000000" w:themeColor="text1"/>
          <w:sz w:val="22"/>
          <w:szCs w:val="22"/>
        </w:rPr>
        <w:t xml:space="preserve"> this</w:t>
      </w:r>
      <w:r w:rsidR="00046F3D">
        <w:rPr>
          <w:rFonts w:eastAsia="Arial" w:cs="Arial"/>
          <w:color w:val="000000" w:themeColor="text1"/>
          <w:sz w:val="22"/>
          <w:szCs w:val="22"/>
        </w:rPr>
        <w:t xml:space="preserve"> is expected to </w:t>
      </w:r>
      <w:r w:rsidR="00E37E01">
        <w:rPr>
          <w:rFonts w:eastAsia="Arial" w:cs="Arial"/>
          <w:color w:val="000000" w:themeColor="text1"/>
          <w:sz w:val="22"/>
          <w:szCs w:val="22"/>
        </w:rPr>
        <w:t>meet our targets</w:t>
      </w:r>
      <w:r w:rsidR="009C51EA">
        <w:rPr>
          <w:rFonts w:eastAsia="Arial" w:cs="Arial"/>
          <w:color w:val="000000" w:themeColor="text1"/>
          <w:sz w:val="22"/>
          <w:szCs w:val="22"/>
        </w:rPr>
        <w:t xml:space="preserve"> for the next review period</w:t>
      </w:r>
      <w:r w:rsidR="00046F3D">
        <w:rPr>
          <w:rFonts w:eastAsia="Arial" w:cs="Arial"/>
          <w:color w:val="000000" w:themeColor="text1"/>
          <w:sz w:val="22"/>
          <w:szCs w:val="22"/>
        </w:rPr>
        <w:t xml:space="preserve"> as the Fund invests more in Brazil.</w:t>
      </w:r>
      <w:r w:rsidR="00247831">
        <w:rPr>
          <w:rFonts w:eastAsia="Arial" w:cs="Arial"/>
          <w:color w:val="000000" w:themeColor="text1"/>
          <w:sz w:val="22"/>
          <w:szCs w:val="22"/>
        </w:rPr>
        <w:t xml:space="preserve"> </w:t>
      </w:r>
      <w:r w:rsidR="0087404B">
        <w:rPr>
          <w:rFonts w:eastAsia="Arial" w:cs="Arial"/>
          <w:color w:val="000000" w:themeColor="text1"/>
          <w:sz w:val="22"/>
          <w:szCs w:val="22"/>
        </w:rPr>
        <w:t>Most of the increase in land area</w:t>
      </w:r>
      <w:r w:rsidR="00600B8A">
        <w:rPr>
          <w:rFonts w:eastAsia="Arial" w:cs="Arial"/>
          <w:color w:val="000000" w:themeColor="text1"/>
          <w:sz w:val="22"/>
          <w:szCs w:val="22"/>
        </w:rPr>
        <w:t xml:space="preserve"> (1.3)</w:t>
      </w:r>
      <w:r w:rsidR="00C91DCE">
        <w:rPr>
          <w:rFonts w:eastAsia="Arial" w:cs="Arial"/>
          <w:color w:val="000000" w:themeColor="text1"/>
          <w:sz w:val="22"/>
          <w:szCs w:val="22"/>
        </w:rPr>
        <w:t xml:space="preserve"> is from the addition of a </w:t>
      </w:r>
      <w:r w:rsidR="004527FF">
        <w:rPr>
          <w:rFonts w:eastAsia="Arial" w:cs="Arial"/>
          <w:color w:val="000000" w:themeColor="text1"/>
          <w:sz w:val="22"/>
          <w:szCs w:val="22"/>
        </w:rPr>
        <w:t>new</w:t>
      </w:r>
      <w:r w:rsidR="00C91DCE">
        <w:rPr>
          <w:rFonts w:eastAsia="Arial" w:cs="Arial"/>
          <w:color w:val="000000" w:themeColor="text1"/>
          <w:sz w:val="22"/>
          <w:szCs w:val="22"/>
        </w:rPr>
        <w:t xml:space="preserve"> bank </w:t>
      </w:r>
      <w:r w:rsidR="004527FF">
        <w:rPr>
          <w:rFonts w:eastAsia="Arial" w:cs="Arial"/>
          <w:color w:val="000000" w:themeColor="text1"/>
          <w:sz w:val="22"/>
          <w:szCs w:val="22"/>
        </w:rPr>
        <w:t>reporting in Paraguay</w:t>
      </w:r>
      <w:r w:rsidR="00247831">
        <w:rPr>
          <w:rFonts w:eastAsia="Arial" w:cs="Arial"/>
          <w:color w:val="000000" w:themeColor="text1"/>
          <w:sz w:val="22"/>
          <w:szCs w:val="22"/>
        </w:rPr>
        <w:t>, and e</w:t>
      </w:r>
      <w:r w:rsidR="00582BD3">
        <w:rPr>
          <w:rFonts w:eastAsia="Arial" w:cs="Arial"/>
          <w:color w:val="000000" w:themeColor="text1"/>
          <w:sz w:val="22"/>
          <w:szCs w:val="22"/>
        </w:rPr>
        <w:t>cosystem services</w:t>
      </w:r>
      <w:r w:rsidR="00CA2E2B">
        <w:rPr>
          <w:rFonts w:eastAsia="Arial" w:cs="Arial"/>
          <w:color w:val="000000" w:themeColor="text1"/>
          <w:sz w:val="22"/>
          <w:szCs w:val="22"/>
        </w:rPr>
        <w:t xml:space="preserve"> (1.4)</w:t>
      </w:r>
      <w:r w:rsidR="00582BD3">
        <w:rPr>
          <w:rFonts w:eastAsia="Arial" w:cs="Arial"/>
          <w:color w:val="000000" w:themeColor="text1"/>
          <w:sz w:val="22"/>
          <w:szCs w:val="22"/>
        </w:rPr>
        <w:t xml:space="preserve"> are based on a subset of land area</w:t>
      </w:r>
      <w:r w:rsidR="001871EA">
        <w:rPr>
          <w:rFonts w:eastAsia="Arial" w:cs="Arial"/>
          <w:color w:val="000000" w:themeColor="text1"/>
          <w:sz w:val="22"/>
          <w:szCs w:val="22"/>
        </w:rPr>
        <w:t xml:space="preserve"> which is under certification schemes with the strongest protections against deforestation.</w:t>
      </w:r>
    </w:p>
    <w:p w14:paraId="2CA6373D" w14:textId="30288165" w:rsidR="07FC4C9B" w:rsidRDefault="07FC4C9B" w:rsidP="07FC4C9B">
      <w:pPr>
        <w:jc w:val="both"/>
        <w:rPr>
          <w:rFonts w:eastAsia="Arial" w:cs="Arial"/>
          <w:color w:val="000000" w:themeColor="text1"/>
          <w:sz w:val="22"/>
          <w:szCs w:val="22"/>
        </w:rPr>
      </w:pPr>
    </w:p>
    <w:p w14:paraId="1E3AD11B" w14:textId="085CCD6F" w:rsidR="00A3731A" w:rsidRPr="00C7059B" w:rsidRDefault="00867F57" w:rsidP="07FC4C9B">
      <w:pPr>
        <w:jc w:val="both"/>
        <w:rPr>
          <w:rFonts w:eastAsia="Arial" w:cs="Arial"/>
          <w:color w:val="000000" w:themeColor="text1"/>
          <w:sz w:val="22"/>
          <w:szCs w:val="22"/>
        </w:rPr>
      </w:pPr>
      <w:r>
        <w:rPr>
          <w:rFonts w:eastAsia="Arial" w:cs="Arial"/>
          <w:color w:val="000000" w:themeColor="text1"/>
          <w:sz w:val="22"/>
          <w:szCs w:val="22"/>
        </w:rPr>
        <w:t>On the financial side,</w:t>
      </w:r>
      <w:r w:rsidR="00AC37B8">
        <w:rPr>
          <w:rFonts w:eastAsia="Arial" w:cs="Arial"/>
          <w:color w:val="000000" w:themeColor="text1"/>
          <w:sz w:val="22"/>
          <w:szCs w:val="22"/>
        </w:rPr>
        <w:t xml:space="preserve"> we are slightly under target for private </w:t>
      </w:r>
      <w:r w:rsidR="008704FD">
        <w:rPr>
          <w:rFonts w:eastAsia="Arial" w:cs="Arial"/>
          <w:color w:val="000000" w:themeColor="text1"/>
          <w:sz w:val="22"/>
          <w:szCs w:val="22"/>
        </w:rPr>
        <w:t xml:space="preserve">(1.5) and public (1.6) </w:t>
      </w:r>
      <w:r w:rsidR="00AC37B8">
        <w:rPr>
          <w:rFonts w:eastAsia="Arial" w:cs="Arial"/>
          <w:color w:val="000000" w:themeColor="text1"/>
          <w:sz w:val="22"/>
          <w:szCs w:val="22"/>
        </w:rPr>
        <w:t>capital mobilised due to</w:t>
      </w:r>
      <w:r>
        <w:rPr>
          <w:rFonts w:eastAsia="Arial" w:cs="Arial"/>
          <w:color w:val="000000" w:themeColor="text1"/>
          <w:sz w:val="22"/>
          <w:szCs w:val="22"/>
        </w:rPr>
        <w:t xml:space="preserve"> </w:t>
      </w:r>
      <w:r w:rsidR="00DA6685">
        <w:rPr>
          <w:rFonts w:eastAsia="Arial" w:cs="Arial"/>
          <w:color w:val="000000" w:themeColor="text1"/>
          <w:sz w:val="22"/>
          <w:szCs w:val="22"/>
        </w:rPr>
        <w:t>constrained global circumstances and lack of junior capital</w:t>
      </w:r>
      <w:r w:rsidR="002440E9">
        <w:rPr>
          <w:rFonts w:eastAsia="Arial" w:cs="Arial"/>
          <w:color w:val="000000" w:themeColor="text1"/>
          <w:sz w:val="22"/>
          <w:szCs w:val="22"/>
        </w:rPr>
        <w:t>, but what money has been raised is largely private capital</w:t>
      </w:r>
      <w:r w:rsidR="00361DB9">
        <w:rPr>
          <w:rFonts w:eastAsia="Arial" w:cs="Arial"/>
          <w:color w:val="000000" w:themeColor="text1"/>
          <w:sz w:val="22"/>
          <w:szCs w:val="22"/>
        </w:rPr>
        <w:t xml:space="preserve">, which marks a big shift in </w:t>
      </w:r>
      <w:r w:rsidR="004D0083">
        <w:rPr>
          <w:rFonts w:eastAsia="Arial" w:cs="Arial"/>
          <w:color w:val="000000" w:themeColor="text1"/>
          <w:sz w:val="22"/>
          <w:szCs w:val="22"/>
        </w:rPr>
        <w:t xml:space="preserve">fundraising from public to private investors, key to tackling the finance gap for </w:t>
      </w:r>
      <w:r w:rsidR="00EA0F06">
        <w:rPr>
          <w:rFonts w:eastAsia="Arial" w:cs="Arial"/>
          <w:color w:val="000000" w:themeColor="text1"/>
          <w:sz w:val="22"/>
          <w:szCs w:val="22"/>
        </w:rPr>
        <w:t>climate and nature finance and a long term goal of the programme</w:t>
      </w:r>
      <w:r w:rsidR="002440E9">
        <w:rPr>
          <w:rFonts w:eastAsia="Arial" w:cs="Arial"/>
          <w:color w:val="000000" w:themeColor="text1"/>
          <w:sz w:val="22"/>
          <w:szCs w:val="22"/>
        </w:rPr>
        <w:t>.</w:t>
      </w:r>
      <w:r w:rsidR="00E7207D">
        <w:rPr>
          <w:rFonts w:eastAsia="Arial" w:cs="Arial"/>
          <w:color w:val="000000" w:themeColor="text1"/>
          <w:sz w:val="22"/>
          <w:szCs w:val="22"/>
        </w:rPr>
        <w:t xml:space="preserve"> It is expected that this trend </w:t>
      </w:r>
      <w:r w:rsidR="0093303C">
        <w:rPr>
          <w:rFonts w:eastAsia="Arial" w:cs="Arial"/>
          <w:color w:val="000000" w:themeColor="text1"/>
          <w:sz w:val="22"/>
          <w:szCs w:val="22"/>
        </w:rPr>
        <w:t xml:space="preserve">towards raising private finance </w:t>
      </w:r>
      <w:r w:rsidR="00E7207D">
        <w:rPr>
          <w:rFonts w:eastAsia="Arial" w:cs="Arial"/>
          <w:color w:val="000000" w:themeColor="text1"/>
          <w:sz w:val="22"/>
          <w:szCs w:val="22"/>
        </w:rPr>
        <w:t>will continue</w:t>
      </w:r>
      <w:r w:rsidR="0093303C">
        <w:rPr>
          <w:rFonts w:eastAsia="Arial" w:cs="Arial"/>
          <w:color w:val="000000" w:themeColor="text1"/>
          <w:sz w:val="22"/>
          <w:szCs w:val="22"/>
        </w:rPr>
        <w:t xml:space="preserve"> as the Fund matures further</w:t>
      </w:r>
      <w:r w:rsidR="00E7207D">
        <w:rPr>
          <w:rFonts w:eastAsia="Arial" w:cs="Arial"/>
          <w:color w:val="000000" w:themeColor="text1"/>
          <w:sz w:val="22"/>
          <w:szCs w:val="22"/>
        </w:rPr>
        <w:t>.</w:t>
      </w:r>
      <w:r w:rsidR="00C7059B">
        <w:rPr>
          <w:rFonts w:eastAsia="Arial" w:cs="Arial"/>
          <w:color w:val="000000" w:themeColor="text1"/>
          <w:sz w:val="22"/>
          <w:szCs w:val="22"/>
        </w:rPr>
        <w:t xml:space="preserve"> </w:t>
      </w:r>
      <w:r w:rsidR="009D3218" w:rsidRPr="00CA5E63">
        <w:rPr>
          <w:rFonts w:eastAsia="Arial" w:cs="Arial"/>
          <w:color w:val="000000" w:themeColor="text1"/>
          <w:sz w:val="22"/>
          <w:szCs w:val="22"/>
        </w:rPr>
        <w:t xml:space="preserve">As the Fund operates with a minimum </w:t>
      </w:r>
      <w:r w:rsidR="00081CF2" w:rsidRPr="00CA5E63">
        <w:rPr>
          <w:rFonts w:eastAsia="Arial" w:cs="Arial"/>
          <w:color w:val="000000" w:themeColor="text1"/>
          <w:sz w:val="22"/>
          <w:szCs w:val="22"/>
        </w:rPr>
        <w:t>20% concessional Junior shares (to provide protection for senior public and private investment)</w:t>
      </w:r>
      <w:r w:rsidR="007937EC" w:rsidRPr="00CA5E63">
        <w:rPr>
          <w:rFonts w:eastAsia="Arial" w:cs="Arial"/>
          <w:color w:val="000000" w:themeColor="text1"/>
          <w:sz w:val="22"/>
          <w:szCs w:val="22"/>
        </w:rPr>
        <w:t>, Defra’s investments theoretically unlock up to four times their value in senior investment</w:t>
      </w:r>
      <w:r w:rsidR="00C75005" w:rsidRPr="00CA5E63">
        <w:rPr>
          <w:rFonts w:eastAsia="Arial" w:cs="Arial"/>
          <w:color w:val="000000" w:themeColor="text1"/>
          <w:sz w:val="22"/>
          <w:szCs w:val="22"/>
        </w:rPr>
        <w:t xml:space="preserve">; to date </w:t>
      </w:r>
      <w:r w:rsidR="001D703A" w:rsidRPr="00CA5E63">
        <w:rPr>
          <w:rFonts w:eastAsia="Arial" w:cs="Arial"/>
          <w:color w:val="000000" w:themeColor="text1"/>
          <w:sz w:val="22"/>
          <w:szCs w:val="22"/>
        </w:rPr>
        <w:t>over three times Defra’s first two investments has been leveraged</w:t>
      </w:r>
      <w:r w:rsidR="001D703A">
        <w:rPr>
          <w:rFonts w:eastAsia="Arial" w:cs="Arial"/>
          <w:color w:val="000000" w:themeColor="text1"/>
          <w:sz w:val="22"/>
          <w:szCs w:val="22"/>
        </w:rPr>
        <w:t>.</w:t>
      </w:r>
      <w:r w:rsidR="00081CF2">
        <w:rPr>
          <w:rFonts w:eastAsia="Arial" w:cs="Arial"/>
          <w:color w:val="000000" w:themeColor="text1"/>
          <w:sz w:val="22"/>
          <w:szCs w:val="22"/>
        </w:rPr>
        <w:t xml:space="preserve"> </w:t>
      </w:r>
      <w:r w:rsidR="00C7059B" w:rsidRPr="00C7059B">
        <w:rPr>
          <w:rFonts w:eastAsia="Arial" w:cs="Arial"/>
          <w:color w:val="000000" w:themeColor="text1"/>
          <w:sz w:val="22"/>
          <w:szCs w:val="22"/>
        </w:rPr>
        <w:t>The methodology for calculating private and public finance mobilised will be updated for 2025 following latest ICF KPI guidance</w:t>
      </w:r>
      <w:r w:rsidR="00C7059B">
        <w:rPr>
          <w:rFonts w:eastAsia="Arial" w:cs="Arial"/>
          <w:color w:val="000000" w:themeColor="text1"/>
          <w:sz w:val="22"/>
          <w:szCs w:val="22"/>
        </w:rPr>
        <w:t>.</w:t>
      </w:r>
    </w:p>
    <w:p w14:paraId="495F311A" w14:textId="74EE7D21" w:rsidR="00A3731A" w:rsidRDefault="00A3731A" w:rsidP="07FC4C9B">
      <w:pPr>
        <w:jc w:val="both"/>
        <w:rPr>
          <w:rFonts w:eastAsia="Arial" w:cs="Arial"/>
          <w:color w:val="000000" w:themeColor="text1"/>
          <w:sz w:val="22"/>
          <w:szCs w:val="22"/>
        </w:rPr>
      </w:pPr>
    </w:p>
    <w:p w14:paraId="7D4D3EFD" w14:textId="298D21BE" w:rsidR="44B8F8E3" w:rsidRDefault="00352910" w:rsidP="07FC4C9B">
      <w:pPr>
        <w:jc w:val="both"/>
        <w:rPr>
          <w:rFonts w:eastAsia="Arial" w:cs="Arial"/>
          <w:sz w:val="22"/>
          <w:szCs w:val="22"/>
        </w:rPr>
      </w:pPr>
      <w:r>
        <w:rPr>
          <w:rFonts w:eastAsia="Arial" w:cs="Arial"/>
          <w:color w:val="000000" w:themeColor="text1"/>
          <w:sz w:val="22"/>
          <w:szCs w:val="22"/>
        </w:rPr>
        <w:t xml:space="preserve">Jobs have increased </w:t>
      </w:r>
      <w:r w:rsidR="00BA6E11">
        <w:rPr>
          <w:rFonts w:eastAsia="Arial" w:cs="Arial"/>
          <w:color w:val="000000" w:themeColor="text1"/>
          <w:sz w:val="22"/>
          <w:szCs w:val="22"/>
        </w:rPr>
        <w:t xml:space="preserve">(1.7) </w:t>
      </w:r>
      <w:r>
        <w:rPr>
          <w:rFonts w:eastAsia="Arial" w:cs="Arial"/>
          <w:color w:val="000000" w:themeColor="text1"/>
          <w:sz w:val="22"/>
          <w:szCs w:val="22"/>
        </w:rPr>
        <w:t xml:space="preserve">mainly </w:t>
      </w:r>
      <w:r w:rsidR="00D23845">
        <w:rPr>
          <w:rFonts w:eastAsia="Arial" w:cs="Arial"/>
          <w:color w:val="000000" w:themeColor="text1"/>
          <w:sz w:val="22"/>
          <w:szCs w:val="22"/>
        </w:rPr>
        <w:t xml:space="preserve">from two new banks in Colombia, </w:t>
      </w:r>
      <w:r w:rsidR="005F47C0">
        <w:rPr>
          <w:rFonts w:eastAsia="Arial" w:cs="Arial"/>
          <w:color w:val="000000" w:themeColor="text1"/>
          <w:sz w:val="22"/>
          <w:szCs w:val="22"/>
        </w:rPr>
        <w:t xml:space="preserve">and </w:t>
      </w:r>
      <w:r w:rsidR="00D23845">
        <w:rPr>
          <w:rFonts w:eastAsia="Arial" w:cs="Arial"/>
          <w:color w:val="000000" w:themeColor="text1"/>
          <w:sz w:val="22"/>
          <w:szCs w:val="22"/>
        </w:rPr>
        <w:t>especially from loans to the flower industry.</w:t>
      </w:r>
      <w:r w:rsidR="005F47C0">
        <w:rPr>
          <w:rFonts w:eastAsia="Arial" w:cs="Arial"/>
          <w:color w:val="000000" w:themeColor="text1"/>
          <w:sz w:val="22"/>
          <w:szCs w:val="22"/>
        </w:rPr>
        <w:t xml:space="preserve"> Growth in jobs for women has been slow, as most agricultural industries</w:t>
      </w:r>
      <w:r w:rsidR="005D0CC3">
        <w:rPr>
          <w:rFonts w:eastAsia="Arial" w:cs="Arial"/>
          <w:color w:val="000000" w:themeColor="text1"/>
          <w:sz w:val="22"/>
          <w:szCs w:val="22"/>
        </w:rPr>
        <w:t xml:space="preserve"> are still dominated by men</w:t>
      </w:r>
      <w:r w:rsidR="00416B76">
        <w:rPr>
          <w:rFonts w:eastAsia="Arial" w:cs="Arial"/>
          <w:color w:val="000000" w:themeColor="text1"/>
          <w:sz w:val="22"/>
          <w:szCs w:val="22"/>
        </w:rPr>
        <w:t>, though</w:t>
      </w:r>
      <w:r w:rsidR="00F200D5">
        <w:rPr>
          <w:rFonts w:eastAsia="Arial" w:cs="Arial"/>
          <w:color w:val="000000" w:themeColor="text1"/>
          <w:sz w:val="22"/>
          <w:szCs w:val="22"/>
        </w:rPr>
        <w:t xml:space="preserve"> some </w:t>
      </w:r>
      <w:r w:rsidR="007B3759">
        <w:rPr>
          <w:rFonts w:eastAsia="Arial" w:cs="Arial"/>
          <w:color w:val="000000" w:themeColor="text1"/>
          <w:sz w:val="22"/>
          <w:szCs w:val="22"/>
        </w:rPr>
        <w:t xml:space="preserve">supported </w:t>
      </w:r>
      <w:r w:rsidR="00F200D5">
        <w:rPr>
          <w:rFonts w:eastAsia="Arial" w:cs="Arial"/>
          <w:color w:val="000000" w:themeColor="text1"/>
          <w:sz w:val="22"/>
          <w:szCs w:val="22"/>
        </w:rPr>
        <w:t>industries where work is more skilled, such as flowers and shrimp</w:t>
      </w:r>
      <w:r w:rsidR="00416B76">
        <w:rPr>
          <w:rFonts w:eastAsia="Arial" w:cs="Arial"/>
          <w:color w:val="000000" w:themeColor="text1"/>
          <w:sz w:val="22"/>
          <w:szCs w:val="22"/>
        </w:rPr>
        <w:t>s</w:t>
      </w:r>
      <w:r w:rsidR="007B3759">
        <w:rPr>
          <w:rFonts w:eastAsia="Arial" w:cs="Arial"/>
          <w:color w:val="000000" w:themeColor="text1"/>
          <w:sz w:val="22"/>
          <w:szCs w:val="22"/>
        </w:rPr>
        <w:t>, have ratios closer to 50:50.</w:t>
      </w:r>
      <w:r w:rsidR="00727270">
        <w:rPr>
          <w:rFonts w:eastAsia="Arial" w:cs="Arial"/>
          <w:color w:val="000000" w:themeColor="text1"/>
          <w:sz w:val="22"/>
          <w:szCs w:val="22"/>
        </w:rPr>
        <w:t xml:space="preserve"> There have been good improvements in the proportion of women </w:t>
      </w:r>
      <w:r w:rsidR="006F2CE1">
        <w:rPr>
          <w:rFonts w:eastAsia="Arial" w:cs="Arial"/>
          <w:color w:val="000000" w:themeColor="text1"/>
          <w:sz w:val="22"/>
          <w:szCs w:val="22"/>
        </w:rPr>
        <w:t>at management level in PIs</w:t>
      </w:r>
      <w:r w:rsidR="00405867">
        <w:rPr>
          <w:rFonts w:eastAsia="Arial" w:cs="Arial"/>
          <w:color w:val="000000" w:themeColor="text1"/>
          <w:sz w:val="22"/>
          <w:szCs w:val="22"/>
        </w:rPr>
        <w:t xml:space="preserve"> (2.4)</w:t>
      </w:r>
      <w:r w:rsidR="006F2CE1">
        <w:rPr>
          <w:rFonts w:eastAsia="Arial" w:cs="Arial"/>
          <w:color w:val="000000" w:themeColor="text1"/>
          <w:sz w:val="22"/>
          <w:szCs w:val="22"/>
        </w:rPr>
        <w:t>, though the Fund does not impact this directly, except through some TA projects.</w:t>
      </w:r>
      <w:r w:rsidR="006E4FD6">
        <w:rPr>
          <w:rFonts w:eastAsia="Arial" w:cs="Arial"/>
          <w:color w:val="000000" w:themeColor="text1"/>
          <w:sz w:val="22"/>
          <w:szCs w:val="22"/>
        </w:rPr>
        <w:t xml:space="preserve"> There was a substantial increase in the number of sub-borrowers incorporating sustainable practices</w:t>
      </w:r>
      <w:r w:rsidR="006D5507">
        <w:rPr>
          <w:rFonts w:eastAsia="Arial" w:cs="Arial"/>
          <w:color w:val="000000" w:themeColor="text1"/>
          <w:sz w:val="22"/>
          <w:szCs w:val="22"/>
        </w:rPr>
        <w:t xml:space="preserve"> (2.1), well above the milestone, though the number of individuals </w:t>
      </w:r>
      <w:r w:rsidR="004F3CB1">
        <w:rPr>
          <w:rFonts w:eastAsia="Arial" w:cs="Arial"/>
          <w:color w:val="000000" w:themeColor="text1"/>
          <w:sz w:val="22"/>
          <w:szCs w:val="22"/>
        </w:rPr>
        <w:t xml:space="preserve">reached through events (2.2) and </w:t>
      </w:r>
      <w:r w:rsidR="00FF4203">
        <w:rPr>
          <w:rFonts w:eastAsia="Arial" w:cs="Arial"/>
          <w:color w:val="000000" w:themeColor="text1"/>
          <w:sz w:val="22"/>
          <w:szCs w:val="22"/>
        </w:rPr>
        <w:t>benefitting from</w:t>
      </w:r>
      <w:r w:rsidR="004F3CB1">
        <w:rPr>
          <w:rFonts w:eastAsia="Arial" w:cs="Arial"/>
          <w:color w:val="000000" w:themeColor="text1"/>
          <w:sz w:val="22"/>
          <w:szCs w:val="22"/>
        </w:rPr>
        <w:t xml:space="preserve"> TA (</w:t>
      </w:r>
      <w:r w:rsidR="00FF4203">
        <w:rPr>
          <w:rFonts w:eastAsia="Arial" w:cs="Arial"/>
          <w:color w:val="000000" w:themeColor="text1"/>
          <w:sz w:val="22"/>
          <w:szCs w:val="22"/>
        </w:rPr>
        <w:t>2.3) fell</w:t>
      </w:r>
      <w:r w:rsidR="004F3CB1">
        <w:rPr>
          <w:rFonts w:eastAsia="Arial" w:cs="Arial"/>
          <w:color w:val="000000" w:themeColor="text1"/>
          <w:sz w:val="22"/>
          <w:szCs w:val="22"/>
        </w:rPr>
        <w:t xml:space="preserve"> short of targets as the Fund prioritise</w:t>
      </w:r>
      <w:r w:rsidR="00FF4203">
        <w:rPr>
          <w:rFonts w:eastAsia="Arial" w:cs="Arial"/>
          <w:color w:val="000000" w:themeColor="text1"/>
          <w:sz w:val="22"/>
          <w:szCs w:val="22"/>
        </w:rPr>
        <w:t>d</w:t>
      </w:r>
      <w:r w:rsidR="004F3CB1">
        <w:rPr>
          <w:rFonts w:eastAsia="Arial" w:cs="Arial"/>
          <w:color w:val="000000" w:themeColor="text1"/>
          <w:sz w:val="22"/>
          <w:szCs w:val="22"/>
        </w:rPr>
        <w:t xml:space="preserve"> other forms of engagement.</w:t>
      </w:r>
    </w:p>
    <w:p w14:paraId="48E1FFFA" w14:textId="46198F2D" w:rsidR="07FC4C9B" w:rsidRDefault="07FC4C9B" w:rsidP="07FC4C9B">
      <w:pPr>
        <w:jc w:val="both"/>
        <w:rPr>
          <w:sz w:val="22"/>
          <w:szCs w:val="22"/>
        </w:rPr>
      </w:pPr>
    </w:p>
    <w:p w14:paraId="46371F9B" w14:textId="721EBC27" w:rsidR="009E1645" w:rsidRPr="008D3032" w:rsidRDefault="69250E29" w:rsidP="005E557A">
      <w:pPr>
        <w:jc w:val="both"/>
        <w:rPr>
          <w:rFonts w:eastAsia="Arial" w:cs="Arial"/>
          <w:color w:val="000000" w:themeColor="text1"/>
          <w:sz w:val="22"/>
          <w:szCs w:val="22"/>
        </w:rPr>
      </w:pPr>
      <w:r w:rsidRPr="07FC4C9B">
        <w:rPr>
          <w:rFonts w:eastAsia="Arial" w:cs="Arial"/>
          <w:color w:val="000000" w:themeColor="text1"/>
          <w:sz w:val="22"/>
          <w:szCs w:val="22"/>
        </w:rPr>
        <w:t xml:space="preserve">EBF also records </w:t>
      </w:r>
      <w:r w:rsidR="6706E386" w:rsidRPr="07FC4C9B">
        <w:rPr>
          <w:rFonts w:eastAsia="Arial" w:cs="Arial"/>
          <w:color w:val="000000" w:themeColor="text1"/>
          <w:sz w:val="22"/>
          <w:szCs w:val="22"/>
        </w:rPr>
        <w:t>several</w:t>
      </w:r>
      <w:r w:rsidRPr="07FC4C9B">
        <w:rPr>
          <w:rFonts w:eastAsia="Arial" w:cs="Arial"/>
          <w:color w:val="000000" w:themeColor="text1"/>
          <w:sz w:val="22"/>
          <w:szCs w:val="22"/>
        </w:rPr>
        <w:t xml:space="preserve"> other </w:t>
      </w:r>
      <w:r w:rsidR="5CB1B2AF" w:rsidRPr="07FC4C9B">
        <w:rPr>
          <w:rFonts w:eastAsia="Arial" w:cs="Arial"/>
          <w:color w:val="000000" w:themeColor="text1"/>
          <w:sz w:val="22"/>
          <w:szCs w:val="22"/>
        </w:rPr>
        <w:t>impacts</w:t>
      </w:r>
      <w:r w:rsidR="17636EF5" w:rsidRPr="07FC4C9B">
        <w:rPr>
          <w:rFonts w:eastAsia="Arial" w:cs="Arial"/>
          <w:color w:val="000000" w:themeColor="text1"/>
          <w:sz w:val="22"/>
          <w:szCs w:val="22"/>
        </w:rPr>
        <w:t xml:space="preserve"> that</w:t>
      </w:r>
      <w:r w:rsidR="00AE859C" w:rsidRPr="07FC4C9B">
        <w:rPr>
          <w:rFonts w:eastAsia="Arial" w:cs="Arial"/>
          <w:color w:val="000000" w:themeColor="text1"/>
          <w:sz w:val="22"/>
          <w:szCs w:val="22"/>
        </w:rPr>
        <w:t xml:space="preserve"> capture more detail on the types of change EBF is </w:t>
      </w:r>
      <w:r w:rsidR="0096093B">
        <w:rPr>
          <w:rFonts w:eastAsia="Arial" w:cs="Arial"/>
          <w:color w:val="000000" w:themeColor="text1"/>
          <w:sz w:val="22"/>
          <w:szCs w:val="22"/>
        </w:rPr>
        <w:t>funding</w:t>
      </w:r>
      <w:r w:rsidR="00AE859C" w:rsidRPr="07FC4C9B">
        <w:rPr>
          <w:rFonts w:eastAsia="Arial" w:cs="Arial"/>
          <w:color w:val="000000" w:themeColor="text1"/>
          <w:sz w:val="22"/>
          <w:szCs w:val="22"/>
        </w:rPr>
        <w:t xml:space="preserve"> in </w:t>
      </w:r>
      <w:r w:rsidR="0096093B">
        <w:rPr>
          <w:rFonts w:eastAsia="Arial" w:cs="Arial"/>
          <w:color w:val="000000" w:themeColor="text1"/>
          <w:sz w:val="22"/>
          <w:szCs w:val="22"/>
        </w:rPr>
        <w:t xml:space="preserve">LAC </w:t>
      </w:r>
      <w:r w:rsidR="00F87518">
        <w:rPr>
          <w:rFonts w:eastAsia="Arial" w:cs="Arial"/>
          <w:color w:val="000000" w:themeColor="text1"/>
          <w:sz w:val="22"/>
          <w:szCs w:val="22"/>
        </w:rPr>
        <w:t>through</w:t>
      </w:r>
      <w:r w:rsidR="00AE859C" w:rsidRPr="07FC4C9B">
        <w:rPr>
          <w:rFonts w:eastAsia="Arial" w:cs="Arial"/>
          <w:color w:val="000000" w:themeColor="text1"/>
          <w:sz w:val="22"/>
          <w:szCs w:val="22"/>
        </w:rPr>
        <w:t xml:space="preserve"> farming techniques which reduce soil erosion, and reduced use of herbicides and fertilisers, all essential parts of sustainable production practices.</w:t>
      </w:r>
      <w:r w:rsidR="71849367" w:rsidRPr="07FC4C9B">
        <w:rPr>
          <w:rFonts w:eastAsia="Arial" w:cs="Arial"/>
          <w:color w:val="000000" w:themeColor="text1"/>
          <w:sz w:val="22"/>
          <w:szCs w:val="22"/>
        </w:rPr>
        <w:t xml:space="preserve"> As of</w:t>
      </w:r>
      <w:r w:rsidR="17736388" w:rsidRPr="07FC4C9B">
        <w:rPr>
          <w:rFonts w:eastAsia="Arial" w:cs="Arial"/>
          <w:color w:val="000000" w:themeColor="text1"/>
          <w:sz w:val="22"/>
          <w:szCs w:val="22"/>
        </w:rPr>
        <w:t xml:space="preserve"> 202</w:t>
      </w:r>
      <w:r w:rsidR="00010A74">
        <w:rPr>
          <w:rFonts w:eastAsia="Arial" w:cs="Arial"/>
          <w:color w:val="000000" w:themeColor="text1"/>
          <w:sz w:val="22"/>
          <w:szCs w:val="22"/>
        </w:rPr>
        <w:t>4</w:t>
      </w:r>
      <w:r w:rsidR="17736388" w:rsidRPr="07FC4C9B">
        <w:rPr>
          <w:rFonts w:eastAsia="Arial" w:cs="Arial"/>
          <w:color w:val="000000" w:themeColor="text1"/>
          <w:sz w:val="22"/>
          <w:szCs w:val="22"/>
        </w:rPr>
        <w:t xml:space="preserve">, the Fund’s </w:t>
      </w:r>
      <w:r w:rsidR="44AC3F1D" w:rsidRPr="07FC4C9B">
        <w:rPr>
          <w:rFonts w:eastAsia="Arial" w:cs="Arial"/>
          <w:color w:val="000000" w:themeColor="text1"/>
          <w:sz w:val="22"/>
          <w:szCs w:val="22"/>
        </w:rPr>
        <w:t xml:space="preserve">support had </w:t>
      </w:r>
      <w:r w:rsidR="12A4B81F" w:rsidRPr="07FC4C9B">
        <w:rPr>
          <w:rFonts w:eastAsia="Arial" w:cs="Arial"/>
          <w:color w:val="000000" w:themeColor="text1"/>
          <w:sz w:val="22"/>
          <w:szCs w:val="22"/>
        </w:rPr>
        <w:t xml:space="preserve">helped avoid </w:t>
      </w:r>
      <w:r w:rsidR="007137C1">
        <w:rPr>
          <w:rFonts w:eastAsia="Arial" w:cs="Arial"/>
          <w:color w:val="000000" w:themeColor="text1"/>
          <w:sz w:val="22"/>
          <w:szCs w:val="22"/>
        </w:rPr>
        <w:t>1,05</w:t>
      </w:r>
      <w:r w:rsidR="00F6681C">
        <w:rPr>
          <w:rFonts w:eastAsia="Arial" w:cs="Arial"/>
          <w:color w:val="000000" w:themeColor="text1"/>
          <w:sz w:val="22"/>
          <w:szCs w:val="22"/>
        </w:rPr>
        <w:t>0</w:t>
      </w:r>
      <w:r w:rsidR="12A4B81F" w:rsidRPr="07FC4C9B">
        <w:rPr>
          <w:rFonts w:eastAsia="Arial" w:cs="Arial"/>
          <w:color w:val="000000" w:themeColor="text1"/>
          <w:sz w:val="22"/>
          <w:szCs w:val="22"/>
        </w:rPr>
        <w:t xml:space="preserve"> hectares of soil erosion, </w:t>
      </w:r>
      <w:r w:rsidR="004041AD">
        <w:rPr>
          <w:rFonts w:eastAsia="Arial" w:cs="Arial"/>
          <w:color w:val="000000" w:themeColor="text1"/>
          <w:sz w:val="22"/>
          <w:szCs w:val="22"/>
        </w:rPr>
        <w:t xml:space="preserve">use of </w:t>
      </w:r>
      <w:r w:rsidR="0435D3A3" w:rsidRPr="07FC4C9B">
        <w:rPr>
          <w:rFonts w:eastAsia="Arial" w:cs="Arial"/>
          <w:color w:val="000000" w:themeColor="text1"/>
          <w:sz w:val="22"/>
          <w:szCs w:val="22"/>
        </w:rPr>
        <w:t>1</w:t>
      </w:r>
      <w:r w:rsidR="00426C72">
        <w:rPr>
          <w:rFonts w:eastAsia="Arial" w:cs="Arial"/>
          <w:color w:val="000000" w:themeColor="text1"/>
          <w:sz w:val="22"/>
          <w:szCs w:val="22"/>
        </w:rPr>
        <w:t>64</w:t>
      </w:r>
      <w:r w:rsidR="0435D3A3" w:rsidRPr="07FC4C9B">
        <w:rPr>
          <w:rFonts w:eastAsia="Arial" w:cs="Arial"/>
          <w:color w:val="000000" w:themeColor="text1"/>
          <w:sz w:val="22"/>
          <w:szCs w:val="22"/>
        </w:rPr>
        <w:t xml:space="preserve">,000 litres of </w:t>
      </w:r>
      <w:r w:rsidR="004041AD">
        <w:rPr>
          <w:rFonts w:eastAsia="Arial" w:cs="Arial"/>
          <w:color w:val="000000" w:themeColor="text1"/>
          <w:sz w:val="22"/>
          <w:szCs w:val="22"/>
        </w:rPr>
        <w:t>agrochemicals</w:t>
      </w:r>
      <w:r w:rsidR="74F584A5" w:rsidRPr="07FC4C9B">
        <w:rPr>
          <w:rFonts w:eastAsia="Arial" w:cs="Arial"/>
          <w:color w:val="000000" w:themeColor="text1"/>
          <w:sz w:val="22"/>
          <w:szCs w:val="22"/>
        </w:rPr>
        <w:t xml:space="preserve"> </w:t>
      </w:r>
      <w:r w:rsidR="004041AD">
        <w:rPr>
          <w:rFonts w:eastAsia="Arial" w:cs="Arial"/>
          <w:color w:val="000000" w:themeColor="text1"/>
          <w:sz w:val="22"/>
          <w:szCs w:val="22"/>
        </w:rPr>
        <w:t xml:space="preserve">(e.g., herbicides) </w:t>
      </w:r>
      <w:r w:rsidR="74F584A5" w:rsidRPr="07FC4C9B">
        <w:rPr>
          <w:rFonts w:eastAsia="Arial" w:cs="Arial"/>
          <w:color w:val="000000" w:themeColor="text1"/>
          <w:sz w:val="22"/>
          <w:szCs w:val="22"/>
        </w:rPr>
        <w:t>and 1,</w:t>
      </w:r>
      <w:r w:rsidR="00337D3B">
        <w:rPr>
          <w:rFonts w:eastAsia="Arial" w:cs="Arial"/>
          <w:color w:val="000000" w:themeColor="text1"/>
          <w:sz w:val="22"/>
          <w:szCs w:val="22"/>
        </w:rPr>
        <w:t>7</w:t>
      </w:r>
      <w:r w:rsidR="006272E0">
        <w:rPr>
          <w:rFonts w:eastAsia="Arial" w:cs="Arial"/>
          <w:color w:val="000000" w:themeColor="text1"/>
          <w:sz w:val="22"/>
          <w:szCs w:val="22"/>
        </w:rPr>
        <w:t>00</w:t>
      </w:r>
      <w:r w:rsidR="74F584A5" w:rsidRPr="07FC4C9B">
        <w:rPr>
          <w:rFonts w:eastAsia="Arial" w:cs="Arial"/>
          <w:color w:val="000000" w:themeColor="text1"/>
          <w:sz w:val="22"/>
          <w:szCs w:val="22"/>
        </w:rPr>
        <w:t xml:space="preserve"> tonnes of nutrient overload.</w:t>
      </w:r>
    </w:p>
    <w:p w14:paraId="3357F9ED" w14:textId="64DE621A" w:rsidR="00A71920" w:rsidRPr="00A54B18" w:rsidRDefault="00A71920" w:rsidP="00F66B70">
      <w:pPr>
        <w:jc w:val="both"/>
        <w:rPr>
          <w:rFonts w:eastAsia="Arial" w:cs="Arial"/>
          <w:color w:val="000000" w:themeColor="text1"/>
          <w:sz w:val="20"/>
          <w:szCs w:val="20"/>
        </w:rPr>
      </w:pPr>
    </w:p>
    <w:p w14:paraId="26679FF4" w14:textId="017BC906" w:rsidR="00514E0C" w:rsidRPr="00E67B05" w:rsidRDefault="006D6338" w:rsidP="4170B8BB">
      <w:pPr>
        <w:jc w:val="both"/>
        <w:rPr>
          <w:rFonts w:eastAsia="Arial" w:cs="Arial"/>
          <w:color w:val="000000" w:themeColor="text1"/>
          <w:sz w:val="22"/>
          <w:szCs w:val="22"/>
        </w:rPr>
      </w:pPr>
      <w:r w:rsidRPr="006D6338">
        <w:rPr>
          <w:rFonts w:eastAsia="Arial" w:cs="Arial"/>
          <w:b/>
          <w:bCs/>
          <w:color w:val="000000" w:themeColor="text1"/>
          <w:sz w:val="22"/>
          <w:szCs w:val="22"/>
        </w:rPr>
        <w:t>Conclusion</w:t>
      </w:r>
      <w:r>
        <w:rPr>
          <w:rFonts w:eastAsia="Arial" w:cs="Arial"/>
          <w:color w:val="000000" w:themeColor="text1"/>
          <w:sz w:val="22"/>
          <w:szCs w:val="22"/>
        </w:rPr>
        <w:t xml:space="preserve">: </w:t>
      </w:r>
      <w:r w:rsidR="3D8F2C93" w:rsidRPr="07FC4C9B">
        <w:rPr>
          <w:rFonts w:eastAsia="Arial" w:cs="Arial"/>
          <w:color w:val="000000" w:themeColor="text1"/>
          <w:sz w:val="22"/>
          <w:szCs w:val="22"/>
        </w:rPr>
        <w:t>The programme is on track to contribute to Defra’s expected outcomes and impact</w:t>
      </w:r>
      <w:r w:rsidR="2EB15BEA" w:rsidRPr="07FC4C9B">
        <w:rPr>
          <w:rFonts w:eastAsia="Arial" w:cs="Arial"/>
          <w:color w:val="000000" w:themeColor="text1"/>
          <w:sz w:val="22"/>
          <w:szCs w:val="22"/>
        </w:rPr>
        <w:t xml:space="preserve">, and </w:t>
      </w:r>
      <w:r w:rsidR="3D8F2C93" w:rsidRPr="07FC4C9B">
        <w:rPr>
          <w:rFonts w:eastAsia="Arial" w:cs="Arial"/>
          <w:color w:val="000000" w:themeColor="text1"/>
          <w:sz w:val="22"/>
          <w:szCs w:val="22"/>
        </w:rPr>
        <w:t xml:space="preserve">in </w:t>
      </w:r>
      <w:r w:rsidR="2EB15BEA" w:rsidRPr="07FC4C9B">
        <w:rPr>
          <w:rFonts w:eastAsia="Arial" w:cs="Arial"/>
          <w:color w:val="000000" w:themeColor="text1"/>
          <w:sz w:val="22"/>
          <w:szCs w:val="22"/>
        </w:rPr>
        <w:t>most</w:t>
      </w:r>
      <w:r w:rsidR="3D8F2C93" w:rsidRPr="07FC4C9B">
        <w:rPr>
          <w:rFonts w:eastAsia="Arial" w:cs="Arial"/>
          <w:color w:val="000000" w:themeColor="text1"/>
          <w:sz w:val="22"/>
          <w:szCs w:val="22"/>
        </w:rPr>
        <w:t xml:space="preserve"> </w:t>
      </w:r>
      <w:r w:rsidR="0CF7A823" w:rsidRPr="07FC4C9B">
        <w:rPr>
          <w:rFonts w:eastAsia="Arial" w:cs="Arial"/>
          <w:color w:val="000000" w:themeColor="text1"/>
          <w:sz w:val="22"/>
          <w:szCs w:val="22"/>
        </w:rPr>
        <w:t>areas,</w:t>
      </w:r>
      <w:r w:rsidR="3D8F2C93" w:rsidRPr="07FC4C9B">
        <w:rPr>
          <w:rFonts w:eastAsia="Arial" w:cs="Arial"/>
          <w:color w:val="000000" w:themeColor="text1"/>
          <w:sz w:val="22"/>
          <w:szCs w:val="22"/>
        </w:rPr>
        <w:t xml:space="preserve"> targets are being surpassed. </w:t>
      </w:r>
      <w:r w:rsidR="001025D1">
        <w:rPr>
          <w:rFonts w:eastAsia="Arial" w:cs="Arial"/>
          <w:color w:val="000000" w:themeColor="text1"/>
          <w:sz w:val="22"/>
          <w:szCs w:val="22"/>
        </w:rPr>
        <w:t xml:space="preserve">Missed targets </w:t>
      </w:r>
      <w:r w:rsidR="00FB1AB9">
        <w:rPr>
          <w:rFonts w:eastAsia="Arial" w:cs="Arial"/>
          <w:color w:val="000000" w:themeColor="text1"/>
          <w:sz w:val="22"/>
          <w:szCs w:val="22"/>
        </w:rPr>
        <w:t xml:space="preserve">on finance and </w:t>
      </w:r>
      <w:r w:rsidR="007F0F9E">
        <w:rPr>
          <w:rFonts w:eastAsia="Arial" w:cs="Arial"/>
          <w:color w:val="000000" w:themeColor="text1"/>
          <w:sz w:val="22"/>
          <w:szCs w:val="22"/>
        </w:rPr>
        <w:t xml:space="preserve">reduced </w:t>
      </w:r>
      <w:r w:rsidR="00FB1AB9">
        <w:rPr>
          <w:rFonts w:eastAsia="Arial" w:cs="Arial"/>
          <w:color w:val="000000" w:themeColor="text1"/>
          <w:sz w:val="22"/>
          <w:szCs w:val="22"/>
        </w:rPr>
        <w:t xml:space="preserve">TA </w:t>
      </w:r>
      <w:r w:rsidR="007F0F9E">
        <w:rPr>
          <w:rFonts w:eastAsia="Arial" w:cs="Arial"/>
          <w:color w:val="000000" w:themeColor="text1"/>
          <w:sz w:val="22"/>
          <w:szCs w:val="22"/>
        </w:rPr>
        <w:t xml:space="preserve">provision </w:t>
      </w:r>
      <w:r w:rsidR="00FB1AB9">
        <w:rPr>
          <w:rFonts w:eastAsia="Arial" w:cs="Arial"/>
          <w:color w:val="000000" w:themeColor="text1"/>
          <w:sz w:val="22"/>
          <w:szCs w:val="22"/>
        </w:rPr>
        <w:t xml:space="preserve">reflect a global shortage of public </w:t>
      </w:r>
      <w:r w:rsidR="00861626">
        <w:rPr>
          <w:rFonts w:eastAsia="Arial" w:cs="Arial"/>
          <w:color w:val="000000" w:themeColor="text1"/>
          <w:sz w:val="22"/>
          <w:szCs w:val="22"/>
        </w:rPr>
        <w:t xml:space="preserve">investment rather than poor performance by the Fund, and </w:t>
      </w:r>
      <w:r w:rsidR="004D735A">
        <w:rPr>
          <w:rFonts w:eastAsia="Arial" w:cs="Arial"/>
          <w:color w:val="000000" w:themeColor="text1"/>
          <w:sz w:val="22"/>
          <w:szCs w:val="22"/>
        </w:rPr>
        <w:t xml:space="preserve">CO2 targets had a weaker year </w:t>
      </w:r>
      <w:r w:rsidR="00F306AE">
        <w:rPr>
          <w:rFonts w:eastAsia="Arial" w:cs="Arial"/>
          <w:color w:val="000000" w:themeColor="text1"/>
          <w:sz w:val="22"/>
          <w:szCs w:val="22"/>
        </w:rPr>
        <w:t xml:space="preserve">due to investments in other types of land use, but will balance out in future. </w:t>
      </w:r>
      <w:r w:rsidR="001025D1">
        <w:rPr>
          <w:rFonts w:eastAsia="Arial" w:cs="Arial"/>
          <w:color w:val="000000" w:themeColor="text1"/>
          <w:sz w:val="22"/>
          <w:szCs w:val="22"/>
        </w:rPr>
        <w:t>Overall t</w:t>
      </w:r>
      <w:r w:rsidR="0B5CDCF2" w:rsidRPr="34FEBCDD">
        <w:rPr>
          <w:rFonts w:eastAsia="Arial" w:cs="Arial"/>
          <w:color w:val="000000" w:themeColor="text1"/>
          <w:sz w:val="22"/>
          <w:szCs w:val="22"/>
        </w:rPr>
        <w:t xml:space="preserve">he </w:t>
      </w:r>
      <w:r w:rsidR="7232A90E">
        <w:rPr>
          <w:rFonts w:eastAsia="Arial" w:cs="Arial"/>
          <w:color w:val="000000" w:themeColor="text1"/>
          <w:sz w:val="22"/>
          <w:szCs w:val="22"/>
        </w:rPr>
        <w:t xml:space="preserve">programme </w:t>
      </w:r>
      <w:r w:rsidR="00E67B05">
        <w:rPr>
          <w:rFonts w:eastAsia="Arial" w:cs="Arial"/>
          <w:color w:val="000000" w:themeColor="text1"/>
          <w:sz w:val="22"/>
          <w:szCs w:val="22"/>
        </w:rPr>
        <w:t xml:space="preserve">continues to </w:t>
      </w:r>
      <w:r w:rsidR="7378C3F2" w:rsidRPr="07FC4C9B">
        <w:rPr>
          <w:rFonts w:eastAsia="Arial" w:cs="Arial"/>
          <w:sz w:val="22"/>
          <w:szCs w:val="22"/>
          <w:lang w:val="en-US" w:eastAsia="en-GB"/>
        </w:rPr>
        <w:t xml:space="preserve">perform </w:t>
      </w:r>
      <w:r w:rsidR="00443D09">
        <w:rPr>
          <w:rFonts w:eastAsia="Arial" w:cs="Arial"/>
          <w:sz w:val="22"/>
          <w:szCs w:val="22"/>
          <w:lang w:val="en-US" w:eastAsia="en-GB"/>
        </w:rPr>
        <w:t>extremely well</w:t>
      </w:r>
      <w:r w:rsidR="7378C3F2" w:rsidRPr="07FC4C9B">
        <w:rPr>
          <w:rFonts w:eastAsia="Arial" w:cs="Arial"/>
          <w:sz w:val="22"/>
          <w:szCs w:val="22"/>
          <w:lang w:val="en-US" w:eastAsia="en-GB"/>
        </w:rPr>
        <w:t>, to represent good VfM</w:t>
      </w:r>
      <w:r w:rsidR="00443D09">
        <w:rPr>
          <w:rFonts w:eastAsia="Arial" w:cs="Arial"/>
          <w:sz w:val="22"/>
          <w:szCs w:val="22"/>
          <w:lang w:val="en-US" w:eastAsia="en-GB"/>
        </w:rPr>
        <w:t>,</w:t>
      </w:r>
      <w:r w:rsidR="7378C3F2" w:rsidRPr="07FC4C9B">
        <w:rPr>
          <w:rFonts w:eastAsia="Arial" w:cs="Arial"/>
          <w:sz w:val="22"/>
          <w:szCs w:val="22"/>
          <w:lang w:val="en-US" w:eastAsia="en-GB"/>
        </w:rPr>
        <w:t xml:space="preserve"> and fits with Defra’s I</w:t>
      </w:r>
      <w:r w:rsidR="7DE00D67" w:rsidRPr="07FC4C9B">
        <w:rPr>
          <w:rFonts w:eastAsia="Arial" w:cs="Arial"/>
          <w:sz w:val="22"/>
          <w:szCs w:val="22"/>
          <w:lang w:val="en-US" w:eastAsia="en-GB"/>
        </w:rPr>
        <w:t>nternational Climate Finance (ICF) and Official Development Assistance (</w:t>
      </w:r>
      <w:r w:rsidR="7378C3F2" w:rsidRPr="07FC4C9B">
        <w:rPr>
          <w:rFonts w:eastAsia="Arial" w:cs="Arial"/>
          <w:sz w:val="22"/>
          <w:szCs w:val="22"/>
          <w:lang w:val="en-US" w:eastAsia="en-GB"/>
        </w:rPr>
        <w:t>ODA</w:t>
      </w:r>
      <w:r w:rsidR="7DE00D67" w:rsidRPr="07FC4C9B">
        <w:rPr>
          <w:rFonts w:eastAsia="Arial" w:cs="Arial"/>
          <w:sz w:val="22"/>
          <w:szCs w:val="22"/>
          <w:lang w:val="en-US" w:eastAsia="en-GB"/>
        </w:rPr>
        <w:t>)</w:t>
      </w:r>
      <w:r w:rsidR="7378C3F2" w:rsidRPr="07FC4C9B">
        <w:rPr>
          <w:rFonts w:eastAsia="Arial" w:cs="Arial"/>
          <w:sz w:val="22"/>
          <w:szCs w:val="22"/>
          <w:lang w:val="en-US" w:eastAsia="en-GB"/>
        </w:rPr>
        <w:t xml:space="preserve"> priorities</w:t>
      </w:r>
      <w:r w:rsidR="00443D09">
        <w:rPr>
          <w:rFonts w:eastAsia="Arial" w:cs="Arial"/>
          <w:sz w:val="22"/>
          <w:szCs w:val="22"/>
          <w:lang w:val="en-US" w:eastAsia="en-GB"/>
        </w:rPr>
        <w:t>,</w:t>
      </w:r>
      <w:r w:rsidR="7378C3F2" w:rsidRPr="07FC4C9B">
        <w:rPr>
          <w:rFonts w:eastAsia="Arial" w:cs="Arial"/>
          <w:sz w:val="22"/>
          <w:szCs w:val="22"/>
          <w:lang w:val="en-US" w:eastAsia="en-GB"/>
        </w:rPr>
        <w:t xml:space="preserve"> including</w:t>
      </w:r>
      <w:r w:rsidR="00443D09">
        <w:rPr>
          <w:rFonts w:eastAsia="Arial" w:cs="Arial"/>
          <w:sz w:val="22"/>
          <w:szCs w:val="22"/>
          <w:lang w:val="en-US" w:eastAsia="en-GB"/>
        </w:rPr>
        <w:t xml:space="preserve"> through</w:t>
      </w:r>
      <w:r w:rsidR="7378C3F2" w:rsidRPr="07FC4C9B">
        <w:rPr>
          <w:rFonts w:eastAsia="Arial" w:cs="Arial"/>
          <w:sz w:val="22"/>
          <w:szCs w:val="22"/>
          <w:lang w:val="en-US" w:eastAsia="en-GB"/>
        </w:rPr>
        <w:t xml:space="preserve"> mobilising </w:t>
      </w:r>
      <w:r w:rsidR="00987DD1">
        <w:rPr>
          <w:rFonts w:eastAsia="Arial" w:cs="Arial"/>
          <w:sz w:val="22"/>
          <w:szCs w:val="22"/>
          <w:lang w:val="en-US" w:eastAsia="en-GB"/>
        </w:rPr>
        <w:t xml:space="preserve">nature </w:t>
      </w:r>
      <w:r w:rsidR="7378C3F2" w:rsidRPr="07FC4C9B">
        <w:rPr>
          <w:rFonts w:eastAsia="Arial" w:cs="Arial"/>
          <w:sz w:val="22"/>
          <w:szCs w:val="22"/>
          <w:lang w:val="en-US" w:eastAsia="en-GB"/>
        </w:rPr>
        <w:t xml:space="preserve">finance for nature and </w:t>
      </w:r>
      <w:r w:rsidR="00E00964">
        <w:rPr>
          <w:rFonts w:eastAsia="Arial" w:cs="Arial"/>
          <w:sz w:val="22"/>
          <w:szCs w:val="22"/>
          <w:lang w:val="en-US" w:eastAsia="en-GB"/>
        </w:rPr>
        <w:t>supporting</w:t>
      </w:r>
      <w:r w:rsidR="7378C3F2" w:rsidRPr="07FC4C9B">
        <w:rPr>
          <w:rFonts w:eastAsia="Arial" w:cs="Arial"/>
          <w:sz w:val="22"/>
          <w:szCs w:val="22"/>
          <w:lang w:val="en-US" w:eastAsia="en-GB"/>
        </w:rPr>
        <w:t xml:space="preserve"> </w:t>
      </w:r>
      <w:r w:rsidR="7378C3F2" w:rsidRPr="00E00964">
        <w:rPr>
          <w:rFonts w:eastAsia="Arial" w:cs="Arial"/>
          <w:sz w:val="22"/>
          <w:szCs w:val="22"/>
          <w:lang w:eastAsia="en-GB"/>
        </w:rPr>
        <w:t>sustainable</w:t>
      </w:r>
      <w:r w:rsidR="00E00964" w:rsidRPr="00E00964">
        <w:rPr>
          <w:rFonts w:eastAsia="Arial" w:cs="Arial"/>
          <w:sz w:val="22"/>
          <w:szCs w:val="22"/>
          <w:lang w:eastAsia="en-GB"/>
        </w:rPr>
        <w:t>,</w:t>
      </w:r>
      <w:r w:rsidR="7378C3F2" w:rsidRPr="00E00964">
        <w:rPr>
          <w:rFonts w:eastAsia="Arial" w:cs="Arial"/>
          <w:sz w:val="22"/>
          <w:szCs w:val="22"/>
          <w:lang w:eastAsia="en-GB"/>
        </w:rPr>
        <w:t xml:space="preserve"> climate </w:t>
      </w:r>
      <w:r w:rsidR="00E00964" w:rsidRPr="00E00964">
        <w:rPr>
          <w:rFonts w:eastAsia="Arial" w:cs="Arial"/>
          <w:sz w:val="22"/>
          <w:szCs w:val="22"/>
          <w:lang w:eastAsia="en-GB"/>
        </w:rPr>
        <w:t>resilient food</w:t>
      </w:r>
      <w:r w:rsidR="7378C3F2" w:rsidRPr="00E00964">
        <w:rPr>
          <w:rFonts w:eastAsia="Arial" w:cs="Arial"/>
          <w:sz w:val="22"/>
          <w:szCs w:val="22"/>
          <w:lang w:eastAsia="en-GB"/>
        </w:rPr>
        <w:t xml:space="preserve"> system</w:t>
      </w:r>
      <w:r w:rsidR="00E00964" w:rsidRPr="00E00964">
        <w:rPr>
          <w:rFonts w:eastAsia="Arial" w:cs="Arial"/>
          <w:sz w:val="22"/>
          <w:szCs w:val="22"/>
          <w:lang w:eastAsia="en-GB"/>
        </w:rPr>
        <w:t xml:space="preserve"> transformation and water security</w:t>
      </w:r>
      <w:r w:rsidR="00616032" w:rsidRPr="00E00964">
        <w:rPr>
          <w:rFonts w:eastAsia="Arial" w:cs="Arial"/>
          <w:sz w:val="22"/>
          <w:szCs w:val="22"/>
          <w:lang w:val="en-US" w:eastAsia="en-GB"/>
        </w:rPr>
        <w:t>.</w:t>
      </w:r>
      <w:r w:rsidR="7378C3F2" w:rsidRPr="07FC4C9B">
        <w:rPr>
          <w:rFonts w:eastAsia="Arial" w:cs="Arial"/>
          <w:sz w:val="22"/>
          <w:szCs w:val="22"/>
          <w:lang w:val="en-US" w:eastAsia="en-GB"/>
        </w:rPr>
        <w:t xml:space="preserve"> It is recommended that the programme </w:t>
      </w:r>
      <w:r>
        <w:rPr>
          <w:rFonts w:eastAsia="Arial" w:cs="Arial"/>
          <w:sz w:val="22"/>
          <w:szCs w:val="22"/>
          <w:lang w:val="en-US" w:eastAsia="en-GB"/>
        </w:rPr>
        <w:t xml:space="preserve">should </w:t>
      </w:r>
      <w:r w:rsidR="7378C3F2" w:rsidRPr="07FC4C9B">
        <w:rPr>
          <w:rFonts w:eastAsia="Arial" w:cs="Arial"/>
          <w:sz w:val="22"/>
          <w:szCs w:val="22"/>
          <w:lang w:val="en-US" w:eastAsia="en-GB"/>
        </w:rPr>
        <w:t>continue</w:t>
      </w:r>
      <w:r w:rsidR="007F0F9E">
        <w:rPr>
          <w:rFonts w:eastAsia="Arial" w:cs="Arial"/>
          <w:sz w:val="22"/>
          <w:szCs w:val="22"/>
          <w:lang w:val="en-US" w:eastAsia="en-GB"/>
        </w:rPr>
        <w:t xml:space="preserve">, and Defra’s contributions to TA and junior shares in 2025 will </w:t>
      </w:r>
      <w:r w:rsidR="00F648D4">
        <w:rPr>
          <w:rFonts w:eastAsia="Arial" w:cs="Arial"/>
          <w:sz w:val="22"/>
          <w:szCs w:val="22"/>
          <w:lang w:val="en-US" w:eastAsia="en-GB"/>
        </w:rPr>
        <w:t xml:space="preserve">have a good impact </w:t>
      </w:r>
      <w:r w:rsidR="00D02910">
        <w:rPr>
          <w:rFonts w:eastAsia="Arial" w:cs="Arial"/>
          <w:sz w:val="22"/>
          <w:szCs w:val="22"/>
          <w:lang w:val="en-US" w:eastAsia="en-GB"/>
        </w:rPr>
        <w:t>o</w:t>
      </w:r>
      <w:r w:rsidR="00FA2649">
        <w:rPr>
          <w:rFonts w:eastAsia="Arial" w:cs="Arial"/>
          <w:sz w:val="22"/>
          <w:szCs w:val="22"/>
          <w:lang w:val="en-US" w:eastAsia="en-GB"/>
        </w:rPr>
        <w:t xml:space="preserve">n results, particularly for </w:t>
      </w:r>
      <w:r w:rsidR="00B37500">
        <w:rPr>
          <w:rFonts w:eastAsia="Arial" w:cs="Arial"/>
          <w:sz w:val="22"/>
          <w:szCs w:val="22"/>
          <w:lang w:val="en-US" w:eastAsia="en-GB"/>
        </w:rPr>
        <w:t xml:space="preserve">raising </w:t>
      </w:r>
      <w:r w:rsidR="00FA2649">
        <w:rPr>
          <w:rFonts w:eastAsia="Arial" w:cs="Arial"/>
          <w:sz w:val="22"/>
          <w:szCs w:val="22"/>
          <w:lang w:val="en-US" w:eastAsia="en-GB"/>
        </w:rPr>
        <w:t xml:space="preserve">finance and </w:t>
      </w:r>
      <w:r w:rsidR="00B37500">
        <w:rPr>
          <w:rFonts w:eastAsia="Arial" w:cs="Arial"/>
          <w:sz w:val="22"/>
          <w:szCs w:val="22"/>
          <w:lang w:val="en-US" w:eastAsia="en-GB"/>
        </w:rPr>
        <w:t xml:space="preserve">providing </w:t>
      </w:r>
      <w:r w:rsidR="00FA2649">
        <w:rPr>
          <w:rFonts w:eastAsia="Arial" w:cs="Arial"/>
          <w:sz w:val="22"/>
          <w:szCs w:val="22"/>
          <w:lang w:val="en-US" w:eastAsia="en-GB"/>
        </w:rPr>
        <w:t>TA</w:t>
      </w:r>
      <w:r w:rsidR="7378C3F2" w:rsidRPr="07FC4C9B">
        <w:rPr>
          <w:rFonts w:eastAsia="Arial" w:cs="Arial"/>
          <w:sz w:val="22"/>
          <w:szCs w:val="22"/>
          <w:lang w:val="en-US" w:eastAsia="en-GB"/>
        </w:rPr>
        <w:t>.</w:t>
      </w:r>
    </w:p>
    <w:p w14:paraId="7C518865" w14:textId="03C3886D" w:rsidR="00514E0C" w:rsidRDefault="00514E0C" w:rsidP="005E557A">
      <w:pPr>
        <w:rPr>
          <w:rFonts w:eastAsia="Arial" w:cs="Arial"/>
          <w:sz w:val="20"/>
          <w:szCs w:val="20"/>
          <w:lang w:val="en" w:eastAsia="en-GB"/>
        </w:rPr>
      </w:pPr>
    </w:p>
    <w:p w14:paraId="33130497" w14:textId="20342988" w:rsidR="00470091" w:rsidRDefault="00B37500" w:rsidP="00470091">
      <w:pPr>
        <w:rPr>
          <w:rFonts w:eastAsia="Arial" w:cs="Arial"/>
          <w:sz w:val="22"/>
          <w:szCs w:val="22"/>
          <w:lang w:val="en-US" w:eastAsia="en-GB"/>
        </w:rPr>
      </w:pPr>
      <w:r w:rsidRPr="540EF16B">
        <w:rPr>
          <w:rFonts w:eastAsia="Arial" w:cs="Arial"/>
          <w:b/>
          <w:bCs/>
          <w:sz w:val="22"/>
          <w:szCs w:val="22"/>
          <w:lang w:val="en-US" w:eastAsia="en-GB"/>
        </w:rPr>
        <w:t>Recommendation</w:t>
      </w:r>
      <w:r w:rsidRPr="540EF16B">
        <w:rPr>
          <w:rFonts w:eastAsia="Arial" w:cs="Arial"/>
          <w:sz w:val="22"/>
          <w:szCs w:val="22"/>
          <w:lang w:val="en-US" w:eastAsia="en-GB"/>
        </w:rPr>
        <w:t xml:space="preserve">: Defra should support the Fund </w:t>
      </w:r>
      <w:r w:rsidR="00972374">
        <w:rPr>
          <w:rFonts w:eastAsia="Arial" w:cs="Arial"/>
          <w:sz w:val="22"/>
          <w:szCs w:val="22"/>
          <w:lang w:val="en-US" w:eastAsia="en-GB"/>
        </w:rPr>
        <w:t>Advisor</w:t>
      </w:r>
      <w:r w:rsidR="00A54821" w:rsidRPr="540EF16B">
        <w:rPr>
          <w:rFonts w:eastAsia="Arial" w:cs="Arial"/>
          <w:sz w:val="22"/>
          <w:szCs w:val="22"/>
          <w:lang w:val="en-US" w:eastAsia="en-GB"/>
        </w:rPr>
        <w:t xml:space="preserve"> in its exploration of </w:t>
      </w:r>
      <w:r w:rsidR="00992B68" w:rsidRPr="540EF16B">
        <w:rPr>
          <w:rFonts w:eastAsia="Arial" w:cs="Arial"/>
          <w:sz w:val="22"/>
          <w:szCs w:val="22"/>
          <w:lang w:val="en-US" w:eastAsia="en-GB"/>
        </w:rPr>
        <w:t>options to</w:t>
      </w:r>
      <w:r w:rsidR="00A54821" w:rsidRPr="540EF16B">
        <w:rPr>
          <w:rFonts w:eastAsia="Arial" w:cs="Arial"/>
          <w:sz w:val="22"/>
          <w:szCs w:val="22"/>
          <w:lang w:val="en-US" w:eastAsia="en-GB"/>
        </w:rPr>
        <w:t xml:space="preserve"> reduce reliance on </w:t>
      </w:r>
      <w:r w:rsidR="00D6417F" w:rsidRPr="540EF16B">
        <w:rPr>
          <w:rFonts w:eastAsia="Arial" w:cs="Arial"/>
          <w:sz w:val="22"/>
          <w:szCs w:val="22"/>
          <w:lang w:val="en-US" w:eastAsia="en-GB"/>
        </w:rPr>
        <w:t>concessional</w:t>
      </w:r>
      <w:r w:rsidR="00512557" w:rsidRPr="540EF16B">
        <w:rPr>
          <w:rFonts w:eastAsia="Arial" w:cs="Arial"/>
          <w:sz w:val="22"/>
          <w:szCs w:val="22"/>
          <w:lang w:val="en-US" w:eastAsia="en-GB"/>
        </w:rPr>
        <w:t xml:space="preserve"> </w:t>
      </w:r>
      <w:r w:rsidR="00A54821" w:rsidRPr="540EF16B">
        <w:rPr>
          <w:rFonts w:eastAsia="Arial" w:cs="Arial"/>
          <w:sz w:val="22"/>
          <w:szCs w:val="22"/>
          <w:lang w:val="en-US" w:eastAsia="en-GB"/>
        </w:rPr>
        <w:t>junior capital</w:t>
      </w:r>
      <w:r w:rsidR="00512557" w:rsidRPr="540EF16B">
        <w:rPr>
          <w:rFonts w:eastAsia="Arial" w:cs="Arial"/>
          <w:sz w:val="22"/>
          <w:szCs w:val="22"/>
          <w:lang w:val="en-US" w:eastAsia="en-GB"/>
        </w:rPr>
        <w:t>,</w:t>
      </w:r>
      <w:r w:rsidR="00A54821" w:rsidRPr="540EF16B">
        <w:rPr>
          <w:rFonts w:eastAsia="Arial" w:cs="Arial"/>
          <w:sz w:val="22"/>
          <w:szCs w:val="22"/>
          <w:lang w:val="en-US" w:eastAsia="en-GB"/>
        </w:rPr>
        <w:t xml:space="preserve"> which</w:t>
      </w:r>
      <w:r w:rsidR="009759BD" w:rsidRPr="540EF16B">
        <w:rPr>
          <w:rFonts w:eastAsia="Arial" w:cs="Arial"/>
          <w:sz w:val="22"/>
          <w:szCs w:val="22"/>
          <w:lang w:val="en-US" w:eastAsia="en-GB"/>
        </w:rPr>
        <w:t xml:space="preserve"> </w:t>
      </w:r>
      <w:r w:rsidR="001C1708" w:rsidRPr="540EF16B">
        <w:rPr>
          <w:rFonts w:eastAsia="Arial" w:cs="Arial"/>
          <w:sz w:val="22"/>
          <w:szCs w:val="22"/>
          <w:lang w:val="en-US" w:eastAsia="en-GB"/>
        </w:rPr>
        <w:t xml:space="preserve">is currently maintained at a minimum of 20% of the Fund, and </w:t>
      </w:r>
      <w:r w:rsidR="00D6417F" w:rsidRPr="540EF16B">
        <w:rPr>
          <w:rFonts w:eastAsia="Arial" w:cs="Arial"/>
          <w:sz w:val="22"/>
          <w:szCs w:val="22"/>
          <w:lang w:val="en-US" w:eastAsia="en-GB"/>
        </w:rPr>
        <w:t xml:space="preserve">a lack of </w:t>
      </w:r>
      <w:r w:rsidR="001C1708" w:rsidRPr="540EF16B">
        <w:rPr>
          <w:rFonts w:eastAsia="Arial" w:cs="Arial"/>
          <w:sz w:val="22"/>
          <w:szCs w:val="22"/>
          <w:lang w:val="en-US" w:eastAsia="en-GB"/>
        </w:rPr>
        <w:t>which</w:t>
      </w:r>
      <w:r w:rsidR="00A54821" w:rsidRPr="540EF16B">
        <w:rPr>
          <w:rFonts w:eastAsia="Arial" w:cs="Arial"/>
          <w:sz w:val="22"/>
          <w:szCs w:val="22"/>
          <w:lang w:val="en-US" w:eastAsia="en-GB"/>
        </w:rPr>
        <w:t xml:space="preserve"> is holding back </w:t>
      </w:r>
      <w:r w:rsidR="001A0C71" w:rsidRPr="540EF16B">
        <w:rPr>
          <w:rFonts w:eastAsia="Arial" w:cs="Arial"/>
          <w:sz w:val="22"/>
          <w:szCs w:val="22"/>
          <w:lang w:val="en-US" w:eastAsia="en-GB"/>
        </w:rPr>
        <w:t xml:space="preserve">new senior </w:t>
      </w:r>
      <w:r w:rsidR="00D6417F" w:rsidRPr="540EF16B">
        <w:rPr>
          <w:rFonts w:eastAsia="Arial" w:cs="Arial"/>
          <w:sz w:val="22"/>
          <w:szCs w:val="22"/>
          <w:lang w:val="en-US" w:eastAsia="en-GB"/>
        </w:rPr>
        <w:t xml:space="preserve">‘for-profit’ </w:t>
      </w:r>
      <w:r w:rsidR="001A0C71" w:rsidRPr="540EF16B">
        <w:rPr>
          <w:rFonts w:eastAsia="Arial" w:cs="Arial"/>
          <w:sz w:val="22"/>
          <w:szCs w:val="22"/>
          <w:lang w:val="en-US" w:eastAsia="en-GB"/>
        </w:rPr>
        <w:t>investment.</w:t>
      </w:r>
    </w:p>
    <w:p w14:paraId="3A102FFB" w14:textId="77777777" w:rsidR="00470091" w:rsidRDefault="00470091" w:rsidP="00470091">
      <w:pPr>
        <w:rPr>
          <w:rFonts w:eastAsia="Arial" w:cs="Arial"/>
          <w:sz w:val="22"/>
          <w:szCs w:val="22"/>
          <w:lang w:val="en-US" w:eastAsia="en-GB"/>
        </w:rPr>
      </w:pPr>
    </w:p>
    <w:p w14:paraId="2071A61A" w14:textId="1D01CF0D" w:rsidR="006F3AE7" w:rsidRPr="00A54B18" w:rsidRDefault="7232A90E" w:rsidP="005E557A">
      <w:pPr>
        <w:pStyle w:val="Heading2"/>
        <w:pBdr>
          <w:top w:val="single" w:sz="4" w:space="1" w:color="auto"/>
          <w:left w:val="single" w:sz="4" w:space="6" w:color="auto"/>
          <w:bottom w:val="single" w:sz="4" w:space="1" w:color="auto"/>
          <w:right w:val="single" w:sz="4" w:space="4" w:color="auto"/>
        </w:pBdr>
        <w:shd w:val="clear" w:color="auto" w:fill="D9E2F3" w:themeFill="accent1" w:themeFillTint="33"/>
        <w:spacing w:before="0"/>
        <w:rPr>
          <w:rFonts w:eastAsia="Arial" w:cs="Arial"/>
          <w:b w:val="0"/>
          <w:i w:val="0"/>
          <w:sz w:val="20"/>
          <w:szCs w:val="20"/>
        </w:rPr>
      </w:pPr>
      <w:r w:rsidRPr="00A54B18">
        <w:rPr>
          <w:rFonts w:eastAsia="Arial" w:cs="Arial"/>
          <w:i w:val="0"/>
        </w:rPr>
        <w:t>C. DETAILED OUTPUT SCORING</w:t>
      </w:r>
    </w:p>
    <w:p w14:paraId="662C714B" w14:textId="77777777" w:rsidR="00535C82" w:rsidRPr="00A54B18" w:rsidRDefault="00535C82" w:rsidP="005E557A">
      <w:pPr>
        <w:rPr>
          <w:rFonts w:eastAsia="Arial" w:cs="Arial"/>
          <w:b/>
          <w:bCs/>
          <w:i/>
          <w:iCs/>
          <w:color w:val="000000" w:themeColor="text1"/>
        </w:rPr>
      </w:pPr>
    </w:p>
    <w:p w14:paraId="6C064463" w14:textId="41DA138A" w:rsidR="00535C82" w:rsidRPr="00A54B18" w:rsidRDefault="00535C82" w:rsidP="00F66B70">
      <w:pPr>
        <w:jc w:val="both"/>
        <w:rPr>
          <w:rFonts w:eastAsia="Arial" w:cs="Arial"/>
          <w:color w:val="000000" w:themeColor="text1"/>
          <w:lang w:val="en"/>
        </w:rPr>
      </w:pPr>
      <w:r w:rsidRPr="00A54B18">
        <w:rPr>
          <w:rFonts w:eastAsia="Arial" w:cs="Arial"/>
          <w:b/>
          <w:bCs/>
          <w:i/>
          <w:iCs/>
          <w:color w:val="000000" w:themeColor="text1"/>
        </w:rPr>
        <w:t>Output level Summary</w:t>
      </w:r>
    </w:p>
    <w:p w14:paraId="42FDE965" w14:textId="25161849" w:rsidR="006F3AE7" w:rsidRPr="00A54B18" w:rsidRDefault="00535C82" w:rsidP="00F66B70">
      <w:pPr>
        <w:jc w:val="both"/>
        <w:rPr>
          <w:rFonts w:eastAsia="Arial" w:cs="Arial"/>
          <w:color w:val="000000" w:themeColor="text1"/>
          <w:sz w:val="22"/>
          <w:szCs w:val="22"/>
        </w:rPr>
      </w:pPr>
      <w:r w:rsidRPr="001E0775">
        <w:rPr>
          <w:rFonts w:eastAsia="Arial" w:cs="Arial"/>
          <w:color w:val="000000" w:themeColor="text1"/>
          <w:sz w:val="22"/>
          <w:szCs w:val="22"/>
        </w:rPr>
        <w:t xml:space="preserve">Outputs have been decided based on the objectives of the EBF to promote business and consumption practices that contribute to biodiversity conservation, to the sustainable use of natural resources, and to mitigate climate change and adapt to its impacts. Outputs have been weighted in accordance with their importance to the success of the EBF and alignment with Defra ICF’s strategic </w:t>
      </w:r>
      <w:r w:rsidR="00E67F25" w:rsidRPr="001E0775">
        <w:rPr>
          <w:rFonts w:eastAsia="Arial" w:cs="Arial"/>
          <w:color w:val="000000" w:themeColor="text1"/>
          <w:sz w:val="22"/>
          <w:szCs w:val="22"/>
        </w:rPr>
        <w:t>priorities</w:t>
      </w:r>
      <w:r w:rsidR="00745B0B">
        <w:rPr>
          <w:rFonts w:eastAsia="Arial" w:cs="Arial"/>
          <w:color w:val="000000" w:themeColor="text1"/>
          <w:sz w:val="22"/>
          <w:szCs w:val="22"/>
        </w:rPr>
        <w:t>, and were revised in 202</w:t>
      </w:r>
      <w:r w:rsidR="00AF7913">
        <w:rPr>
          <w:rFonts w:eastAsia="Arial" w:cs="Arial"/>
          <w:color w:val="000000" w:themeColor="text1"/>
          <w:sz w:val="22"/>
          <w:szCs w:val="22"/>
        </w:rPr>
        <w:t>3</w:t>
      </w:r>
      <w:r w:rsidR="00E67F25" w:rsidRPr="001E0775">
        <w:rPr>
          <w:rFonts w:eastAsia="Arial" w:cs="Arial"/>
          <w:color w:val="000000" w:themeColor="text1"/>
          <w:sz w:val="22"/>
          <w:szCs w:val="22"/>
        </w:rPr>
        <w:t>.</w:t>
      </w:r>
      <w:r w:rsidR="004B16AA">
        <w:rPr>
          <w:rFonts w:eastAsia="Arial" w:cs="Arial"/>
          <w:color w:val="000000" w:themeColor="text1"/>
          <w:sz w:val="22"/>
          <w:szCs w:val="22"/>
        </w:rPr>
        <w:t xml:space="preserve"> </w:t>
      </w:r>
      <w:r w:rsidR="004B16AA" w:rsidRPr="005816E7">
        <w:rPr>
          <w:rFonts w:eastAsia="Arial" w:cs="Arial"/>
          <w:i/>
          <w:iCs/>
          <w:color w:val="000000" w:themeColor="text1"/>
          <w:sz w:val="22"/>
          <w:szCs w:val="22"/>
        </w:rPr>
        <w:t xml:space="preserve">All outputs are </w:t>
      </w:r>
      <w:r w:rsidR="00864889" w:rsidRPr="005816E7">
        <w:rPr>
          <w:rFonts w:eastAsia="Arial" w:cs="Arial"/>
          <w:i/>
          <w:iCs/>
          <w:color w:val="000000" w:themeColor="text1"/>
          <w:sz w:val="22"/>
          <w:szCs w:val="22"/>
        </w:rPr>
        <w:t xml:space="preserve">given as cumulative figures in line with the Fund’s </w:t>
      </w:r>
      <w:r w:rsidR="00E5147B" w:rsidRPr="005816E7">
        <w:rPr>
          <w:rFonts w:eastAsia="Arial" w:cs="Arial"/>
          <w:i/>
          <w:iCs/>
          <w:color w:val="000000" w:themeColor="text1"/>
          <w:sz w:val="22"/>
          <w:szCs w:val="22"/>
        </w:rPr>
        <w:t xml:space="preserve">other </w:t>
      </w:r>
      <w:r w:rsidR="00864889" w:rsidRPr="005816E7">
        <w:rPr>
          <w:rFonts w:eastAsia="Arial" w:cs="Arial"/>
          <w:i/>
          <w:iCs/>
          <w:color w:val="000000" w:themeColor="text1"/>
          <w:sz w:val="22"/>
          <w:szCs w:val="22"/>
        </w:rPr>
        <w:t>reporting</w:t>
      </w:r>
      <w:r w:rsidR="00E5147B" w:rsidRPr="005816E7">
        <w:rPr>
          <w:rFonts w:eastAsia="Arial" w:cs="Arial"/>
          <w:i/>
          <w:iCs/>
          <w:color w:val="000000" w:themeColor="text1"/>
          <w:sz w:val="22"/>
          <w:szCs w:val="22"/>
        </w:rPr>
        <w:t xml:space="preserve"> responsibilities</w:t>
      </w:r>
      <w:r w:rsidR="00864889" w:rsidRPr="005816E7">
        <w:rPr>
          <w:rFonts w:eastAsia="Arial" w:cs="Arial"/>
          <w:i/>
          <w:iCs/>
          <w:color w:val="000000" w:themeColor="text1"/>
          <w:sz w:val="22"/>
          <w:szCs w:val="22"/>
        </w:rPr>
        <w:t xml:space="preserve"> </w:t>
      </w:r>
      <w:r w:rsidR="00624101">
        <w:rPr>
          <w:rFonts w:eastAsia="Arial" w:cs="Arial"/>
          <w:i/>
          <w:iCs/>
          <w:color w:val="000000" w:themeColor="text1"/>
          <w:sz w:val="22"/>
          <w:szCs w:val="22"/>
        </w:rPr>
        <w:t>(</w:t>
      </w:r>
      <w:r w:rsidR="00864889" w:rsidRPr="005816E7">
        <w:rPr>
          <w:rFonts w:eastAsia="Arial" w:cs="Arial"/>
          <w:i/>
          <w:iCs/>
          <w:color w:val="000000" w:themeColor="text1"/>
          <w:sz w:val="22"/>
          <w:szCs w:val="22"/>
        </w:rPr>
        <w:t xml:space="preserve">in-year </w:t>
      </w:r>
      <w:r w:rsidR="00624101">
        <w:rPr>
          <w:rFonts w:eastAsia="Arial" w:cs="Arial"/>
          <w:i/>
          <w:iCs/>
          <w:color w:val="000000" w:themeColor="text1"/>
          <w:sz w:val="22"/>
          <w:szCs w:val="22"/>
        </w:rPr>
        <w:t>change</w:t>
      </w:r>
      <w:r w:rsidR="00864889" w:rsidRPr="005816E7">
        <w:rPr>
          <w:rFonts w:eastAsia="Arial" w:cs="Arial"/>
          <w:i/>
          <w:iCs/>
          <w:color w:val="000000" w:themeColor="text1"/>
          <w:sz w:val="22"/>
          <w:szCs w:val="22"/>
        </w:rPr>
        <w:t xml:space="preserve"> in brackets</w:t>
      </w:r>
      <w:r w:rsidR="00624101">
        <w:rPr>
          <w:rFonts w:eastAsia="Arial" w:cs="Arial"/>
          <w:i/>
          <w:iCs/>
          <w:color w:val="000000" w:themeColor="text1"/>
          <w:sz w:val="22"/>
          <w:szCs w:val="22"/>
        </w:rPr>
        <w:t>)</w:t>
      </w:r>
      <w:r w:rsidR="00864889" w:rsidRPr="005816E7">
        <w:rPr>
          <w:rFonts w:eastAsia="Arial" w:cs="Arial"/>
          <w:i/>
          <w:iCs/>
          <w:color w:val="000000" w:themeColor="text1"/>
          <w:sz w:val="22"/>
          <w:szCs w:val="22"/>
        </w:rPr>
        <w:t>.</w:t>
      </w:r>
    </w:p>
    <w:p w14:paraId="5FF355FD" w14:textId="77777777" w:rsidR="00535C82" w:rsidRPr="00A54B18" w:rsidRDefault="00535C82" w:rsidP="005E557A">
      <w:pPr>
        <w:rPr>
          <w:rFonts w:eastAsia="Arial" w:cs="Arial"/>
          <w:sz w:val="22"/>
          <w:szCs w:val="22"/>
        </w:rPr>
      </w:pPr>
    </w:p>
    <w:tbl>
      <w:tblPr>
        <w:tblStyle w:val="TableGrid"/>
        <w:tblW w:w="9214" w:type="dxa"/>
        <w:tblInd w:w="-147" w:type="dxa"/>
        <w:tblLook w:val="04A0" w:firstRow="1" w:lastRow="0" w:firstColumn="1" w:lastColumn="0" w:noHBand="0" w:noVBand="1"/>
      </w:tblPr>
      <w:tblGrid>
        <w:gridCol w:w="1708"/>
        <w:gridCol w:w="616"/>
        <w:gridCol w:w="937"/>
        <w:gridCol w:w="3283"/>
        <w:gridCol w:w="2670"/>
      </w:tblGrid>
      <w:tr w:rsidR="002D1C12" w:rsidRPr="00A54B18" w14:paraId="52E574E6" w14:textId="77777777" w:rsidTr="56CCD8E2">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EF9924" w14:textId="77777777" w:rsidR="006F3AE7" w:rsidRPr="00A54B18" w:rsidRDefault="7232A90E" w:rsidP="005E557A">
            <w:pPr>
              <w:rPr>
                <w:rFonts w:eastAsia="Arial" w:cs="Arial"/>
                <w:b/>
                <w:bCs/>
                <w:sz w:val="20"/>
                <w:szCs w:val="20"/>
              </w:rPr>
            </w:pPr>
            <w:r w:rsidRPr="00A54B18">
              <w:rPr>
                <w:rFonts w:eastAsia="Arial" w:cs="Arial"/>
                <w:b/>
                <w:bCs/>
                <w:sz w:val="20"/>
                <w:szCs w:val="20"/>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D2BE8F" w14:textId="5012C752" w:rsidR="006F3AE7" w:rsidRPr="00A54B18" w:rsidRDefault="3E4AC18A" w:rsidP="005E557A">
            <w:pPr>
              <w:rPr>
                <w:rFonts w:eastAsia="Arial" w:cs="Arial"/>
                <w:i/>
                <w:iCs/>
                <w:color w:val="FF0000"/>
                <w:sz w:val="22"/>
                <w:szCs w:val="22"/>
              </w:rPr>
            </w:pPr>
            <w:r w:rsidRPr="00A54B18">
              <w:rPr>
                <w:rStyle w:val="normaltextrun"/>
                <w:rFonts w:eastAsia="Arial" w:cs="Arial"/>
                <w:color w:val="000000"/>
                <w:sz w:val="22"/>
                <w:szCs w:val="22"/>
                <w:shd w:val="clear" w:color="auto" w:fill="FFFFFF"/>
              </w:rPr>
              <w:t>EBF has a diversified portfolio supporting a range of geographies and sectors</w:t>
            </w:r>
            <w:r w:rsidRPr="00A54B18">
              <w:rPr>
                <w:rStyle w:val="eop"/>
                <w:rFonts w:eastAsia="Arial" w:cs="Arial"/>
                <w:color w:val="000000"/>
                <w:sz w:val="22"/>
                <w:szCs w:val="22"/>
                <w:shd w:val="clear" w:color="auto" w:fill="FFFFFF"/>
              </w:rPr>
              <w:t> </w:t>
            </w:r>
          </w:p>
        </w:tc>
      </w:tr>
      <w:tr w:rsidR="00E838FD" w:rsidRPr="00A54B18" w14:paraId="5136958B" w14:textId="77777777" w:rsidTr="56CCD8E2">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C28C9F" w14:textId="77777777" w:rsidR="006F3AE7" w:rsidRPr="00A54B18" w:rsidRDefault="7232A90E" w:rsidP="005E557A">
            <w:pPr>
              <w:rPr>
                <w:rFonts w:eastAsia="Arial" w:cs="Arial"/>
                <w:sz w:val="20"/>
                <w:szCs w:val="20"/>
              </w:rPr>
            </w:pPr>
            <w:r w:rsidRPr="00A54B18">
              <w:rPr>
                <w:rFonts w:eastAsia="Arial" w:cs="Arial"/>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0D998D47" w14:textId="206DD742" w:rsidR="006F3AE7" w:rsidRPr="00A54B18" w:rsidRDefault="6B49CB7E" w:rsidP="005E557A">
            <w:pPr>
              <w:rPr>
                <w:rFonts w:eastAsia="Arial" w:cs="Arial"/>
                <w:sz w:val="20"/>
                <w:szCs w:val="20"/>
              </w:rPr>
            </w:pPr>
            <w:r w:rsidRPr="00A54B18">
              <w:rPr>
                <w:rFonts w:eastAsia="Arial" w:cs="Arial"/>
                <w:sz w:val="20"/>
                <w:szCs w:val="20"/>
              </w:rPr>
              <w:t>1</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CD8447" w14:textId="77777777" w:rsidR="006F3AE7" w:rsidRPr="00A54B18" w:rsidRDefault="47712A54" w:rsidP="005E557A">
            <w:pPr>
              <w:rPr>
                <w:rFonts w:eastAsia="Arial" w:cs="Arial"/>
                <w:sz w:val="20"/>
                <w:szCs w:val="20"/>
              </w:rPr>
            </w:pPr>
            <w:r w:rsidRPr="07FC4C9B">
              <w:rPr>
                <w:rFonts w:eastAsia="Arial" w:cs="Arial"/>
                <w:sz w:val="20"/>
                <w:szCs w:val="20"/>
              </w:rPr>
              <w:t xml:space="preserve">Output Score: </w:t>
            </w:r>
          </w:p>
        </w:tc>
        <w:tc>
          <w:tcPr>
            <w:tcW w:w="2670" w:type="dxa"/>
            <w:tcBorders>
              <w:top w:val="single" w:sz="4" w:space="0" w:color="auto"/>
              <w:left w:val="single" w:sz="4" w:space="0" w:color="auto"/>
              <w:bottom w:val="single" w:sz="4" w:space="0" w:color="auto"/>
              <w:right w:val="single" w:sz="4" w:space="0" w:color="auto"/>
            </w:tcBorders>
          </w:tcPr>
          <w:p w14:paraId="25588D6F" w14:textId="270B56D1" w:rsidR="006F3AE7" w:rsidRPr="00A54B18" w:rsidRDefault="44DC9CB7" w:rsidP="07FC4C9B">
            <w:pPr>
              <w:rPr>
                <w:rFonts w:eastAsia="Arial" w:cs="Arial"/>
                <w:b/>
                <w:bCs/>
                <w:i/>
                <w:iCs/>
                <w:sz w:val="20"/>
                <w:szCs w:val="20"/>
              </w:rPr>
            </w:pPr>
            <w:r w:rsidRPr="07FC4C9B">
              <w:rPr>
                <w:rFonts w:eastAsia="Arial" w:cs="Arial"/>
                <w:b/>
                <w:bCs/>
                <w:i/>
                <w:iCs/>
                <w:sz w:val="20"/>
                <w:szCs w:val="20"/>
              </w:rPr>
              <w:t>A+</w:t>
            </w:r>
            <w:r w:rsidR="00A643B5">
              <w:rPr>
                <w:rFonts w:eastAsia="Arial" w:cs="Arial"/>
                <w:b/>
                <w:bCs/>
                <w:i/>
                <w:iCs/>
                <w:sz w:val="20"/>
                <w:szCs w:val="20"/>
              </w:rPr>
              <w:t>+</w:t>
            </w:r>
          </w:p>
        </w:tc>
      </w:tr>
      <w:tr w:rsidR="00E838FD" w:rsidRPr="00A54B18" w14:paraId="2E063A5F" w14:textId="77777777" w:rsidTr="56CCD8E2">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13D482" w14:textId="77777777" w:rsidR="006F3AE7" w:rsidRPr="00A54B18" w:rsidRDefault="7232A90E" w:rsidP="005E557A">
            <w:pPr>
              <w:rPr>
                <w:rFonts w:eastAsia="Arial" w:cs="Arial"/>
                <w:sz w:val="20"/>
                <w:szCs w:val="20"/>
              </w:rPr>
            </w:pPr>
            <w:r w:rsidRPr="00A54B18">
              <w:rPr>
                <w:rFonts w:eastAsia="Arial" w:cs="Arial"/>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31CC3EFE" w14:textId="34EECE49" w:rsidR="006F3AE7" w:rsidRPr="00A54B18" w:rsidRDefault="54AD1A75" w:rsidP="005E557A">
            <w:pPr>
              <w:rPr>
                <w:rFonts w:eastAsia="Arial" w:cs="Arial"/>
                <w:sz w:val="20"/>
                <w:szCs w:val="20"/>
              </w:rPr>
            </w:pPr>
            <w:r w:rsidRPr="56CCD8E2">
              <w:rPr>
                <w:rFonts w:eastAsia="Arial" w:cs="Arial"/>
                <w:sz w:val="20"/>
                <w:szCs w:val="20"/>
              </w:rPr>
              <w:t>40</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995FDB" w14:textId="2FF2D427" w:rsidR="006F3AE7" w:rsidRPr="00A54B18" w:rsidRDefault="7232A90E" w:rsidP="005E557A">
            <w:pPr>
              <w:rPr>
                <w:rFonts w:eastAsia="Arial" w:cs="Arial"/>
                <w:sz w:val="20"/>
                <w:szCs w:val="20"/>
              </w:rPr>
            </w:pPr>
            <w:r w:rsidRPr="00A54B18">
              <w:rPr>
                <w:rFonts w:eastAsia="Arial" w:cs="Arial"/>
                <w:sz w:val="20"/>
                <w:szCs w:val="20"/>
              </w:rPr>
              <w:t xml:space="preserve">Weighting revised since last AR? </w:t>
            </w:r>
          </w:p>
        </w:tc>
        <w:tc>
          <w:tcPr>
            <w:tcW w:w="2670" w:type="dxa"/>
            <w:tcBorders>
              <w:top w:val="single" w:sz="4" w:space="0" w:color="auto"/>
              <w:left w:val="single" w:sz="4" w:space="0" w:color="auto"/>
              <w:bottom w:val="single" w:sz="4" w:space="0" w:color="auto"/>
              <w:right w:val="single" w:sz="4" w:space="0" w:color="auto"/>
            </w:tcBorders>
          </w:tcPr>
          <w:p w14:paraId="2DFF1646" w14:textId="59E60347" w:rsidR="006F3AE7" w:rsidRPr="00A54B18" w:rsidRDefault="0083617D" w:rsidP="005E557A">
            <w:pPr>
              <w:rPr>
                <w:rFonts w:eastAsia="Arial" w:cs="Arial"/>
                <w:sz w:val="20"/>
                <w:szCs w:val="20"/>
              </w:rPr>
            </w:pPr>
            <w:r>
              <w:rPr>
                <w:rFonts w:eastAsia="Arial" w:cs="Arial"/>
                <w:sz w:val="20"/>
                <w:szCs w:val="20"/>
              </w:rPr>
              <w:t>Yes</w:t>
            </w:r>
          </w:p>
        </w:tc>
      </w:tr>
    </w:tbl>
    <w:p w14:paraId="3FFA182B" w14:textId="77777777" w:rsidR="006F3AE7" w:rsidRPr="00A54B18" w:rsidRDefault="006F3AE7" w:rsidP="005E557A">
      <w:pPr>
        <w:rPr>
          <w:rFonts w:eastAsia="Arial" w:cs="Arial"/>
          <w:b/>
          <w:bCs/>
        </w:rPr>
      </w:pPr>
    </w:p>
    <w:tbl>
      <w:tblPr>
        <w:tblStyle w:val="TableGrid"/>
        <w:tblpPr w:leftFromText="180" w:rightFromText="180" w:vertAnchor="text" w:horzAnchor="page" w:tblpX="1325" w:tblpY="-10"/>
        <w:tblOverlap w:val="never"/>
        <w:tblW w:w="9193" w:type="dxa"/>
        <w:tblLook w:val="04A0" w:firstRow="1" w:lastRow="0" w:firstColumn="1" w:lastColumn="0" w:noHBand="0" w:noVBand="1"/>
      </w:tblPr>
      <w:tblGrid>
        <w:gridCol w:w="5382"/>
        <w:gridCol w:w="1984"/>
        <w:gridCol w:w="1827"/>
      </w:tblGrid>
      <w:tr w:rsidR="00882442" w:rsidRPr="00A54B18" w14:paraId="12589E58" w14:textId="2BA6FC84" w:rsidTr="07FC4C9B">
        <w:trPr>
          <w:trHeight w:val="209"/>
        </w:trPr>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7DF24C" w14:textId="23873839" w:rsidR="00882442" w:rsidRPr="00A54B18" w:rsidRDefault="00882442" w:rsidP="005E557A">
            <w:pPr>
              <w:rPr>
                <w:rFonts w:eastAsia="Arial" w:cs="Arial"/>
                <w:b/>
                <w:bCs/>
                <w:sz w:val="20"/>
                <w:szCs w:val="20"/>
              </w:rPr>
            </w:pPr>
            <w:r w:rsidRPr="00A54B18">
              <w:rPr>
                <w:rFonts w:eastAsia="Arial" w:cs="Arial"/>
                <w:b/>
                <w:bCs/>
                <w:sz w:val="20"/>
                <w:szCs w:val="20"/>
              </w:rPr>
              <w:t>Indicator</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C55528" w14:textId="6B1D044A" w:rsidR="00882442" w:rsidRPr="00A54B18" w:rsidRDefault="00882442" w:rsidP="005E557A">
            <w:pPr>
              <w:jc w:val="center"/>
              <w:rPr>
                <w:rFonts w:eastAsia="Arial" w:cs="Arial"/>
                <w:b/>
                <w:bCs/>
                <w:sz w:val="20"/>
                <w:szCs w:val="20"/>
              </w:rPr>
            </w:pPr>
            <w:r w:rsidRPr="00A54B18">
              <w:rPr>
                <w:rFonts w:eastAsia="Arial" w:cs="Arial"/>
                <w:b/>
                <w:bCs/>
                <w:sz w:val="20"/>
                <w:szCs w:val="20"/>
              </w:rPr>
              <w:t>Milestone</w:t>
            </w:r>
          </w:p>
        </w:tc>
        <w:tc>
          <w:tcPr>
            <w:tcW w:w="182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60A9A3" w14:textId="39966755" w:rsidR="00882442" w:rsidRPr="00A54B18" w:rsidRDefault="0230C859" w:rsidP="005E557A">
            <w:pPr>
              <w:jc w:val="center"/>
              <w:rPr>
                <w:rFonts w:eastAsia="Arial" w:cs="Arial"/>
                <w:b/>
                <w:bCs/>
                <w:sz w:val="20"/>
                <w:szCs w:val="20"/>
              </w:rPr>
            </w:pPr>
            <w:r w:rsidRPr="07FC4C9B">
              <w:rPr>
                <w:rFonts w:eastAsia="Arial" w:cs="Arial"/>
                <w:b/>
                <w:bCs/>
                <w:sz w:val="20"/>
                <w:szCs w:val="20"/>
              </w:rPr>
              <w:t>Progress</w:t>
            </w:r>
          </w:p>
        </w:tc>
      </w:tr>
      <w:tr w:rsidR="00882442" w:rsidRPr="00A54B18" w14:paraId="63BE3357" w14:textId="3EE3A445" w:rsidTr="07FC4C9B">
        <w:trPr>
          <w:trHeight w:val="259"/>
        </w:trPr>
        <w:tc>
          <w:tcPr>
            <w:tcW w:w="5382" w:type="dxa"/>
            <w:tcBorders>
              <w:top w:val="single" w:sz="4" w:space="0" w:color="auto"/>
              <w:left w:val="single" w:sz="4" w:space="0" w:color="auto"/>
              <w:bottom w:val="single" w:sz="4" w:space="0" w:color="auto"/>
              <w:right w:val="single" w:sz="4" w:space="0" w:color="auto"/>
            </w:tcBorders>
          </w:tcPr>
          <w:p w14:paraId="6CBF5E6C" w14:textId="61721943" w:rsidR="00882442" w:rsidRPr="00A54B18" w:rsidRDefault="00882442" w:rsidP="005E557A">
            <w:pPr>
              <w:rPr>
                <w:rFonts w:eastAsia="Arial" w:cs="Arial"/>
                <w:sz w:val="20"/>
                <w:szCs w:val="20"/>
              </w:rPr>
            </w:pPr>
            <w:r w:rsidRPr="00A54B18">
              <w:rPr>
                <w:rFonts w:eastAsia="Arial" w:cs="Arial"/>
                <w:color w:val="000000" w:themeColor="text1"/>
                <w:sz w:val="22"/>
                <w:szCs w:val="22"/>
              </w:rPr>
              <w:t xml:space="preserve">1.1 Number of </w:t>
            </w:r>
            <w:r w:rsidR="00CC6BA5">
              <w:rPr>
                <w:rFonts w:eastAsia="Arial" w:cs="Arial"/>
                <w:color w:val="000000" w:themeColor="text1"/>
                <w:sz w:val="22"/>
                <w:szCs w:val="22"/>
              </w:rPr>
              <w:t>partner</w:t>
            </w:r>
            <w:r w:rsidRPr="00A54B18">
              <w:rPr>
                <w:rFonts w:eastAsia="Arial" w:cs="Arial"/>
                <w:color w:val="000000" w:themeColor="text1"/>
                <w:sz w:val="22"/>
                <w:szCs w:val="22"/>
              </w:rPr>
              <w:t xml:space="preserve"> institutions in EBF’s portfolio</w:t>
            </w:r>
          </w:p>
        </w:tc>
        <w:tc>
          <w:tcPr>
            <w:tcW w:w="1984" w:type="dxa"/>
            <w:tcBorders>
              <w:top w:val="single" w:sz="4" w:space="0" w:color="auto"/>
              <w:left w:val="single" w:sz="4" w:space="0" w:color="auto"/>
              <w:bottom w:val="single" w:sz="4" w:space="0" w:color="auto"/>
              <w:right w:val="single" w:sz="4" w:space="0" w:color="auto"/>
            </w:tcBorders>
          </w:tcPr>
          <w:p w14:paraId="049647E1" w14:textId="2D93575A" w:rsidR="00882442" w:rsidRPr="00A54B18" w:rsidRDefault="00446C5A" w:rsidP="005E557A">
            <w:pPr>
              <w:jc w:val="center"/>
              <w:rPr>
                <w:rFonts w:eastAsia="Arial" w:cs="Arial"/>
                <w:sz w:val="22"/>
                <w:szCs w:val="22"/>
              </w:rPr>
            </w:pPr>
            <w:r>
              <w:rPr>
                <w:rFonts w:eastAsia="Arial" w:cs="Arial"/>
                <w:sz w:val="22"/>
                <w:szCs w:val="22"/>
              </w:rPr>
              <w:t>44</w:t>
            </w:r>
          </w:p>
        </w:tc>
        <w:tc>
          <w:tcPr>
            <w:tcW w:w="182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45032EC" w14:textId="4246FE85" w:rsidR="00882442" w:rsidRPr="00A54B18" w:rsidRDefault="5E01E506" w:rsidP="005E557A">
            <w:pPr>
              <w:jc w:val="center"/>
              <w:rPr>
                <w:rFonts w:eastAsia="Arial" w:cs="Arial"/>
                <w:sz w:val="22"/>
                <w:szCs w:val="22"/>
              </w:rPr>
            </w:pPr>
            <w:r w:rsidRPr="07FC4C9B">
              <w:rPr>
                <w:rFonts w:eastAsia="Arial" w:cs="Arial"/>
                <w:sz w:val="22"/>
                <w:szCs w:val="22"/>
              </w:rPr>
              <w:t>4</w:t>
            </w:r>
            <w:r w:rsidR="00446C5A">
              <w:rPr>
                <w:rFonts w:eastAsia="Arial" w:cs="Arial"/>
                <w:sz w:val="22"/>
                <w:szCs w:val="22"/>
              </w:rPr>
              <w:t>9</w:t>
            </w:r>
            <w:r w:rsidR="003C2BBC">
              <w:rPr>
                <w:rFonts w:eastAsia="Arial" w:cs="Arial"/>
                <w:sz w:val="22"/>
                <w:szCs w:val="22"/>
              </w:rPr>
              <w:t xml:space="preserve"> (+</w:t>
            </w:r>
            <w:r w:rsidR="00446C5A">
              <w:rPr>
                <w:rFonts w:eastAsia="Arial" w:cs="Arial"/>
                <w:sz w:val="22"/>
                <w:szCs w:val="22"/>
              </w:rPr>
              <w:t>7</w:t>
            </w:r>
            <w:r w:rsidR="003C2BBC">
              <w:rPr>
                <w:rFonts w:eastAsia="Arial" w:cs="Arial"/>
                <w:sz w:val="22"/>
                <w:szCs w:val="22"/>
              </w:rPr>
              <w:t>)</w:t>
            </w:r>
          </w:p>
        </w:tc>
      </w:tr>
      <w:tr w:rsidR="00882442" w:rsidRPr="00A54B18" w14:paraId="723D0A09" w14:textId="06B9AAD4" w:rsidTr="07FC4C9B">
        <w:trPr>
          <w:trHeight w:val="259"/>
        </w:trPr>
        <w:tc>
          <w:tcPr>
            <w:tcW w:w="5382" w:type="dxa"/>
            <w:tcBorders>
              <w:top w:val="single" w:sz="4" w:space="0" w:color="auto"/>
              <w:left w:val="single" w:sz="4" w:space="0" w:color="auto"/>
              <w:bottom w:val="single" w:sz="4" w:space="0" w:color="auto"/>
              <w:right w:val="single" w:sz="4" w:space="0" w:color="auto"/>
            </w:tcBorders>
          </w:tcPr>
          <w:p w14:paraId="12C485DF" w14:textId="7A0A7F82" w:rsidR="00882442" w:rsidRPr="00A54B18" w:rsidRDefault="00882442" w:rsidP="005E557A">
            <w:pPr>
              <w:rPr>
                <w:rFonts w:eastAsia="Arial" w:cs="Arial"/>
                <w:sz w:val="20"/>
                <w:szCs w:val="20"/>
              </w:rPr>
            </w:pPr>
            <w:r w:rsidRPr="00A54B18">
              <w:rPr>
                <w:rStyle w:val="normaltextrun"/>
                <w:rFonts w:eastAsia="Arial" w:cs="Arial"/>
                <w:color w:val="000000"/>
                <w:sz w:val="22"/>
                <w:szCs w:val="22"/>
                <w:shd w:val="clear" w:color="auto" w:fill="FFFFFF"/>
              </w:rPr>
              <w:t>1.2 Number of commodities supported</w:t>
            </w:r>
            <w:r w:rsidRPr="00A54B18">
              <w:rPr>
                <w:rStyle w:val="eop"/>
                <w:rFonts w:eastAsia="Arial" w:cs="Arial"/>
                <w:color w:val="000000"/>
                <w:sz w:val="22"/>
                <w:szCs w:val="22"/>
                <w:shd w:val="clear" w:color="auto" w:fill="FFFFFF"/>
              </w:rPr>
              <w:t> </w:t>
            </w:r>
          </w:p>
        </w:tc>
        <w:tc>
          <w:tcPr>
            <w:tcW w:w="1984" w:type="dxa"/>
            <w:tcBorders>
              <w:top w:val="single" w:sz="4" w:space="0" w:color="auto"/>
              <w:left w:val="single" w:sz="4" w:space="0" w:color="auto"/>
              <w:bottom w:val="single" w:sz="4" w:space="0" w:color="auto"/>
              <w:right w:val="single" w:sz="4" w:space="0" w:color="auto"/>
            </w:tcBorders>
          </w:tcPr>
          <w:p w14:paraId="185079C1" w14:textId="1FECF614" w:rsidR="00882442" w:rsidRPr="00A54B18" w:rsidRDefault="0083617D" w:rsidP="005E557A">
            <w:pPr>
              <w:jc w:val="center"/>
              <w:rPr>
                <w:rFonts w:eastAsia="Arial" w:cs="Arial"/>
                <w:sz w:val="22"/>
                <w:szCs w:val="22"/>
              </w:rPr>
            </w:pPr>
            <w:r>
              <w:rPr>
                <w:rFonts w:eastAsia="Arial" w:cs="Arial"/>
                <w:sz w:val="22"/>
                <w:szCs w:val="22"/>
              </w:rPr>
              <w:t>4</w:t>
            </w:r>
            <w:r w:rsidR="008D6593">
              <w:rPr>
                <w:rFonts w:eastAsia="Arial" w:cs="Arial"/>
                <w:sz w:val="22"/>
                <w:szCs w:val="22"/>
              </w:rPr>
              <w:t>2</w:t>
            </w:r>
          </w:p>
        </w:tc>
        <w:tc>
          <w:tcPr>
            <w:tcW w:w="182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25BAE5D" w14:textId="4C01AA5A" w:rsidR="00882442" w:rsidRPr="00A54B18" w:rsidRDefault="008D6593" w:rsidP="005E557A">
            <w:pPr>
              <w:jc w:val="center"/>
              <w:rPr>
                <w:rFonts w:eastAsia="Arial" w:cs="Arial"/>
                <w:sz w:val="22"/>
                <w:szCs w:val="22"/>
              </w:rPr>
            </w:pPr>
            <w:r>
              <w:rPr>
                <w:rFonts w:eastAsia="Arial" w:cs="Arial"/>
                <w:sz w:val="22"/>
                <w:szCs w:val="22"/>
              </w:rPr>
              <w:t>5</w:t>
            </w:r>
            <w:r w:rsidR="37BE97FC" w:rsidRPr="07FC4C9B">
              <w:rPr>
                <w:rFonts w:eastAsia="Arial" w:cs="Arial"/>
                <w:sz w:val="22"/>
                <w:szCs w:val="22"/>
              </w:rPr>
              <w:t>8</w:t>
            </w:r>
            <w:r w:rsidR="003C2BBC">
              <w:rPr>
                <w:rFonts w:eastAsia="Arial" w:cs="Arial"/>
                <w:sz w:val="22"/>
                <w:szCs w:val="22"/>
              </w:rPr>
              <w:t xml:space="preserve"> (+1</w:t>
            </w:r>
            <w:r>
              <w:rPr>
                <w:rFonts w:eastAsia="Arial" w:cs="Arial"/>
                <w:sz w:val="22"/>
                <w:szCs w:val="22"/>
              </w:rPr>
              <w:t>0</w:t>
            </w:r>
            <w:r w:rsidR="003C2BBC">
              <w:rPr>
                <w:rFonts w:eastAsia="Arial" w:cs="Arial"/>
                <w:sz w:val="22"/>
                <w:szCs w:val="22"/>
              </w:rPr>
              <w:t>)</w:t>
            </w:r>
          </w:p>
        </w:tc>
      </w:tr>
      <w:tr w:rsidR="00882442" w:rsidRPr="00A54B18" w14:paraId="38E2173F" w14:textId="277E36E7" w:rsidTr="07FC4C9B">
        <w:trPr>
          <w:trHeight w:val="259"/>
        </w:trPr>
        <w:tc>
          <w:tcPr>
            <w:tcW w:w="5382" w:type="dxa"/>
            <w:tcBorders>
              <w:top w:val="single" w:sz="4" w:space="0" w:color="auto"/>
              <w:left w:val="single" w:sz="4" w:space="0" w:color="auto"/>
              <w:bottom w:val="single" w:sz="4" w:space="0" w:color="auto"/>
              <w:right w:val="single" w:sz="4" w:space="0" w:color="auto"/>
            </w:tcBorders>
          </w:tcPr>
          <w:p w14:paraId="1662C785" w14:textId="3EDE0FAC" w:rsidR="00882442" w:rsidRPr="00A54B18" w:rsidRDefault="00882442" w:rsidP="005E557A">
            <w:pPr>
              <w:rPr>
                <w:rFonts w:eastAsia="Arial" w:cs="Arial"/>
                <w:sz w:val="20"/>
                <w:szCs w:val="20"/>
              </w:rPr>
            </w:pPr>
            <w:r w:rsidRPr="00A54B18">
              <w:rPr>
                <w:rStyle w:val="normaltextrun"/>
                <w:rFonts w:eastAsia="Arial" w:cs="Arial"/>
                <w:color w:val="000000"/>
                <w:sz w:val="22"/>
                <w:szCs w:val="22"/>
                <w:shd w:val="clear" w:color="auto" w:fill="FFFFFF"/>
              </w:rPr>
              <w:t>1.3 Number of countries in which the Fund operates</w:t>
            </w:r>
            <w:r w:rsidRPr="00A54B18">
              <w:rPr>
                <w:rStyle w:val="eop"/>
                <w:rFonts w:eastAsia="Arial" w:cs="Arial"/>
                <w:color w:val="000000"/>
                <w:sz w:val="22"/>
                <w:szCs w:val="22"/>
                <w:shd w:val="clear" w:color="auto" w:fill="FFFFFF"/>
              </w:rPr>
              <w:t> </w:t>
            </w:r>
          </w:p>
        </w:tc>
        <w:tc>
          <w:tcPr>
            <w:tcW w:w="1984" w:type="dxa"/>
            <w:tcBorders>
              <w:top w:val="single" w:sz="4" w:space="0" w:color="auto"/>
              <w:left w:val="single" w:sz="4" w:space="0" w:color="auto"/>
              <w:bottom w:val="single" w:sz="4" w:space="0" w:color="auto"/>
              <w:right w:val="single" w:sz="4" w:space="0" w:color="auto"/>
            </w:tcBorders>
          </w:tcPr>
          <w:p w14:paraId="668CF0E9" w14:textId="4DDA9E7B" w:rsidR="00882442" w:rsidRPr="00A54B18" w:rsidRDefault="0083617D" w:rsidP="005E557A">
            <w:pPr>
              <w:jc w:val="center"/>
              <w:rPr>
                <w:rFonts w:eastAsia="Arial" w:cs="Arial"/>
                <w:sz w:val="22"/>
                <w:szCs w:val="22"/>
              </w:rPr>
            </w:pPr>
            <w:r>
              <w:rPr>
                <w:rFonts w:eastAsia="Arial" w:cs="Arial"/>
                <w:sz w:val="22"/>
                <w:szCs w:val="22"/>
              </w:rPr>
              <w:t>12</w:t>
            </w:r>
          </w:p>
        </w:tc>
        <w:tc>
          <w:tcPr>
            <w:tcW w:w="182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803124E" w14:textId="677A5955" w:rsidR="00882442" w:rsidRPr="00A54B18" w:rsidRDefault="67020870" w:rsidP="005E557A">
            <w:pPr>
              <w:jc w:val="center"/>
              <w:rPr>
                <w:rFonts w:eastAsia="Arial" w:cs="Arial"/>
                <w:sz w:val="22"/>
                <w:szCs w:val="22"/>
              </w:rPr>
            </w:pPr>
            <w:r w:rsidRPr="07FC4C9B">
              <w:rPr>
                <w:rFonts w:eastAsia="Arial" w:cs="Arial"/>
                <w:sz w:val="22"/>
                <w:szCs w:val="22"/>
              </w:rPr>
              <w:t>1</w:t>
            </w:r>
            <w:r w:rsidR="008D6593">
              <w:rPr>
                <w:rFonts w:eastAsia="Arial" w:cs="Arial"/>
                <w:sz w:val="22"/>
                <w:szCs w:val="22"/>
              </w:rPr>
              <w:t>4</w:t>
            </w:r>
            <w:r w:rsidR="003C2BBC">
              <w:rPr>
                <w:rFonts w:eastAsia="Arial" w:cs="Arial"/>
                <w:sz w:val="22"/>
                <w:szCs w:val="22"/>
              </w:rPr>
              <w:t xml:space="preserve"> (</w:t>
            </w:r>
            <w:r w:rsidR="001F47E7">
              <w:rPr>
                <w:rFonts w:eastAsia="Arial" w:cs="Arial"/>
                <w:sz w:val="22"/>
                <w:szCs w:val="22"/>
              </w:rPr>
              <w:t>+</w:t>
            </w:r>
            <w:r w:rsidR="008D6593">
              <w:rPr>
                <w:rFonts w:eastAsia="Arial" w:cs="Arial"/>
                <w:sz w:val="22"/>
                <w:szCs w:val="22"/>
              </w:rPr>
              <w:t>1</w:t>
            </w:r>
            <w:r w:rsidR="001F47E7">
              <w:rPr>
                <w:rFonts w:eastAsia="Arial" w:cs="Arial"/>
                <w:sz w:val="22"/>
                <w:szCs w:val="22"/>
              </w:rPr>
              <w:t>)</w:t>
            </w:r>
          </w:p>
        </w:tc>
      </w:tr>
    </w:tbl>
    <w:p w14:paraId="6AE21648" w14:textId="6852328C" w:rsidR="088E442B" w:rsidRPr="00A54B18" w:rsidRDefault="10E9296E" w:rsidP="005E557A">
      <w:pPr>
        <w:pStyle w:val="Normal1"/>
        <w:spacing w:after="120"/>
        <w:jc w:val="both"/>
        <w:rPr>
          <w:sz w:val="22"/>
          <w:szCs w:val="22"/>
        </w:rPr>
      </w:pPr>
      <w:r w:rsidRPr="00A54B18">
        <w:rPr>
          <w:b/>
          <w:bCs/>
          <w:sz w:val="22"/>
          <w:szCs w:val="22"/>
        </w:rPr>
        <w:t>Key Points</w:t>
      </w:r>
    </w:p>
    <w:p w14:paraId="37DB1E74" w14:textId="6F370212" w:rsidR="002E3D7A" w:rsidRPr="00BA2002" w:rsidRDefault="6C44E990" w:rsidP="00674C5F">
      <w:pPr>
        <w:pStyle w:val="ListParagraph"/>
        <w:numPr>
          <w:ilvl w:val="0"/>
          <w:numId w:val="8"/>
        </w:numPr>
        <w:spacing w:before="60" w:after="0"/>
        <w:ind w:left="357" w:hanging="357"/>
        <w:jc w:val="both"/>
        <w:rPr>
          <w:rFonts w:eastAsia="Arial" w:cs="Arial"/>
          <w:sz w:val="22"/>
          <w:szCs w:val="22"/>
        </w:rPr>
      </w:pPr>
      <w:r w:rsidRPr="0178C2ED">
        <w:rPr>
          <w:rFonts w:eastAsia="Arial" w:cs="Arial"/>
          <w:sz w:val="22"/>
          <w:szCs w:val="22"/>
        </w:rPr>
        <w:t>T</w:t>
      </w:r>
      <w:r w:rsidR="772354F4" w:rsidRPr="0178C2ED">
        <w:rPr>
          <w:rFonts w:eastAsia="Arial" w:cs="Arial"/>
          <w:sz w:val="22"/>
          <w:szCs w:val="22"/>
        </w:rPr>
        <w:t xml:space="preserve">he Fund’s outstanding sub-loan portfolio </w:t>
      </w:r>
      <w:r w:rsidR="007D5081">
        <w:rPr>
          <w:rFonts w:eastAsia="Arial" w:cs="Arial"/>
          <w:sz w:val="22"/>
          <w:szCs w:val="22"/>
        </w:rPr>
        <w:t>continued to diversify and become more balanced in 2024</w:t>
      </w:r>
      <w:r w:rsidR="00282D21">
        <w:rPr>
          <w:rFonts w:eastAsia="Arial" w:cs="Arial"/>
          <w:sz w:val="22"/>
          <w:szCs w:val="22"/>
        </w:rPr>
        <w:t>, with sugarcane (16%), coffee (14%)</w:t>
      </w:r>
      <w:r w:rsidR="00FE192D">
        <w:rPr>
          <w:rFonts w:eastAsia="Arial" w:cs="Arial"/>
          <w:sz w:val="22"/>
          <w:szCs w:val="22"/>
        </w:rPr>
        <w:t>,</w:t>
      </w:r>
      <w:r w:rsidR="00282D21">
        <w:rPr>
          <w:rFonts w:eastAsia="Arial" w:cs="Arial"/>
          <w:sz w:val="22"/>
          <w:szCs w:val="22"/>
        </w:rPr>
        <w:t xml:space="preserve"> farmed shrimp (13%</w:t>
      </w:r>
      <w:r w:rsidR="00FE192D">
        <w:rPr>
          <w:rFonts w:eastAsia="Arial" w:cs="Arial"/>
          <w:sz w:val="22"/>
          <w:szCs w:val="22"/>
        </w:rPr>
        <w:t>)</w:t>
      </w:r>
      <w:r w:rsidR="3FEA67F7" w:rsidRPr="0178C2ED">
        <w:rPr>
          <w:rFonts w:eastAsia="Arial" w:cs="Arial"/>
          <w:sz w:val="22"/>
          <w:szCs w:val="22"/>
        </w:rPr>
        <w:t xml:space="preserve"> </w:t>
      </w:r>
      <w:r w:rsidR="00FE192D">
        <w:rPr>
          <w:rFonts w:eastAsia="Arial" w:cs="Arial"/>
          <w:sz w:val="22"/>
          <w:szCs w:val="22"/>
        </w:rPr>
        <w:t>and banana (12%) the most dominant crops</w:t>
      </w:r>
      <w:r w:rsidR="00983C3B">
        <w:rPr>
          <w:rFonts w:eastAsia="Arial" w:cs="Arial"/>
          <w:sz w:val="22"/>
          <w:szCs w:val="22"/>
        </w:rPr>
        <w:t>, followed by livestock, tourism and forestry.</w:t>
      </w:r>
    </w:p>
    <w:p w14:paraId="1FD01A39" w14:textId="29086127" w:rsidR="227556C2" w:rsidRPr="00BA2002" w:rsidRDefault="238F0BF7" w:rsidP="00674C5F">
      <w:pPr>
        <w:pStyle w:val="ListParagraph"/>
        <w:numPr>
          <w:ilvl w:val="0"/>
          <w:numId w:val="8"/>
        </w:numPr>
        <w:spacing w:before="60" w:after="0"/>
        <w:ind w:left="357" w:hanging="357"/>
        <w:jc w:val="both"/>
        <w:rPr>
          <w:rFonts w:eastAsia="Arial" w:cs="Arial"/>
          <w:sz w:val="22"/>
          <w:szCs w:val="22"/>
        </w:rPr>
      </w:pPr>
      <w:r w:rsidRPr="00BA2002">
        <w:rPr>
          <w:rFonts w:eastAsia="Arial" w:cs="Arial"/>
          <w:sz w:val="22"/>
          <w:szCs w:val="22"/>
        </w:rPr>
        <w:t>The Fund close</w:t>
      </w:r>
      <w:r w:rsidR="772354F4" w:rsidRPr="00BA2002">
        <w:rPr>
          <w:rFonts w:eastAsia="Arial" w:cs="Arial"/>
          <w:sz w:val="22"/>
          <w:szCs w:val="22"/>
        </w:rPr>
        <w:t>d</w:t>
      </w:r>
      <w:r w:rsidRPr="00BA2002">
        <w:rPr>
          <w:rFonts w:eastAsia="Arial" w:cs="Arial"/>
          <w:sz w:val="22"/>
          <w:szCs w:val="22"/>
        </w:rPr>
        <w:t xml:space="preserve"> the year with a loan portfolio of </w:t>
      </w:r>
      <w:r w:rsidR="1A4E86B3" w:rsidRPr="00BA2002">
        <w:rPr>
          <w:rFonts w:eastAsia="Arial" w:cs="Arial"/>
          <w:sz w:val="22"/>
          <w:szCs w:val="22"/>
        </w:rPr>
        <w:t>$</w:t>
      </w:r>
      <w:r w:rsidR="2A565325" w:rsidRPr="00BA2002">
        <w:rPr>
          <w:rFonts w:eastAsia="Arial" w:cs="Arial"/>
          <w:sz w:val="22"/>
          <w:szCs w:val="22"/>
        </w:rPr>
        <w:t>6</w:t>
      </w:r>
      <w:r w:rsidR="00624119">
        <w:rPr>
          <w:rFonts w:eastAsia="Arial" w:cs="Arial"/>
          <w:sz w:val="22"/>
          <w:szCs w:val="22"/>
        </w:rPr>
        <w:t>82</w:t>
      </w:r>
      <w:r w:rsidR="00116E9B">
        <w:rPr>
          <w:rFonts w:eastAsia="Arial" w:cs="Arial"/>
          <w:sz w:val="22"/>
          <w:szCs w:val="22"/>
        </w:rPr>
        <w:t xml:space="preserve"> million</w:t>
      </w:r>
      <w:r w:rsidRPr="00BA2002">
        <w:rPr>
          <w:rFonts w:eastAsia="Arial" w:cs="Arial"/>
          <w:sz w:val="22"/>
          <w:szCs w:val="22"/>
        </w:rPr>
        <w:t xml:space="preserve">, distributed across </w:t>
      </w:r>
      <w:r w:rsidR="00CC6BA5">
        <w:rPr>
          <w:rFonts w:eastAsia="Arial" w:cs="Arial"/>
          <w:sz w:val="22"/>
          <w:szCs w:val="22"/>
        </w:rPr>
        <w:t>twelve</w:t>
      </w:r>
      <w:r w:rsidRPr="00BA2002">
        <w:rPr>
          <w:rFonts w:eastAsia="Arial" w:cs="Arial"/>
          <w:sz w:val="22"/>
          <w:szCs w:val="22"/>
        </w:rPr>
        <w:t xml:space="preserve"> countries </w:t>
      </w:r>
      <w:r w:rsidR="00286F2B" w:rsidRPr="00BA2002">
        <w:rPr>
          <w:rFonts w:eastAsia="Arial" w:cs="Arial"/>
          <w:sz w:val="22"/>
          <w:szCs w:val="22"/>
        </w:rPr>
        <w:t xml:space="preserve">and </w:t>
      </w:r>
      <w:r w:rsidR="00286F2B">
        <w:rPr>
          <w:rFonts w:eastAsia="Arial" w:cs="Arial"/>
          <w:sz w:val="22"/>
          <w:szCs w:val="22"/>
        </w:rPr>
        <w:t>49</w:t>
      </w:r>
      <w:r w:rsidR="00286F2B" w:rsidRPr="00BA2002">
        <w:rPr>
          <w:rFonts w:eastAsia="Arial" w:cs="Arial"/>
          <w:sz w:val="22"/>
          <w:szCs w:val="22"/>
        </w:rPr>
        <w:t xml:space="preserve"> PIs</w:t>
      </w:r>
      <w:r w:rsidR="00C91B32">
        <w:rPr>
          <w:rFonts w:eastAsia="Arial" w:cs="Arial"/>
          <w:sz w:val="22"/>
          <w:szCs w:val="22"/>
        </w:rPr>
        <w:t xml:space="preserve">. The largest </w:t>
      </w:r>
      <w:r w:rsidR="0006251F">
        <w:rPr>
          <w:rFonts w:eastAsia="Arial" w:cs="Arial"/>
          <w:sz w:val="22"/>
          <w:szCs w:val="22"/>
        </w:rPr>
        <w:t xml:space="preserve">volume of sub-loans </w:t>
      </w:r>
      <w:r w:rsidR="00C91B32">
        <w:rPr>
          <w:rFonts w:eastAsia="Arial" w:cs="Arial"/>
          <w:sz w:val="22"/>
          <w:szCs w:val="22"/>
        </w:rPr>
        <w:t xml:space="preserve">are in Ecuador (19%), </w:t>
      </w:r>
      <w:r>
        <w:rPr>
          <w:rFonts w:eastAsia="Arial" w:cs="Arial"/>
          <w:sz w:val="22"/>
          <w:szCs w:val="22"/>
        </w:rPr>
        <w:t>Colombia</w:t>
      </w:r>
      <w:r w:rsidR="00C91B32">
        <w:rPr>
          <w:rFonts w:eastAsia="Arial" w:cs="Arial"/>
          <w:sz w:val="22"/>
          <w:szCs w:val="22"/>
        </w:rPr>
        <w:t xml:space="preserve"> (17%)</w:t>
      </w:r>
      <w:r w:rsidR="007B2748">
        <w:rPr>
          <w:rFonts w:eastAsia="Arial" w:cs="Arial"/>
          <w:sz w:val="22"/>
          <w:szCs w:val="22"/>
        </w:rPr>
        <w:t>, El Salvador (16%)</w:t>
      </w:r>
      <w:r w:rsidR="00A63B89">
        <w:rPr>
          <w:rFonts w:eastAsia="Arial" w:cs="Arial"/>
          <w:sz w:val="22"/>
          <w:szCs w:val="22"/>
        </w:rPr>
        <w:t>, Panama (16%)</w:t>
      </w:r>
      <w:r w:rsidR="00EC4576">
        <w:rPr>
          <w:rFonts w:eastAsia="Arial" w:cs="Arial"/>
          <w:sz w:val="22"/>
          <w:szCs w:val="22"/>
        </w:rPr>
        <w:t>, Honduras (10%) and Peru (10%)</w:t>
      </w:r>
      <w:r w:rsidR="006069A6">
        <w:rPr>
          <w:rFonts w:eastAsia="Arial" w:cs="Arial"/>
          <w:sz w:val="22"/>
          <w:szCs w:val="22"/>
        </w:rPr>
        <w:t xml:space="preserve">, </w:t>
      </w:r>
      <w:r w:rsidR="00EF47F2">
        <w:rPr>
          <w:rFonts w:eastAsia="Arial" w:cs="Arial"/>
          <w:sz w:val="22"/>
          <w:szCs w:val="22"/>
        </w:rPr>
        <w:t xml:space="preserve">with smaller </w:t>
      </w:r>
      <w:r w:rsidR="00920D39">
        <w:rPr>
          <w:rFonts w:eastAsia="Arial" w:cs="Arial"/>
          <w:sz w:val="22"/>
          <w:szCs w:val="22"/>
        </w:rPr>
        <w:t xml:space="preserve">volumes </w:t>
      </w:r>
      <w:r w:rsidR="008E72F9">
        <w:rPr>
          <w:rFonts w:eastAsia="Arial" w:cs="Arial"/>
          <w:sz w:val="22"/>
          <w:szCs w:val="22"/>
        </w:rPr>
        <w:t>of</w:t>
      </w:r>
      <w:r w:rsidR="00920D39">
        <w:rPr>
          <w:rFonts w:eastAsia="Arial" w:cs="Arial"/>
          <w:sz w:val="22"/>
          <w:szCs w:val="22"/>
        </w:rPr>
        <w:t xml:space="preserve"> 4% </w:t>
      </w:r>
      <w:r w:rsidR="008E72F9">
        <w:rPr>
          <w:rFonts w:eastAsia="Arial" w:cs="Arial"/>
          <w:sz w:val="22"/>
          <w:szCs w:val="22"/>
        </w:rPr>
        <w:t>or below</w:t>
      </w:r>
      <w:r w:rsidR="004679AA">
        <w:rPr>
          <w:rFonts w:eastAsia="Arial" w:cs="Arial"/>
          <w:sz w:val="22"/>
          <w:szCs w:val="22"/>
        </w:rPr>
        <w:t xml:space="preserve"> in</w:t>
      </w:r>
      <w:r w:rsidR="00BD5425">
        <w:rPr>
          <w:rFonts w:eastAsia="Arial" w:cs="Arial"/>
          <w:sz w:val="22"/>
          <w:szCs w:val="22"/>
        </w:rPr>
        <w:t xml:space="preserve"> </w:t>
      </w:r>
      <w:r w:rsidR="00CC6BA5">
        <w:rPr>
          <w:rFonts w:eastAsia="Arial" w:cs="Arial"/>
          <w:sz w:val="22"/>
          <w:szCs w:val="22"/>
          <w:lang w:val="en-US"/>
        </w:rPr>
        <w:t>Brazil</w:t>
      </w:r>
      <w:r w:rsidRPr="00BA2002">
        <w:rPr>
          <w:rFonts w:eastAsia="Arial" w:cs="Arial"/>
          <w:sz w:val="22"/>
          <w:szCs w:val="22"/>
          <w:lang w:val="en-US"/>
        </w:rPr>
        <w:t xml:space="preserve">, Costa Rica, </w:t>
      </w:r>
      <w:r w:rsidR="009B6162" w:rsidRPr="001305C0">
        <w:rPr>
          <w:rFonts w:eastAsia="Arial" w:cs="Arial"/>
          <w:sz w:val="22"/>
          <w:szCs w:val="22"/>
          <w:lang w:val="en-US"/>
        </w:rPr>
        <w:t xml:space="preserve">Dominican Republic, </w:t>
      </w:r>
      <w:r w:rsidR="58D69E4A" w:rsidRPr="00BA2002">
        <w:rPr>
          <w:rFonts w:eastAsia="Arial" w:cs="Arial"/>
          <w:sz w:val="22"/>
          <w:szCs w:val="22"/>
          <w:lang w:val="en-US"/>
        </w:rPr>
        <w:t>Mexico</w:t>
      </w:r>
      <w:r w:rsidR="2A565325" w:rsidRPr="00BA2002">
        <w:rPr>
          <w:rFonts w:eastAsia="Arial" w:cs="Arial"/>
          <w:sz w:val="22"/>
          <w:szCs w:val="22"/>
          <w:lang w:val="en-US"/>
        </w:rPr>
        <w:t>, Guatemala</w:t>
      </w:r>
      <w:r w:rsidR="001823C5" w:rsidRPr="00BA2002">
        <w:rPr>
          <w:rFonts w:eastAsia="Arial" w:cs="Arial"/>
          <w:sz w:val="22"/>
          <w:szCs w:val="22"/>
          <w:lang w:val="en-US"/>
        </w:rPr>
        <w:t xml:space="preserve"> and Paraguay</w:t>
      </w:r>
      <w:r w:rsidR="00A55EFF">
        <w:rPr>
          <w:rFonts w:eastAsia="Arial" w:cs="Arial"/>
          <w:sz w:val="22"/>
          <w:szCs w:val="22"/>
        </w:rPr>
        <w:t>.</w:t>
      </w:r>
    </w:p>
    <w:p w14:paraId="508DF89B" w14:textId="77777777" w:rsidR="00610AAC" w:rsidRPr="00A54B18" w:rsidRDefault="00610AAC" w:rsidP="005E557A">
      <w:pPr>
        <w:jc w:val="both"/>
        <w:rPr>
          <w:rFonts w:eastAsia="Arial" w:cs="Arial"/>
          <w:sz w:val="22"/>
          <w:szCs w:val="22"/>
        </w:rPr>
      </w:pPr>
    </w:p>
    <w:tbl>
      <w:tblPr>
        <w:tblStyle w:val="TableGrid"/>
        <w:tblW w:w="9214" w:type="dxa"/>
        <w:tblInd w:w="-147" w:type="dxa"/>
        <w:tblLayout w:type="fixed"/>
        <w:tblLook w:val="04A0" w:firstRow="1" w:lastRow="0" w:firstColumn="1" w:lastColumn="0" w:noHBand="0" w:noVBand="1"/>
      </w:tblPr>
      <w:tblGrid>
        <w:gridCol w:w="1394"/>
        <w:gridCol w:w="596"/>
        <w:gridCol w:w="890"/>
        <w:gridCol w:w="2507"/>
        <w:gridCol w:w="784"/>
        <w:gridCol w:w="1201"/>
        <w:gridCol w:w="1788"/>
        <w:gridCol w:w="54"/>
      </w:tblGrid>
      <w:tr w:rsidR="00A40455" w:rsidRPr="00A54B18" w14:paraId="4DD5EE70" w14:textId="00FB3ECA" w:rsidTr="07FC4C9B">
        <w:trPr>
          <w:gridAfter w:val="1"/>
          <w:wAfter w:w="54" w:type="dxa"/>
          <w:trHeight w:val="657"/>
        </w:trPr>
        <w:tc>
          <w:tcPr>
            <w:tcW w:w="13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7D1757" w14:textId="77777777" w:rsidR="006649CB" w:rsidRPr="00A54B18" w:rsidRDefault="006649CB" w:rsidP="005E557A">
            <w:pPr>
              <w:rPr>
                <w:rFonts w:eastAsia="Arial" w:cs="Arial"/>
                <w:b/>
                <w:bCs/>
                <w:sz w:val="20"/>
                <w:szCs w:val="20"/>
              </w:rPr>
            </w:pPr>
            <w:r w:rsidRPr="00A54B18">
              <w:rPr>
                <w:rFonts w:eastAsia="Arial" w:cs="Arial"/>
                <w:b/>
                <w:bCs/>
                <w:sz w:val="20"/>
                <w:szCs w:val="20"/>
              </w:rPr>
              <w:t xml:space="preserve">Output Title </w:t>
            </w:r>
          </w:p>
        </w:tc>
        <w:tc>
          <w:tcPr>
            <w:tcW w:w="776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A48946" w14:textId="7DD1C1A3" w:rsidR="006649CB" w:rsidRPr="00A54B18" w:rsidRDefault="006649CB" w:rsidP="005E557A">
            <w:pPr>
              <w:rPr>
                <w:rStyle w:val="normaltextrun"/>
                <w:rFonts w:eastAsia="Arial" w:cs="Arial"/>
                <w:color w:val="000000"/>
                <w:sz w:val="22"/>
                <w:szCs w:val="22"/>
                <w:shd w:val="clear" w:color="auto" w:fill="FFFFFF"/>
              </w:rPr>
            </w:pPr>
            <w:r w:rsidRPr="00A54B18">
              <w:rPr>
                <w:rStyle w:val="normaltextrun"/>
                <w:rFonts w:eastAsia="Arial" w:cs="Arial"/>
                <w:color w:val="000000"/>
                <w:sz w:val="22"/>
                <w:szCs w:val="22"/>
                <w:shd w:val="clear" w:color="auto" w:fill="FFFFFF"/>
              </w:rPr>
              <w:t>Broad support to sustainability practices reflected in the composition of the portfolio</w:t>
            </w:r>
            <w:r w:rsidRPr="00A54B18">
              <w:rPr>
                <w:rStyle w:val="eop"/>
                <w:rFonts w:eastAsia="Arial" w:cs="Arial"/>
                <w:color w:val="000000"/>
                <w:sz w:val="22"/>
                <w:szCs w:val="22"/>
                <w:shd w:val="clear" w:color="auto" w:fill="FFFFFF"/>
              </w:rPr>
              <w:t> </w:t>
            </w:r>
          </w:p>
        </w:tc>
      </w:tr>
      <w:tr w:rsidR="00E838FD" w:rsidRPr="00A54B18" w14:paraId="3ABFA508" w14:textId="4CFAEE4B" w:rsidTr="07FC4C9B">
        <w:trPr>
          <w:gridAfter w:val="1"/>
          <w:wAfter w:w="54" w:type="dxa"/>
          <w:trHeight w:val="466"/>
        </w:trPr>
        <w:tc>
          <w:tcPr>
            <w:tcW w:w="19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AF6F69" w14:textId="77777777" w:rsidR="006649CB" w:rsidRPr="00A54B18" w:rsidRDefault="006649CB" w:rsidP="005E557A">
            <w:pPr>
              <w:rPr>
                <w:rFonts w:eastAsia="Arial" w:cs="Arial"/>
                <w:sz w:val="20"/>
                <w:szCs w:val="20"/>
              </w:rPr>
            </w:pPr>
            <w:r w:rsidRPr="00A54B18">
              <w:rPr>
                <w:rFonts w:eastAsia="Arial" w:cs="Arial"/>
                <w:sz w:val="20"/>
                <w:szCs w:val="20"/>
              </w:rPr>
              <w:t xml:space="preserve">Output number: </w:t>
            </w:r>
          </w:p>
        </w:tc>
        <w:tc>
          <w:tcPr>
            <w:tcW w:w="890" w:type="dxa"/>
            <w:tcBorders>
              <w:top w:val="single" w:sz="4" w:space="0" w:color="auto"/>
              <w:left w:val="single" w:sz="4" w:space="0" w:color="auto"/>
              <w:bottom w:val="single" w:sz="4" w:space="0" w:color="auto"/>
              <w:right w:val="single" w:sz="4" w:space="0" w:color="auto"/>
            </w:tcBorders>
          </w:tcPr>
          <w:p w14:paraId="7F6DCEE4" w14:textId="633ED375" w:rsidR="006649CB" w:rsidRPr="00A54B18" w:rsidRDefault="006649CB" w:rsidP="005E557A">
            <w:pPr>
              <w:rPr>
                <w:rFonts w:eastAsia="Arial" w:cs="Arial"/>
                <w:sz w:val="20"/>
                <w:szCs w:val="20"/>
              </w:rPr>
            </w:pPr>
            <w:r w:rsidRPr="00A54B18">
              <w:rPr>
                <w:rFonts w:eastAsia="Arial" w:cs="Arial"/>
                <w:sz w:val="20"/>
                <w:szCs w:val="20"/>
              </w:rPr>
              <w:t>2</w:t>
            </w:r>
          </w:p>
        </w:tc>
        <w:tc>
          <w:tcPr>
            <w:tcW w:w="32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8E2810" w14:textId="77777777" w:rsidR="006649CB" w:rsidRPr="00A54B18" w:rsidRDefault="55E4DE4F" w:rsidP="005E557A">
            <w:pPr>
              <w:rPr>
                <w:rFonts w:eastAsia="Arial" w:cs="Arial"/>
                <w:sz w:val="20"/>
                <w:szCs w:val="20"/>
              </w:rPr>
            </w:pPr>
            <w:r w:rsidRPr="07FC4C9B">
              <w:rPr>
                <w:rFonts w:eastAsia="Arial" w:cs="Arial"/>
                <w:sz w:val="20"/>
                <w:szCs w:val="20"/>
              </w:rPr>
              <w:t xml:space="preserve">Output Score: </w:t>
            </w:r>
          </w:p>
        </w:tc>
        <w:tc>
          <w:tcPr>
            <w:tcW w:w="2989" w:type="dxa"/>
            <w:gridSpan w:val="2"/>
            <w:tcBorders>
              <w:top w:val="single" w:sz="4" w:space="0" w:color="auto"/>
              <w:left w:val="single" w:sz="4" w:space="0" w:color="auto"/>
              <w:bottom w:val="single" w:sz="4" w:space="0" w:color="auto"/>
              <w:right w:val="single" w:sz="4" w:space="0" w:color="auto"/>
            </w:tcBorders>
          </w:tcPr>
          <w:p w14:paraId="51949DDE" w14:textId="16743751" w:rsidR="006649CB" w:rsidRPr="00A54B18" w:rsidRDefault="3BD262EC" w:rsidP="07FC4C9B">
            <w:pPr>
              <w:rPr>
                <w:rFonts w:eastAsia="Arial" w:cs="Arial"/>
                <w:b/>
                <w:bCs/>
                <w:i/>
                <w:iCs/>
                <w:sz w:val="20"/>
                <w:szCs w:val="20"/>
              </w:rPr>
            </w:pPr>
            <w:r w:rsidRPr="07FC4C9B">
              <w:rPr>
                <w:rFonts w:eastAsia="Arial" w:cs="Arial"/>
                <w:b/>
                <w:bCs/>
                <w:i/>
                <w:iCs/>
                <w:sz w:val="20"/>
                <w:szCs w:val="20"/>
              </w:rPr>
              <w:t>A</w:t>
            </w:r>
            <w:r w:rsidR="00496650">
              <w:rPr>
                <w:rFonts w:eastAsia="Arial" w:cs="Arial"/>
                <w:b/>
                <w:bCs/>
                <w:i/>
                <w:iCs/>
                <w:sz w:val="20"/>
                <w:szCs w:val="20"/>
              </w:rPr>
              <w:t>+</w:t>
            </w:r>
          </w:p>
        </w:tc>
      </w:tr>
      <w:tr w:rsidR="00E838FD" w:rsidRPr="00A54B18" w14:paraId="244C8FD1" w14:textId="30355A73" w:rsidTr="07FC4C9B">
        <w:trPr>
          <w:gridAfter w:val="1"/>
          <w:wAfter w:w="54" w:type="dxa"/>
          <w:trHeight w:val="464"/>
        </w:trPr>
        <w:tc>
          <w:tcPr>
            <w:tcW w:w="19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C49B34" w14:textId="77777777" w:rsidR="006649CB" w:rsidRPr="00A54B18" w:rsidRDefault="006649CB" w:rsidP="005E557A">
            <w:pPr>
              <w:rPr>
                <w:rFonts w:eastAsia="Arial" w:cs="Arial"/>
                <w:sz w:val="20"/>
                <w:szCs w:val="20"/>
              </w:rPr>
            </w:pPr>
            <w:r w:rsidRPr="00A54B18">
              <w:rPr>
                <w:rFonts w:eastAsia="Arial" w:cs="Arial"/>
                <w:sz w:val="20"/>
                <w:szCs w:val="20"/>
              </w:rPr>
              <w:t xml:space="preserve">Impact weighting (%):  </w:t>
            </w:r>
          </w:p>
        </w:tc>
        <w:tc>
          <w:tcPr>
            <w:tcW w:w="890" w:type="dxa"/>
            <w:tcBorders>
              <w:top w:val="single" w:sz="4" w:space="0" w:color="auto"/>
              <w:left w:val="single" w:sz="4" w:space="0" w:color="auto"/>
              <w:bottom w:val="single" w:sz="4" w:space="0" w:color="auto"/>
              <w:right w:val="single" w:sz="4" w:space="0" w:color="auto"/>
            </w:tcBorders>
          </w:tcPr>
          <w:p w14:paraId="3143826B" w14:textId="0ECA20AB" w:rsidR="006649CB" w:rsidRPr="00A54B18" w:rsidRDefault="00966D7A" w:rsidP="005E557A">
            <w:pPr>
              <w:rPr>
                <w:rFonts w:eastAsia="Arial" w:cs="Arial"/>
                <w:sz w:val="20"/>
                <w:szCs w:val="20"/>
              </w:rPr>
            </w:pPr>
            <w:r>
              <w:rPr>
                <w:rFonts w:eastAsia="Arial" w:cs="Arial"/>
                <w:sz w:val="20"/>
                <w:szCs w:val="20"/>
              </w:rPr>
              <w:t>20</w:t>
            </w:r>
          </w:p>
        </w:tc>
        <w:tc>
          <w:tcPr>
            <w:tcW w:w="32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56072D" w14:textId="2FF2D427" w:rsidR="006649CB" w:rsidRPr="00A54B18" w:rsidRDefault="006649CB" w:rsidP="005E557A">
            <w:pPr>
              <w:rPr>
                <w:rFonts w:eastAsia="Arial" w:cs="Arial"/>
                <w:sz w:val="20"/>
                <w:szCs w:val="20"/>
              </w:rPr>
            </w:pPr>
            <w:r w:rsidRPr="00A54B18">
              <w:rPr>
                <w:rFonts w:eastAsia="Arial" w:cs="Arial"/>
                <w:sz w:val="20"/>
                <w:szCs w:val="20"/>
              </w:rPr>
              <w:t xml:space="preserve">Weighting revised since last AR? </w:t>
            </w:r>
          </w:p>
        </w:tc>
        <w:tc>
          <w:tcPr>
            <w:tcW w:w="2989" w:type="dxa"/>
            <w:gridSpan w:val="2"/>
            <w:tcBorders>
              <w:top w:val="single" w:sz="4" w:space="0" w:color="auto"/>
              <w:left w:val="single" w:sz="4" w:space="0" w:color="auto"/>
              <w:bottom w:val="single" w:sz="4" w:space="0" w:color="auto"/>
              <w:right w:val="single" w:sz="4" w:space="0" w:color="auto"/>
            </w:tcBorders>
          </w:tcPr>
          <w:p w14:paraId="09DBCA51" w14:textId="6069CE07" w:rsidR="006649CB" w:rsidRPr="00A54B18" w:rsidRDefault="00966D7A" w:rsidP="005E557A">
            <w:pPr>
              <w:rPr>
                <w:rFonts w:eastAsia="Arial" w:cs="Arial"/>
                <w:sz w:val="20"/>
                <w:szCs w:val="20"/>
              </w:rPr>
            </w:pPr>
            <w:r>
              <w:rPr>
                <w:rFonts w:eastAsia="Arial" w:cs="Arial"/>
                <w:sz w:val="20"/>
                <w:szCs w:val="20"/>
              </w:rPr>
              <w:t>Yes</w:t>
            </w:r>
          </w:p>
        </w:tc>
      </w:tr>
      <w:tr w:rsidR="00E838FD" w:rsidRPr="00A54B18" w14:paraId="54E72674" w14:textId="2160D8FD" w:rsidTr="07FC4C9B">
        <w:trPr>
          <w:trHeight w:val="367"/>
        </w:trPr>
        <w:tc>
          <w:tcPr>
            <w:tcW w:w="538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9CF7C9" w14:textId="77C01AE9" w:rsidR="009D1F5B" w:rsidRPr="00A54B18" w:rsidRDefault="009D1F5B" w:rsidP="005E557A">
            <w:pPr>
              <w:rPr>
                <w:rFonts w:eastAsia="Arial" w:cs="Arial"/>
                <w:b/>
                <w:bCs/>
                <w:sz w:val="20"/>
                <w:szCs w:val="20"/>
              </w:rPr>
            </w:pPr>
            <w:r w:rsidRPr="00A54B18">
              <w:rPr>
                <w:rFonts w:eastAsia="Arial" w:cs="Arial"/>
                <w:b/>
                <w:bCs/>
                <w:sz w:val="20"/>
                <w:szCs w:val="20"/>
              </w:rPr>
              <w:t>Indicator</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8FD5B8" w14:textId="1FD54506" w:rsidR="009D1F5B" w:rsidRPr="00A54B18" w:rsidRDefault="009D1F5B" w:rsidP="007C70B1">
            <w:pPr>
              <w:jc w:val="center"/>
              <w:rPr>
                <w:rFonts w:eastAsia="Arial" w:cs="Arial"/>
                <w:b/>
                <w:bCs/>
                <w:sz w:val="20"/>
                <w:szCs w:val="20"/>
              </w:rPr>
            </w:pPr>
            <w:r w:rsidRPr="00A54B18">
              <w:rPr>
                <w:rFonts w:eastAsia="Arial" w:cs="Arial"/>
                <w:b/>
                <w:bCs/>
                <w:sz w:val="20"/>
                <w:szCs w:val="20"/>
              </w:rPr>
              <w:t>Milestone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1AAA9E" w14:textId="357B1988" w:rsidR="009D1F5B" w:rsidRPr="00A54B18" w:rsidRDefault="77898C16" w:rsidP="007C70B1">
            <w:pPr>
              <w:jc w:val="center"/>
              <w:rPr>
                <w:rFonts w:eastAsia="Arial" w:cs="Arial"/>
                <w:b/>
                <w:bCs/>
                <w:sz w:val="20"/>
                <w:szCs w:val="20"/>
              </w:rPr>
            </w:pPr>
            <w:r w:rsidRPr="07FC4C9B">
              <w:rPr>
                <w:rFonts w:eastAsia="Arial" w:cs="Arial"/>
                <w:b/>
                <w:bCs/>
                <w:sz w:val="20"/>
                <w:szCs w:val="20"/>
              </w:rPr>
              <w:t>Progress</w:t>
            </w:r>
          </w:p>
        </w:tc>
      </w:tr>
      <w:tr w:rsidR="00E838FD" w:rsidRPr="00A54B18" w14:paraId="5F3BD6E1" w14:textId="26C5A09A" w:rsidTr="07FC4C9B">
        <w:trPr>
          <w:trHeight w:val="403"/>
        </w:trPr>
        <w:tc>
          <w:tcPr>
            <w:tcW w:w="5387" w:type="dxa"/>
            <w:gridSpan w:val="4"/>
            <w:tcBorders>
              <w:top w:val="single" w:sz="4" w:space="0" w:color="auto"/>
              <w:left w:val="single" w:sz="4" w:space="0" w:color="auto"/>
              <w:bottom w:val="single" w:sz="4" w:space="0" w:color="auto"/>
              <w:right w:val="single" w:sz="4" w:space="0" w:color="auto"/>
            </w:tcBorders>
          </w:tcPr>
          <w:p w14:paraId="615703BD" w14:textId="150BA5C5" w:rsidR="009D1F5B" w:rsidRPr="00C427B8" w:rsidRDefault="009D1F5B" w:rsidP="005E557A">
            <w:pPr>
              <w:rPr>
                <w:rFonts w:eastAsia="Arial" w:cs="Arial"/>
                <w:sz w:val="22"/>
                <w:szCs w:val="22"/>
              </w:rPr>
            </w:pPr>
            <w:r w:rsidRPr="00C427B8">
              <w:rPr>
                <w:rStyle w:val="normaltextrun"/>
                <w:rFonts w:eastAsia="Arial" w:cs="Arial"/>
                <w:color w:val="000000"/>
                <w:sz w:val="22"/>
                <w:szCs w:val="22"/>
                <w:shd w:val="clear" w:color="auto" w:fill="FFFFFF"/>
              </w:rPr>
              <w:t>2.1 Number of sustainability standards represented in the portfolio of sub-borrowers</w:t>
            </w:r>
            <w:r w:rsidRPr="00C427B8">
              <w:rPr>
                <w:rStyle w:val="eop"/>
                <w:rFonts w:eastAsia="Arial" w:cs="Arial"/>
                <w:color w:val="000000"/>
                <w:sz w:val="22"/>
                <w:szCs w:val="22"/>
                <w:shd w:val="clear" w:color="auto" w:fill="FFFFFF"/>
              </w:rPr>
              <w:t> </w:t>
            </w:r>
          </w:p>
        </w:tc>
        <w:tc>
          <w:tcPr>
            <w:tcW w:w="1985" w:type="dxa"/>
            <w:gridSpan w:val="2"/>
            <w:tcBorders>
              <w:top w:val="single" w:sz="4" w:space="0" w:color="auto"/>
              <w:left w:val="single" w:sz="4" w:space="0" w:color="auto"/>
              <w:bottom w:val="single" w:sz="4" w:space="0" w:color="auto"/>
              <w:right w:val="single" w:sz="4" w:space="0" w:color="auto"/>
            </w:tcBorders>
          </w:tcPr>
          <w:p w14:paraId="6E0EE37F" w14:textId="22C4CF6F" w:rsidR="009D1F5B" w:rsidRPr="00C427B8" w:rsidRDefault="00A643B5" w:rsidP="007C70B1">
            <w:pPr>
              <w:jc w:val="center"/>
              <w:rPr>
                <w:rFonts w:eastAsia="Arial" w:cs="Arial"/>
                <w:sz w:val="22"/>
                <w:szCs w:val="22"/>
              </w:rPr>
            </w:pPr>
            <w:r>
              <w:rPr>
                <w:rFonts w:eastAsia="Arial" w:cs="Arial"/>
                <w:sz w:val="22"/>
                <w:szCs w:val="22"/>
              </w:rPr>
              <w:t>30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E4E000" w14:textId="5E6E1CBB" w:rsidR="009D1F5B" w:rsidRPr="00C427B8" w:rsidRDefault="781934AC" w:rsidP="007C70B1">
            <w:pPr>
              <w:jc w:val="center"/>
              <w:rPr>
                <w:rFonts w:eastAsia="Arial" w:cs="Arial"/>
                <w:sz w:val="22"/>
                <w:szCs w:val="22"/>
              </w:rPr>
            </w:pPr>
            <w:r w:rsidRPr="07FC4C9B">
              <w:rPr>
                <w:rFonts w:eastAsia="Arial" w:cs="Arial"/>
                <w:sz w:val="22"/>
                <w:szCs w:val="22"/>
              </w:rPr>
              <w:t>30</w:t>
            </w:r>
            <w:r w:rsidR="001F47E7">
              <w:rPr>
                <w:rFonts w:eastAsia="Arial" w:cs="Arial"/>
                <w:sz w:val="22"/>
                <w:szCs w:val="22"/>
              </w:rPr>
              <w:t xml:space="preserve"> (+</w:t>
            </w:r>
            <w:r w:rsidR="00A643B5">
              <w:rPr>
                <w:rFonts w:eastAsia="Arial" w:cs="Arial"/>
                <w:sz w:val="22"/>
                <w:szCs w:val="22"/>
              </w:rPr>
              <w:t>0</w:t>
            </w:r>
            <w:r w:rsidR="001F47E7">
              <w:rPr>
                <w:rFonts w:eastAsia="Arial" w:cs="Arial"/>
                <w:sz w:val="22"/>
                <w:szCs w:val="22"/>
              </w:rPr>
              <w:t>)</w:t>
            </w:r>
          </w:p>
        </w:tc>
      </w:tr>
      <w:tr w:rsidR="00E838FD" w:rsidRPr="00A54B18" w14:paraId="1A3C6ACC" w14:textId="4E99F69C" w:rsidTr="07FC4C9B">
        <w:trPr>
          <w:trHeight w:val="403"/>
        </w:trPr>
        <w:tc>
          <w:tcPr>
            <w:tcW w:w="5387" w:type="dxa"/>
            <w:gridSpan w:val="4"/>
            <w:tcBorders>
              <w:top w:val="single" w:sz="4" w:space="0" w:color="auto"/>
              <w:left w:val="single" w:sz="4" w:space="0" w:color="auto"/>
              <w:bottom w:val="single" w:sz="4" w:space="0" w:color="auto"/>
              <w:right w:val="single" w:sz="4" w:space="0" w:color="auto"/>
            </w:tcBorders>
          </w:tcPr>
          <w:p w14:paraId="2FAC4797" w14:textId="4A95106A" w:rsidR="009D1F5B" w:rsidRPr="00C427B8" w:rsidRDefault="009D1F5B" w:rsidP="005E557A">
            <w:pPr>
              <w:rPr>
                <w:rFonts w:eastAsia="Arial" w:cs="Arial"/>
                <w:sz w:val="22"/>
                <w:szCs w:val="22"/>
              </w:rPr>
            </w:pPr>
            <w:r w:rsidRPr="00C427B8">
              <w:rPr>
                <w:rStyle w:val="normaltextrun"/>
                <w:rFonts w:eastAsia="Arial" w:cs="Arial"/>
                <w:color w:val="000000"/>
                <w:sz w:val="22"/>
                <w:szCs w:val="22"/>
                <w:shd w:val="clear" w:color="auto" w:fill="FFFFFF"/>
              </w:rPr>
              <w:t>2.2 Number of Green List measures represented in the portfolio of sub-borrowers</w:t>
            </w:r>
            <w:r w:rsidRPr="00C427B8">
              <w:rPr>
                <w:rStyle w:val="eop"/>
                <w:rFonts w:eastAsia="Arial" w:cs="Arial"/>
                <w:color w:val="000000"/>
                <w:sz w:val="22"/>
                <w:szCs w:val="22"/>
                <w:shd w:val="clear" w:color="auto" w:fill="FFFFFF"/>
              </w:rPr>
              <w:t> </w:t>
            </w:r>
          </w:p>
        </w:tc>
        <w:tc>
          <w:tcPr>
            <w:tcW w:w="1985" w:type="dxa"/>
            <w:gridSpan w:val="2"/>
            <w:tcBorders>
              <w:top w:val="single" w:sz="4" w:space="0" w:color="auto"/>
              <w:left w:val="single" w:sz="4" w:space="0" w:color="auto"/>
              <w:bottom w:val="single" w:sz="4" w:space="0" w:color="auto"/>
              <w:right w:val="single" w:sz="4" w:space="0" w:color="auto"/>
            </w:tcBorders>
          </w:tcPr>
          <w:p w14:paraId="7036B4FF" w14:textId="3A21AA45" w:rsidR="009D1F5B" w:rsidRPr="00C427B8" w:rsidRDefault="00DF2951" w:rsidP="007C70B1">
            <w:pPr>
              <w:jc w:val="center"/>
              <w:rPr>
                <w:rFonts w:eastAsia="Arial" w:cs="Arial"/>
                <w:sz w:val="22"/>
                <w:szCs w:val="22"/>
              </w:rPr>
            </w:pPr>
            <w:r>
              <w:rPr>
                <w:rFonts w:eastAsia="Arial" w:cs="Arial"/>
                <w:sz w:val="22"/>
                <w:szCs w:val="22"/>
              </w:rPr>
              <w:t>4</w:t>
            </w:r>
            <w:r w:rsidR="00BE3767">
              <w:rPr>
                <w:rFonts w:eastAsia="Arial" w:cs="Arial"/>
                <w:sz w:val="22"/>
                <w:szCs w:val="22"/>
              </w:rPr>
              <w:t>5</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8FFCE5A" w14:textId="522DE9E4" w:rsidR="009D1F5B" w:rsidRPr="00C427B8" w:rsidRDefault="00BE3767" w:rsidP="007C70B1">
            <w:pPr>
              <w:jc w:val="center"/>
              <w:rPr>
                <w:rFonts w:eastAsia="Arial" w:cs="Arial"/>
                <w:sz w:val="22"/>
                <w:szCs w:val="22"/>
              </w:rPr>
            </w:pPr>
            <w:r>
              <w:rPr>
                <w:rFonts w:eastAsia="Arial" w:cs="Arial"/>
                <w:sz w:val="22"/>
                <w:szCs w:val="22"/>
              </w:rPr>
              <w:t>52</w:t>
            </w:r>
            <w:r w:rsidR="001F47E7">
              <w:rPr>
                <w:rFonts w:eastAsia="Arial" w:cs="Arial"/>
                <w:sz w:val="22"/>
                <w:szCs w:val="22"/>
              </w:rPr>
              <w:t xml:space="preserve"> (+</w:t>
            </w:r>
            <w:r>
              <w:rPr>
                <w:rFonts w:eastAsia="Arial" w:cs="Arial"/>
                <w:sz w:val="22"/>
                <w:szCs w:val="22"/>
              </w:rPr>
              <w:t>8</w:t>
            </w:r>
            <w:r w:rsidR="001F47E7">
              <w:rPr>
                <w:rFonts w:eastAsia="Arial" w:cs="Arial"/>
                <w:sz w:val="22"/>
                <w:szCs w:val="22"/>
              </w:rPr>
              <w:t>)</w:t>
            </w:r>
          </w:p>
        </w:tc>
      </w:tr>
      <w:tr w:rsidR="00E838FD" w:rsidRPr="00A54B18" w14:paraId="6B101521" w14:textId="65426073" w:rsidTr="007E2F56">
        <w:trPr>
          <w:trHeight w:val="403"/>
        </w:trPr>
        <w:tc>
          <w:tcPr>
            <w:tcW w:w="5387" w:type="dxa"/>
            <w:gridSpan w:val="4"/>
            <w:tcBorders>
              <w:top w:val="single" w:sz="4" w:space="0" w:color="auto"/>
              <w:left w:val="single" w:sz="4" w:space="0" w:color="auto"/>
              <w:bottom w:val="single" w:sz="4" w:space="0" w:color="auto"/>
              <w:right w:val="single" w:sz="4" w:space="0" w:color="auto"/>
            </w:tcBorders>
          </w:tcPr>
          <w:p w14:paraId="6230AEC8" w14:textId="5ABAC7E3" w:rsidR="009D1F5B" w:rsidRPr="00C427B8" w:rsidRDefault="009D1F5B" w:rsidP="005E557A">
            <w:pPr>
              <w:rPr>
                <w:rFonts w:eastAsia="Arial" w:cs="Arial"/>
                <w:sz w:val="22"/>
                <w:szCs w:val="22"/>
              </w:rPr>
            </w:pPr>
            <w:r w:rsidRPr="00C427B8">
              <w:rPr>
                <w:rStyle w:val="normaltextrun"/>
                <w:rFonts w:eastAsia="Arial" w:cs="Arial"/>
                <w:color w:val="000000"/>
                <w:sz w:val="22"/>
                <w:szCs w:val="22"/>
                <w:shd w:val="clear" w:color="auto" w:fill="FFFFFF"/>
              </w:rPr>
              <w:t xml:space="preserve">2.3 </w:t>
            </w:r>
            <w:r w:rsidR="00DF2951">
              <w:rPr>
                <w:rStyle w:val="normaltextrun"/>
                <w:rFonts w:eastAsia="Arial" w:cs="Arial"/>
                <w:color w:val="000000"/>
                <w:sz w:val="22"/>
                <w:szCs w:val="22"/>
                <w:shd w:val="clear" w:color="auto" w:fill="FFFFFF"/>
              </w:rPr>
              <w:t xml:space="preserve">Proportion of </w:t>
            </w:r>
            <w:r w:rsidR="00607B66">
              <w:rPr>
                <w:rStyle w:val="normaltextrun"/>
                <w:rFonts w:eastAsia="Arial" w:cs="Arial"/>
                <w:color w:val="000000"/>
                <w:sz w:val="22"/>
                <w:szCs w:val="22"/>
                <w:shd w:val="clear" w:color="auto" w:fill="FFFFFF"/>
              </w:rPr>
              <w:t>Green List</w:t>
            </w:r>
            <w:r w:rsidRPr="00C427B8">
              <w:rPr>
                <w:rStyle w:val="normaltextrun"/>
                <w:rFonts w:eastAsia="Arial" w:cs="Arial"/>
                <w:color w:val="000000"/>
                <w:sz w:val="22"/>
                <w:szCs w:val="22"/>
                <w:shd w:val="clear" w:color="auto" w:fill="FFFFFF"/>
              </w:rPr>
              <w:t xml:space="preserve"> </w:t>
            </w:r>
            <w:r w:rsidR="00607B66">
              <w:rPr>
                <w:rStyle w:val="normaltextrun"/>
                <w:rFonts w:eastAsia="Arial" w:cs="Arial"/>
                <w:color w:val="000000"/>
                <w:sz w:val="22"/>
                <w:szCs w:val="22"/>
                <w:shd w:val="clear" w:color="auto" w:fill="FFFFFF"/>
              </w:rPr>
              <w:t xml:space="preserve">and certified </w:t>
            </w:r>
            <w:r w:rsidRPr="00C427B8">
              <w:rPr>
                <w:rStyle w:val="normaltextrun"/>
                <w:rFonts w:eastAsia="Arial" w:cs="Arial"/>
                <w:color w:val="000000"/>
                <w:sz w:val="22"/>
                <w:szCs w:val="22"/>
                <w:shd w:val="clear" w:color="auto" w:fill="FFFFFF"/>
              </w:rPr>
              <w:t>sub-borrowers</w:t>
            </w:r>
          </w:p>
        </w:tc>
        <w:tc>
          <w:tcPr>
            <w:tcW w:w="1985" w:type="dxa"/>
            <w:gridSpan w:val="2"/>
            <w:tcBorders>
              <w:top w:val="single" w:sz="4" w:space="0" w:color="auto"/>
              <w:left w:val="single" w:sz="4" w:space="0" w:color="auto"/>
              <w:bottom w:val="single" w:sz="4" w:space="0" w:color="auto"/>
              <w:right w:val="single" w:sz="4" w:space="0" w:color="auto"/>
            </w:tcBorders>
          </w:tcPr>
          <w:p w14:paraId="00AE1AA2" w14:textId="00045DDB" w:rsidR="009D1F5B" w:rsidRPr="00C427B8" w:rsidRDefault="009D1F5B" w:rsidP="007C70B1">
            <w:pPr>
              <w:jc w:val="center"/>
              <w:rPr>
                <w:rFonts w:eastAsia="Arial" w:cs="Arial"/>
                <w:sz w:val="22"/>
                <w:szCs w:val="22"/>
              </w:rPr>
            </w:pPr>
            <w:r w:rsidRPr="00C427B8">
              <w:rPr>
                <w:rFonts w:eastAsia="Arial" w:cs="Arial"/>
                <w:sz w:val="22"/>
                <w:szCs w:val="22"/>
              </w:rPr>
              <w:t>n/a</w:t>
            </w:r>
          </w:p>
        </w:tc>
        <w:tc>
          <w:tcPr>
            <w:tcW w:w="1842" w:type="dxa"/>
            <w:gridSpan w:val="2"/>
            <w:tcBorders>
              <w:top w:val="single" w:sz="4" w:space="0" w:color="auto"/>
              <w:left w:val="single" w:sz="4" w:space="0" w:color="auto"/>
              <w:bottom w:val="single" w:sz="4" w:space="0" w:color="auto"/>
              <w:right w:val="single" w:sz="4" w:space="0" w:color="auto"/>
            </w:tcBorders>
          </w:tcPr>
          <w:p w14:paraId="32406283" w14:textId="679C1467" w:rsidR="009D1F5B" w:rsidRPr="00C427B8" w:rsidRDefault="57BF9C4D" w:rsidP="007C70B1">
            <w:pPr>
              <w:jc w:val="center"/>
              <w:rPr>
                <w:rFonts w:eastAsia="Arial" w:cs="Arial"/>
                <w:sz w:val="22"/>
                <w:szCs w:val="22"/>
              </w:rPr>
            </w:pPr>
            <w:r w:rsidRPr="07FC4C9B">
              <w:rPr>
                <w:rFonts w:eastAsia="Arial" w:cs="Arial"/>
                <w:sz w:val="22"/>
                <w:szCs w:val="22"/>
              </w:rPr>
              <w:t>Cert</w:t>
            </w:r>
            <w:r w:rsidR="00D231C4">
              <w:rPr>
                <w:rFonts w:eastAsia="Arial" w:cs="Arial"/>
                <w:sz w:val="22"/>
                <w:szCs w:val="22"/>
              </w:rPr>
              <w:t>.</w:t>
            </w:r>
            <w:r w:rsidRPr="07FC4C9B">
              <w:rPr>
                <w:rFonts w:eastAsia="Arial" w:cs="Arial"/>
                <w:sz w:val="22"/>
                <w:szCs w:val="22"/>
              </w:rPr>
              <w:t>:</w:t>
            </w:r>
            <w:r w:rsidR="000F721C" w:rsidRPr="07FC4C9B">
              <w:rPr>
                <w:rFonts w:eastAsia="Arial" w:cs="Arial"/>
                <w:sz w:val="22"/>
                <w:szCs w:val="22"/>
              </w:rPr>
              <w:t xml:space="preserve"> </w:t>
            </w:r>
            <w:r w:rsidR="00BE3767">
              <w:rPr>
                <w:rFonts w:eastAsia="Arial" w:cs="Arial"/>
                <w:sz w:val="22"/>
                <w:szCs w:val="22"/>
              </w:rPr>
              <w:t>57</w:t>
            </w:r>
            <w:r w:rsidR="000F721C" w:rsidRPr="07FC4C9B">
              <w:rPr>
                <w:rFonts w:eastAsia="Arial" w:cs="Arial"/>
                <w:sz w:val="22"/>
                <w:szCs w:val="22"/>
              </w:rPr>
              <w:t>%</w:t>
            </w:r>
            <w:r w:rsidR="00881623">
              <w:rPr>
                <w:rFonts w:eastAsia="Arial" w:cs="Arial"/>
                <w:sz w:val="22"/>
                <w:szCs w:val="22"/>
              </w:rPr>
              <w:t xml:space="preserve"> (-</w:t>
            </w:r>
            <w:r w:rsidR="00496650">
              <w:rPr>
                <w:rFonts w:eastAsia="Arial" w:cs="Arial"/>
                <w:sz w:val="22"/>
                <w:szCs w:val="22"/>
              </w:rPr>
              <w:t>6</w:t>
            </w:r>
            <w:r w:rsidR="00881623">
              <w:rPr>
                <w:rFonts w:eastAsia="Arial" w:cs="Arial"/>
                <w:sz w:val="22"/>
                <w:szCs w:val="22"/>
              </w:rPr>
              <w:t>)</w:t>
            </w:r>
            <w:r w:rsidR="006B2BB3">
              <w:br/>
            </w:r>
            <w:r w:rsidRPr="07FC4C9B">
              <w:rPr>
                <w:rFonts w:eastAsia="Arial" w:cs="Arial"/>
                <w:sz w:val="22"/>
                <w:szCs w:val="22"/>
              </w:rPr>
              <w:t xml:space="preserve">GL: </w:t>
            </w:r>
            <w:r w:rsidR="00BE3767">
              <w:rPr>
                <w:rFonts w:eastAsia="Arial" w:cs="Arial"/>
                <w:sz w:val="22"/>
                <w:szCs w:val="22"/>
              </w:rPr>
              <w:t>43</w:t>
            </w:r>
            <w:r w:rsidR="000F721C">
              <w:rPr>
                <w:rFonts w:eastAsia="Arial" w:cs="Arial"/>
                <w:sz w:val="22"/>
                <w:szCs w:val="22"/>
              </w:rPr>
              <w:t>%</w:t>
            </w:r>
            <w:r w:rsidR="00881623">
              <w:rPr>
                <w:rFonts w:eastAsia="Arial" w:cs="Arial"/>
                <w:sz w:val="22"/>
                <w:szCs w:val="22"/>
              </w:rPr>
              <w:t xml:space="preserve"> (+</w:t>
            </w:r>
            <w:r w:rsidR="00496650">
              <w:rPr>
                <w:rFonts w:eastAsia="Arial" w:cs="Arial"/>
                <w:sz w:val="22"/>
                <w:szCs w:val="22"/>
              </w:rPr>
              <w:t>6</w:t>
            </w:r>
            <w:r w:rsidR="00881623">
              <w:rPr>
                <w:rFonts w:eastAsia="Arial" w:cs="Arial"/>
                <w:sz w:val="22"/>
                <w:szCs w:val="22"/>
              </w:rPr>
              <w:t>)</w:t>
            </w:r>
          </w:p>
        </w:tc>
      </w:tr>
    </w:tbl>
    <w:p w14:paraId="0C9F9350" w14:textId="77777777" w:rsidR="003B74CB" w:rsidRPr="00A54B18" w:rsidRDefault="003B74CB" w:rsidP="00813AA2">
      <w:pPr>
        <w:pStyle w:val="Normal1"/>
        <w:jc w:val="both"/>
        <w:rPr>
          <w:b/>
          <w:bCs/>
          <w:sz w:val="22"/>
          <w:szCs w:val="22"/>
        </w:rPr>
      </w:pPr>
    </w:p>
    <w:p w14:paraId="05DCE31E" w14:textId="0518346B" w:rsidR="00E75614" w:rsidRPr="00A54B18" w:rsidRDefault="5ECAB7EF" w:rsidP="005E557A">
      <w:pPr>
        <w:pStyle w:val="Normal1"/>
        <w:spacing w:after="120"/>
        <w:jc w:val="both"/>
        <w:rPr>
          <w:sz w:val="22"/>
          <w:szCs w:val="22"/>
        </w:rPr>
      </w:pPr>
      <w:r w:rsidRPr="00A54B18">
        <w:rPr>
          <w:b/>
          <w:bCs/>
          <w:sz w:val="22"/>
          <w:szCs w:val="22"/>
        </w:rPr>
        <w:t>Key Points</w:t>
      </w:r>
    </w:p>
    <w:p w14:paraId="364CAD83" w14:textId="3615EA01" w:rsidR="004E6CE4" w:rsidRPr="004E6CE4" w:rsidRDefault="007366DE" w:rsidP="295E62B1">
      <w:pPr>
        <w:pStyle w:val="ListParagraph"/>
        <w:numPr>
          <w:ilvl w:val="0"/>
          <w:numId w:val="7"/>
        </w:numPr>
        <w:spacing w:before="60" w:after="0"/>
        <w:ind w:hanging="357"/>
        <w:jc w:val="both"/>
        <w:rPr>
          <w:strike/>
          <w:sz w:val="20"/>
        </w:rPr>
      </w:pPr>
      <w:r w:rsidRPr="3E4E0146">
        <w:rPr>
          <w:rFonts w:eastAsia="Arial" w:cs="Arial"/>
          <w:sz w:val="22"/>
          <w:szCs w:val="22"/>
        </w:rPr>
        <w:t xml:space="preserve">The Fund is </w:t>
      </w:r>
      <w:r w:rsidR="00C90D94">
        <w:rPr>
          <w:rFonts w:eastAsia="Arial" w:cs="Arial"/>
          <w:sz w:val="22"/>
          <w:szCs w:val="22"/>
        </w:rPr>
        <w:t xml:space="preserve">now sponsoring loans to businesses </w:t>
      </w:r>
      <w:r w:rsidR="00373176">
        <w:rPr>
          <w:rFonts w:eastAsia="Arial" w:cs="Arial"/>
          <w:sz w:val="22"/>
          <w:szCs w:val="22"/>
        </w:rPr>
        <w:t>across</w:t>
      </w:r>
      <w:r w:rsidR="00C90D94">
        <w:rPr>
          <w:rFonts w:eastAsia="Arial" w:cs="Arial"/>
          <w:sz w:val="22"/>
          <w:szCs w:val="22"/>
        </w:rPr>
        <w:t xml:space="preserve"> almost all the</w:t>
      </w:r>
      <w:r w:rsidR="008C7F7F" w:rsidRPr="3E4E0146">
        <w:rPr>
          <w:rFonts w:eastAsia="Arial" w:cs="Arial"/>
          <w:sz w:val="22"/>
          <w:szCs w:val="22"/>
        </w:rPr>
        <w:t xml:space="preserve"> relevant </w:t>
      </w:r>
      <w:r w:rsidR="008338CD" w:rsidRPr="3E4E0146">
        <w:rPr>
          <w:rFonts w:eastAsia="Arial" w:cs="Arial"/>
          <w:sz w:val="22"/>
          <w:szCs w:val="22"/>
        </w:rPr>
        <w:t xml:space="preserve">sustainability </w:t>
      </w:r>
      <w:r w:rsidR="00125714" w:rsidRPr="3E4E0146">
        <w:rPr>
          <w:rFonts w:eastAsia="Arial" w:cs="Arial"/>
          <w:sz w:val="22"/>
          <w:szCs w:val="22"/>
        </w:rPr>
        <w:t>certifications</w:t>
      </w:r>
      <w:r w:rsidR="00373176">
        <w:rPr>
          <w:rFonts w:eastAsia="Arial" w:cs="Arial"/>
          <w:sz w:val="22"/>
          <w:szCs w:val="22"/>
        </w:rPr>
        <w:t xml:space="preserve"> that exist</w:t>
      </w:r>
      <w:r w:rsidR="00125714" w:rsidRPr="3E4E0146">
        <w:rPr>
          <w:rFonts w:eastAsia="Arial" w:cs="Arial"/>
          <w:sz w:val="22"/>
          <w:szCs w:val="22"/>
        </w:rPr>
        <w:t xml:space="preserve"> </w:t>
      </w:r>
      <w:r w:rsidR="00360450" w:rsidRPr="3E4E0146">
        <w:rPr>
          <w:rFonts w:eastAsia="Arial" w:cs="Arial"/>
          <w:sz w:val="22"/>
          <w:szCs w:val="22"/>
        </w:rPr>
        <w:t xml:space="preserve">for the </w:t>
      </w:r>
      <w:r w:rsidR="008338CD" w:rsidRPr="3E4E0146">
        <w:rPr>
          <w:rFonts w:eastAsia="Arial" w:cs="Arial"/>
          <w:sz w:val="22"/>
          <w:szCs w:val="22"/>
        </w:rPr>
        <w:t>commodities and land uses it supports</w:t>
      </w:r>
      <w:r w:rsidR="00B32A2D">
        <w:rPr>
          <w:rFonts w:eastAsia="Arial" w:cs="Arial"/>
          <w:sz w:val="22"/>
          <w:szCs w:val="22"/>
        </w:rPr>
        <w:t>, so little or no future change is expected</w:t>
      </w:r>
      <w:r w:rsidR="004E6CE4">
        <w:rPr>
          <w:rFonts w:eastAsia="Arial" w:cs="Arial"/>
          <w:sz w:val="22"/>
          <w:szCs w:val="22"/>
        </w:rPr>
        <w:t xml:space="preserve"> </w:t>
      </w:r>
      <w:r w:rsidR="00CA6722">
        <w:rPr>
          <w:rFonts w:eastAsia="Arial" w:cs="Arial"/>
          <w:sz w:val="22"/>
          <w:szCs w:val="22"/>
        </w:rPr>
        <w:t xml:space="preserve">or needed </w:t>
      </w:r>
      <w:r w:rsidR="004E6CE4">
        <w:rPr>
          <w:rFonts w:eastAsia="Arial" w:cs="Arial"/>
          <w:sz w:val="22"/>
          <w:szCs w:val="22"/>
        </w:rPr>
        <w:t>for 2.1.</w:t>
      </w:r>
    </w:p>
    <w:p w14:paraId="04555BFF" w14:textId="31D573CE" w:rsidR="0064657E" w:rsidRPr="00E15527" w:rsidRDefault="004E6CE4" w:rsidP="295E62B1">
      <w:pPr>
        <w:pStyle w:val="ListParagraph"/>
        <w:numPr>
          <w:ilvl w:val="0"/>
          <w:numId w:val="7"/>
        </w:numPr>
        <w:spacing w:before="60" w:after="0"/>
        <w:ind w:hanging="357"/>
        <w:jc w:val="both"/>
        <w:rPr>
          <w:strike/>
          <w:sz w:val="20"/>
        </w:rPr>
      </w:pPr>
      <w:r>
        <w:rPr>
          <w:rFonts w:eastAsia="Arial" w:cs="Arial"/>
          <w:sz w:val="22"/>
          <w:szCs w:val="22"/>
        </w:rPr>
        <w:t>It is</w:t>
      </w:r>
      <w:r w:rsidR="004D0CE5" w:rsidRPr="3E4E0146">
        <w:rPr>
          <w:rFonts w:eastAsia="Arial" w:cs="Arial"/>
          <w:sz w:val="22"/>
          <w:szCs w:val="22"/>
        </w:rPr>
        <w:t xml:space="preserve"> positive to see new Green List (GL) measures being added</w:t>
      </w:r>
      <w:r w:rsidR="001F2F3C" w:rsidRPr="3E4E0146">
        <w:rPr>
          <w:rFonts w:eastAsia="Arial" w:cs="Arial"/>
          <w:sz w:val="22"/>
          <w:szCs w:val="22"/>
        </w:rPr>
        <w:t xml:space="preserve"> </w:t>
      </w:r>
      <w:r w:rsidR="00D2403D">
        <w:rPr>
          <w:rFonts w:eastAsia="Arial" w:cs="Arial"/>
          <w:sz w:val="22"/>
          <w:szCs w:val="22"/>
        </w:rPr>
        <w:t>(allowing businesses and farmers to access finance by practising one or more specific sustainable activities</w:t>
      </w:r>
      <w:r w:rsidR="00515C19">
        <w:rPr>
          <w:rFonts w:eastAsia="Arial" w:cs="Arial"/>
          <w:sz w:val="22"/>
          <w:szCs w:val="22"/>
        </w:rPr>
        <w:t xml:space="preserve"> without being fully certified</w:t>
      </w:r>
      <w:r w:rsidR="00D2403D">
        <w:rPr>
          <w:rFonts w:eastAsia="Arial" w:cs="Arial"/>
          <w:sz w:val="22"/>
          <w:szCs w:val="22"/>
        </w:rPr>
        <w:t>)</w:t>
      </w:r>
      <w:r w:rsidR="00E15527">
        <w:rPr>
          <w:rFonts w:eastAsia="Arial" w:cs="Arial"/>
          <w:sz w:val="22"/>
          <w:szCs w:val="22"/>
        </w:rPr>
        <w:t xml:space="preserve">. </w:t>
      </w:r>
      <w:r w:rsidR="00C3740E" w:rsidRPr="3E4E0146">
        <w:rPr>
          <w:rFonts w:eastAsia="Arial" w:cs="Arial"/>
          <w:sz w:val="22"/>
          <w:szCs w:val="22"/>
        </w:rPr>
        <w:t xml:space="preserve">Most </w:t>
      </w:r>
      <w:r w:rsidR="004267AC" w:rsidRPr="3E4E0146">
        <w:rPr>
          <w:rFonts w:eastAsia="Arial" w:cs="Arial"/>
          <w:sz w:val="22"/>
          <w:szCs w:val="22"/>
        </w:rPr>
        <w:t xml:space="preserve">GL activities are </w:t>
      </w:r>
      <w:r w:rsidR="00A20D1E" w:rsidRPr="3E4E0146">
        <w:rPr>
          <w:rFonts w:eastAsia="Arial" w:cs="Arial"/>
          <w:sz w:val="22"/>
          <w:szCs w:val="22"/>
        </w:rPr>
        <w:t>in resource efficiency</w:t>
      </w:r>
      <w:r w:rsidR="00867631" w:rsidRPr="3E4E0146">
        <w:rPr>
          <w:rFonts w:eastAsia="Arial" w:cs="Arial"/>
          <w:sz w:val="22"/>
          <w:szCs w:val="22"/>
        </w:rPr>
        <w:t xml:space="preserve"> (35%)</w:t>
      </w:r>
      <w:r w:rsidR="00A20D1E" w:rsidRPr="3E4E0146">
        <w:rPr>
          <w:rFonts w:eastAsia="Arial" w:cs="Arial"/>
          <w:sz w:val="22"/>
          <w:szCs w:val="22"/>
        </w:rPr>
        <w:t xml:space="preserve">, sustainable land </w:t>
      </w:r>
      <w:r w:rsidR="00A20D1E" w:rsidRPr="3E4E0146">
        <w:rPr>
          <w:rFonts w:eastAsia="Arial" w:cs="Arial"/>
          <w:sz w:val="22"/>
          <w:szCs w:val="22"/>
        </w:rPr>
        <w:lastRenderedPageBreak/>
        <w:t>use</w:t>
      </w:r>
      <w:r w:rsidR="00867631" w:rsidRPr="3E4E0146">
        <w:rPr>
          <w:rFonts w:eastAsia="Arial" w:cs="Arial"/>
          <w:sz w:val="22"/>
          <w:szCs w:val="22"/>
        </w:rPr>
        <w:t xml:space="preserve"> (21%)</w:t>
      </w:r>
      <w:r w:rsidR="00461204" w:rsidRPr="3E4E0146">
        <w:rPr>
          <w:rFonts w:eastAsia="Arial" w:cs="Arial"/>
          <w:sz w:val="22"/>
          <w:szCs w:val="22"/>
        </w:rPr>
        <w:t>, water treatment</w:t>
      </w:r>
      <w:r w:rsidR="00867631" w:rsidRPr="3E4E0146">
        <w:rPr>
          <w:rFonts w:eastAsia="Arial" w:cs="Arial"/>
          <w:sz w:val="22"/>
          <w:szCs w:val="22"/>
        </w:rPr>
        <w:t xml:space="preserve"> (17%)</w:t>
      </w:r>
      <w:r w:rsidR="00461204" w:rsidRPr="3E4E0146">
        <w:rPr>
          <w:rFonts w:eastAsia="Arial" w:cs="Arial"/>
          <w:sz w:val="22"/>
          <w:szCs w:val="22"/>
        </w:rPr>
        <w:t>, sustainable tourism</w:t>
      </w:r>
      <w:r w:rsidR="00867631" w:rsidRPr="3E4E0146">
        <w:rPr>
          <w:rFonts w:eastAsia="Arial" w:cs="Arial"/>
          <w:sz w:val="22"/>
          <w:szCs w:val="22"/>
        </w:rPr>
        <w:t xml:space="preserve"> (10%),</w:t>
      </w:r>
      <w:r w:rsidR="00461204" w:rsidRPr="3E4E0146">
        <w:rPr>
          <w:rFonts w:eastAsia="Arial" w:cs="Arial"/>
          <w:sz w:val="22"/>
          <w:szCs w:val="22"/>
        </w:rPr>
        <w:t xml:space="preserve"> </w:t>
      </w:r>
      <w:r w:rsidR="00146EF2" w:rsidRPr="3E4E0146">
        <w:rPr>
          <w:rFonts w:eastAsia="Arial" w:cs="Arial"/>
          <w:sz w:val="22"/>
          <w:szCs w:val="22"/>
        </w:rPr>
        <w:t>soil conservation (7%)</w:t>
      </w:r>
      <w:r w:rsidR="00867631" w:rsidRPr="3E4E0146">
        <w:rPr>
          <w:rFonts w:eastAsia="Arial" w:cs="Arial"/>
          <w:sz w:val="22"/>
          <w:szCs w:val="22"/>
        </w:rPr>
        <w:t>, and native species (</w:t>
      </w:r>
      <w:r w:rsidR="00E97D1B" w:rsidRPr="3E4E0146">
        <w:rPr>
          <w:rFonts w:eastAsia="Arial" w:cs="Arial"/>
          <w:sz w:val="22"/>
          <w:szCs w:val="22"/>
        </w:rPr>
        <w:t>6%)</w:t>
      </w:r>
      <w:r w:rsidR="00461204" w:rsidRPr="3E4E0146">
        <w:rPr>
          <w:rFonts w:eastAsia="Arial" w:cs="Arial"/>
          <w:sz w:val="22"/>
          <w:szCs w:val="22"/>
        </w:rPr>
        <w:t>.</w:t>
      </w:r>
    </w:p>
    <w:p w14:paraId="2FB8D500" w14:textId="69C28115" w:rsidR="00E15527" w:rsidRPr="00BA2002" w:rsidRDefault="00E72992" w:rsidP="295E62B1">
      <w:pPr>
        <w:pStyle w:val="ListParagraph"/>
        <w:numPr>
          <w:ilvl w:val="0"/>
          <w:numId w:val="7"/>
        </w:numPr>
        <w:spacing w:before="60" w:after="0"/>
        <w:ind w:hanging="357"/>
        <w:jc w:val="both"/>
        <w:rPr>
          <w:strike/>
          <w:sz w:val="20"/>
        </w:rPr>
      </w:pPr>
      <w:r>
        <w:rPr>
          <w:rFonts w:eastAsia="Arial" w:cs="Arial"/>
          <w:sz w:val="22"/>
          <w:szCs w:val="22"/>
        </w:rPr>
        <w:t xml:space="preserve">A 6% swing </w:t>
      </w:r>
      <w:r w:rsidR="00116E9B">
        <w:rPr>
          <w:rFonts w:eastAsia="Arial" w:cs="Arial"/>
          <w:sz w:val="22"/>
          <w:szCs w:val="22"/>
        </w:rPr>
        <w:t xml:space="preserve">from Certified to GL sub-borrowers </w:t>
      </w:r>
      <w:r w:rsidR="0044764A" w:rsidRPr="3E4E0146">
        <w:rPr>
          <w:rFonts w:eastAsia="Arial" w:cs="Arial"/>
          <w:sz w:val="22"/>
          <w:szCs w:val="22"/>
        </w:rPr>
        <w:t>as a proportion within the overall portfolio</w:t>
      </w:r>
      <w:r w:rsidR="0044764A">
        <w:rPr>
          <w:rFonts w:eastAsia="Arial" w:cs="Arial"/>
          <w:sz w:val="22"/>
          <w:szCs w:val="22"/>
        </w:rPr>
        <w:t xml:space="preserve"> shows</w:t>
      </w:r>
      <w:r w:rsidR="00C52256">
        <w:rPr>
          <w:rFonts w:eastAsia="Arial" w:cs="Arial"/>
          <w:sz w:val="22"/>
          <w:szCs w:val="22"/>
        </w:rPr>
        <w:t xml:space="preserve"> excellent progress</w:t>
      </w:r>
      <w:r w:rsidR="00E15527" w:rsidRPr="3E4E0146">
        <w:rPr>
          <w:rFonts w:eastAsia="Arial" w:cs="Arial"/>
          <w:sz w:val="22"/>
          <w:szCs w:val="22"/>
        </w:rPr>
        <w:t>, increasing the availability of funding to smaller businesses and farmers and smallholders for whom certification is unaffordable.</w:t>
      </w:r>
      <w:r w:rsidR="004C23C4">
        <w:rPr>
          <w:rFonts w:eastAsia="Arial" w:cs="Arial"/>
          <w:sz w:val="22"/>
          <w:szCs w:val="22"/>
        </w:rPr>
        <w:t xml:space="preserve"> </w:t>
      </w:r>
      <w:r w:rsidR="00E948B8">
        <w:rPr>
          <w:rFonts w:eastAsia="Arial" w:cs="Arial"/>
          <w:sz w:val="22"/>
          <w:szCs w:val="22"/>
        </w:rPr>
        <w:t>More</w:t>
      </w:r>
      <w:r>
        <w:rPr>
          <w:rFonts w:eastAsia="Arial" w:cs="Arial"/>
          <w:sz w:val="22"/>
          <w:szCs w:val="22"/>
        </w:rPr>
        <w:t xml:space="preserve"> GL </w:t>
      </w:r>
      <w:r w:rsidR="00FB1A61">
        <w:rPr>
          <w:rFonts w:eastAsia="Arial" w:cs="Arial"/>
          <w:sz w:val="22"/>
          <w:szCs w:val="22"/>
        </w:rPr>
        <w:t>loans</w:t>
      </w:r>
      <w:r w:rsidR="00E948B8">
        <w:rPr>
          <w:rFonts w:eastAsia="Arial" w:cs="Arial"/>
          <w:sz w:val="22"/>
          <w:szCs w:val="22"/>
        </w:rPr>
        <w:t xml:space="preserve"> </w:t>
      </w:r>
      <w:r w:rsidR="004C23C4">
        <w:rPr>
          <w:rFonts w:eastAsia="Arial" w:cs="Arial"/>
          <w:sz w:val="22"/>
          <w:szCs w:val="22"/>
        </w:rPr>
        <w:t>was a recommendation in previous ARs, and in an independent review of the Fund in 2021.</w:t>
      </w:r>
    </w:p>
    <w:p w14:paraId="206A0AF7" w14:textId="77777777" w:rsidR="00610AAC" w:rsidRPr="00A54B18" w:rsidRDefault="00610AAC" w:rsidP="005E557A">
      <w:pPr>
        <w:jc w:val="both"/>
        <w:rPr>
          <w:rFonts w:eastAsia="Arial" w:cs="Arial"/>
          <w:b/>
          <w:bCs/>
          <w:color w:val="000000" w:themeColor="text1"/>
        </w:rPr>
      </w:pPr>
    </w:p>
    <w:tbl>
      <w:tblPr>
        <w:tblStyle w:val="TableGrid"/>
        <w:tblW w:w="9073" w:type="dxa"/>
        <w:tblInd w:w="-147" w:type="dxa"/>
        <w:tblLook w:val="04A0" w:firstRow="1" w:lastRow="0" w:firstColumn="1" w:lastColumn="0" w:noHBand="0" w:noVBand="1"/>
      </w:tblPr>
      <w:tblGrid>
        <w:gridCol w:w="1680"/>
        <w:gridCol w:w="361"/>
        <w:gridCol w:w="739"/>
        <w:gridCol w:w="2396"/>
        <w:gridCol w:w="719"/>
        <w:gridCol w:w="1570"/>
        <w:gridCol w:w="1608"/>
      </w:tblGrid>
      <w:tr w:rsidR="002D1C12" w:rsidRPr="00A54B18" w14:paraId="1838673D" w14:textId="6167DCBB" w:rsidTr="07FC4C9B">
        <w:trPr>
          <w:trHeight w:val="467"/>
        </w:trPr>
        <w:tc>
          <w:tcPr>
            <w:tcW w:w="16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E98ACF" w14:textId="77777777" w:rsidR="00EA2E37" w:rsidRPr="00A54B18" w:rsidRDefault="00EA2E37" w:rsidP="005E557A">
            <w:pPr>
              <w:rPr>
                <w:rFonts w:eastAsia="Arial" w:cs="Arial"/>
                <w:b/>
                <w:bCs/>
                <w:sz w:val="20"/>
                <w:szCs w:val="20"/>
              </w:rPr>
            </w:pPr>
            <w:r w:rsidRPr="00A54B18">
              <w:rPr>
                <w:rFonts w:eastAsia="Arial" w:cs="Arial"/>
                <w:b/>
                <w:bCs/>
                <w:sz w:val="20"/>
                <w:szCs w:val="20"/>
              </w:rPr>
              <w:t xml:space="preserve">Output Title </w:t>
            </w:r>
          </w:p>
        </w:tc>
        <w:tc>
          <w:tcPr>
            <w:tcW w:w="738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88BECAA" w14:textId="6F6E7307" w:rsidR="00EA2E37" w:rsidRPr="00A54B18" w:rsidRDefault="00EA2E37" w:rsidP="005E557A">
            <w:pPr>
              <w:rPr>
                <w:rStyle w:val="normaltextrun"/>
                <w:rFonts w:eastAsia="Arial" w:cs="Arial"/>
                <w:color w:val="000000"/>
                <w:sz w:val="22"/>
                <w:szCs w:val="22"/>
                <w:shd w:val="clear" w:color="auto" w:fill="FFFFFF"/>
              </w:rPr>
            </w:pPr>
            <w:r w:rsidRPr="00A54B18">
              <w:rPr>
                <w:rStyle w:val="normaltextrun"/>
                <w:rFonts w:eastAsia="Arial" w:cs="Arial"/>
                <w:color w:val="000000"/>
                <w:sz w:val="22"/>
                <w:szCs w:val="22"/>
                <w:shd w:val="clear" w:color="auto" w:fill="FFFFFF"/>
              </w:rPr>
              <w:t>Provision of continuous and sufficient Technical Assistance</w:t>
            </w:r>
            <w:r w:rsidRPr="00A54B18">
              <w:rPr>
                <w:rStyle w:val="eop"/>
                <w:rFonts w:eastAsia="Arial" w:cs="Arial"/>
                <w:color w:val="000000"/>
                <w:sz w:val="22"/>
                <w:szCs w:val="22"/>
                <w:shd w:val="clear" w:color="auto" w:fill="FFFFFF"/>
              </w:rPr>
              <w:t> </w:t>
            </w:r>
          </w:p>
        </w:tc>
      </w:tr>
      <w:tr w:rsidR="00E838FD" w:rsidRPr="00A54B18" w14:paraId="30904444" w14:textId="7C2A6F7A" w:rsidTr="07FC4C9B">
        <w:trPr>
          <w:trHeight w:val="331"/>
        </w:trPr>
        <w:tc>
          <w:tcPr>
            <w:tcW w:w="205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FF8E99" w14:textId="77777777" w:rsidR="00EA2E37" w:rsidRPr="00A54B18" w:rsidRDefault="00EA2E37" w:rsidP="005E557A">
            <w:pPr>
              <w:rPr>
                <w:rFonts w:eastAsia="Arial" w:cs="Arial"/>
                <w:sz w:val="20"/>
                <w:szCs w:val="20"/>
              </w:rPr>
            </w:pPr>
            <w:r w:rsidRPr="00A54B18">
              <w:rPr>
                <w:rFonts w:eastAsia="Arial" w:cs="Arial"/>
                <w:sz w:val="20"/>
                <w:szCs w:val="20"/>
              </w:rPr>
              <w:t xml:space="preserve">Output number: </w:t>
            </w:r>
          </w:p>
        </w:tc>
        <w:tc>
          <w:tcPr>
            <w:tcW w:w="744" w:type="dxa"/>
            <w:tcBorders>
              <w:top w:val="single" w:sz="4" w:space="0" w:color="auto"/>
              <w:left w:val="single" w:sz="4" w:space="0" w:color="auto"/>
              <w:bottom w:val="single" w:sz="4" w:space="0" w:color="auto"/>
              <w:right w:val="single" w:sz="4" w:space="0" w:color="auto"/>
            </w:tcBorders>
          </w:tcPr>
          <w:p w14:paraId="606C7DD3" w14:textId="3C732C6A" w:rsidR="00EA2E37" w:rsidRPr="00A54B18" w:rsidRDefault="00EA2E37" w:rsidP="005E557A">
            <w:pPr>
              <w:rPr>
                <w:rFonts w:eastAsia="Arial" w:cs="Arial"/>
                <w:sz w:val="20"/>
                <w:szCs w:val="20"/>
              </w:rPr>
            </w:pPr>
            <w:r w:rsidRPr="00A54B18">
              <w:rPr>
                <w:rFonts w:eastAsia="Arial" w:cs="Arial"/>
                <w:sz w:val="20"/>
                <w:szCs w:val="20"/>
              </w:rPr>
              <w:t>3</w:t>
            </w:r>
          </w:p>
        </w:tc>
        <w:tc>
          <w:tcPr>
            <w:tcW w:w="24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3B8035" w14:textId="77777777" w:rsidR="00EA2E37" w:rsidRPr="00A54B18" w:rsidRDefault="1F7E7EA6" w:rsidP="005E557A">
            <w:pPr>
              <w:rPr>
                <w:rFonts w:eastAsia="Arial" w:cs="Arial"/>
                <w:sz w:val="20"/>
                <w:szCs w:val="20"/>
              </w:rPr>
            </w:pPr>
            <w:r w:rsidRPr="07FC4C9B">
              <w:rPr>
                <w:rFonts w:eastAsia="Arial" w:cs="Arial"/>
                <w:sz w:val="20"/>
                <w:szCs w:val="20"/>
              </w:rPr>
              <w:t xml:space="preserve">Output Score: </w:t>
            </w:r>
          </w:p>
        </w:tc>
        <w:tc>
          <w:tcPr>
            <w:tcW w:w="3851" w:type="dxa"/>
            <w:gridSpan w:val="3"/>
            <w:tcBorders>
              <w:top w:val="single" w:sz="4" w:space="0" w:color="auto"/>
              <w:left w:val="single" w:sz="4" w:space="0" w:color="auto"/>
              <w:bottom w:val="single" w:sz="4" w:space="0" w:color="auto"/>
              <w:right w:val="single" w:sz="4" w:space="0" w:color="auto"/>
            </w:tcBorders>
          </w:tcPr>
          <w:p w14:paraId="0303A857" w14:textId="4C1AD7E3" w:rsidR="00EA2E37" w:rsidRPr="00A54B18" w:rsidRDefault="2EDB25D4" w:rsidP="005E557A">
            <w:pPr>
              <w:rPr>
                <w:rFonts w:eastAsia="Arial" w:cs="Arial"/>
                <w:b/>
                <w:bCs/>
                <w:sz w:val="20"/>
                <w:szCs w:val="20"/>
              </w:rPr>
            </w:pPr>
            <w:r w:rsidRPr="07FC4C9B">
              <w:rPr>
                <w:rFonts w:eastAsia="Arial" w:cs="Arial"/>
                <w:b/>
                <w:bCs/>
                <w:sz w:val="20"/>
                <w:szCs w:val="20"/>
              </w:rPr>
              <w:t>A</w:t>
            </w:r>
          </w:p>
        </w:tc>
      </w:tr>
      <w:tr w:rsidR="00E838FD" w:rsidRPr="00A54B18" w14:paraId="3E2C7797" w14:textId="3EB872AD" w:rsidTr="07FC4C9B">
        <w:trPr>
          <w:trHeight w:val="329"/>
        </w:trPr>
        <w:tc>
          <w:tcPr>
            <w:tcW w:w="205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245455" w14:textId="77777777" w:rsidR="00EA2E37" w:rsidRPr="00A54B18" w:rsidRDefault="00EA2E37" w:rsidP="005E557A">
            <w:pPr>
              <w:rPr>
                <w:rFonts w:eastAsia="Arial" w:cs="Arial"/>
                <w:sz w:val="20"/>
                <w:szCs w:val="20"/>
              </w:rPr>
            </w:pPr>
            <w:r w:rsidRPr="00A54B18">
              <w:rPr>
                <w:rFonts w:eastAsia="Arial" w:cs="Arial"/>
                <w:sz w:val="20"/>
                <w:szCs w:val="20"/>
              </w:rPr>
              <w:t xml:space="preserve">Impact weighting (%):  </w:t>
            </w:r>
          </w:p>
        </w:tc>
        <w:tc>
          <w:tcPr>
            <w:tcW w:w="744" w:type="dxa"/>
            <w:tcBorders>
              <w:top w:val="single" w:sz="4" w:space="0" w:color="auto"/>
              <w:left w:val="single" w:sz="4" w:space="0" w:color="auto"/>
              <w:bottom w:val="single" w:sz="4" w:space="0" w:color="auto"/>
              <w:right w:val="single" w:sz="4" w:space="0" w:color="auto"/>
            </w:tcBorders>
          </w:tcPr>
          <w:p w14:paraId="1D46A101" w14:textId="6614C631" w:rsidR="00EA2E37" w:rsidRPr="00A54B18" w:rsidRDefault="00C83079" w:rsidP="005E557A">
            <w:pPr>
              <w:rPr>
                <w:rFonts w:eastAsia="Arial" w:cs="Arial"/>
                <w:sz w:val="20"/>
                <w:szCs w:val="20"/>
              </w:rPr>
            </w:pPr>
            <w:r>
              <w:rPr>
                <w:rFonts w:eastAsia="Arial" w:cs="Arial"/>
                <w:sz w:val="20"/>
                <w:szCs w:val="20"/>
              </w:rPr>
              <w:t>40</w:t>
            </w:r>
          </w:p>
        </w:tc>
        <w:tc>
          <w:tcPr>
            <w:tcW w:w="24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22A60E" w14:textId="2FF2D427" w:rsidR="00EA2E37" w:rsidRPr="00A54B18" w:rsidRDefault="00EA2E37" w:rsidP="005E557A">
            <w:pPr>
              <w:rPr>
                <w:rFonts w:eastAsia="Arial" w:cs="Arial"/>
                <w:sz w:val="20"/>
                <w:szCs w:val="20"/>
              </w:rPr>
            </w:pPr>
            <w:r w:rsidRPr="00A54B18">
              <w:rPr>
                <w:rFonts w:eastAsia="Arial" w:cs="Arial"/>
                <w:sz w:val="20"/>
                <w:szCs w:val="20"/>
              </w:rPr>
              <w:t xml:space="preserve">Weighting revised since last AR? </w:t>
            </w:r>
          </w:p>
        </w:tc>
        <w:tc>
          <w:tcPr>
            <w:tcW w:w="3851" w:type="dxa"/>
            <w:gridSpan w:val="3"/>
            <w:tcBorders>
              <w:top w:val="single" w:sz="4" w:space="0" w:color="auto"/>
              <w:left w:val="single" w:sz="4" w:space="0" w:color="auto"/>
              <w:bottom w:val="single" w:sz="4" w:space="0" w:color="auto"/>
              <w:right w:val="single" w:sz="4" w:space="0" w:color="auto"/>
            </w:tcBorders>
          </w:tcPr>
          <w:p w14:paraId="451425E6" w14:textId="105EBCA4" w:rsidR="00EA2E37" w:rsidRPr="00A54B18" w:rsidRDefault="00EA2E37" w:rsidP="005E557A">
            <w:pPr>
              <w:rPr>
                <w:rFonts w:eastAsia="Arial" w:cs="Arial"/>
                <w:sz w:val="20"/>
                <w:szCs w:val="20"/>
              </w:rPr>
            </w:pPr>
            <w:r w:rsidRPr="00A54B18">
              <w:rPr>
                <w:rFonts w:eastAsia="Arial" w:cs="Arial"/>
                <w:sz w:val="20"/>
                <w:szCs w:val="20"/>
              </w:rPr>
              <w:t>No</w:t>
            </w:r>
          </w:p>
        </w:tc>
      </w:tr>
      <w:tr w:rsidR="00E838FD" w:rsidRPr="00A54B18" w14:paraId="13B39467" w14:textId="7BBE91D6" w:rsidTr="07FC4C9B">
        <w:trPr>
          <w:trHeight w:val="300"/>
        </w:trPr>
        <w:tc>
          <w:tcPr>
            <w:tcW w:w="5954"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89BDE1" w14:textId="68675FDC" w:rsidR="008E01DF" w:rsidRPr="00A54B18" w:rsidRDefault="008E01DF" w:rsidP="005E557A">
            <w:pPr>
              <w:rPr>
                <w:rFonts w:eastAsia="Arial" w:cs="Arial"/>
                <w:b/>
                <w:bCs/>
                <w:sz w:val="20"/>
                <w:szCs w:val="20"/>
              </w:rPr>
            </w:pPr>
            <w:r w:rsidRPr="00A54B18">
              <w:rPr>
                <w:rFonts w:eastAsia="Arial" w:cs="Arial"/>
                <w:b/>
                <w:bCs/>
                <w:sz w:val="20"/>
                <w:szCs w:val="20"/>
              </w:rPr>
              <w:t>Indicator</w:t>
            </w:r>
          </w:p>
        </w:tc>
        <w:tc>
          <w:tcPr>
            <w:tcW w:w="15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6CE9E3" w14:textId="7BCBC2C9" w:rsidR="008E01DF" w:rsidRPr="00A54B18" w:rsidRDefault="008E01DF" w:rsidP="00EA2E37">
            <w:pPr>
              <w:jc w:val="center"/>
              <w:rPr>
                <w:rFonts w:eastAsia="Arial" w:cs="Arial"/>
                <w:b/>
                <w:bCs/>
                <w:sz w:val="20"/>
                <w:szCs w:val="20"/>
              </w:rPr>
            </w:pPr>
            <w:r w:rsidRPr="00A54B18">
              <w:rPr>
                <w:rFonts w:eastAsia="Arial" w:cs="Arial"/>
                <w:b/>
                <w:bCs/>
                <w:sz w:val="20"/>
                <w:szCs w:val="20"/>
              </w:rPr>
              <w:t>Milestone</w:t>
            </w:r>
          </w:p>
        </w:tc>
        <w:tc>
          <w:tcPr>
            <w:tcW w:w="15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00CAD4" w14:textId="5485F4A2" w:rsidR="008E01DF" w:rsidRPr="00A54B18" w:rsidRDefault="7134E833" w:rsidP="00EA2E37">
            <w:pPr>
              <w:jc w:val="center"/>
              <w:rPr>
                <w:rFonts w:eastAsia="Arial" w:cs="Arial"/>
                <w:b/>
                <w:bCs/>
                <w:sz w:val="20"/>
                <w:szCs w:val="20"/>
              </w:rPr>
            </w:pPr>
            <w:r w:rsidRPr="07FC4C9B">
              <w:rPr>
                <w:rFonts w:eastAsia="Arial" w:cs="Arial"/>
                <w:b/>
                <w:bCs/>
                <w:sz w:val="20"/>
                <w:szCs w:val="20"/>
              </w:rPr>
              <w:t>Progress</w:t>
            </w:r>
          </w:p>
        </w:tc>
      </w:tr>
      <w:tr w:rsidR="00E838FD" w:rsidRPr="00A54B18" w14:paraId="72684F23" w14:textId="1F712405" w:rsidTr="07FC4C9B">
        <w:trPr>
          <w:trHeight w:val="286"/>
        </w:trPr>
        <w:tc>
          <w:tcPr>
            <w:tcW w:w="5954" w:type="dxa"/>
            <w:gridSpan w:val="5"/>
            <w:tcBorders>
              <w:top w:val="single" w:sz="4" w:space="0" w:color="auto"/>
              <w:left w:val="single" w:sz="4" w:space="0" w:color="auto"/>
              <w:bottom w:val="single" w:sz="4" w:space="0" w:color="auto"/>
              <w:right w:val="single" w:sz="4" w:space="0" w:color="auto"/>
            </w:tcBorders>
          </w:tcPr>
          <w:p w14:paraId="1F58785B" w14:textId="18C47979" w:rsidR="008E01DF" w:rsidRPr="00A54B18" w:rsidRDefault="7134E833" w:rsidP="005E557A">
            <w:pPr>
              <w:rPr>
                <w:rFonts w:eastAsia="Arial" w:cs="Arial"/>
                <w:sz w:val="20"/>
                <w:szCs w:val="20"/>
              </w:rPr>
            </w:pPr>
            <w:r w:rsidRPr="00A54B18">
              <w:rPr>
                <w:rStyle w:val="normaltextrun"/>
                <w:rFonts w:eastAsia="Arial" w:cs="Arial"/>
                <w:color w:val="000000"/>
                <w:sz w:val="22"/>
                <w:szCs w:val="22"/>
                <w:shd w:val="clear" w:color="auto" w:fill="FFFFFF"/>
              </w:rPr>
              <w:t>3.</w:t>
            </w:r>
            <w:r w:rsidR="475CBA76" w:rsidRPr="00A54B18">
              <w:rPr>
                <w:rStyle w:val="normaltextrun"/>
                <w:rFonts w:eastAsia="Arial" w:cs="Arial"/>
                <w:color w:val="000000"/>
                <w:sz w:val="22"/>
                <w:szCs w:val="22"/>
                <w:shd w:val="clear" w:color="auto" w:fill="FFFFFF"/>
              </w:rPr>
              <w:t>1</w:t>
            </w:r>
            <w:r w:rsidRPr="00A54B18">
              <w:rPr>
                <w:rStyle w:val="normaltextrun"/>
                <w:rFonts w:eastAsia="Arial" w:cs="Arial"/>
                <w:color w:val="000000"/>
                <w:sz w:val="22"/>
                <w:szCs w:val="22"/>
                <w:shd w:val="clear" w:color="auto" w:fill="FFFFFF"/>
              </w:rPr>
              <w:t xml:space="preserve"> Number of completed TA projects</w:t>
            </w:r>
            <w:r w:rsidRPr="00A54B18">
              <w:rPr>
                <w:rStyle w:val="eop"/>
                <w:rFonts w:eastAsia="Arial" w:cs="Arial"/>
                <w:color w:val="000000"/>
                <w:sz w:val="22"/>
                <w:szCs w:val="22"/>
                <w:shd w:val="clear" w:color="auto" w:fill="FFFFFF"/>
              </w:rPr>
              <w:t> </w:t>
            </w:r>
          </w:p>
        </w:tc>
        <w:tc>
          <w:tcPr>
            <w:tcW w:w="1578" w:type="dxa"/>
            <w:tcBorders>
              <w:top w:val="single" w:sz="4" w:space="0" w:color="auto"/>
              <w:left w:val="single" w:sz="4" w:space="0" w:color="auto"/>
              <w:bottom w:val="single" w:sz="4" w:space="0" w:color="auto"/>
              <w:right w:val="single" w:sz="4" w:space="0" w:color="auto"/>
            </w:tcBorders>
          </w:tcPr>
          <w:p w14:paraId="200E076A" w14:textId="4C9F6B3F" w:rsidR="008E01DF" w:rsidRPr="00C427B8" w:rsidRDefault="00226E7A" w:rsidP="00EA2E37">
            <w:pPr>
              <w:jc w:val="center"/>
              <w:rPr>
                <w:rFonts w:eastAsia="Arial" w:cs="Arial"/>
                <w:sz w:val="22"/>
                <w:szCs w:val="22"/>
              </w:rPr>
            </w:pPr>
            <w:r>
              <w:rPr>
                <w:rFonts w:eastAsia="Arial" w:cs="Arial"/>
                <w:sz w:val="22"/>
                <w:szCs w:val="22"/>
              </w:rPr>
              <w:t>10</w:t>
            </w:r>
            <w:r w:rsidR="002741A8">
              <w:rPr>
                <w:rFonts w:eastAsia="Arial" w:cs="Arial"/>
                <w:sz w:val="22"/>
                <w:szCs w:val="22"/>
              </w:rPr>
              <w:t>3</w:t>
            </w:r>
          </w:p>
        </w:tc>
        <w:tc>
          <w:tcPr>
            <w:tcW w:w="15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53F2481" w14:textId="452FF303" w:rsidR="008E01DF" w:rsidRPr="00C427B8" w:rsidRDefault="00226E7A" w:rsidP="00EA2E37">
            <w:pPr>
              <w:jc w:val="center"/>
              <w:rPr>
                <w:rFonts w:eastAsia="Arial" w:cs="Arial"/>
                <w:sz w:val="22"/>
                <w:szCs w:val="22"/>
              </w:rPr>
            </w:pPr>
            <w:r>
              <w:rPr>
                <w:rFonts w:eastAsia="Arial" w:cs="Arial"/>
                <w:sz w:val="22"/>
                <w:szCs w:val="22"/>
              </w:rPr>
              <w:t>118</w:t>
            </w:r>
            <w:r w:rsidR="00D231C4">
              <w:rPr>
                <w:rFonts w:eastAsia="Arial" w:cs="Arial"/>
                <w:sz w:val="22"/>
                <w:szCs w:val="22"/>
              </w:rPr>
              <w:t xml:space="preserve"> (+</w:t>
            </w:r>
            <w:r w:rsidR="00C12BDA">
              <w:rPr>
                <w:rFonts w:eastAsia="Arial" w:cs="Arial"/>
                <w:sz w:val="22"/>
                <w:szCs w:val="22"/>
              </w:rPr>
              <w:t>2</w:t>
            </w:r>
            <w:r>
              <w:rPr>
                <w:rFonts w:eastAsia="Arial" w:cs="Arial"/>
                <w:sz w:val="22"/>
                <w:szCs w:val="22"/>
              </w:rPr>
              <w:t>5</w:t>
            </w:r>
            <w:r w:rsidR="00D231C4">
              <w:rPr>
                <w:rFonts w:eastAsia="Arial" w:cs="Arial"/>
                <w:sz w:val="22"/>
                <w:szCs w:val="22"/>
              </w:rPr>
              <w:t>)</w:t>
            </w:r>
          </w:p>
        </w:tc>
      </w:tr>
      <w:tr w:rsidR="00E838FD" w14:paraId="69E4C5FE" w14:textId="77777777" w:rsidTr="07FC4C9B">
        <w:trPr>
          <w:trHeight w:val="286"/>
        </w:trPr>
        <w:tc>
          <w:tcPr>
            <w:tcW w:w="5887" w:type="dxa"/>
            <w:gridSpan w:val="5"/>
            <w:tcBorders>
              <w:top w:val="single" w:sz="4" w:space="0" w:color="auto"/>
              <w:left w:val="single" w:sz="4" w:space="0" w:color="auto"/>
              <w:bottom w:val="single" w:sz="4" w:space="0" w:color="auto"/>
              <w:right w:val="single" w:sz="4" w:space="0" w:color="auto"/>
            </w:tcBorders>
          </w:tcPr>
          <w:p w14:paraId="49005681" w14:textId="643C2D0E" w:rsidR="07FC4C9B" w:rsidRDefault="07FC4C9B" w:rsidP="07FC4C9B">
            <w:pPr>
              <w:rPr>
                <w:rStyle w:val="normaltextrun"/>
                <w:rFonts w:eastAsia="Arial" w:cs="Arial"/>
                <w:color w:val="000000" w:themeColor="text1"/>
                <w:sz w:val="22"/>
                <w:szCs w:val="22"/>
              </w:rPr>
            </w:pPr>
            <w:r w:rsidRPr="07FC4C9B">
              <w:rPr>
                <w:rStyle w:val="normaltextrun"/>
                <w:rFonts w:eastAsia="Arial" w:cs="Arial"/>
                <w:color w:val="000000" w:themeColor="text1"/>
                <w:sz w:val="22"/>
                <w:szCs w:val="22"/>
              </w:rPr>
              <w:t>3</w:t>
            </w:r>
            <w:r w:rsidRPr="07FC4C9B">
              <w:rPr>
                <w:rStyle w:val="normaltextrun"/>
                <w:rFonts w:eastAsia="Arial"/>
                <w:color w:val="000000" w:themeColor="text1"/>
                <w:sz w:val="22"/>
                <w:szCs w:val="22"/>
              </w:rPr>
              <w:t>.2 Number of countries receiving TA (TA KPI 1)</w:t>
            </w:r>
          </w:p>
        </w:tc>
        <w:tc>
          <w:tcPr>
            <w:tcW w:w="1569" w:type="dxa"/>
            <w:tcBorders>
              <w:top w:val="single" w:sz="4" w:space="0" w:color="auto"/>
              <w:left w:val="single" w:sz="4" w:space="0" w:color="auto"/>
              <w:bottom w:val="single" w:sz="4" w:space="0" w:color="auto"/>
              <w:right w:val="single" w:sz="4" w:space="0" w:color="auto"/>
            </w:tcBorders>
          </w:tcPr>
          <w:p w14:paraId="1C6E6652" w14:textId="091F7178" w:rsidR="4C543563" w:rsidRDefault="4C543563" w:rsidP="07FC4C9B">
            <w:pPr>
              <w:jc w:val="center"/>
              <w:rPr>
                <w:rFonts w:eastAsia="Arial" w:cs="Arial"/>
                <w:sz w:val="22"/>
                <w:szCs w:val="22"/>
              </w:rPr>
            </w:pPr>
            <w:r w:rsidRPr="07FC4C9B">
              <w:rPr>
                <w:rFonts w:eastAsia="Arial" w:cs="Arial"/>
                <w:sz w:val="22"/>
                <w:szCs w:val="22"/>
              </w:rPr>
              <w:t>15</w:t>
            </w:r>
          </w:p>
        </w:tc>
        <w:tc>
          <w:tcPr>
            <w:tcW w:w="161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A3C13A" w14:textId="0D5485EA" w:rsidR="4C543563" w:rsidRDefault="4C543563" w:rsidP="07FC4C9B">
            <w:pPr>
              <w:jc w:val="center"/>
              <w:rPr>
                <w:rFonts w:eastAsia="Arial" w:cs="Arial"/>
                <w:sz w:val="22"/>
                <w:szCs w:val="22"/>
              </w:rPr>
            </w:pPr>
            <w:r w:rsidRPr="07FC4C9B">
              <w:rPr>
                <w:rFonts w:eastAsia="Arial" w:cs="Arial"/>
                <w:sz w:val="22"/>
                <w:szCs w:val="22"/>
              </w:rPr>
              <w:t>15</w:t>
            </w:r>
            <w:r w:rsidR="00D231C4">
              <w:rPr>
                <w:rFonts w:eastAsia="Arial" w:cs="Arial"/>
                <w:sz w:val="22"/>
                <w:szCs w:val="22"/>
              </w:rPr>
              <w:t xml:space="preserve"> (</w:t>
            </w:r>
            <w:r w:rsidR="00536BE0">
              <w:rPr>
                <w:rFonts w:eastAsia="Arial" w:cs="Arial"/>
                <w:sz w:val="22"/>
                <w:szCs w:val="22"/>
              </w:rPr>
              <w:t>+0)</w:t>
            </w:r>
          </w:p>
        </w:tc>
      </w:tr>
      <w:tr w:rsidR="00E838FD" w14:paraId="78AD2524" w14:textId="77777777" w:rsidTr="000B4C2E">
        <w:trPr>
          <w:trHeight w:val="286"/>
        </w:trPr>
        <w:tc>
          <w:tcPr>
            <w:tcW w:w="5887" w:type="dxa"/>
            <w:gridSpan w:val="5"/>
            <w:tcBorders>
              <w:top w:val="single" w:sz="4" w:space="0" w:color="auto"/>
              <w:left w:val="single" w:sz="4" w:space="0" w:color="auto"/>
              <w:bottom w:val="single" w:sz="4" w:space="0" w:color="auto"/>
              <w:right w:val="single" w:sz="4" w:space="0" w:color="auto"/>
            </w:tcBorders>
          </w:tcPr>
          <w:p w14:paraId="08F73749" w14:textId="73B811E2" w:rsidR="07FC4C9B" w:rsidRDefault="07FC4C9B" w:rsidP="07FC4C9B">
            <w:pPr>
              <w:rPr>
                <w:rFonts w:eastAsia="Arial" w:cs="Arial"/>
                <w:sz w:val="20"/>
                <w:szCs w:val="20"/>
              </w:rPr>
            </w:pPr>
            <w:r w:rsidRPr="07FC4C9B">
              <w:rPr>
                <w:rStyle w:val="normaltextrun"/>
                <w:rFonts w:eastAsia="Arial" w:cs="Arial"/>
                <w:color w:val="000000" w:themeColor="text1"/>
                <w:sz w:val="22"/>
                <w:szCs w:val="22"/>
              </w:rPr>
              <w:t>3.3 Number of events EBF has supported</w:t>
            </w:r>
            <w:r w:rsidRPr="07FC4C9B">
              <w:rPr>
                <w:rStyle w:val="eop"/>
                <w:rFonts w:eastAsia="Arial" w:cs="Arial"/>
                <w:color w:val="000000" w:themeColor="text1"/>
                <w:sz w:val="22"/>
                <w:szCs w:val="22"/>
              </w:rPr>
              <w:t> </w:t>
            </w:r>
          </w:p>
        </w:tc>
        <w:tc>
          <w:tcPr>
            <w:tcW w:w="1569" w:type="dxa"/>
            <w:tcBorders>
              <w:top w:val="single" w:sz="4" w:space="0" w:color="auto"/>
              <w:left w:val="single" w:sz="4" w:space="0" w:color="auto"/>
              <w:bottom w:val="single" w:sz="4" w:space="0" w:color="auto"/>
              <w:right w:val="single" w:sz="4" w:space="0" w:color="auto"/>
            </w:tcBorders>
          </w:tcPr>
          <w:p w14:paraId="3835E9B4" w14:textId="091D36B0" w:rsidR="03C80CDE" w:rsidRDefault="03C80CDE" w:rsidP="07FC4C9B">
            <w:pPr>
              <w:jc w:val="center"/>
              <w:rPr>
                <w:rFonts w:eastAsia="Arial" w:cs="Arial"/>
                <w:sz w:val="22"/>
                <w:szCs w:val="22"/>
              </w:rPr>
            </w:pPr>
            <w:r w:rsidRPr="07FC4C9B">
              <w:rPr>
                <w:rFonts w:eastAsia="Arial" w:cs="Arial"/>
                <w:sz w:val="22"/>
                <w:szCs w:val="22"/>
              </w:rPr>
              <w:t>6</w:t>
            </w:r>
            <w:r w:rsidR="000B4C2E">
              <w:rPr>
                <w:rFonts w:eastAsia="Arial" w:cs="Arial"/>
                <w:sz w:val="22"/>
                <w:szCs w:val="22"/>
              </w:rPr>
              <w:t>9</w:t>
            </w:r>
          </w:p>
        </w:tc>
        <w:tc>
          <w:tcPr>
            <w:tcW w:w="1617" w:type="dxa"/>
            <w:tcBorders>
              <w:top w:val="single" w:sz="4" w:space="0" w:color="auto"/>
              <w:left w:val="single" w:sz="4" w:space="0" w:color="auto"/>
              <w:bottom w:val="single" w:sz="4" w:space="0" w:color="auto"/>
              <w:right w:val="single" w:sz="4" w:space="0" w:color="auto"/>
            </w:tcBorders>
            <w:shd w:val="clear" w:color="auto" w:fill="FFC000"/>
          </w:tcPr>
          <w:p w14:paraId="1BCDFC5D" w14:textId="20B4E72C" w:rsidR="03C80CDE" w:rsidRDefault="03C80CDE" w:rsidP="07FC4C9B">
            <w:pPr>
              <w:jc w:val="center"/>
              <w:rPr>
                <w:rFonts w:eastAsia="Arial" w:cs="Arial"/>
                <w:sz w:val="22"/>
                <w:szCs w:val="22"/>
              </w:rPr>
            </w:pPr>
            <w:r w:rsidRPr="07FC4C9B">
              <w:rPr>
                <w:rFonts w:eastAsia="Arial" w:cs="Arial"/>
                <w:sz w:val="22"/>
                <w:szCs w:val="22"/>
              </w:rPr>
              <w:t>6</w:t>
            </w:r>
            <w:r w:rsidR="000B4C2E">
              <w:rPr>
                <w:rFonts w:eastAsia="Arial" w:cs="Arial"/>
                <w:sz w:val="22"/>
                <w:szCs w:val="22"/>
              </w:rPr>
              <w:t>7</w:t>
            </w:r>
            <w:r w:rsidR="00536BE0">
              <w:rPr>
                <w:rFonts w:eastAsia="Arial" w:cs="Arial"/>
                <w:sz w:val="22"/>
                <w:szCs w:val="22"/>
              </w:rPr>
              <w:t xml:space="preserve"> (+</w:t>
            </w:r>
            <w:r w:rsidR="000B4C2E">
              <w:rPr>
                <w:rFonts w:eastAsia="Arial" w:cs="Arial"/>
                <w:sz w:val="22"/>
                <w:szCs w:val="22"/>
              </w:rPr>
              <w:t>3</w:t>
            </w:r>
            <w:r w:rsidR="00536BE0">
              <w:rPr>
                <w:rFonts w:eastAsia="Arial" w:cs="Arial"/>
                <w:sz w:val="22"/>
                <w:szCs w:val="22"/>
              </w:rPr>
              <w:t>)</w:t>
            </w:r>
          </w:p>
        </w:tc>
      </w:tr>
      <w:tr w:rsidR="00E838FD" w:rsidRPr="00A54B18" w14:paraId="5714D70E" w14:textId="4477A98F" w:rsidTr="00035E7D">
        <w:trPr>
          <w:trHeight w:val="286"/>
        </w:trPr>
        <w:tc>
          <w:tcPr>
            <w:tcW w:w="5954" w:type="dxa"/>
            <w:gridSpan w:val="5"/>
            <w:tcBorders>
              <w:top w:val="single" w:sz="4" w:space="0" w:color="auto"/>
              <w:left w:val="single" w:sz="4" w:space="0" w:color="auto"/>
              <w:bottom w:val="single" w:sz="4" w:space="0" w:color="auto"/>
              <w:right w:val="single" w:sz="4" w:space="0" w:color="auto"/>
            </w:tcBorders>
          </w:tcPr>
          <w:p w14:paraId="26B0EF99" w14:textId="1DE54834" w:rsidR="008E01DF" w:rsidRPr="00A54B18" w:rsidRDefault="008E01DF" w:rsidP="005E557A">
            <w:pPr>
              <w:rPr>
                <w:rFonts w:eastAsia="Arial" w:cs="Arial"/>
                <w:sz w:val="20"/>
                <w:szCs w:val="20"/>
              </w:rPr>
            </w:pPr>
            <w:r w:rsidRPr="00A54B18">
              <w:rPr>
                <w:rStyle w:val="normaltextrun"/>
                <w:rFonts w:eastAsia="Arial" w:cs="Arial"/>
                <w:color w:val="000000"/>
                <w:sz w:val="22"/>
                <w:szCs w:val="22"/>
                <w:shd w:val="clear" w:color="auto" w:fill="FFFFFF"/>
              </w:rPr>
              <w:t>3.4 Budget spent on TA projects ($million)</w:t>
            </w:r>
            <w:r w:rsidRPr="00A54B18">
              <w:rPr>
                <w:rStyle w:val="eop"/>
                <w:rFonts w:eastAsia="Arial" w:cs="Arial"/>
                <w:color w:val="000000"/>
                <w:sz w:val="22"/>
                <w:szCs w:val="22"/>
                <w:shd w:val="clear" w:color="auto" w:fill="FFFFFF"/>
              </w:rPr>
              <w:t> </w:t>
            </w:r>
          </w:p>
        </w:tc>
        <w:tc>
          <w:tcPr>
            <w:tcW w:w="1578" w:type="dxa"/>
            <w:tcBorders>
              <w:top w:val="single" w:sz="4" w:space="0" w:color="auto"/>
              <w:left w:val="single" w:sz="4" w:space="0" w:color="auto"/>
              <w:bottom w:val="single" w:sz="4" w:space="0" w:color="auto"/>
              <w:right w:val="single" w:sz="4" w:space="0" w:color="auto"/>
            </w:tcBorders>
          </w:tcPr>
          <w:p w14:paraId="6CE47A0D" w14:textId="1518E968" w:rsidR="008E01DF" w:rsidRPr="00C427B8" w:rsidRDefault="000030CB" w:rsidP="00EA2E37">
            <w:pPr>
              <w:jc w:val="center"/>
              <w:rPr>
                <w:rFonts w:eastAsia="Arial" w:cs="Arial"/>
                <w:sz w:val="22"/>
                <w:szCs w:val="22"/>
              </w:rPr>
            </w:pPr>
            <w:r>
              <w:rPr>
                <w:rFonts w:eastAsia="Arial" w:cs="Arial"/>
                <w:sz w:val="22"/>
                <w:szCs w:val="22"/>
              </w:rPr>
              <w:t>7.2</w:t>
            </w:r>
          </w:p>
        </w:tc>
        <w:tc>
          <w:tcPr>
            <w:tcW w:w="1541" w:type="dxa"/>
            <w:tcBorders>
              <w:top w:val="single" w:sz="4" w:space="0" w:color="auto"/>
              <w:left w:val="single" w:sz="4" w:space="0" w:color="auto"/>
              <w:bottom w:val="single" w:sz="4" w:space="0" w:color="auto"/>
              <w:right w:val="single" w:sz="4" w:space="0" w:color="auto"/>
            </w:tcBorders>
            <w:shd w:val="clear" w:color="auto" w:fill="FFC000"/>
          </w:tcPr>
          <w:p w14:paraId="142B2AC7" w14:textId="3F6F6478" w:rsidR="008E01DF" w:rsidRPr="00C427B8" w:rsidRDefault="000030CB" w:rsidP="00EA2E37">
            <w:pPr>
              <w:jc w:val="center"/>
              <w:rPr>
                <w:rFonts w:eastAsia="Arial" w:cs="Arial"/>
                <w:sz w:val="22"/>
                <w:szCs w:val="22"/>
              </w:rPr>
            </w:pPr>
            <w:r>
              <w:rPr>
                <w:rFonts w:eastAsia="Arial" w:cs="Arial"/>
                <w:sz w:val="22"/>
                <w:szCs w:val="22"/>
              </w:rPr>
              <w:t>7.57</w:t>
            </w:r>
            <w:r w:rsidR="00536BE0">
              <w:rPr>
                <w:rFonts w:eastAsia="Arial" w:cs="Arial"/>
                <w:sz w:val="22"/>
                <w:szCs w:val="22"/>
              </w:rPr>
              <w:t xml:space="preserve"> (+0.8</w:t>
            </w:r>
            <w:r w:rsidR="00660543">
              <w:rPr>
                <w:rFonts w:eastAsia="Arial" w:cs="Arial"/>
                <w:sz w:val="22"/>
                <w:szCs w:val="22"/>
              </w:rPr>
              <w:t>9</w:t>
            </w:r>
            <w:r w:rsidR="00536BE0">
              <w:rPr>
                <w:rFonts w:eastAsia="Arial" w:cs="Arial"/>
                <w:sz w:val="22"/>
                <w:szCs w:val="22"/>
              </w:rPr>
              <w:t>)</w:t>
            </w:r>
          </w:p>
        </w:tc>
      </w:tr>
    </w:tbl>
    <w:p w14:paraId="0BE1D459" w14:textId="6852328C" w:rsidR="00E75614" w:rsidRPr="00A54B18" w:rsidRDefault="001BEC8C" w:rsidP="005E557A">
      <w:pPr>
        <w:pStyle w:val="Normal1"/>
        <w:spacing w:before="240"/>
        <w:jc w:val="both"/>
        <w:rPr>
          <w:sz w:val="22"/>
          <w:szCs w:val="22"/>
        </w:rPr>
      </w:pPr>
      <w:r w:rsidRPr="00A54B18">
        <w:rPr>
          <w:b/>
          <w:bCs/>
          <w:sz w:val="22"/>
          <w:szCs w:val="22"/>
        </w:rPr>
        <w:t>Key Points</w:t>
      </w:r>
    </w:p>
    <w:p w14:paraId="21294D29" w14:textId="782D7253" w:rsidR="00324CA7" w:rsidRDefault="00F40382" w:rsidP="00324CA7">
      <w:pPr>
        <w:pStyle w:val="ListParagraph"/>
        <w:numPr>
          <w:ilvl w:val="0"/>
          <w:numId w:val="10"/>
        </w:numPr>
        <w:spacing w:before="60" w:after="0"/>
        <w:contextualSpacing w:val="0"/>
        <w:jc w:val="both"/>
        <w:rPr>
          <w:rFonts w:eastAsia="Arial" w:cs="Arial"/>
          <w:color w:val="000000" w:themeColor="text1"/>
          <w:sz w:val="22"/>
          <w:szCs w:val="22"/>
        </w:rPr>
      </w:pPr>
      <w:r>
        <w:rPr>
          <w:rFonts w:eastAsia="Arial" w:cs="Arial"/>
          <w:color w:val="000000" w:themeColor="text1"/>
          <w:sz w:val="22"/>
          <w:szCs w:val="22"/>
        </w:rPr>
        <w:t>Although the expected budget for TA projects has been exceeded, cost efficiency per project increase</w:t>
      </w:r>
      <w:r w:rsidR="00BD5AFD">
        <w:rPr>
          <w:rFonts w:eastAsia="Arial" w:cs="Arial"/>
          <w:color w:val="000000" w:themeColor="text1"/>
          <w:sz w:val="22"/>
          <w:szCs w:val="22"/>
        </w:rPr>
        <w:t xml:space="preserve">d substantially with </w:t>
      </w:r>
      <w:r w:rsidR="00472B55">
        <w:rPr>
          <w:rFonts w:eastAsia="Arial" w:cs="Arial"/>
          <w:color w:val="000000" w:themeColor="text1"/>
          <w:sz w:val="22"/>
          <w:szCs w:val="22"/>
        </w:rPr>
        <w:t>2</w:t>
      </w:r>
      <w:r w:rsidR="00BD5AFD">
        <w:rPr>
          <w:rFonts w:eastAsia="Arial" w:cs="Arial"/>
          <w:color w:val="000000" w:themeColor="text1"/>
          <w:sz w:val="22"/>
          <w:szCs w:val="22"/>
        </w:rPr>
        <w:t>5 new projects being completed in 2024</w:t>
      </w:r>
      <w:r w:rsidR="00B433E1">
        <w:rPr>
          <w:rFonts w:eastAsia="Arial" w:cs="Arial"/>
          <w:color w:val="000000" w:themeColor="text1"/>
          <w:sz w:val="22"/>
          <w:szCs w:val="22"/>
        </w:rPr>
        <w:t xml:space="preserve">; the DF is achieving </w:t>
      </w:r>
      <w:r w:rsidR="00A805BC">
        <w:rPr>
          <w:rFonts w:eastAsia="Arial" w:cs="Arial"/>
          <w:color w:val="000000" w:themeColor="text1"/>
          <w:sz w:val="22"/>
          <w:szCs w:val="22"/>
        </w:rPr>
        <w:t xml:space="preserve">much </w:t>
      </w:r>
      <w:r w:rsidR="00B433E1">
        <w:rPr>
          <w:rFonts w:eastAsia="Arial" w:cs="Arial"/>
          <w:color w:val="000000" w:themeColor="text1"/>
          <w:sz w:val="22"/>
          <w:szCs w:val="22"/>
        </w:rPr>
        <w:t>more</w:t>
      </w:r>
      <w:r w:rsidR="00F73391">
        <w:rPr>
          <w:rFonts w:eastAsia="Arial" w:cs="Arial"/>
          <w:color w:val="000000" w:themeColor="text1"/>
          <w:sz w:val="22"/>
          <w:szCs w:val="22"/>
        </w:rPr>
        <w:t xml:space="preserve"> with </w:t>
      </w:r>
      <w:r w:rsidR="00A805BC">
        <w:rPr>
          <w:rFonts w:eastAsia="Arial" w:cs="Arial"/>
          <w:color w:val="000000" w:themeColor="text1"/>
          <w:sz w:val="22"/>
          <w:szCs w:val="22"/>
        </w:rPr>
        <w:t>a similar budget</w:t>
      </w:r>
      <w:r w:rsidR="0076310A">
        <w:rPr>
          <w:rFonts w:eastAsia="Arial" w:cs="Arial"/>
          <w:color w:val="000000" w:themeColor="text1"/>
          <w:sz w:val="22"/>
          <w:szCs w:val="22"/>
        </w:rPr>
        <w:t xml:space="preserve"> to previous years.</w:t>
      </w:r>
      <w:r w:rsidR="00236E90">
        <w:rPr>
          <w:rFonts w:eastAsia="Arial" w:cs="Arial"/>
          <w:color w:val="000000" w:themeColor="text1"/>
          <w:sz w:val="22"/>
          <w:szCs w:val="22"/>
        </w:rPr>
        <w:t xml:space="preserve"> We can expect the budget spent to increase again </w:t>
      </w:r>
      <w:r w:rsidR="00641FD8">
        <w:rPr>
          <w:rFonts w:eastAsia="Arial" w:cs="Arial"/>
          <w:color w:val="000000" w:themeColor="text1"/>
          <w:sz w:val="22"/>
          <w:szCs w:val="22"/>
        </w:rPr>
        <w:t xml:space="preserve">beyond the original </w:t>
      </w:r>
      <w:r w:rsidR="005E1C22">
        <w:rPr>
          <w:rFonts w:eastAsia="Arial" w:cs="Arial"/>
          <w:color w:val="000000" w:themeColor="text1"/>
          <w:sz w:val="22"/>
          <w:szCs w:val="22"/>
        </w:rPr>
        <w:t xml:space="preserve">milestones </w:t>
      </w:r>
      <w:r w:rsidR="00641FD8">
        <w:rPr>
          <w:rFonts w:eastAsia="Arial" w:cs="Arial"/>
          <w:color w:val="000000" w:themeColor="text1"/>
          <w:sz w:val="22"/>
          <w:szCs w:val="22"/>
        </w:rPr>
        <w:t>from</w:t>
      </w:r>
      <w:r w:rsidR="00236E90">
        <w:rPr>
          <w:rFonts w:eastAsia="Arial" w:cs="Arial"/>
          <w:color w:val="000000" w:themeColor="text1"/>
          <w:sz w:val="22"/>
          <w:szCs w:val="22"/>
        </w:rPr>
        <w:t xml:space="preserve"> 2025</w:t>
      </w:r>
      <w:r w:rsidR="005E1C22">
        <w:rPr>
          <w:rFonts w:eastAsia="Arial" w:cs="Arial"/>
          <w:color w:val="000000" w:themeColor="text1"/>
          <w:sz w:val="22"/>
          <w:szCs w:val="22"/>
        </w:rPr>
        <w:t xml:space="preserve"> onwards</w:t>
      </w:r>
      <w:r w:rsidR="00236E90">
        <w:rPr>
          <w:rFonts w:eastAsia="Arial" w:cs="Arial"/>
          <w:color w:val="000000" w:themeColor="text1"/>
          <w:sz w:val="22"/>
          <w:szCs w:val="22"/>
        </w:rPr>
        <w:t xml:space="preserve"> due to new </w:t>
      </w:r>
      <w:r w:rsidR="00E15890">
        <w:rPr>
          <w:rFonts w:eastAsia="Arial" w:cs="Arial"/>
          <w:color w:val="000000" w:themeColor="text1"/>
          <w:sz w:val="22"/>
          <w:szCs w:val="22"/>
        </w:rPr>
        <w:t>contributions</w:t>
      </w:r>
      <w:r w:rsidR="0018175F">
        <w:rPr>
          <w:rFonts w:eastAsia="Arial" w:cs="Arial"/>
          <w:color w:val="000000" w:themeColor="text1"/>
          <w:sz w:val="22"/>
          <w:szCs w:val="22"/>
        </w:rPr>
        <w:t xml:space="preserve"> by Defra</w:t>
      </w:r>
      <w:r w:rsidR="005E1C22">
        <w:rPr>
          <w:rFonts w:eastAsia="Arial" w:cs="Arial"/>
          <w:color w:val="000000" w:themeColor="text1"/>
          <w:sz w:val="22"/>
          <w:szCs w:val="22"/>
        </w:rPr>
        <w:t xml:space="preserve"> in March 2025</w:t>
      </w:r>
      <w:r w:rsidR="008B131D">
        <w:rPr>
          <w:rFonts w:eastAsia="Arial" w:cs="Arial"/>
          <w:color w:val="000000" w:themeColor="text1"/>
          <w:sz w:val="22"/>
          <w:szCs w:val="22"/>
        </w:rPr>
        <w:t xml:space="preserve">, and recommend </w:t>
      </w:r>
      <w:r w:rsidR="001F133A">
        <w:rPr>
          <w:rFonts w:eastAsia="Arial" w:cs="Arial"/>
          <w:color w:val="000000" w:themeColor="text1"/>
          <w:sz w:val="22"/>
          <w:szCs w:val="22"/>
        </w:rPr>
        <w:t>adapting</w:t>
      </w:r>
      <w:r w:rsidR="008B131D">
        <w:rPr>
          <w:rFonts w:eastAsia="Arial" w:cs="Arial"/>
          <w:color w:val="000000" w:themeColor="text1"/>
          <w:sz w:val="22"/>
          <w:szCs w:val="22"/>
        </w:rPr>
        <w:t xml:space="preserve"> </w:t>
      </w:r>
      <w:r w:rsidR="001F133A">
        <w:rPr>
          <w:rFonts w:eastAsia="Arial" w:cs="Arial"/>
          <w:color w:val="000000" w:themeColor="text1"/>
          <w:sz w:val="22"/>
          <w:szCs w:val="22"/>
        </w:rPr>
        <w:t>this indicator accordingly.</w:t>
      </w:r>
    </w:p>
    <w:p w14:paraId="18ECA96C" w14:textId="5B32C706" w:rsidR="008F1CD5" w:rsidRPr="0094189C" w:rsidRDefault="00C43998" w:rsidP="6AEAFF74">
      <w:pPr>
        <w:pStyle w:val="ListParagraph"/>
        <w:numPr>
          <w:ilvl w:val="0"/>
          <w:numId w:val="10"/>
        </w:numPr>
        <w:spacing w:before="60" w:after="0"/>
        <w:jc w:val="both"/>
        <w:rPr>
          <w:rFonts w:eastAsia="Arial" w:cs="Arial"/>
          <w:color w:val="000000" w:themeColor="text1"/>
          <w:sz w:val="22"/>
          <w:szCs w:val="22"/>
        </w:rPr>
      </w:pPr>
      <w:r>
        <w:rPr>
          <w:rFonts w:eastAsia="Arial" w:cs="Arial"/>
          <w:color w:val="000000" w:themeColor="text1"/>
          <w:sz w:val="22"/>
          <w:szCs w:val="22"/>
        </w:rPr>
        <w:t>A TA project was run to</w:t>
      </w:r>
      <w:r w:rsidR="00324CA7" w:rsidRPr="6AEAFF74">
        <w:rPr>
          <w:rFonts w:eastAsia="Arial" w:cs="Arial"/>
          <w:color w:val="000000" w:themeColor="text1"/>
          <w:sz w:val="22"/>
          <w:szCs w:val="22"/>
        </w:rPr>
        <w:t xml:space="preserve"> develop a </w:t>
      </w:r>
      <w:hyperlink r:id="rId22">
        <w:r w:rsidR="00324CA7" w:rsidRPr="6AEAFF74">
          <w:rPr>
            <w:rStyle w:val="Hyperlink"/>
            <w:rFonts w:eastAsia="Arial" w:cs="Arial"/>
            <w:sz w:val="22"/>
            <w:szCs w:val="22"/>
          </w:rPr>
          <w:t>new biodiversity metric</w:t>
        </w:r>
      </w:hyperlink>
      <w:r w:rsidR="00324CA7" w:rsidRPr="6AEAFF74">
        <w:rPr>
          <w:rFonts w:eastAsia="Arial" w:cs="Arial"/>
          <w:color w:val="000000" w:themeColor="text1"/>
          <w:sz w:val="22"/>
          <w:szCs w:val="22"/>
        </w:rPr>
        <w:t xml:space="preserve"> in partnership with </w:t>
      </w:r>
      <w:r w:rsidR="0051110B" w:rsidRPr="6AEAFF74">
        <w:rPr>
          <w:rFonts w:eastAsia="Arial" w:cs="Arial"/>
          <w:color w:val="000000" w:themeColor="text1"/>
          <w:sz w:val="22"/>
          <w:szCs w:val="22"/>
        </w:rPr>
        <w:t>PRé Sustainability</w:t>
      </w:r>
      <w:r w:rsidR="00FB0B58" w:rsidRPr="6AEAFF74">
        <w:rPr>
          <w:rFonts w:eastAsia="Arial" w:cs="Arial"/>
          <w:color w:val="000000" w:themeColor="text1"/>
          <w:sz w:val="22"/>
          <w:szCs w:val="22"/>
        </w:rPr>
        <w:t xml:space="preserve"> to measure the Fund’s impact on biodiversity over time</w:t>
      </w:r>
      <w:r w:rsidR="00925AC9" w:rsidRPr="6AEAFF74">
        <w:rPr>
          <w:rFonts w:eastAsia="Arial" w:cs="Arial"/>
          <w:color w:val="000000" w:themeColor="text1"/>
          <w:sz w:val="22"/>
          <w:szCs w:val="22"/>
        </w:rPr>
        <w:t>, allowing for comparison between different crops and regions to maximise impact in future.</w:t>
      </w:r>
      <w:r>
        <w:rPr>
          <w:rFonts w:eastAsia="Arial" w:cs="Arial"/>
          <w:color w:val="000000" w:themeColor="text1"/>
          <w:sz w:val="22"/>
          <w:szCs w:val="22"/>
        </w:rPr>
        <w:t xml:space="preserve"> Once fully established these results could be included in </w:t>
      </w:r>
      <w:r w:rsidR="00F84134">
        <w:rPr>
          <w:rFonts w:eastAsia="Arial" w:cs="Arial"/>
          <w:color w:val="000000" w:themeColor="text1"/>
          <w:sz w:val="22"/>
          <w:szCs w:val="22"/>
        </w:rPr>
        <w:t>Defra’s</w:t>
      </w:r>
      <w:r w:rsidR="00A054B7">
        <w:rPr>
          <w:rFonts w:eastAsia="Arial" w:cs="Arial"/>
          <w:color w:val="000000" w:themeColor="text1"/>
          <w:sz w:val="22"/>
          <w:szCs w:val="22"/>
        </w:rPr>
        <w:t xml:space="preserve"> annual review</w:t>
      </w:r>
      <w:r w:rsidR="00F84134">
        <w:rPr>
          <w:rFonts w:eastAsia="Arial" w:cs="Arial"/>
          <w:color w:val="000000" w:themeColor="text1"/>
          <w:sz w:val="22"/>
          <w:szCs w:val="22"/>
        </w:rPr>
        <w:t>s</w:t>
      </w:r>
      <w:r w:rsidR="00A054B7">
        <w:rPr>
          <w:rFonts w:eastAsia="Arial" w:cs="Arial"/>
          <w:color w:val="000000" w:themeColor="text1"/>
          <w:sz w:val="22"/>
          <w:szCs w:val="22"/>
        </w:rPr>
        <w:t>.</w:t>
      </w:r>
    </w:p>
    <w:p w14:paraId="3B156586" w14:textId="60D5B735" w:rsidR="003254E4" w:rsidRDefault="003254E4" w:rsidP="00324CA7">
      <w:pPr>
        <w:pStyle w:val="ListParagraph"/>
        <w:numPr>
          <w:ilvl w:val="0"/>
          <w:numId w:val="10"/>
        </w:numPr>
        <w:spacing w:before="60" w:after="0"/>
        <w:contextualSpacing w:val="0"/>
        <w:jc w:val="both"/>
        <w:rPr>
          <w:rFonts w:eastAsia="Arial" w:cs="Arial"/>
          <w:color w:val="000000" w:themeColor="text1"/>
          <w:sz w:val="22"/>
          <w:szCs w:val="22"/>
        </w:rPr>
      </w:pPr>
      <w:r>
        <w:rPr>
          <w:rFonts w:eastAsia="Arial" w:cs="Arial"/>
          <w:color w:val="000000" w:themeColor="text1"/>
          <w:sz w:val="22"/>
          <w:szCs w:val="22"/>
        </w:rPr>
        <w:t xml:space="preserve">Other examples of </w:t>
      </w:r>
      <w:r w:rsidR="00113352">
        <w:rPr>
          <w:rFonts w:eastAsia="Arial" w:cs="Arial"/>
          <w:color w:val="000000" w:themeColor="text1"/>
          <w:sz w:val="22"/>
          <w:szCs w:val="22"/>
        </w:rPr>
        <w:t>TA</w:t>
      </w:r>
      <w:r>
        <w:rPr>
          <w:rFonts w:eastAsia="Arial" w:cs="Arial"/>
          <w:color w:val="000000" w:themeColor="text1"/>
          <w:sz w:val="22"/>
          <w:szCs w:val="22"/>
        </w:rPr>
        <w:t xml:space="preserve"> projects include</w:t>
      </w:r>
      <w:r w:rsidR="00113352">
        <w:rPr>
          <w:rFonts w:eastAsia="Arial" w:cs="Arial"/>
          <w:color w:val="000000" w:themeColor="text1"/>
          <w:sz w:val="22"/>
          <w:szCs w:val="22"/>
        </w:rPr>
        <w:t>d</w:t>
      </w:r>
      <w:r>
        <w:rPr>
          <w:rFonts w:eastAsia="Arial" w:cs="Arial"/>
          <w:color w:val="000000" w:themeColor="text1"/>
          <w:sz w:val="22"/>
          <w:szCs w:val="22"/>
        </w:rPr>
        <w:t xml:space="preserve"> ESMS and ESG training for </w:t>
      </w:r>
      <w:r w:rsidR="00B15448">
        <w:rPr>
          <w:rFonts w:eastAsia="Arial" w:cs="Arial"/>
          <w:color w:val="000000" w:themeColor="text1"/>
          <w:sz w:val="22"/>
          <w:szCs w:val="22"/>
        </w:rPr>
        <w:t xml:space="preserve">banks, and </w:t>
      </w:r>
      <w:r w:rsidR="006B188A">
        <w:rPr>
          <w:rFonts w:eastAsia="Arial" w:cs="Arial"/>
          <w:color w:val="000000" w:themeColor="text1"/>
          <w:sz w:val="22"/>
          <w:szCs w:val="22"/>
        </w:rPr>
        <w:t xml:space="preserve">training for female smallholders on </w:t>
      </w:r>
      <w:r w:rsidR="009C0D26">
        <w:rPr>
          <w:rFonts w:eastAsia="Arial" w:cs="Arial"/>
          <w:color w:val="000000" w:themeColor="text1"/>
          <w:sz w:val="22"/>
          <w:szCs w:val="22"/>
        </w:rPr>
        <w:t>sustainable practices like cover cropping and efficient irrigation.</w:t>
      </w:r>
    </w:p>
    <w:p w14:paraId="29D30271" w14:textId="77777777" w:rsidR="00324CA7" w:rsidRPr="00324CA7" w:rsidRDefault="00324CA7" w:rsidP="00324CA7">
      <w:pPr>
        <w:pStyle w:val="ListParagraph"/>
        <w:spacing w:before="60" w:after="0"/>
        <w:ind w:left="360"/>
        <w:contextualSpacing w:val="0"/>
        <w:jc w:val="both"/>
        <w:rPr>
          <w:rFonts w:eastAsia="Arial" w:cs="Arial"/>
          <w:color w:val="000000" w:themeColor="text1"/>
          <w:sz w:val="22"/>
          <w:szCs w:val="22"/>
        </w:rPr>
      </w:pPr>
    </w:p>
    <w:p w14:paraId="6B57292A" w14:textId="77777777" w:rsidR="00E75614" w:rsidRPr="00A54B18" w:rsidRDefault="00E75614" w:rsidP="005E557A">
      <w:pPr>
        <w:rPr>
          <w:rFonts w:eastAsia="Arial" w:cs="Arial"/>
          <w:sz w:val="20"/>
          <w:szCs w:val="20"/>
        </w:rPr>
      </w:pPr>
    </w:p>
    <w:p w14:paraId="274110C9" w14:textId="0EB802ED" w:rsidR="006F3AE7" w:rsidRPr="00A54B18" w:rsidRDefault="7232A90E" w:rsidP="005E557A">
      <w:pPr>
        <w:shd w:val="clear" w:color="auto" w:fill="D9E2F3" w:themeFill="accent1" w:themeFillTint="33"/>
        <w:rPr>
          <w:rFonts w:eastAsia="Arial" w:cs="Arial"/>
          <w:sz w:val="20"/>
          <w:szCs w:val="20"/>
        </w:rPr>
      </w:pPr>
      <w:r w:rsidRPr="00A54B18">
        <w:rPr>
          <w:rFonts w:eastAsia="Arial" w:cs="Arial"/>
          <w:b/>
          <w:bCs/>
          <w:sz w:val="28"/>
          <w:szCs w:val="28"/>
        </w:rPr>
        <w:t>D: RISK</w:t>
      </w:r>
    </w:p>
    <w:p w14:paraId="046885C4" w14:textId="3EC2ADB2" w:rsidR="19A372B6" w:rsidRPr="00A54B18" w:rsidRDefault="19A372B6" w:rsidP="005E557A">
      <w:pPr>
        <w:rPr>
          <w:rFonts w:eastAsia="Arial" w:cs="Arial"/>
          <w:sz w:val="22"/>
          <w:szCs w:val="22"/>
        </w:rPr>
      </w:pPr>
    </w:p>
    <w:p w14:paraId="30977441" w14:textId="7290011D" w:rsidR="000C4593" w:rsidRDefault="00D924BF" w:rsidP="005E557A">
      <w:pPr>
        <w:jc w:val="both"/>
        <w:rPr>
          <w:rFonts w:eastAsia="Arial" w:cs="Arial"/>
          <w:color w:val="000000" w:themeColor="text1"/>
          <w:sz w:val="22"/>
          <w:szCs w:val="22"/>
        </w:rPr>
      </w:pPr>
      <w:r>
        <w:rPr>
          <w:rFonts w:eastAsia="Arial" w:cs="Arial"/>
          <w:color w:val="000000" w:themeColor="text1"/>
          <w:sz w:val="22"/>
          <w:szCs w:val="22"/>
        </w:rPr>
        <w:t xml:space="preserve">Defra’s risk appetite for this programme overall </w:t>
      </w:r>
      <w:r w:rsidR="00CC0132">
        <w:rPr>
          <w:rFonts w:eastAsia="Arial" w:cs="Arial"/>
          <w:color w:val="000000" w:themeColor="text1"/>
          <w:sz w:val="22"/>
          <w:szCs w:val="22"/>
        </w:rPr>
        <w:t>continues to be</w:t>
      </w:r>
      <w:r>
        <w:rPr>
          <w:rFonts w:eastAsia="Arial" w:cs="Arial"/>
          <w:color w:val="000000" w:themeColor="text1"/>
          <w:sz w:val="22"/>
          <w:szCs w:val="22"/>
        </w:rPr>
        <w:t xml:space="preserve"> Open</w:t>
      </w:r>
      <w:r w:rsidR="00DC1AD9">
        <w:rPr>
          <w:rFonts w:eastAsia="Arial" w:cs="Arial"/>
          <w:color w:val="000000" w:themeColor="text1"/>
          <w:sz w:val="22"/>
          <w:szCs w:val="22"/>
        </w:rPr>
        <w:t>, and m</w:t>
      </w:r>
      <w:r w:rsidR="5DAF6B1F" w:rsidRPr="00237D8D">
        <w:rPr>
          <w:rFonts w:eastAsia="Arial" w:cs="Arial"/>
          <w:color w:val="000000" w:themeColor="text1"/>
          <w:sz w:val="22"/>
          <w:szCs w:val="22"/>
        </w:rPr>
        <w:t xml:space="preserve">ost risks associated with EBF are </w:t>
      </w:r>
      <w:r w:rsidR="3D1CABB1" w:rsidRPr="00237D8D">
        <w:rPr>
          <w:rFonts w:eastAsia="Arial" w:cs="Arial"/>
          <w:color w:val="000000" w:themeColor="text1"/>
          <w:sz w:val="22"/>
          <w:szCs w:val="22"/>
        </w:rPr>
        <w:t>managed by Finance in Motion</w:t>
      </w:r>
      <w:r w:rsidR="1C192DCB" w:rsidRPr="00237D8D">
        <w:rPr>
          <w:rFonts w:eastAsia="Arial" w:cs="Arial"/>
          <w:color w:val="000000" w:themeColor="text1"/>
          <w:sz w:val="22"/>
          <w:szCs w:val="22"/>
        </w:rPr>
        <w:t xml:space="preserve"> (FiM)</w:t>
      </w:r>
      <w:r w:rsidR="3D1CABB1" w:rsidRPr="00237D8D">
        <w:rPr>
          <w:rFonts w:eastAsia="Arial" w:cs="Arial"/>
          <w:color w:val="000000" w:themeColor="text1"/>
          <w:sz w:val="22"/>
          <w:szCs w:val="22"/>
        </w:rPr>
        <w:t xml:space="preserve"> in their role as Fund Advis</w:t>
      </w:r>
      <w:r w:rsidR="00A40F47">
        <w:rPr>
          <w:rFonts w:eastAsia="Arial" w:cs="Arial"/>
          <w:color w:val="000000" w:themeColor="text1"/>
          <w:sz w:val="22"/>
          <w:szCs w:val="22"/>
        </w:rPr>
        <w:t>o</w:t>
      </w:r>
      <w:r w:rsidR="3D1CABB1" w:rsidRPr="00237D8D">
        <w:rPr>
          <w:rFonts w:eastAsia="Arial" w:cs="Arial"/>
          <w:color w:val="000000" w:themeColor="text1"/>
          <w:sz w:val="22"/>
          <w:szCs w:val="22"/>
        </w:rPr>
        <w:t xml:space="preserve">r. This includes due diligence on </w:t>
      </w:r>
      <w:r w:rsidR="1D79AD9C" w:rsidRPr="00237D8D">
        <w:rPr>
          <w:rFonts w:eastAsia="Arial" w:cs="Arial"/>
          <w:color w:val="000000" w:themeColor="text1"/>
          <w:sz w:val="22"/>
          <w:szCs w:val="22"/>
        </w:rPr>
        <w:t>PIs</w:t>
      </w:r>
      <w:r w:rsidR="3D1CABB1" w:rsidRPr="00237D8D">
        <w:rPr>
          <w:rFonts w:eastAsia="Arial" w:cs="Arial"/>
          <w:color w:val="000000" w:themeColor="text1"/>
          <w:sz w:val="22"/>
          <w:szCs w:val="22"/>
        </w:rPr>
        <w:t xml:space="preserve">, </w:t>
      </w:r>
      <w:r w:rsidR="03BF13E0" w:rsidRPr="00237D8D">
        <w:rPr>
          <w:rFonts w:eastAsia="Arial" w:cs="Arial"/>
          <w:color w:val="000000" w:themeColor="text1"/>
          <w:sz w:val="22"/>
          <w:szCs w:val="22"/>
        </w:rPr>
        <w:t xml:space="preserve">assessment of political and economic risks in target countries, financial risks to the Fund, </w:t>
      </w:r>
      <w:r w:rsidR="675E34FE" w:rsidRPr="00237D8D">
        <w:rPr>
          <w:rFonts w:eastAsia="Arial" w:cs="Arial"/>
          <w:color w:val="000000" w:themeColor="text1"/>
          <w:sz w:val="22"/>
          <w:szCs w:val="22"/>
        </w:rPr>
        <w:t>equity and safe-guarding</w:t>
      </w:r>
      <w:r w:rsidR="58E15841" w:rsidRPr="00237D8D">
        <w:rPr>
          <w:rFonts w:eastAsia="Arial" w:cs="Arial"/>
          <w:color w:val="000000" w:themeColor="text1"/>
          <w:sz w:val="22"/>
          <w:szCs w:val="22"/>
        </w:rPr>
        <w:t xml:space="preserve"> issues</w:t>
      </w:r>
      <w:r w:rsidR="675E34FE" w:rsidRPr="00237D8D">
        <w:rPr>
          <w:rFonts w:eastAsia="Arial" w:cs="Arial"/>
          <w:color w:val="000000" w:themeColor="text1"/>
          <w:sz w:val="22"/>
          <w:szCs w:val="22"/>
        </w:rPr>
        <w:t xml:space="preserve"> </w:t>
      </w:r>
      <w:r w:rsidR="03BF13E0" w:rsidRPr="00237D8D">
        <w:rPr>
          <w:rFonts w:eastAsia="Arial" w:cs="Arial"/>
          <w:color w:val="000000" w:themeColor="text1"/>
          <w:sz w:val="22"/>
          <w:szCs w:val="22"/>
        </w:rPr>
        <w:t xml:space="preserve">and implementation </w:t>
      </w:r>
      <w:r w:rsidR="58E15841" w:rsidRPr="00237D8D">
        <w:rPr>
          <w:rFonts w:eastAsia="Arial" w:cs="Arial"/>
          <w:color w:val="000000" w:themeColor="text1"/>
          <w:sz w:val="22"/>
          <w:szCs w:val="22"/>
        </w:rPr>
        <w:t>of impact assessment and reporting.</w:t>
      </w:r>
      <w:r w:rsidR="000C4593">
        <w:rPr>
          <w:rFonts w:eastAsia="Arial" w:cs="Arial"/>
          <w:color w:val="000000" w:themeColor="text1"/>
          <w:sz w:val="22"/>
          <w:szCs w:val="22"/>
        </w:rPr>
        <w:t xml:space="preserve"> </w:t>
      </w:r>
      <w:r w:rsidR="00AE1839">
        <w:rPr>
          <w:rFonts w:eastAsia="Arial" w:cs="Arial"/>
          <w:color w:val="000000" w:themeColor="text1"/>
          <w:sz w:val="22"/>
          <w:szCs w:val="22"/>
        </w:rPr>
        <w:t xml:space="preserve">Our high confidence in this arrangement </w:t>
      </w:r>
      <w:r w:rsidR="00A4109E">
        <w:rPr>
          <w:rFonts w:eastAsia="Arial" w:cs="Arial"/>
          <w:color w:val="000000" w:themeColor="text1"/>
          <w:sz w:val="22"/>
          <w:szCs w:val="22"/>
        </w:rPr>
        <w:t xml:space="preserve">is because </w:t>
      </w:r>
      <w:r w:rsidR="29CCFCB5" w:rsidRPr="00237D8D">
        <w:rPr>
          <w:rFonts w:eastAsia="Arial" w:cs="Arial"/>
          <w:color w:val="000000" w:themeColor="text1"/>
          <w:sz w:val="22"/>
          <w:szCs w:val="22"/>
        </w:rPr>
        <w:t>FiM</w:t>
      </w:r>
      <w:r w:rsidR="00C717FD">
        <w:rPr>
          <w:rFonts w:eastAsia="Arial" w:cs="Arial"/>
          <w:color w:val="000000" w:themeColor="text1"/>
          <w:sz w:val="22"/>
          <w:szCs w:val="22"/>
        </w:rPr>
        <w:t xml:space="preserve">, as a Fund </w:t>
      </w:r>
      <w:r w:rsidR="00972374">
        <w:rPr>
          <w:rFonts w:eastAsia="Arial" w:cs="Arial"/>
          <w:color w:val="000000" w:themeColor="text1"/>
          <w:sz w:val="22"/>
          <w:szCs w:val="22"/>
        </w:rPr>
        <w:t>Advisor</w:t>
      </w:r>
      <w:r w:rsidR="00C717FD">
        <w:rPr>
          <w:rFonts w:eastAsia="Arial" w:cs="Arial"/>
          <w:color w:val="000000" w:themeColor="text1"/>
          <w:sz w:val="22"/>
          <w:szCs w:val="22"/>
        </w:rPr>
        <w:t xml:space="preserve"> managing </w:t>
      </w:r>
      <w:r w:rsidR="00B00128">
        <w:rPr>
          <w:rFonts w:eastAsia="Arial" w:cs="Arial"/>
          <w:color w:val="000000" w:themeColor="text1"/>
          <w:sz w:val="22"/>
          <w:szCs w:val="22"/>
        </w:rPr>
        <w:t>several</w:t>
      </w:r>
      <w:r w:rsidR="00C717FD">
        <w:rPr>
          <w:rFonts w:eastAsia="Arial" w:cs="Arial"/>
          <w:color w:val="000000" w:themeColor="text1"/>
          <w:sz w:val="22"/>
          <w:szCs w:val="22"/>
        </w:rPr>
        <w:t xml:space="preserve"> impact funds </w:t>
      </w:r>
      <w:r w:rsidR="00B00128">
        <w:rPr>
          <w:rFonts w:eastAsia="Arial" w:cs="Arial"/>
          <w:color w:val="000000" w:themeColor="text1"/>
          <w:sz w:val="22"/>
          <w:szCs w:val="22"/>
        </w:rPr>
        <w:t>totalling</w:t>
      </w:r>
      <w:r w:rsidR="00C717FD">
        <w:rPr>
          <w:rFonts w:eastAsia="Arial" w:cs="Arial"/>
          <w:color w:val="000000" w:themeColor="text1"/>
          <w:sz w:val="22"/>
          <w:szCs w:val="22"/>
        </w:rPr>
        <w:t xml:space="preserve"> over €4 billion,</w:t>
      </w:r>
      <w:r w:rsidR="29CCFCB5" w:rsidRPr="00237D8D">
        <w:rPr>
          <w:rFonts w:eastAsia="Arial" w:cs="Arial"/>
          <w:color w:val="000000" w:themeColor="text1"/>
          <w:sz w:val="22"/>
          <w:szCs w:val="22"/>
        </w:rPr>
        <w:t xml:space="preserve"> </w:t>
      </w:r>
      <w:r w:rsidR="00C717FD">
        <w:rPr>
          <w:rFonts w:eastAsia="Arial" w:cs="Arial"/>
          <w:color w:val="000000" w:themeColor="text1"/>
          <w:sz w:val="22"/>
          <w:szCs w:val="22"/>
        </w:rPr>
        <w:t>has</w:t>
      </w:r>
      <w:r w:rsidR="2C38326A" w:rsidRPr="00237D8D">
        <w:rPr>
          <w:rFonts w:eastAsia="Arial" w:cs="Arial"/>
          <w:color w:val="000000" w:themeColor="text1"/>
          <w:sz w:val="22"/>
          <w:szCs w:val="22"/>
        </w:rPr>
        <w:t xml:space="preserve"> extensive resources </w:t>
      </w:r>
      <w:r w:rsidR="131F5F89" w:rsidRPr="00237D8D">
        <w:rPr>
          <w:rFonts w:eastAsia="Arial" w:cs="Arial"/>
          <w:color w:val="000000" w:themeColor="text1"/>
          <w:sz w:val="22"/>
          <w:szCs w:val="22"/>
        </w:rPr>
        <w:t xml:space="preserve">and significant expertise, </w:t>
      </w:r>
      <w:r w:rsidR="001802D9">
        <w:rPr>
          <w:rFonts w:eastAsia="Arial" w:cs="Arial"/>
          <w:color w:val="000000" w:themeColor="text1"/>
          <w:sz w:val="22"/>
          <w:szCs w:val="22"/>
        </w:rPr>
        <w:t>and carries</w:t>
      </w:r>
      <w:r w:rsidR="2C38326A" w:rsidRPr="00237D8D">
        <w:rPr>
          <w:rFonts w:eastAsia="Arial" w:cs="Arial"/>
          <w:color w:val="000000" w:themeColor="text1"/>
          <w:sz w:val="22"/>
          <w:szCs w:val="22"/>
        </w:rPr>
        <w:t xml:space="preserve"> out continuous risk management </w:t>
      </w:r>
      <w:r w:rsidR="001802D9">
        <w:rPr>
          <w:rFonts w:eastAsia="Arial" w:cs="Arial"/>
          <w:color w:val="000000" w:themeColor="text1"/>
          <w:sz w:val="22"/>
          <w:szCs w:val="22"/>
        </w:rPr>
        <w:t>with</w:t>
      </w:r>
      <w:r w:rsidR="2C38326A" w:rsidRPr="00237D8D">
        <w:rPr>
          <w:rFonts w:eastAsia="Arial" w:cs="Arial"/>
          <w:color w:val="000000" w:themeColor="text1"/>
          <w:sz w:val="22"/>
          <w:szCs w:val="22"/>
        </w:rPr>
        <w:t xml:space="preserve"> report</w:t>
      </w:r>
      <w:r w:rsidR="001802D9">
        <w:rPr>
          <w:rFonts w:eastAsia="Arial" w:cs="Arial"/>
          <w:color w:val="000000" w:themeColor="text1"/>
          <w:sz w:val="22"/>
          <w:szCs w:val="22"/>
        </w:rPr>
        <w:t>s</w:t>
      </w:r>
      <w:r w:rsidR="2C38326A" w:rsidRPr="00237D8D">
        <w:rPr>
          <w:rFonts w:eastAsia="Arial" w:cs="Arial"/>
          <w:color w:val="000000" w:themeColor="text1"/>
          <w:sz w:val="22"/>
          <w:szCs w:val="22"/>
        </w:rPr>
        <w:t xml:space="preserve"> to the Board every quarter. </w:t>
      </w:r>
      <w:r w:rsidR="00A10CF8" w:rsidRPr="00237D8D">
        <w:rPr>
          <w:rFonts w:eastAsia="Arial" w:cs="Arial"/>
          <w:sz w:val="22"/>
          <w:szCs w:val="22"/>
        </w:rPr>
        <w:t xml:space="preserve">FiM are themselves independently </w:t>
      </w:r>
      <w:hyperlink r:id="rId23" w:history="1">
        <w:r w:rsidR="00A10CF8" w:rsidRPr="00237D8D">
          <w:rPr>
            <w:rStyle w:val="Hyperlink"/>
            <w:rFonts w:eastAsia="Arial" w:cs="Arial"/>
            <w:sz w:val="22"/>
            <w:szCs w:val="22"/>
          </w:rPr>
          <w:t>BlueMark</w:t>
        </w:r>
      </w:hyperlink>
      <w:r w:rsidR="00A10CF8" w:rsidRPr="00237D8D">
        <w:rPr>
          <w:rFonts w:eastAsia="Arial" w:cs="Arial"/>
          <w:sz w:val="22"/>
          <w:szCs w:val="22"/>
        </w:rPr>
        <w:t xml:space="preserve"> verified as best-in-class Impact Manage</w:t>
      </w:r>
      <w:r w:rsidR="000C4593">
        <w:rPr>
          <w:rFonts w:eastAsia="Arial" w:cs="Arial"/>
          <w:sz w:val="22"/>
          <w:szCs w:val="22"/>
        </w:rPr>
        <w:t>rs</w:t>
      </w:r>
      <w:r w:rsidR="00A10CF8" w:rsidRPr="00237D8D">
        <w:rPr>
          <w:rFonts w:eastAsia="Arial" w:cs="Arial"/>
          <w:color w:val="000000" w:themeColor="text1"/>
          <w:sz w:val="22"/>
          <w:szCs w:val="22"/>
        </w:rPr>
        <w:t>.</w:t>
      </w:r>
      <w:r w:rsidR="00A10CF8">
        <w:rPr>
          <w:rFonts w:eastAsia="Arial" w:cs="Arial"/>
          <w:color w:val="000000" w:themeColor="text1"/>
          <w:sz w:val="22"/>
          <w:szCs w:val="22"/>
        </w:rPr>
        <w:t xml:space="preserve"> </w:t>
      </w:r>
    </w:p>
    <w:p w14:paraId="4F8A8B7A" w14:textId="77777777" w:rsidR="000C4593" w:rsidRDefault="000C4593" w:rsidP="005E557A">
      <w:pPr>
        <w:jc w:val="both"/>
        <w:rPr>
          <w:rFonts w:eastAsia="Arial" w:cs="Arial"/>
          <w:color w:val="000000" w:themeColor="text1"/>
          <w:sz w:val="22"/>
          <w:szCs w:val="22"/>
        </w:rPr>
      </w:pPr>
    </w:p>
    <w:p w14:paraId="7F987B1F" w14:textId="04A899AB" w:rsidR="000D16DA" w:rsidRDefault="00A4109E" w:rsidP="005E557A">
      <w:pPr>
        <w:jc w:val="both"/>
        <w:rPr>
          <w:rFonts w:eastAsia="Arial" w:cs="Arial"/>
          <w:color w:val="000000" w:themeColor="text1"/>
          <w:sz w:val="22"/>
          <w:szCs w:val="22"/>
        </w:rPr>
      </w:pPr>
      <w:r>
        <w:rPr>
          <w:rFonts w:eastAsia="Arial" w:cs="Arial"/>
          <w:color w:val="000000" w:themeColor="text1"/>
          <w:sz w:val="22"/>
          <w:szCs w:val="22"/>
        </w:rPr>
        <w:t>Through attendance as an observer at Board meetings, Defra gets first hand updates on live risks and mitigations</w:t>
      </w:r>
      <w:r w:rsidR="00FC4494">
        <w:rPr>
          <w:rFonts w:eastAsia="Arial" w:cs="Arial"/>
          <w:color w:val="000000" w:themeColor="text1"/>
          <w:sz w:val="22"/>
          <w:szCs w:val="22"/>
        </w:rPr>
        <w:t xml:space="preserve">, a system which is working well both for management of risks themselves, and for reassurance at </w:t>
      </w:r>
      <w:r w:rsidR="00D667C4">
        <w:rPr>
          <w:rFonts w:eastAsia="Arial" w:cs="Arial"/>
          <w:color w:val="000000" w:themeColor="text1"/>
          <w:sz w:val="22"/>
          <w:szCs w:val="22"/>
        </w:rPr>
        <w:t xml:space="preserve">Defra’s </w:t>
      </w:r>
      <w:r w:rsidR="00FC4494">
        <w:rPr>
          <w:rFonts w:eastAsia="Arial" w:cs="Arial"/>
          <w:color w:val="000000" w:themeColor="text1"/>
          <w:sz w:val="22"/>
          <w:szCs w:val="22"/>
        </w:rPr>
        <w:t xml:space="preserve">programme level that risks </w:t>
      </w:r>
      <w:r w:rsidR="00D667C4">
        <w:rPr>
          <w:rFonts w:eastAsia="Arial" w:cs="Arial"/>
          <w:color w:val="000000" w:themeColor="text1"/>
          <w:sz w:val="22"/>
          <w:szCs w:val="22"/>
        </w:rPr>
        <w:t>are being appropriately tracked and mitigated.</w:t>
      </w:r>
      <w:r w:rsidR="002378F1">
        <w:rPr>
          <w:rFonts w:eastAsia="Arial" w:cs="Arial"/>
          <w:color w:val="000000" w:themeColor="text1"/>
          <w:sz w:val="22"/>
          <w:szCs w:val="22"/>
        </w:rPr>
        <w:t xml:space="preserve"> Annual in-person attendance at Board meetings and </w:t>
      </w:r>
      <w:r w:rsidR="00520F77">
        <w:rPr>
          <w:rFonts w:eastAsia="Arial" w:cs="Arial"/>
          <w:color w:val="000000" w:themeColor="text1"/>
          <w:sz w:val="22"/>
          <w:szCs w:val="22"/>
        </w:rPr>
        <w:t>bi</w:t>
      </w:r>
      <w:r w:rsidR="00C050C0">
        <w:rPr>
          <w:rFonts w:eastAsia="Arial" w:cs="Arial"/>
          <w:color w:val="000000" w:themeColor="text1"/>
          <w:sz w:val="22"/>
          <w:szCs w:val="22"/>
        </w:rPr>
        <w:t xml:space="preserve">ennial </w:t>
      </w:r>
      <w:r w:rsidR="003B3385">
        <w:rPr>
          <w:rFonts w:eastAsia="Arial" w:cs="Arial"/>
          <w:color w:val="000000" w:themeColor="text1"/>
          <w:sz w:val="22"/>
          <w:szCs w:val="22"/>
        </w:rPr>
        <w:t>visits to Partner Institutions and end-borrowers provide further assurance for Defra.</w:t>
      </w:r>
    </w:p>
    <w:p w14:paraId="71FEB882" w14:textId="77777777" w:rsidR="00CC0132" w:rsidRPr="00237D8D" w:rsidRDefault="00CC0132" w:rsidP="005E557A">
      <w:pPr>
        <w:jc w:val="both"/>
        <w:rPr>
          <w:rFonts w:eastAsia="Arial" w:cs="Arial"/>
          <w:color w:val="000000" w:themeColor="text1"/>
          <w:sz w:val="22"/>
          <w:szCs w:val="22"/>
        </w:rPr>
      </w:pPr>
    </w:p>
    <w:p w14:paraId="15340EEA" w14:textId="7CE163EB" w:rsidR="000D16DA" w:rsidRDefault="00B203FD" w:rsidP="005E557A">
      <w:pPr>
        <w:jc w:val="both"/>
        <w:rPr>
          <w:rFonts w:eastAsia="Arial" w:cs="Arial"/>
          <w:color w:val="000000" w:themeColor="text1"/>
          <w:sz w:val="22"/>
          <w:szCs w:val="22"/>
        </w:rPr>
      </w:pPr>
      <w:r w:rsidRPr="00237D8D">
        <w:rPr>
          <w:rFonts w:eastAsia="Arial" w:cs="Arial"/>
          <w:color w:val="000000" w:themeColor="text1"/>
          <w:sz w:val="22"/>
          <w:szCs w:val="22"/>
        </w:rPr>
        <w:t xml:space="preserve">Defra </w:t>
      </w:r>
      <w:r w:rsidR="00FF7105">
        <w:rPr>
          <w:rFonts w:eastAsia="Arial" w:cs="Arial"/>
          <w:color w:val="000000" w:themeColor="text1"/>
          <w:sz w:val="22"/>
          <w:szCs w:val="22"/>
        </w:rPr>
        <w:t xml:space="preserve">has no formal role in the day-to-day management of </w:t>
      </w:r>
      <w:r w:rsidR="00074258">
        <w:rPr>
          <w:rFonts w:eastAsia="Arial" w:cs="Arial"/>
          <w:color w:val="000000" w:themeColor="text1"/>
          <w:sz w:val="22"/>
          <w:szCs w:val="22"/>
        </w:rPr>
        <w:t>fun</w:t>
      </w:r>
      <w:r w:rsidR="000C4593">
        <w:rPr>
          <w:rFonts w:eastAsia="Arial" w:cs="Arial"/>
          <w:color w:val="000000" w:themeColor="text1"/>
          <w:sz w:val="22"/>
          <w:szCs w:val="22"/>
        </w:rPr>
        <w:t>d</w:t>
      </w:r>
      <w:r w:rsidR="00074258">
        <w:rPr>
          <w:rFonts w:eastAsia="Arial" w:cs="Arial"/>
          <w:color w:val="000000" w:themeColor="text1"/>
          <w:sz w:val="22"/>
          <w:szCs w:val="22"/>
        </w:rPr>
        <w:t xml:space="preserve">-level risks, but </w:t>
      </w:r>
      <w:r w:rsidRPr="00237D8D">
        <w:rPr>
          <w:rFonts w:eastAsia="Arial" w:cs="Arial"/>
          <w:color w:val="000000" w:themeColor="text1"/>
          <w:sz w:val="22"/>
          <w:szCs w:val="22"/>
        </w:rPr>
        <w:t xml:space="preserve">works with other Shareholders and Board members to provide governance and support to FiM and to </w:t>
      </w:r>
      <w:r w:rsidR="00074258">
        <w:rPr>
          <w:rFonts w:eastAsia="Arial" w:cs="Arial"/>
          <w:color w:val="000000" w:themeColor="text1"/>
          <w:sz w:val="22"/>
          <w:szCs w:val="22"/>
        </w:rPr>
        <w:lastRenderedPageBreak/>
        <w:t>reas</w:t>
      </w:r>
      <w:r w:rsidRPr="00237D8D">
        <w:rPr>
          <w:rFonts w:eastAsia="Arial" w:cs="Arial"/>
          <w:color w:val="000000" w:themeColor="text1"/>
          <w:sz w:val="22"/>
          <w:szCs w:val="22"/>
        </w:rPr>
        <w:t>sure</w:t>
      </w:r>
      <w:r w:rsidR="00074258">
        <w:rPr>
          <w:rFonts w:eastAsia="Arial" w:cs="Arial"/>
          <w:color w:val="000000" w:themeColor="text1"/>
          <w:sz w:val="22"/>
          <w:szCs w:val="22"/>
        </w:rPr>
        <w:t xml:space="preserve"> ourselves that</w:t>
      </w:r>
      <w:r w:rsidRPr="00237D8D">
        <w:rPr>
          <w:rFonts w:eastAsia="Arial" w:cs="Arial"/>
          <w:color w:val="000000" w:themeColor="text1"/>
          <w:sz w:val="22"/>
          <w:szCs w:val="22"/>
        </w:rPr>
        <w:t xml:space="preserve"> they have sufficient resource and expertise to </w:t>
      </w:r>
      <w:r w:rsidR="00074258">
        <w:rPr>
          <w:rFonts w:eastAsia="Arial" w:cs="Arial"/>
          <w:color w:val="000000" w:themeColor="text1"/>
          <w:sz w:val="22"/>
          <w:szCs w:val="22"/>
        </w:rPr>
        <w:t>manage them</w:t>
      </w:r>
      <w:r w:rsidRPr="00237D8D">
        <w:rPr>
          <w:rFonts w:eastAsia="Arial" w:cs="Arial"/>
          <w:color w:val="000000" w:themeColor="text1"/>
          <w:sz w:val="22"/>
          <w:szCs w:val="22"/>
        </w:rPr>
        <w:t>. To a large extent</w:t>
      </w:r>
      <w:r w:rsidR="319776A5" w:rsidRPr="00237D8D">
        <w:rPr>
          <w:rFonts w:eastAsia="Arial" w:cs="Arial"/>
          <w:color w:val="000000" w:themeColor="text1"/>
          <w:sz w:val="22"/>
          <w:szCs w:val="22"/>
        </w:rPr>
        <w:t>,</w:t>
      </w:r>
      <w:r w:rsidRPr="00237D8D">
        <w:rPr>
          <w:rFonts w:eastAsia="Arial" w:cs="Arial"/>
          <w:color w:val="000000" w:themeColor="text1"/>
          <w:sz w:val="22"/>
          <w:szCs w:val="22"/>
        </w:rPr>
        <w:t xml:space="preserve"> the impacts projected in the Business Case have already been met, </w:t>
      </w:r>
      <w:r w:rsidR="005446F7" w:rsidRPr="00237D8D">
        <w:rPr>
          <w:rFonts w:eastAsia="Arial" w:cs="Arial"/>
          <w:color w:val="000000" w:themeColor="text1"/>
          <w:sz w:val="22"/>
          <w:szCs w:val="22"/>
        </w:rPr>
        <w:t xml:space="preserve">so </w:t>
      </w:r>
      <w:r w:rsidR="002378F1">
        <w:rPr>
          <w:rFonts w:eastAsia="Arial" w:cs="Arial"/>
          <w:color w:val="000000" w:themeColor="text1"/>
          <w:sz w:val="22"/>
          <w:szCs w:val="22"/>
        </w:rPr>
        <w:t xml:space="preserve">in terms of our objectives </w:t>
      </w:r>
      <w:r w:rsidR="005446F7" w:rsidRPr="00237D8D">
        <w:rPr>
          <w:rFonts w:eastAsia="Arial" w:cs="Arial"/>
          <w:color w:val="000000" w:themeColor="text1"/>
          <w:sz w:val="22"/>
          <w:szCs w:val="22"/>
        </w:rPr>
        <w:t xml:space="preserve">Defra’s </w:t>
      </w:r>
      <w:r w:rsidR="000F0421">
        <w:rPr>
          <w:rFonts w:eastAsia="Arial" w:cs="Arial"/>
          <w:color w:val="000000" w:themeColor="text1"/>
          <w:sz w:val="22"/>
          <w:szCs w:val="22"/>
        </w:rPr>
        <w:t xml:space="preserve">programme-level </w:t>
      </w:r>
      <w:r w:rsidR="005446F7" w:rsidRPr="00237D8D">
        <w:rPr>
          <w:rFonts w:eastAsia="Arial" w:cs="Arial"/>
          <w:color w:val="000000" w:themeColor="text1"/>
          <w:sz w:val="22"/>
          <w:szCs w:val="22"/>
        </w:rPr>
        <w:t>risk is reduced every year,</w:t>
      </w:r>
      <w:r w:rsidRPr="00237D8D">
        <w:rPr>
          <w:rFonts w:eastAsia="Arial" w:cs="Arial"/>
          <w:color w:val="000000" w:themeColor="text1"/>
          <w:sz w:val="22"/>
          <w:szCs w:val="22"/>
        </w:rPr>
        <w:t xml:space="preserve"> but </w:t>
      </w:r>
      <w:r w:rsidR="005446F7" w:rsidRPr="00237D8D">
        <w:rPr>
          <w:rFonts w:eastAsia="Arial" w:cs="Arial"/>
          <w:color w:val="000000" w:themeColor="text1"/>
          <w:sz w:val="22"/>
          <w:szCs w:val="22"/>
        </w:rPr>
        <w:t xml:space="preserve">some </w:t>
      </w:r>
      <w:r w:rsidRPr="00237D8D">
        <w:rPr>
          <w:rFonts w:eastAsia="Arial" w:cs="Arial"/>
          <w:color w:val="000000" w:themeColor="text1"/>
          <w:sz w:val="22"/>
          <w:szCs w:val="22"/>
        </w:rPr>
        <w:t xml:space="preserve">future impact could </w:t>
      </w:r>
      <w:r w:rsidR="005446F7" w:rsidRPr="00237D8D">
        <w:rPr>
          <w:rFonts w:eastAsia="Arial" w:cs="Arial"/>
          <w:color w:val="000000" w:themeColor="text1"/>
          <w:sz w:val="22"/>
          <w:szCs w:val="22"/>
        </w:rPr>
        <w:t>still</w:t>
      </w:r>
      <w:r w:rsidRPr="00237D8D">
        <w:rPr>
          <w:rFonts w:eastAsia="Arial" w:cs="Arial"/>
          <w:color w:val="000000" w:themeColor="text1"/>
          <w:sz w:val="22"/>
          <w:szCs w:val="22"/>
        </w:rPr>
        <w:t xml:space="preserve"> be jeopardised by </w:t>
      </w:r>
      <w:r w:rsidR="000F0421">
        <w:rPr>
          <w:rFonts w:eastAsia="Arial" w:cs="Arial"/>
          <w:color w:val="000000" w:themeColor="text1"/>
          <w:sz w:val="22"/>
          <w:szCs w:val="22"/>
        </w:rPr>
        <w:t>a serious incident</w:t>
      </w:r>
      <w:r w:rsidRPr="00237D8D">
        <w:rPr>
          <w:rFonts w:eastAsia="Arial" w:cs="Arial"/>
          <w:color w:val="000000" w:themeColor="text1"/>
          <w:sz w:val="22"/>
          <w:szCs w:val="22"/>
        </w:rPr>
        <w:t>.</w:t>
      </w:r>
    </w:p>
    <w:p w14:paraId="6CFC85B2" w14:textId="77777777" w:rsidR="00C367FF" w:rsidRDefault="00C367FF" w:rsidP="005E557A">
      <w:pPr>
        <w:jc w:val="both"/>
        <w:rPr>
          <w:rFonts w:eastAsia="Arial" w:cs="Arial"/>
          <w:color w:val="000000" w:themeColor="text1"/>
          <w:sz w:val="22"/>
          <w:szCs w:val="22"/>
        </w:rPr>
      </w:pPr>
    </w:p>
    <w:p w14:paraId="20F4B629" w14:textId="0EDE8EC9" w:rsidR="009A57FF" w:rsidRPr="009A57FF" w:rsidRDefault="009A57FF" w:rsidP="005E557A">
      <w:pPr>
        <w:jc w:val="both"/>
        <w:rPr>
          <w:rFonts w:eastAsia="Arial" w:cs="Arial"/>
          <w:color w:val="000000" w:themeColor="text1"/>
          <w:sz w:val="22"/>
          <w:szCs w:val="22"/>
          <w:u w:val="single"/>
        </w:rPr>
      </w:pPr>
      <w:r>
        <w:rPr>
          <w:rFonts w:eastAsia="Arial" w:cs="Arial"/>
          <w:color w:val="000000" w:themeColor="text1"/>
          <w:sz w:val="22"/>
          <w:szCs w:val="22"/>
          <w:u w:val="single"/>
        </w:rPr>
        <w:t>Fraud</w:t>
      </w:r>
    </w:p>
    <w:p w14:paraId="120B861C" w14:textId="77777777" w:rsidR="009A57FF" w:rsidRDefault="009A57FF" w:rsidP="005E557A">
      <w:pPr>
        <w:jc w:val="both"/>
        <w:rPr>
          <w:rFonts w:eastAsia="Arial" w:cs="Arial"/>
          <w:color w:val="000000" w:themeColor="text1"/>
          <w:sz w:val="22"/>
          <w:szCs w:val="22"/>
        </w:rPr>
      </w:pPr>
    </w:p>
    <w:p w14:paraId="181379B5" w14:textId="4AE704B6" w:rsidR="00C367FF" w:rsidRDefault="00C367FF" w:rsidP="005E557A">
      <w:pPr>
        <w:jc w:val="both"/>
        <w:rPr>
          <w:rFonts w:eastAsia="Arial" w:cs="Arial"/>
          <w:color w:val="000000" w:themeColor="text1"/>
          <w:sz w:val="22"/>
          <w:szCs w:val="22"/>
        </w:rPr>
      </w:pPr>
      <w:r>
        <w:rPr>
          <w:rFonts w:eastAsia="Arial" w:cs="Arial"/>
          <w:color w:val="000000" w:themeColor="text1"/>
          <w:sz w:val="22"/>
          <w:szCs w:val="22"/>
        </w:rPr>
        <w:t>No inciden</w:t>
      </w:r>
      <w:r w:rsidR="00351D22">
        <w:rPr>
          <w:rFonts w:eastAsia="Arial" w:cs="Arial"/>
          <w:color w:val="000000" w:themeColor="text1"/>
          <w:sz w:val="22"/>
          <w:szCs w:val="22"/>
        </w:rPr>
        <w:t>t</w:t>
      </w:r>
      <w:r>
        <w:rPr>
          <w:rFonts w:eastAsia="Arial" w:cs="Arial"/>
          <w:color w:val="000000" w:themeColor="text1"/>
          <w:sz w:val="22"/>
          <w:szCs w:val="22"/>
        </w:rPr>
        <w:t>s of fraud were reported to Defra in 2024</w:t>
      </w:r>
      <w:r w:rsidR="007D1309">
        <w:rPr>
          <w:rFonts w:eastAsia="Arial" w:cs="Arial"/>
          <w:color w:val="000000" w:themeColor="text1"/>
          <w:sz w:val="22"/>
          <w:szCs w:val="22"/>
        </w:rPr>
        <w:t xml:space="preserve">. </w:t>
      </w:r>
      <w:r w:rsidR="00336810">
        <w:rPr>
          <w:rFonts w:eastAsia="Arial" w:cs="Arial"/>
          <w:color w:val="000000" w:themeColor="text1"/>
          <w:sz w:val="22"/>
          <w:szCs w:val="22"/>
        </w:rPr>
        <w:t>The Fund is regulated under Luxembourg Law</w:t>
      </w:r>
      <w:r w:rsidR="005A2875">
        <w:rPr>
          <w:rFonts w:eastAsia="Arial" w:cs="Arial"/>
          <w:color w:val="000000" w:themeColor="text1"/>
          <w:sz w:val="22"/>
          <w:szCs w:val="22"/>
        </w:rPr>
        <w:t xml:space="preserve"> and subject to the resulting counter-fraud requirements</w:t>
      </w:r>
      <w:r w:rsidR="00E572A9">
        <w:rPr>
          <w:rFonts w:eastAsia="Arial" w:cs="Arial"/>
          <w:color w:val="000000" w:themeColor="text1"/>
          <w:sz w:val="22"/>
          <w:szCs w:val="22"/>
        </w:rPr>
        <w:t xml:space="preserve">, and </w:t>
      </w:r>
      <w:r w:rsidR="00941AC1">
        <w:rPr>
          <w:rFonts w:eastAsia="Arial" w:cs="Arial"/>
          <w:color w:val="000000" w:themeColor="text1"/>
          <w:sz w:val="22"/>
          <w:szCs w:val="22"/>
        </w:rPr>
        <w:t>FiM</w:t>
      </w:r>
      <w:r w:rsidR="00E572A9">
        <w:rPr>
          <w:rFonts w:eastAsia="Arial" w:cs="Arial"/>
          <w:color w:val="000000" w:themeColor="text1"/>
          <w:sz w:val="22"/>
          <w:szCs w:val="22"/>
        </w:rPr>
        <w:t xml:space="preserve"> </w:t>
      </w:r>
      <w:r w:rsidR="00941AC1">
        <w:rPr>
          <w:rFonts w:eastAsia="Arial" w:cs="Arial"/>
          <w:color w:val="000000" w:themeColor="text1"/>
          <w:sz w:val="22"/>
          <w:szCs w:val="22"/>
        </w:rPr>
        <w:t xml:space="preserve">have </w:t>
      </w:r>
      <w:r w:rsidR="00941AC1" w:rsidRPr="00941AC1">
        <w:rPr>
          <w:rFonts w:eastAsia="Arial" w:cs="Arial"/>
          <w:color w:val="000000" w:themeColor="text1"/>
          <w:sz w:val="22"/>
          <w:szCs w:val="22"/>
        </w:rPr>
        <w:t>robust internal investment controls, and carry out extensive due diligence on their investors and investees</w:t>
      </w:r>
      <w:r w:rsidR="00E572A9">
        <w:rPr>
          <w:rFonts w:eastAsia="Arial" w:cs="Arial"/>
          <w:color w:val="000000" w:themeColor="text1"/>
          <w:sz w:val="22"/>
          <w:szCs w:val="22"/>
        </w:rPr>
        <w:t>.</w:t>
      </w:r>
      <w:r w:rsidR="009C6946">
        <w:rPr>
          <w:rFonts w:eastAsia="Arial" w:cs="Arial"/>
          <w:color w:val="000000" w:themeColor="text1"/>
          <w:sz w:val="22"/>
          <w:szCs w:val="22"/>
        </w:rPr>
        <w:t xml:space="preserve"> Defra’s transactions with the Fund and loans and sub-loans further down the delivery chain are </w:t>
      </w:r>
      <w:r w:rsidR="002E6934">
        <w:rPr>
          <w:rFonts w:eastAsia="Arial" w:cs="Arial"/>
          <w:color w:val="000000" w:themeColor="text1"/>
          <w:sz w:val="22"/>
          <w:szCs w:val="22"/>
        </w:rPr>
        <w:t xml:space="preserve">commercial arrangements where the risk of fraud is lower than traditional grant-based </w:t>
      </w:r>
      <w:r w:rsidR="002260C1">
        <w:rPr>
          <w:rFonts w:eastAsia="Arial" w:cs="Arial"/>
          <w:color w:val="000000" w:themeColor="text1"/>
          <w:sz w:val="22"/>
          <w:szCs w:val="22"/>
        </w:rPr>
        <w:t>ODA spend, as it is in each institution’</w:t>
      </w:r>
      <w:r w:rsidR="00DA6F7A">
        <w:rPr>
          <w:rFonts w:eastAsia="Arial" w:cs="Arial"/>
          <w:color w:val="000000" w:themeColor="text1"/>
          <w:sz w:val="22"/>
          <w:szCs w:val="22"/>
        </w:rPr>
        <w:t>s direct</w:t>
      </w:r>
      <w:r w:rsidR="002260C1">
        <w:rPr>
          <w:rFonts w:eastAsia="Arial" w:cs="Arial"/>
          <w:color w:val="000000" w:themeColor="text1"/>
          <w:sz w:val="22"/>
          <w:szCs w:val="22"/>
        </w:rPr>
        <w:t xml:space="preserve"> interests to track and ensure return of their loans</w:t>
      </w:r>
      <w:r w:rsidR="00DA6F7A">
        <w:rPr>
          <w:rFonts w:eastAsia="Arial" w:cs="Arial"/>
          <w:color w:val="000000" w:themeColor="text1"/>
          <w:sz w:val="22"/>
          <w:szCs w:val="22"/>
        </w:rPr>
        <w:t xml:space="preserve">. </w:t>
      </w:r>
      <w:r w:rsidR="00936EDF">
        <w:rPr>
          <w:rFonts w:eastAsia="Arial" w:cs="Arial"/>
          <w:color w:val="000000" w:themeColor="text1"/>
          <w:sz w:val="22"/>
          <w:szCs w:val="22"/>
        </w:rPr>
        <w:t xml:space="preserve">Detailed spend </w:t>
      </w:r>
      <w:r w:rsidR="006A2A59">
        <w:rPr>
          <w:rFonts w:eastAsia="Arial" w:cs="Arial"/>
          <w:color w:val="000000" w:themeColor="text1"/>
          <w:sz w:val="22"/>
          <w:szCs w:val="22"/>
        </w:rPr>
        <w:t xml:space="preserve">for the Development Facility </w:t>
      </w:r>
      <w:r w:rsidR="00936EDF">
        <w:rPr>
          <w:rFonts w:eastAsia="Arial" w:cs="Arial"/>
          <w:color w:val="000000" w:themeColor="text1"/>
          <w:sz w:val="22"/>
          <w:szCs w:val="22"/>
        </w:rPr>
        <w:t xml:space="preserve">and audited accounts </w:t>
      </w:r>
      <w:r w:rsidR="006A2A59">
        <w:rPr>
          <w:rFonts w:eastAsia="Arial" w:cs="Arial"/>
          <w:color w:val="000000" w:themeColor="text1"/>
          <w:sz w:val="22"/>
          <w:szCs w:val="22"/>
        </w:rPr>
        <w:t xml:space="preserve">for the Fund overall </w:t>
      </w:r>
      <w:r w:rsidR="00936EDF">
        <w:rPr>
          <w:rFonts w:eastAsia="Arial" w:cs="Arial"/>
          <w:color w:val="000000" w:themeColor="text1"/>
          <w:sz w:val="22"/>
          <w:szCs w:val="22"/>
        </w:rPr>
        <w:t xml:space="preserve">are shared with </w:t>
      </w:r>
      <w:r w:rsidR="006A2A59">
        <w:rPr>
          <w:rFonts w:eastAsia="Arial" w:cs="Arial"/>
          <w:color w:val="000000" w:themeColor="text1"/>
          <w:sz w:val="22"/>
          <w:szCs w:val="22"/>
        </w:rPr>
        <w:t xml:space="preserve">Defra through committee meetings and the Fund’s annual </w:t>
      </w:r>
      <w:r w:rsidR="008F63CC">
        <w:rPr>
          <w:rFonts w:eastAsia="Arial" w:cs="Arial"/>
          <w:color w:val="000000" w:themeColor="text1"/>
          <w:sz w:val="22"/>
          <w:szCs w:val="22"/>
        </w:rPr>
        <w:t xml:space="preserve">shareholder </w:t>
      </w:r>
      <w:r w:rsidR="006A2A59">
        <w:rPr>
          <w:rFonts w:eastAsia="Arial" w:cs="Arial"/>
          <w:color w:val="000000" w:themeColor="text1"/>
          <w:sz w:val="22"/>
          <w:szCs w:val="22"/>
        </w:rPr>
        <w:t>reporting duty.</w:t>
      </w:r>
      <w:r w:rsidR="005F0071">
        <w:rPr>
          <w:rFonts w:eastAsia="Arial" w:cs="Arial"/>
          <w:color w:val="000000" w:themeColor="text1"/>
          <w:sz w:val="22"/>
          <w:szCs w:val="22"/>
        </w:rPr>
        <w:t xml:space="preserve"> From a programme </w:t>
      </w:r>
      <w:r w:rsidR="002A1931">
        <w:rPr>
          <w:rFonts w:eastAsia="Arial" w:cs="Arial"/>
          <w:color w:val="000000" w:themeColor="text1"/>
          <w:sz w:val="22"/>
          <w:szCs w:val="22"/>
        </w:rPr>
        <w:t xml:space="preserve">and reputational </w:t>
      </w:r>
      <w:r w:rsidR="005F0071">
        <w:rPr>
          <w:rFonts w:eastAsia="Arial" w:cs="Arial"/>
          <w:color w:val="000000" w:themeColor="text1"/>
          <w:sz w:val="22"/>
          <w:szCs w:val="22"/>
        </w:rPr>
        <w:t>perspective</w:t>
      </w:r>
      <w:r w:rsidR="00E631EA">
        <w:rPr>
          <w:rFonts w:eastAsia="Arial" w:cs="Arial"/>
          <w:color w:val="000000" w:themeColor="text1"/>
          <w:sz w:val="22"/>
          <w:szCs w:val="22"/>
        </w:rPr>
        <w:t>, further reassurance comes from the fact that if</w:t>
      </w:r>
      <w:r w:rsidR="005F0071">
        <w:rPr>
          <w:rFonts w:eastAsia="Arial" w:cs="Arial"/>
          <w:color w:val="000000" w:themeColor="text1"/>
          <w:sz w:val="22"/>
          <w:szCs w:val="22"/>
        </w:rPr>
        <w:t xml:space="preserve"> fraud </w:t>
      </w:r>
      <w:r w:rsidR="00E631EA">
        <w:rPr>
          <w:rFonts w:eastAsia="Arial" w:cs="Arial"/>
          <w:color w:val="000000" w:themeColor="text1"/>
          <w:sz w:val="22"/>
          <w:szCs w:val="22"/>
        </w:rPr>
        <w:t>does</w:t>
      </w:r>
      <w:r w:rsidR="005F0071">
        <w:rPr>
          <w:rFonts w:eastAsia="Arial" w:cs="Arial"/>
          <w:color w:val="000000" w:themeColor="text1"/>
          <w:sz w:val="22"/>
          <w:szCs w:val="22"/>
        </w:rPr>
        <w:t xml:space="preserve"> occur downstream then the responsibility for </w:t>
      </w:r>
      <w:r w:rsidR="00E631EA">
        <w:rPr>
          <w:rFonts w:eastAsia="Arial" w:cs="Arial"/>
          <w:color w:val="000000" w:themeColor="text1"/>
          <w:sz w:val="22"/>
          <w:szCs w:val="22"/>
        </w:rPr>
        <w:t xml:space="preserve">managing and mitigating </w:t>
      </w:r>
      <w:r w:rsidR="005F0071">
        <w:rPr>
          <w:rFonts w:eastAsia="Arial" w:cs="Arial"/>
          <w:color w:val="000000" w:themeColor="text1"/>
          <w:sz w:val="22"/>
          <w:szCs w:val="22"/>
        </w:rPr>
        <w:t>this is clearly with the Fund and the relevant PI, and not with Defra.</w:t>
      </w:r>
      <w:r w:rsidR="005D2BD1">
        <w:rPr>
          <w:rFonts w:eastAsia="Arial" w:cs="Arial"/>
          <w:color w:val="000000" w:themeColor="text1"/>
          <w:sz w:val="22"/>
          <w:szCs w:val="22"/>
        </w:rPr>
        <w:t xml:space="preserve"> A recommendation has been taken to review FiM’s counter-fraud measures</w:t>
      </w:r>
      <w:r w:rsidR="00434FDA" w:rsidRPr="00434FDA">
        <w:rPr>
          <w:rFonts w:eastAsia="Arial" w:cs="Arial"/>
          <w:color w:val="000000" w:themeColor="text1"/>
          <w:sz w:val="22"/>
          <w:szCs w:val="22"/>
        </w:rPr>
        <w:t xml:space="preserve"> </w:t>
      </w:r>
      <w:r w:rsidR="00434FDA">
        <w:rPr>
          <w:rFonts w:eastAsia="Arial" w:cs="Arial"/>
          <w:color w:val="000000" w:themeColor="text1"/>
          <w:sz w:val="22"/>
          <w:szCs w:val="22"/>
        </w:rPr>
        <w:t>before the next AR</w:t>
      </w:r>
      <w:r w:rsidR="005D2BD1">
        <w:rPr>
          <w:rFonts w:eastAsia="Arial" w:cs="Arial"/>
          <w:color w:val="000000" w:themeColor="text1"/>
          <w:sz w:val="22"/>
          <w:szCs w:val="22"/>
        </w:rPr>
        <w:t>.</w:t>
      </w:r>
    </w:p>
    <w:p w14:paraId="5F44532F" w14:textId="77777777" w:rsidR="009A57FF" w:rsidRDefault="009A57FF" w:rsidP="005E557A">
      <w:pPr>
        <w:jc w:val="both"/>
        <w:rPr>
          <w:rFonts w:eastAsia="Arial" w:cs="Arial"/>
          <w:color w:val="000000" w:themeColor="text1"/>
          <w:sz w:val="22"/>
          <w:szCs w:val="22"/>
        </w:rPr>
      </w:pPr>
    </w:p>
    <w:p w14:paraId="101F8254" w14:textId="6E9E319C" w:rsidR="009A57FF" w:rsidRPr="00287147" w:rsidRDefault="009A57FF" w:rsidP="005E557A">
      <w:pPr>
        <w:jc w:val="both"/>
        <w:rPr>
          <w:rFonts w:eastAsia="Arial" w:cs="Arial"/>
          <w:color w:val="000000" w:themeColor="text1"/>
          <w:sz w:val="22"/>
          <w:szCs w:val="22"/>
          <w:u w:val="single"/>
        </w:rPr>
      </w:pPr>
      <w:r w:rsidRPr="00287147">
        <w:rPr>
          <w:rFonts w:eastAsia="Arial" w:cs="Arial"/>
          <w:color w:val="000000" w:themeColor="text1"/>
          <w:sz w:val="22"/>
          <w:szCs w:val="22"/>
          <w:u w:val="single"/>
        </w:rPr>
        <w:t>Safeguarding</w:t>
      </w:r>
    </w:p>
    <w:p w14:paraId="42C0843F" w14:textId="77777777" w:rsidR="00287147" w:rsidRDefault="00287147" w:rsidP="005E557A">
      <w:pPr>
        <w:jc w:val="both"/>
        <w:rPr>
          <w:rFonts w:eastAsia="Arial" w:cs="Arial"/>
          <w:color w:val="000000" w:themeColor="text1"/>
          <w:sz w:val="22"/>
          <w:szCs w:val="22"/>
        </w:rPr>
      </w:pPr>
    </w:p>
    <w:p w14:paraId="1106BC20" w14:textId="34BD6263" w:rsidR="00287147" w:rsidRDefault="00287147" w:rsidP="00287147">
      <w:pPr>
        <w:jc w:val="both"/>
        <w:rPr>
          <w:rFonts w:eastAsia="Arial" w:cs="Arial"/>
          <w:color w:val="000000" w:themeColor="text1"/>
          <w:sz w:val="22"/>
          <w:szCs w:val="22"/>
        </w:rPr>
      </w:pPr>
      <w:r w:rsidRPr="00287147">
        <w:rPr>
          <w:rFonts w:eastAsia="Arial" w:cs="Arial"/>
          <w:color w:val="000000" w:themeColor="text1"/>
          <w:sz w:val="22"/>
          <w:szCs w:val="22"/>
        </w:rPr>
        <w:t xml:space="preserve">Defra’s programme team </w:t>
      </w:r>
      <w:r w:rsidR="00D959D8">
        <w:rPr>
          <w:rFonts w:eastAsia="Arial" w:cs="Arial"/>
          <w:color w:val="000000" w:themeColor="text1"/>
          <w:sz w:val="22"/>
          <w:szCs w:val="22"/>
        </w:rPr>
        <w:t>has carried out a SEAH safeguarding assessment</w:t>
      </w:r>
      <w:r w:rsidR="00835586">
        <w:rPr>
          <w:rFonts w:eastAsia="Arial" w:cs="Arial"/>
          <w:color w:val="000000" w:themeColor="text1"/>
          <w:sz w:val="22"/>
          <w:szCs w:val="22"/>
        </w:rPr>
        <w:t xml:space="preserve"> </w:t>
      </w:r>
      <w:r w:rsidR="00D51BC1">
        <w:rPr>
          <w:rFonts w:eastAsia="Arial" w:cs="Arial"/>
          <w:color w:val="000000" w:themeColor="text1"/>
          <w:sz w:val="22"/>
          <w:szCs w:val="22"/>
        </w:rPr>
        <w:t>covering governance, risk management, whistle-blowing and other aspects of SEAH</w:t>
      </w:r>
      <w:r w:rsidR="00E21831">
        <w:rPr>
          <w:rFonts w:eastAsia="Arial" w:cs="Arial"/>
          <w:color w:val="000000" w:themeColor="text1"/>
          <w:sz w:val="22"/>
          <w:szCs w:val="22"/>
        </w:rPr>
        <w:t xml:space="preserve"> safeguarding.</w:t>
      </w:r>
      <w:r w:rsidR="00D959D8">
        <w:rPr>
          <w:rFonts w:eastAsia="Arial" w:cs="Arial"/>
          <w:color w:val="000000" w:themeColor="text1"/>
          <w:sz w:val="22"/>
          <w:szCs w:val="22"/>
        </w:rPr>
        <w:t xml:space="preserve"> </w:t>
      </w:r>
      <w:r w:rsidR="00985A1C">
        <w:rPr>
          <w:rFonts w:eastAsia="Arial" w:cs="Arial"/>
          <w:color w:val="000000" w:themeColor="text1"/>
          <w:sz w:val="22"/>
          <w:szCs w:val="22"/>
        </w:rPr>
        <w:t xml:space="preserve">Defra </w:t>
      </w:r>
      <w:r w:rsidRPr="00287147">
        <w:rPr>
          <w:rFonts w:eastAsia="Arial" w:cs="Arial"/>
          <w:color w:val="000000" w:themeColor="text1"/>
          <w:sz w:val="22"/>
          <w:szCs w:val="22"/>
        </w:rPr>
        <w:t>has no</w:t>
      </w:r>
      <w:r w:rsidR="00E21831">
        <w:rPr>
          <w:rFonts w:eastAsia="Arial" w:cs="Arial"/>
          <w:color w:val="000000" w:themeColor="text1"/>
          <w:sz w:val="22"/>
          <w:szCs w:val="22"/>
        </w:rPr>
        <w:t xml:space="preserve"> </w:t>
      </w:r>
      <w:r w:rsidRPr="00287147">
        <w:rPr>
          <w:rFonts w:eastAsia="Arial" w:cs="Arial"/>
          <w:color w:val="000000" w:themeColor="text1"/>
          <w:sz w:val="22"/>
          <w:szCs w:val="22"/>
        </w:rPr>
        <w:t xml:space="preserve">involvement in any areas where there might be safeguarding risks, and responsibility </w:t>
      </w:r>
      <w:r w:rsidR="00E21831">
        <w:rPr>
          <w:rFonts w:eastAsia="Arial" w:cs="Arial"/>
          <w:color w:val="000000" w:themeColor="text1"/>
          <w:sz w:val="22"/>
          <w:szCs w:val="22"/>
        </w:rPr>
        <w:t xml:space="preserve">for managing it </w:t>
      </w:r>
      <w:r w:rsidRPr="00287147">
        <w:rPr>
          <w:rFonts w:eastAsia="Arial" w:cs="Arial"/>
          <w:color w:val="000000" w:themeColor="text1"/>
          <w:sz w:val="22"/>
          <w:szCs w:val="22"/>
        </w:rPr>
        <w:t>lies with FiM.</w:t>
      </w:r>
      <w:r w:rsidR="0064584D">
        <w:rPr>
          <w:rFonts w:eastAsia="Arial" w:cs="Arial"/>
          <w:color w:val="000000" w:themeColor="text1"/>
          <w:sz w:val="22"/>
          <w:szCs w:val="22"/>
        </w:rPr>
        <w:t xml:space="preserve"> </w:t>
      </w:r>
      <w:r w:rsidRPr="00287147">
        <w:rPr>
          <w:rFonts w:eastAsia="Arial" w:cs="Arial"/>
          <w:color w:val="000000" w:themeColor="text1"/>
          <w:sz w:val="22"/>
          <w:szCs w:val="22"/>
        </w:rPr>
        <w:t xml:space="preserve">FiM have a safeguarding policy for all Advisor staff working with children or adults at risk </w:t>
      </w:r>
      <w:r w:rsidR="0064584D">
        <w:rPr>
          <w:rFonts w:eastAsia="Arial" w:cs="Arial"/>
          <w:color w:val="000000" w:themeColor="text1"/>
          <w:sz w:val="22"/>
          <w:szCs w:val="22"/>
        </w:rPr>
        <w:t>that</w:t>
      </w:r>
      <w:r w:rsidRPr="00287147">
        <w:rPr>
          <w:rFonts w:eastAsia="Arial" w:cs="Arial"/>
          <w:color w:val="000000" w:themeColor="text1"/>
          <w:sz w:val="22"/>
          <w:szCs w:val="22"/>
        </w:rPr>
        <w:t xml:space="preserve"> addresses child safeguarding, adult safeguarding, and protection from sexual exploitation and abuse. It covers the actions the Fund takes to safeguard children and adults at risk and in response to any reported violations of this policy.</w:t>
      </w:r>
      <w:r w:rsidR="00D93B8C">
        <w:rPr>
          <w:rFonts w:eastAsia="Arial" w:cs="Arial"/>
          <w:color w:val="000000" w:themeColor="text1"/>
          <w:sz w:val="22"/>
          <w:szCs w:val="22"/>
        </w:rPr>
        <w:t xml:space="preserve"> </w:t>
      </w:r>
      <w:r w:rsidRPr="00287147">
        <w:rPr>
          <w:rFonts w:eastAsia="Arial" w:cs="Arial"/>
          <w:color w:val="000000" w:themeColor="text1"/>
          <w:sz w:val="22"/>
          <w:szCs w:val="22"/>
        </w:rPr>
        <w:t>These include making relevant staff aware of their responsibilities, identifying risks when designing activities, implementing safeguarding procedures in recruitment, management and deployment of staff, and ensuring relevant staff receive training on safeguarding.</w:t>
      </w:r>
      <w:r w:rsidR="00D93B8C">
        <w:rPr>
          <w:rFonts w:eastAsia="Arial" w:cs="Arial"/>
          <w:color w:val="000000" w:themeColor="text1"/>
          <w:sz w:val="22"/>
          <w:szCs w:val="22"/>
        </w:rPr>
        <w:t xml:space="preserve"> </w:t>
      </w:r>
      <w:r w:rsidR="005A3A6C">
        <w:rPr>
          <w:rFonts w:eastAsia="Arial" w:cs="Arial"/>
          <w:color w:val="000000" w:themeColor="text1"/>
          <w:sz w:val="22"/>
          <w:szCs w:val="22"/>
        </w:rPr>
        <w:t>We have high confidence in the Fund’s processes.</w:t>
      </w:r>
    </w:p>
    <w:p w14:paraId="022C9C66" w14:textId="77777777" w:rsidR="00287147" w:rsidRDefault="00287147" w:rsidP="005E557A">
      <w:pPr>
        <w:jc w:val="both"/>
        <w:rPr>
          <w:rFonts w:eastAsia="Arial" w:cs="Arial"/>
          <w:color w:val="000000" w:themeColor="text1"/>
          <w:sz w:val="22"/>
          <w:szCs w:val="22"/>
        </w:rPr>
      </w:pPr>
    </w:p>
    <w:p w14:paraId="5C97C31C" w14:textId="02A4C13B" w:rsidR="001D3E30" w:rsidRDefault="005B30D1" w:rsidP="005E557A">
      <w:pPr>
        <w:jc w:val="both"/>
        <w:rPr>
          <w:rFonts w:eastAsia="Arial" w:cs="Arial"/>
          <w:color w:val="000000" w:themeColor="text1"/>
          <w:sz w:val="22"/>
          <w:szCs w:val="22"/>
        </w:rPr>
      </w:pPr>
      <w:r>
        <w:rPr>
          <w:rFonts w:eastAsia="Arial" w:cs="Arial"/>
          <w:color w:val="000000" w:themeColor="text1"/>
          <w:sz w:val="22"/>
          <w:szCs w:val="22"/>
          <w:u w:val="single"/>
        </w:rPr>
        <w:t>Financial</w:t>
      </w:r>
    </w:p>
    <w:p w14:paraId="5424D090" w14:textId="77777777" w:rsidR="005B30D1" w:rsidRDefault="005B30D1" w:rsidP="005E557A">
      <w:pPr>
        <w:jc w:val="both"/>
        <w:rPr>
          <w:rFonts w:eastAsia="Arial" w:cs="Arial"/>
          <w:color w:val="000000" w:themeColor="text1"/>
          <w:sz w:val="22"/>
          <w:szCs w:val="22"/>
        </w:rPr>
      </w:pPr>
    </w:p>
    <w:p w14:paraId="587A1147" w14:textId="71C5A444" w:rsidR="005B30D1" w:rsidRPr="005B30D1" w:rsidRDefault="003556C5" w:rsidP="005E557A">
      <w:pPr>
        <w:jc w:val="both"/>
        <w:rPr>
          <w:rFonts w:eastAsia="Arial" w:cs="Arial"/>
          <w:color w:val="000000" w:themeColor="text1"/>
          <w:sz w:val="22"/>
          <w:szCs w:val="22"/>
        </w:rPr>
      </w:pPr>
      <w:r w:rsidRPr="00982DD2">
        <w:rPr>
          <w:rFonts w:eastAsia="Arial" w:cs="Arial"/>
          <w:color w:val="000000" w:themeColor="text1"/>
          <w:sz w:val="22"/>
          <w:szCs w:val="22"/>
        </w:rPr>
        <w:t xml:space="preserve">The Fund’s investments are </w:t>
      </w:r>
      <w:r w:rsidR="000D527C" w:rsidRPr="00982DD2">
        <w:rPr>
          <w:rFonts w:eastAsia="Arial" w:cs="Arial"/>
          <w:color w:val="000000" w:themeColor="text1"/>
          <w:sz w:val="22"/>
          <w:szCs w:val="22"/>
        </w:rPr>
        <w:t>deliberately spread across countries and institutions, with public funding allowing some higher risk investments within the portfolio. Over the Fund’s lifetime a small number of these have defaulted</w:t>
      </w:r>
      <w:r w:rsidR="00663C8D" w:rsidRPr="00982DD2">
        <w:rPr>
          <w:rFonts w:eastAsia="Arial" w:cs="Arial"/>
          <w:color w:val="000000" w:themeColor="text1"/>
          <w:sz w:val="22"/>
          <w:szCs w:val="22"/>
        </w:rPr>
        <w:t xml:space="preserve">, </w:t>
      </w:r>
      <w:r w:rsidR="000E2405" w:rsidRPr="00982DD2">
        <w:rPr>
          <w:rFonts w:eastAsia="Arial" w:cs="Arial"/>
          <w:color w:val="000000" w:themeColor="text1"/>
          <w:sz w:val="22"/>
          <w:szCs w:val="22"/>
        </w:rPr>
        <w:t>causing the Fund to draw on public Junior shares to protect senior investors.</w:t>
      </w:r>
      <w:r w:rsidR="00E7290A" w:rsidRPr="00982DD2">
        <w:rPr>
          <w:rFonts w:eastAsia="Arial" w:cs="Arial"/>
          <w:color w:val="000000" w:themeColor="text1"/>
          <w:sz w:val="22"/>
          <w:szCs w:val="22"/>
        </w:rPr>
        <w:t xml:space="preserve"> Without the current 20% </w:t>
      </w:r>
      <w:r w:rsidR="000E1692" w:rsidRPr="00982DD2">
        <w:rPr>
          <w:rFonts w:eastAsia="Arial" w:cs="Arial"/>
          <w:color w:val="000000" w:themeColor="text1"/>
          <w:sz w:val="22"/>
          <w:szCs w:val="22"/>
        </w:rPr>
        <w:t>proportion of Junior shares in the Fund, investments would have to take fewer risks to be commercially viable</w:t>
      </w:r>
      <w:r w:rsidR="00F252A5" w:rsidRPr="00982DD2">
        <w:rPr>
          <w:rFonts w:eastAsia="Arial" w:cs="Arial"/>
          <w:color w:val="000000" w:themeColor="text1"/>
          <w:sz w:val="22"/>
          <w:szCs w:val="22"/>
        </w:rPr>
        <w:t>, and several countries in the portfolio might not receive investment at all. This underscores the importance of public funding to the Fund</w:t>
      </w:r>
      <w:r w:rsidR="000034BE" w:rsidRPr="00982DD2">
        <w:rPr>
          <w:rFonts w:eastAsia="Arial" w:cs="Arial"/>
          <w:color w:val="000000" w:themeColor="text1"/>
          <w:sz w:val="22"/>
          <w:szCs w:val="22"/>
        </w:rPr>
        <w:t>, and the additionality it brings in allowing the Fund to invest where others are not able to.</w:t>
      </w:r>
      <w:r w:rsidR="00517971" w:rsidRPr="00982DD2">
        <w:rPr>
          <w:rFonts w:eastAsia="Arial" w:cs="Arial"/>
          <w:color w:val="000000" w:themeColor="text1"/>
          <w:sz w:val="22"/>
          <w:szCs w:val="22"/>
        </w:rPr>
        <w:t xml:space="preserve"> If </w:t>
      </w:r>
      <w:r w:rsidR="007665A1" w:rsidRPr="00982DD2">
        <w:rPr>
          <w:rFonts w:eastAsia="Arial" w:cs="Arial"/>
          <w:color w:val="000000" w:themeColor="text1"/>
          <w:sz w:val="22"/>
          <w:szCs w:val="22"/>
        </w:rPr>
        <w:t xml:space="preserve">the Fund took a higher risk approach than this then it would risk burning through </w:t>
      </w:r>
      <w:r w:rsidR="00D40D8A" w:rsidRPr="00982DD2">
        <w:rPr>
          <w:rFonts w:eastAsia="Arial" w:cs="Arial"/>
          <w:color w:val="000000" w:themeColor="text1"/>
          <w:sz w:val="22"/>
          <w:szCs w:val="22"/>
        </w:rPr>
        <w:t>too much Junior capital too quickly, and falling below the 20% margin that gives private capital confidence to continue investing.</w:t>
      </w:r>
    </w:p>
    <w:p w14:paraId="3467AD47" w14:textId="77777777" w:rsidR="001D3E30" w:rsidRDefault="001D3E30" w:rsidP="005E557A">
      <w:pPr>
        <w:jc w:val="both"/>
        <w:rPr>
          <w:rFonts w:eastAsia="Arial" w:cs="Arial"/>
          <w:color w:val="000000" w:themeColor="text1"/>
          <w:sz w:val="22"/>
          <w:szCs w:val="22"/>
        </w:rPr>
      </w:pPr>
    </w:p>
    <w:p w14:paraId="25558ADE" w14:textId="7D51DBE9" w:rsidR="00287147" w:rsidRPr="00287147" w:rsidRDefault="00287147" w:rsidP="005E557A">
      <w:pPr>
        <w:jc w:val="both"/>
        <w:rPr>
          <w:rFonts w:eastAsia="Arial" w:cs="Arial"/>
          <w:color w:val="000000" w:themeColor="text1"/>
          <w:sz w:val="22"/>
          <w:szCs w:val="22"/>
          <w:u w:val="single"/>
        </w:rPr>
      </w:pPr>
      <w:r w:rsidRPr="00287147">
        <w:rPr>
          <w:rFonts w:eastAsia="Arial" w:cs="Arial"/>
          <w:color w:val="000000" w:themeColor="text1"/>
          <w:sz w:val="22"/>
          <w:szCs w:val="22"/>
          <w:u w:val="single"/>
        </w:rPr>
        <w:t>Conclusion</w:t>
      </w:r>
    </w:p>
    <w:p w14:paraId="48379C97" w14:textId="77777777" w:rsidR="00FB439D" w:rsidRPr="00237D8D" w:rsidRDefault="00FB439D" w:rsidP="005E557A">
      <w:pPr>
        <w:jc w:val="both"/>
        <w:rPr>
          <w:rFonts w:eastAsia="Arial" w:cs="Arial"/>
          <w:color w:val="000000" w:themeColor="text1"/>
          <w:sz w:val="22"/>
          <w:szCs w:val="22"/>
        </w:rPr>
      </w:pPr>
    </w:p>
    <w:p w14:paraId="303493FA" w14:textId="245F52AE" w:rsidR="00FB439D" w:rsidRPr="00237D8D" w:rsidRDefault="58EDEF59" w:rsidP="005E557A">
      <w:pPr>
        <w:jc w:val="both"/>
        <w:rPr>
          <w:rFonts w:eastAsia="Arial" w:cs="Arial"/>
          <w:color w:val="000000" w:themeColor="text1"/>
          <w:sz w:val="22"/>
          <w:szCs w:val="22"/>
        </w:rPr>
      </w:pPr>
      <w:r w:rsidRPr="00237D8D">
        <w:rPr>
          <w:rFonts w:eastAsia="Arial" w:cs="Arial"/>
          <w:color w:val="000000" w:themeColor="text1"/>
          <w:sz w:val="22"/>
          <w:szCs w:val="22"/>
        </w:rPr>
        <w:t>No risks required intervention from Defra in 202</w:t>
      </w:r>
      <w:r w:rsidR="00FF2ED8">
        <w:rPr>
          <w:rFonts w:eastAsia="Arial" w:cs="Arial"/>
          <w:color w:val="000000" w:themeColor="text1"/>
          <w:sz w:val="22"/>
          <w:szCs w:val="22"/>
        </w:rPr>
        <w:t>4</w:t>
      </w:r>
      <w:r w:rsidRPr="00237D8D">
        <w:rPr>
          <w:rFonts w:eastAsia="Arial" w:cs="Arial"/>
          <w:color w:val="000000" w:themeColor="text1"/>
          <w:sz w:val="22"/>
          <w:szCs w:val="22"/>
        </w:rPr>
        <w:t xml:space="preserve">. </w:t>
      </w:r>
      <w:r w:rsidR="00FF2ED8">
        <w:rPr>
          <w:rFonts w:eastAsia="Arial" w:cs="Arial"/>
          <w:sz w:val="22"/>
          <w:szCs w:val="22"/>
        </w:rPr>
        <w:t>T</w:t>
      </w:r>
      <w:r w:rsidR="009E36F0" w:rsidRPr="00237D8D">
        <w:rPr>
          <w:rFonts w:eastAsia="Arial" w:cs="Arial"/>
          <w:sz w:val="22"/>
          <w:szCs w:val="22"/>
        </w:rPr>
        <w:t>he Risk Rating for the programme is assessed at ‘Medium’ for 202</w:t>
      </w:r>
      <w:r w:rsidR="00FF2ED8">
        <w:rPr>
          <w:rFonts w:eastAsia="Arial" w:cs="Arial"/>
          <w:sz w:val="22"/>
          <w:szCs w:val="22"/>
        </w:rPr>
        <w:t>4</w:t>
      </w:r>
      <w:r w:rsidR="009E36F0" w:rsidRPr="00237D8D">
        <w:rPr>
          <w:rFonts w:eastAsia="Arial" w:cs="Arial"/>
          <w:sz w:val="22"/>
          <w:szCs w:val="22"/>
        </w:rPr>
        <w:t xml:space="preserve">, as </w:t>
      </w:r>
      <w:r w:rsidR="00376ED7">
        <w:rPr>
          <w:rFonts w:eastAsia="Arial" w:cs="Arial"/>
          <w:sz w:val="22"/>
          <w:szCs w:val="22"/>
        </w:rPr>
        <w:t xml:space="preserve">impact investments in sustainable agriculture </w:t>
      </w:r>
      <w:r w:rsidR="00333953">
        <w:rPr>
          <w:rFonts w:eastAsia="Arial" w:cs="Arial"/>
          <w:sz w:val="22"/>
          <w:szCs w:val="22"/>
        </w:rPr>
        <w:t xml:space="preserve">in Latin America </w:t>
      </w:r>
      <w:r w:rsidR="00376ED7">
        <w:rPr>
          <w:rFonts w:eastAsia="Arial" w:cs="Arial"/>
          <w:sz w:val="22"/>
          <w:szCs w:val="22"/>
        </w:rPr>
        <w:t xml:space="preserve">are inherently </w:t>
      </w:r>
      <w:r w:rsidR="00333953">
        <w:rPr>
          <w:rFonts w:eastAsia="Arial" w:cs="Arial"/>
          <w:sz w:val="22"/>
          <w:szCs w:val="22"/>
        </w:rPr>
        <w:t>high risk</w:t>
      </w:r>
      <w:r w:rsidR="00376ED7">
        <w:rPr>
          <w:rFonts w:eastAsia="Arial" w:cs="Arial"/>
          <w:sz w:val="22"/>
          <w:szCs w:val="22"/>
        </w:rPr>
        <w:t xml:space="preserve">, </w:t>
      </w:r>
      <w:r w:rsidR="00333953">
        <w:rPr>
          <w:rFonts w:eastAsia="Arial" w:cs="Arial"/>
          <w:sz w:val="22"/>
          <w:szCs w:val="22"/>
        </w:rPr>
        <w:t xml:space="preserve">but </w:t>
      </w:r>
      <w:r w:rsidR="00A73BA7">
        <w:rPr>
          <w:rFonts w:eastAsia="Arial" w:cs="Arial"/>
          <w:sz w:val="22"/>
          <w:szCs w:val="22"/>
        </w:rPr>
        <w:t>management and mitigation of risks is strong,</w:t>
      </w:r>
      <w:r w:rsidR="00FB2CFB">
        <w:rPr>
          <w:rFonts w:eastAsia="Arial" w:cs="Arial"/>
          <w:sz w:val="22"/>
          <w:szCs w:val="22"/>
        </w:rPr>
        <w:t xml:space="preserve"> financial losses so far are within Defra’s risk appetite,</w:t>
      </w:r>
      <w:r w:rsidR="00A73BA7">
        <w:rPr>
          <w:rFonts w:eastAsia="Arial" w:cs="Arial"/>
          <w:sz w:val="22"/>
          <w:szCs w:val="22"/>
        </w:rPr>
        <w:t xml:space="preserve"> and </w:t>
      </w:r>
      <w:r w:rsidR="009E36F0" w:rsidRPr="00237D8D">
        <w:rPr>
          <w:rFonts w:eastAsia="Arial" w:cs="Arial"/>
          <w:sz w:val="22"/>
          <w:szCs w:val="22"/>
        </w:rPr>
        <w:t xml:space="preserve">the programme is continuing to show </w:t>
      </w:r>
      <w:r w:rsidR="00C358BB" w:rsidRPr="00237D8D">
        <w:rPr>
          <w:rFonts w:eastAsia="Arial" w:cs="Arial"/>
          <w:sz w:val="22"/>
          <w:szCs w:val="22"/>
        </w:rPr>
        <w:t>strong</w:t>
      </w:r>
      <w:r w:rsidR="009E36F0" w:rsidRPr="00237D8D">
        <w:rPr>
          <w:rFonts w:eastAsia="Arial" w:cs="Arial"/>
          <w:sz w:val="22"/>
          <w:szCs w:val="22"/>
        </w:rPr>
        <w:t xml:space="preserve"> results for climate and nature impacts, </w:t>
      </w:r>
      <w:r w:rsidR="00A73BA7">
        <w:rPr>
          <w:rFonts w:eastAsia="Arial" w:cs="Arial"/>
          <w:sz w:val="22"/>
          <w:szCs w:val="22"/>
        </w:rPr>
        <w:t>which have</w:t>
      </w:r>
      <w:r w:rsidR="00F479C7">
        <w:rPr>
          <w:rFonts w:eastAsia="Arial" w:cs="Arial"/>
          <w:sz w:val="22"/>
          <w:szCs w:val="22"/>
        </w:rPr>
        <w:t xml:space="preserve"> already </w:t>
      </w:r>
      <w:r w:rsidR="00291072">
        <w:rPr>
          <w:rFonts w:eastAsia="Arial" w:cs="Arial"/>
          <w:sz w:val="22"/>
          <w:szCs w:val="22"/>
        </w:rPr>
        <w:t>met</w:t>
      </w:r>
      <w:r w:rsidR="00F479C7">
        <w:rPr>
          <w:rFonts w:eastAsia="Arial" w:cs="Arial"/>
          <w:sz w:val="22"/>
          <w:szCs w:val="22"/>
        </w:rPr>
        <w:t xml:space="preserve"> many of the</w:t>
      </w:r>
      <w:r w:rsidR="00607A2E">
        <w:rPr>
          <w:rFonts w:eastAsia="Arial" w:cs="Arial"/>
          <w:sz w:val="22"/>
          <w:szCs w:val="22"/>
        </w:rPr>
        <w:t xml:space="preserve"> targets set in </w:t>
      </w:r>
      <w:r w:rsidR="009E36F0" w:rsidRPr="00237D8D">
        <w:rPr>
          <w:rFonts w:eastAsia="Arial" w:cs="Arial"/>
          <w:sz w:val="22"/>
          <w:szCs w:val="22"/>
        </w:rPr>
        <w:t xml:space="preserve">the </w:t>
      </w:r>
      <w:r w:rsidR="00607A2E">
        <w:rPr>
          <w:rFonts w:eastAsia="Arial" w:cs="Arial"/>
          <w:sz w:val="22"/>
          <w:szCs w:val="22"/>
        </w:rPr>
        <w:t xml:space="preserve">programme’s original </w:t>
      </w:r>
      <w:r w:rsidR="00291072">
        <w:rPr>
          <w:rFonts w:eastAsia="Arial" w:cs="Arial"/>
          <w:sz w:val="22"/>
          <w:szCs w:val="22"/>
        </w:rPr>
        <w:t>LogFrame</w:t>
      </w:r>
      <w:r w:rsidR="009E36F0" w:rsidRPr="00237D8D">
        <w:rPr>
          <w:rFonts w:eastAsia="Arial" w:cs="Arial"/>
          <w:sz w:val="22"/>
          <w:szCs w:val="22"/>
        </w:rPr>
        <w:t>.</w:t>
      </w:r>
    </w:p>
    <w:p w14:paraId="5B7F0AF0" w14:textId="2025C438" w:rsidR="0096193C" w:rsidRPr="00A54B18" w:rsidRDefault="0096193C" w:rsidP="005E557A">
      <w:pPr>
        <w:rPr>
          <w:rFonts w:eastAsia="Arial" w:cs="Arial"/>
          <w:sz w:val="20"/>
          <w:szCs w:val="20"/>
        </w:rPr>
      </w:pPr>
    </w:p>
    <w:p w14:paraId="63E56392" w14:textId="77777777" w:rsidR="009551D0" w:rsidRPr="00A54B18" w:rsidRDefault="009551D0" w:rsidP="005E557A">
      <w:pPr>
        <w:rPr>
          <w:rFonts w:eastAsia="Arial" w:cs="Arial"/>
          <w:sz w:val="20"/>
          <w:szCs w:val="20"/>
        </w:rPr>
      </w:pPr>
    </w:p>
    <w:p w14:paraId="5381FC2A" w14:textId="25303B77" w:rsidR="006F3AE7" w:rsidRPr="00A54B18" w:rsidRDefault="7232A90E" w:rsidP="005E557A">
      <w:pPr>
        <w:pBdr>
          <w:top w:val="single" w:sz="4" w:space="1" w:color="auto"/>
          <w:left w:val="single" w:sz="4" w:space="4" w:color="auto"/>
          <w:bottom w:val="single" w:sz="4" w:space="1" w:color="auto"/>
          <w:right w:val="single" w:sz="4" w:space="4" w:color="auto"/>
        </w:pBdr>
        <w:shd w:val="clear" w:color="auto" w:fill="D9E2F3" w:themeFill="accent1" w:themeFillTint="33"/>
        <w:rPr>
          <w:rFonts w:eastAsia="Arial" w:cs="Arial"/>
          <w:sz w:val="20"/>
          <w:szCs w:val="20"/>
        </w:rPr>
      </w:pPr>
      <w:r w:rsidRPr="00A54B18">
        <w:rPr>
          <w:rFonts w:eastAsia="Arial" w:cs="Arial"/>
          <w:b/>
          <w:bCs/>
          <w:sz w:val="28"/>
          <w:szCs w:val="28"/>
        </w:rPr>
        <w:t xml:space="preserve">E: PROGRAMME MANAGEMENT: </w:t>
      </w:r>
      <w:bookmarkStart w:id="0" w:name="_Hlk21353049"/>
      <w:r w:rsidRPr="00A54B18">
        <w:rPr>
          <w:rFonts w:eastAsia="Arial" w:cs="Arial"/>
          <w:b/>
          <w:bCs/>
          <w:sz w:val="28"/>
          <w:szCs w:val="28"/>
        </w:rPr>
        <w:t>DELIVERY, COMMERCIAL &amp; FINANCIAL PERFORMANCE</w:t>
      </w:r>
      <w:bookmarkEnd w:id="0"/>
    </w:p>
    <w:p w14:paraId="3D27A1A8" w14:textId="77777777" w:rsidR="009C2200" w:rsidRDefault="009C2200" w:rsidP="009C2200">
      <w:pPr>
        <w:spacing w:line="257" w:lineRule="auto"/>
        <w:jc w:val="both"/>
        <w:rPr>
          <w:rFonts w:eastAsia="Arial" w:cs="Arial"/>
          <w:b/>
          <w:bCs/>
          <w:sz w:val="22"/>
          <w:szCs w:val="22"/>
          <w:u w:val="single"/>
        </w:rPr>
      </w:pPr>
    </w:p>
    <w:p w14:paraId="30F58B45" w14:textId="7DF1B7DD" w:rsidR="009C2200" w:rsidRPr="009C2200" w:rsidRDefault="009C2200" w:rsidP="009B4253">
      <w:pPr>
        <w:spacing w:after="160" w:line="257" w:lineRule="auto"/>
        <w:jc w:val="both"/>
        <w:rPr>
          <w:rFonts w:eastAsia="Arial" w:cs="Arial"/>
          <w:sz w:val="22"/>
          <w:szCs w:val="22"/>
          <w:u w:val="single"/>
        </w:rPr>
      </w:pPr>
      <w:r w:rsidRPr="009C2200">
        <w:rPr>
          <w:rFonts w:eastAsia="Arial" w:cs="Arial"/>
          <w:b/>
          <w:bCs/>
          <w:sz w:val="22"/>
          <w:szCs w:val="22"/>
          <w:u w:val="single"/>
        </w:rPr>
        <w:t>Summary of performance</w:t>
      </w:r>
    </w:p>
    <w:p w14:paraId="74A3C248" w14:textId="7B6E72F7" w:rsidR="0075462B" w:rsidRDefault="005D0637" w:rsidP="009C2200">
      <w:pPr>
        <w:spacing w:line="257" w:lineRule="auto"/>
        <w:jc w:val="both"/>
        <w:rPr>
          <w:rFonts w:eastAsia="Arial" w:cs="Arial"/>
          <w:sz w:val="22"/>
          <w:szCs w:val="22"/>
        </w:rPr>
      </w:pPr>
      <w:r>
        <w:rPr>
          <w:rFonts w:eastAsia="Arial" w:cs="Arial"/>
          <w:sz w:val="22"/>
          <w:szCs w:val="22"/>
        </w:rPr>
        <w:t xml:space="preserve">The Fund Advisor </w:t>
      </w:r>
      <w:r w:rsidR="00341320">
        <w:rPr>
          <w:rFonts w:eastAsia="Arial" w:cs="Arial"/>
          <w:sz w:val="22"/>
          <w:szCs w:val="22"/>
        </w:rPr>
        <w:t xml:space="preserve">(FiM) </w:t>
      </w:r>
      <w:r>
        <w:rPr>
          <w:rFonts w:eastAsia="Arial" w:cs="Arial"/>
          <w:sz w:val="22"/>
          <w:szCs w:val="22"/>
        </w:rPr>
        <w:t xml:space="preserve">performed well in 2024, </w:t>
      </w:r>
      <w:r w:rsidR="00511DE7">
        <w:rPr>
          <w:rFonts w:eastAsia="Arial" w:cs="Arial"/>
          <w:sz w:val="22"/>
          <w:szCs w:val="22"/>
        </w:rPr>
        <w:t xml:space="preserve">expanding into Brazil and making several new investments. Fund-raising was held back by a lack of junior capital, but </w:t>
      </w:r>
      <w:r w:rsidR="00341320">
        <w:rPr>
          <w:rFonts w:eastAsia="Arial" w:cs="Arial"/>
          <w:sz w:val="22"/>
          <w:szCs w:val="22"/>
        </w:rPr>
        <w:t>FiM’s</w:t>
      </w:r>
      <w:r w:rsidR="0049753E">
        <w:rPr>
          <w:rFonts w:eastAsia="Arial" w:cs="Arial"/>
          <w:sz w:val="22"/>
          <w:szCs w:val="22"/>
        </w:rPr>
        <w:t xml:space="preserve"> close collaboration with the programme team</w:t>
      </w:r>
      <w:r w:rsidR="001679DE">
        <w:rPr>
          <w:rFonts w:eastAsia="Arial" w:cs="Arial"/>
          <w:sz w:val="22"/>
          <w:szCs w:val="22"/>
        </w:rPr>
        <w:t xml:space="preserve"> allowed us to make a strong case for further investment, </w:t>
      </w:r>
      <w:r w:rsidR="00341320">
        <w:rPr>
          <w:rFonts w:eastAsia="Arial" w:cs="Arial"/>
          <w:sz w:val="22"/>
          <w:szCs w:val="22"/>
        </w:rPr>
        <w:t>with an additional £9.1m allocated (plus a contribution to TA)</w:t>
      </w:r>
      <w:r w:rsidR="0049753E">
        <w:rPr>
          <w:rFonts w:eastAsia="Arial" w:cs="Arial"/>
          <w:sz w:val="22"/>
          <w:szCs w:val="22"/>
        </w:rPr>
        <w:t xml:space="preserve"> </w:t>
      </w:r>
      <w:r w:rsidR="00341320">
        <w:rPr>
          <w:rFonts w:eastAsia="Arial" w:cs="Arial"/>
          <w:sz w:val="22"/>
          <w:szCs w:val="22"/>
        </w:rPr>
        <w:t xml:space="preserve">in </w:t>
      </w:r>
      <w:r w:rsidR="006F1B87">
        <w:rPr>
          <w:rFonts w:eastAsia="Arial" w:cs="Arial"/>
          <w:sz w:val="22"/>
          <w:szCs w:val="22"/>
        </w:rPr>
        <w:t>2025</w:t>
      </w:r>
      <w:r w:rsidR="00795318">
        <w:rPr>
          <w:rFonts w:eastAsia="Arial" w:cs="Arial"/>
          <w:sz w:val="22"/>
          <w:szCs w:val="22"/>
        </w:rPr>
        <w:t>. This will unlock up to four times that amount in senior capital, and extend the significant impact the programme is having more widely and for a longer period of time.</w:t>
      </w:r>
    </w:p>
    <w:p w14:paraId="4D8968F6" w14:textId="77777777" w:rsidR="002B38D4" w:rsidRDefault="002B38D4" w:rsidP="009C2200">
      <w:pPr>
        <w:spacing w:line="257" w:lineRule="auto"/>
        <w:jc w:val="both"/>
        <w:rPr>
          <w:rFonts w:eastAsia="Arial" w:cs="Arial"/>
          <w:sz w:val="22"/>
          <w:szCs w:val="22"/>
        </w:rPr>
      </w:pPr>
    </w:p>
    <w:p w14:paraId="3CFC6D70" w14:textId="38D0821B" w:rsidR="00D27CFD" w:rsidRDefault="002B38D4" w:rsidP="009C2200">
      <w:pPr>
        <w:spacing w:line="257" w:lineRule="auto"/>
        <w:jc w:val="both"/>
        <w:rPr>
          <w:rFonts w:eastAsia="Arial" w:cs="Arial"/>
          <w:sz w:val="22"/>
          <w:szCs w:val="22"/>
        </w:rPr>
      </w:pPr>
      <w:r>
        <w:rPr>
          <w:rFonts w:eastAsia="Arial" w:cs="Arial"/>
          <w:sz w:val="22"/>
          <w:szCs w:val="22"/>
        </w:rPr>
        <w:t xml:space="preserve">Defra’s field visit to Caja Cusco </w:t>
      </w:r>
      <w:r w:rsidR="00CF2C39">
        <w:rPr>
          <w:rFonts w:eastAsia="Arial" w:cs="Arial"/>
          <w:sz w:val="22"/>
          <w:szCs w:val="22"/>
        </w:rPr>
        <w:t xml:space="preserve">in Peru </w:t>
      </w:r>
      <w:r w:rsidR="00774448">
        <w:rPr>
          <w:rFonts w:eastAsia="Arial" w:cs="Arial"/>
          <w:sz w:val="22"/>
          <w:szCs w:val="22"/>
        </w:rPr>
        <w:t xml:space="preserve">in June 2025 </w:t>
      </w:r>
      <w:r w:rsidR="00CF2C39">
        <w:rPr>
          <w:rFonts w:eastAsia="Arial" w:cs="Arial"/>
          <w:sz w:val="22"/>
          <w:szCs w:val="22"/>
        </w:rPr>
        <w:t>found this new partner of the Fund to be strongly aligned with Defra’s principles on</w:t>
      </w:r>
      <w:r w:rsidR="00774448">
        <w:rPr>
          <w:rFonts w:eastAsia="Arial" w:cs="Arial"/>
          <w:sz w:val="22"/>
          <w:szCs w:val="22"/>
        </w:rPr>
        <w:t xml:space="preserve"> climate, nature, gender equity and poverty. This increased confidence that FIM is making good decisions about </w:t>
      </w:r>
      <w:r w:rsidR="00955C37">
        <w:rPr>
          <w:rFonts w:eastAsia="Arial" w:cs="Arial"/>
          <w:sz w:val="22"/>
          <w:szCs w:val="22"/>
        </w:rPr>
        <w:t>the PIs they lend to, and that those PIs in turn are delivering value for money to Defra across a range of environmental and social metrics.</w:t>
      </w:r>
      <w:r w:rsidR="000E6D9F">
        <w:rPr>
          <w:rFonts w:eastAsia="Arial" w:cs="Arial"/>
          <w:sz w:val="22"/>
          <w:szCs w:val="22"/>
        </w:rPr>
        <w:t xml:space="preserve"> The Fund is clearly aligned with the Paris prin</w:t>
      </w:r>
      <w:r w:rsidR="0022397C">
        <w:rPr>
          <w:rFonts w:eastAsia="Arial" w:cs="Arial"/>
          <w:sz w:val="22"/>
          <w:szCs w:val="22"/>
        </w:rPr>
        <w:t>ciples</w:t>
      </w:r>
      <w:r w:rsidR="00DB25A8">
        <w:rPr>
          <w:rFonts w:eastAsia="Arial" w:cs="Arial"/>
          <w:sz w:val="22"/>
          <w:szCs w:val="22"/>
        </w:rPr>
        <w:t>, with climate and nature impact its primary goals</w:t>
      </w:r>
      <w:r w:rsidR="00C9238E" w:rsidRPr="00982DD2">
        <w:rPr>
          <w:rFonts w:eastAsia="Arial" w:cs="Arial"/>
          <w:sz w:val="22"/>
          <w:szCs w:val="22"/>
        </w:rPr>
        <w:t xml:space="preserve">, and like </w:t>
      </w:r>
      <w:r w:rsidR="003F5062" w:rsidRPr="00982DD2">
        <w:rPr>
          <w:rFonts w:eastAsia="Arial" w:cs="Arial"/>
          <w:sz w:val="22"/>
          <w:szCs w:val="22"/>
        </w:rPr>
        <w:t>all climate finance, benefits to the UK result indirectly from reduced migration pressures and climate change impacts, and from improved food and comm</w:t>
      </w:r>
      <w:r w:rsidR="00A43D1E" w:rsidRPr="00982DD2">
        <w:rPr>
          <w:rFonts w:eastAsia="Arial" w:cs="Arial"/>
          <w:sz w:val="22"/>
          <w:szCs w:val="22"/>
        </w:rPr>
        <w:t>odity supply chain security.</w:t>
      </w:r>
    </w:p>
    <w:p w14:paraId="1BE52DC7" w14:textId="77777777" w:rsidR="0080725B" w:rsidRDefault="0080725B" w:rsidP="009C2200">
      <w:pPr>
        <w:spacing w:line="257" w:lineRule="auto"/>
        <w:jc w:val="both"/>
        <w:rPr>
          <w:rFonts w:eastAsia="Arial" w:cs="Arial"/>
          <w:sz w:val="22"/>
          <w:szCs w:val="22"/>
        </w:rPr>
      </w:pPr>
    </w:p>
    <w:p w14:paraId="76615347" w14:textId="4E1FF264" w:rsidR="0080725B" w:rsidRPr="009C2200" w:rsidRDefault="0080725B" w:rsidP="00885246">
      <w:pPr>
        <w:pStyle w:val="Normal1"/>
        <w:jc w:val="both"/>
        <w:rPr>
          <w:sz w:val="22"/>
          <w:szCs w:val="22"/>
        </w:rPr>
      </w:pPr>
      <w:r w:rsidRPr="4BD2A488">
        <w:rPr>
          <w:sz w:val="22"/>
          <w:szCs w:val="22"/>
        </w:rPr>
        <w:t>Throughout 202</w:t>
      </w:r>
      <w:r>
        <w:rPr>
          <w:sz w:val="22"/>
          <w:szCs w:val="22"/>
        </w:rPr>
        <w:t>4</w:t>
      </w:r>
      <w:r w:rsidRPr="4BD2A488">
        <w:rPr>
          <w:sz w:val="22"/>
          <w:szCs w:val="22"/>
        </w:rPr>
        <w:t>, reporting timeliness and quality of reporting has been consistently good. Quarterly reports are sent to shareholders within three months of the quarter finishing, and the audited annual statement was provided within four months of the end of the year. The Fund also produced an annual impact report. Defra is an observer on the Board of Directors and DF Committee. Meetings of the board take place every quarter, as do DF Committee meetings</w:t>
      </w:r>
      <w:r w:rsidRPr="4BD2A488">
        <w:rPr>
          <w:color w:val="auto"/>
          <w:sz w:val="22"/>
          <w:szCs w:val="22"/>
        </w:rPr>
        <w:t>.</w:t>
      </w:r>
      <w:r w:rsidR="00885246">
        <w:rPr>
          <w:color w:val="auto"/>
          <w:sz w:val="22"/>
          <w:szCs w:val="22"/>
        </w:rPr>
        <w:t xml:space="preserve"> </w:t>
      </w:r>
      <w:r w:rsidR="009325C7">
        <w:rPr>
          <w:color w:val="auto"/>
          <w:sz w:val="22"/>
          <w:szCs w:val="22"/>
        </w:rPr>
        <w:t>Positive f</w:t>
      </w:r>
      <w:r w:rsidR="00885246">
        <w:rPr>
          <w:color w:val="auto"/>
          <w:sz w:val="22"/>
          <w:szCs w:val="22"/>
        </w:rPr>
        <w:t xml:space="preserve">eedback on Defra’s participation as a partner and investor in the Fund </w:t>
      </w:r>
      <w:r w:rsidR="009325C7">
        <w:rPr>
          <w:color w:val="auto"/>
          <w:sz w:val="22"/>
          <w:szCs w:val="22"/>
        </w:rPr>
        <w:t xml:space="preserve">was received from FiM, with Defra described as </w:t>
      </w:r>
      <w:r w:rsidR="000A0417">
        <w:rPr>
          <w:color w:val="auto"/>
          <w:sz w:val="22"/>
          <w:szCs w:val="22"/>
        </w:rPr>
        <w:t>one of the</w:t>
      </w:r>
      <w:r w:rsidR="009325C7">
        <w:rPr>
          <w:color w:val="auto"/>
          <w:sz w:val="22"/>
          <w:szCs w:val="22"/>
        </w:rPr>
        <w:t xml:space="preserve"> most engaged </w:t>
      </w:r>
      <w:r w:rsidR="000A0417">
        <w:rPr>
          <w:color w:val="auto"/>
          <w:sz w:val="22"/>
          <w:szCs w:val="22"/>
        </w:rPr>
        <w:t>investors and a valuable voice</w:t>
      </w:r>
      <w:r w:rsidR="00960EC0">
        <w:rPr>
          <w:color w:val="auto"/>
          <w:sz w:val="22"/>
          <w:szCs w:val="22"/>
        </w:rPr>
        <w:t xml:space="preserve">, </w:t>
      </w:r>
      <w:r w:rsidR="00244823">
        <w:rPr>
          <w:color w:val="auto"/>
          <w:sz w:val="22"/>
          <w:szCs w:val="22"/>
        </w:rPr>
        <w:t xml:space="preserve">closer to the </w:t>
      </w:r>
      <w:r w:rsidR="003D6D2C">
        <w:rPr>
          <w:color w:val="auto"/>
          <w:sz w:val="22"/>
          <w:szCs w:val="22"/>
        </w:rPr>
        <w:t xml:space="preserve">workings of the </w:t>
      </w:r>
      <w:r w:rsidR="00244823">
        <w:rPr>
          <w:color w:val="auto"/>
          <w:sz w:val="22"/>
          <w:szCs w:val="22"/>
        </w:rPr>
        <w:t xml:space="preserve">Fund and more agile </w:t>
      </w:r>
      <w:r w:rsidR="003D6D2C">
        <w:rPr>
          <w:color w:val="auto"/>
          <w:sz w:val="22"/>
          <w:szCs w:val="22"/>
        </w:rPr>
        <w:t xml:space="preserve">and flexible </w:t>
      </w:r>
      <w:r w:rsidR="00244823">
        <w:rPr>
          <w:color w:val="auto"/>
          <w:sz w:val="22"/>
          <w:szCs w:val="22"/>
        </w:rPr>
        <w:t xml:space="preserve">than other investors, </w:t>
      </w:r>
      <w:r w:rsidR="00960EC0">
        <w:rPr>
          <w:color w:val="auto"/>
          <w:sz w:val="22"/>
          <w:szCs w:val="22"/>
        </w:rPr>
        <w:t xml:space="preserve">as well as demonstrating ongoing commitment to the Fund with </w:t>
      </w:r>
      <w:r w:rsidR="008D5123">
        <w:rPr>
          <w:color w:val="auto"/>
          <w:sz w:val="22"/>
          <w:szCs w:val="22"/>
        </w:rPr>
        <w:t>new investment</w:t>
      </w:r>
      <w:r w:rsidR="009325C7">
        <w:rPr>
          <w:color w:val="auto"/>
          <w:sz w:val="22"/>
          <w:szCs w:val="22"/>
        </w:rPr>
        <w:t>.</w:t>
      </w:r>
    </w:p>
    <w:p w14:paraId="7F7B6F19" w14:textId="77777777" w:rsidR="009C2200" w:rsidRDefault="009C2200" w:rsidP="009C2200">
      <w:pPr>
        <w:spacing w:line="257" w:lineRule="auto"/>
        <w:jc w:val="both"/>
        <w:rPr>
          <w:rFonts w:eastAsia="Arial" w:cs="Arial"/>
          <w:b/>
          <w:bCs/>
          <w:sz w:val="22"/>
          <w:szCs w:val="22"/>
          <w:u w:val="single"/>
        </w:rPr>
      </w:pPr>
    </w:p>
    <w:p w14:paraId="3398D1B1" w14:textId="7529C1FB" w:rsidR="009C2200" w:rsidRPr="009C2200" w:rsidRDefault="009C2200" w:rsidP="009B4253">
      <w:pPr>
        <w:spacing w:after="160" w:line="257" w:lineRule="auto"/>
        <w:jc w:val="both"/>
        <w:rPr>
          <w:rFonts w:eastAsia="Arial" w:cs="Arial"/>
          <w:b/>
          <w:bCs/>
          <w:sz w:val="22"/>
          <w:szCs w:val="22"/>
          <w:u w:val="single"/>
        </w:rPr>
      </w:pPr>
      <w:r w:rsidRPr="009C2200">
        <w:rPr>
          <w:rFonts w:eastAsia="Arial" w:cs="Arial"/>
          <w:b/>
          <w:bCs/>
          <w:sz w:val="22"/>
          <w:szCs w:val="22"/>
          <w:u w:val="single"/>
        </w:rPr>
        <w:t>Value for Money</w:t>
      </w:r>
    </w:p>
    <w:p w14:paraId="6524ECB2" w14:textId="0EFA4E41" w:rsidR="00F20A87" w:rsidRPr="00313B6E" w:rsidRDefault="2EE66EDC" w:rsidP="009B4253">
      <w:pPr>
        <w:spacing w:after="160" w:line="257" w:lineRule="auto"/>
        <w:jc w:val="both"/>
        <w:rPr>
          <w:rFonts w:eastAsia="Arial" w:cs="Arial"/>
          <w:sz w:val="22"/>
          <w:szCs w:val="22"/>
        </w:rPr>
      </w:pPr>
      <w:r w:rsidRPr="07FC4C9B">
        <w:rPr>
          <w:rFonts w:eastAsia="Arial" w:cs="Arial"/>
          <w:sz w:val="22"/>
          <w:szCs w:val="22"/>
        </w:rPr>
        <w:t>A value for money (VfM) assessment identifies whether the costs of the programme are proportional to the benefits achieved in terms of reaching the programme’s desired outcomes and objectives derived from the business case. The assessment uses the FCDO’s recommended structure which consists of the 5Es approach. These are economy, efficiency, effectiveness, equity and cost-effectiveness</w:t>
      </w:r>
      <w:r w:rsidR="006E6A4A">
        <w:rPr>
          <w:rFonts w:eastAsia="Arial" w:cs="Arial"/>
          <w:b/>
          <w:bCs/>
          <w:i/>
          <w:iCs/>
          <w:sz w:val="22"/>
          <w:szCs w:val="22"/>
        </w:rPr>
        <w:t>.</w:t>
      </w:r>
    </w:p>
    <w:p w14:paraId="54995DC7" w14:textId="1B84D05A" w:rsidR="00F20A87" w:rsidRPr="009B4253" w:rsidRDefault="2EE66EDC" w:rsidP="14FCFADC">
      <w:pPr>
        <w:spacing w:after="160" w:line="257" w:lineRule="auto"/>
        <w:jc w:val="both"/>
        <w:rPr>
          <w:rFonts w:eastAsia="Arial" w:cs="Arial"/>
          <w:b/>
          <w:bCs/>
          <w:i/>
          <w:iCs/>
          <w:sz w:val="22"/>
          <w:szCs w:val="22"/>
        </w:rPr>
      </w:pPr>
      <w:r w:rsidRPr="14FCFADC">
        <w:rPr>
          <w:rFonts w:eastAsia="Arial" w:cs="Arial"/>
          <w:b/>
          <w:bCs/>
          <w:sz w:val="22"/>
          <w:szCs w:val="22"/>
        </w:rPr>
        <w:t>Economy</w:t>
      </w:r>
      <w:r w:rsidR="00696CF7" w:rsidRPr="00696CF7">
        <w:rPr>
          <w:rFonts w:eastAsia="Arial" w:cs="Arial"/>
          <w:sz w:val="22"/>
          <w:szCs w:val="22"/>
        </w:rPr>
        <w:t xml:space="preserve"> </w:t>
      </w:r>
      <w:r w:rsidR="00696CF7">
        <w:rPr>
          <w:rFonts w:eastAsia="Arial" w:cs="Arial"/>
          <w:sz w:val="22"/>
          <w:szCs w:val="22"/>
        </w:rPr>
        <w:t xml:space="preserve">- </w:t>
      </w:r>
      <w:r w:rsidR="00696CF7" w:rsidRPr="009B4253">
        <w:rPr>
          <w:rFonts w:eastAsia="Arial" w:cs="Arial"/>
          <w:i/>
          <w:iCs/>
          <w:sz w:val="22"/>
          <w:szCs w:val="22"/>
        </w:rPr>
        <w:t>Are we (or our agents) buying inputs of the appropriate quality at the right price?</w:t>
      </w:r>
    </w:p>
    <w:p w14:paraId="1AAF7177" w14:textId="187E988A" w:rsidR="00CF29AE" w:rsidRDefault="00271FD7" w:rsidP="07FC4C9B">
      <w:pPr>
        <w:spacing w:after="160" w:line="257" w:lineRule="auto"/>
        <w:jc w:val="both"/>
        <w:rPr>
          <w:rFonts w:eastAsia="Arial" w:cs="Arial"/>
          <w:sz w:val="22"/>
          <w:szCs w:val="22"/>
        </w:rPr>
      </w:pPr>
      <w:r>
        <w:rPr>
          <w:rFonts w:eastAsia="Arial" w:cs="Arial"/>
          <w:sz w:val="22"/>
          <w:szCs w:val="22"/>
        </w:rPr>
        <w:t>The</w:t>
      </w:r>
      <w:r w:rsidRPr="00473EDA">
        <w:rPr>
          <w:rFonts w:eastAsia="Arial" w:cs="Arial"/>
          <w:sz w:val="22"/>
          <w:szCs w:val="22"/>
        </w:rPr>
        <w:t xml:space="preserve"> </w:t>
      </w:r>
      <w:r w:rsidR="2EE66EDC" w:rsidRPr="07FC4C9B">
        <w:rPr>
          <w:rFonts w:eastAsia="Arial" w:cs="Arial"/>
          <w:sz w:val="22"/>
          <w:szCs w:val="22"/>
        </w:rPr>
        <w:t xml:space="preserve">desired impacts of EBF are to reduce poverty across land use sectors in Latin America and sustainably manage mosaic forest landscapes with improved biodiversity and environmental conditions. </w:t>
      </w:r>
      <w:r w:rsidRPr="00473EDA">
        <w:rPr>
          <w:rFonts w:eastAsia="Arial" w:cs="Arial"/>
          <w:sz w:val="22"/>
          <w:szCs w:val="22"/>
        </w:rPr>
        <w:t>To support the programme, Defra</w:t>
      </w:r>
      <w:r w:rsidR="0077084F">
        <w:rPr>
          <w:rFonts w:eastAsia="Arial" w:cs="Arial"/>
          <w:sz w:val="22"/>
          <w:szCs w:val="22"/>
        </w:rPr>
        <w:t xml:space="preserve"> </w:t>
      </w:r>
      <w:r w:rsidR="2EE66EDC" w:rsidRPr="07FC4C9B">
        <w:rPr>
          <w:rFonts w:eastAsia="Arial" w:cs="Arial"/>
          <w:sz w:val="22"/>
          <w:szCs w:val="22"/>
        </w:rPr>
        <w:t>invested £32.63</w:t>
      </w:r>
      <w:r w:rsidR="009D3932">
        <w:rPr>
          <w:rFonts w:eastAsia="Arial" w:cs="Arial"/>
          <w:sz w:val="22"/>
          <w:szCs w:val="22"/>
        </w:rPr>
        <w:t xml:space="preserve"> million </w:t>
      </w:r>
      <w:r w:rsidR="2EE66EDC" w:rsidRPr="07FC4C9B">
        <w:rPr>
          <w:rFonts w:eastAsia="Arial" w:cs="Arial"/>
          <w:sz w:val="22"/>
          <w:szCs w:val="22"/>
        </w:rPr>
        <w:t xml:space="preserve">in total </w:t>
      </w:r>
      <w:r w:rsidR="002F6134">
        <w:rPr>
          <w:rFonts w:eastAsia="Arial" w:cs="Arial"/>
          <w:sz w:val="22"/>
          <w:szCs w:val="22"/>
        </w:rPr>
        <w:t>(up until December 2024)</w:t>
      </w:r>
      <w:r w:rsidR="002F6134" w:rsidRPr="07FC4C9B">
        <w:rPr>
          <w:rFonts w:eastAsia="Arial" w:cs="Arial"/>
          <w:sz w:val="22"/>
          <w:szCs w:val="22"/>
        </w:rPr>
        <w:t xml:space="preserve"> </w:t>
      </w:r>
      <w:r w:rsidR="2EE66EDC" w:rsidRPr="07FC4C9B">
        <w:rPr>
          <w:rFonts w:eastAsia="Arial" w:cs="Arial"/>
          <w:sz w:val="22"/>
          <w:szCs w:val="22"/>
        </w:rPr>
        <w:t xml:space="preserve">into junior shares. This investment </w:t>
      </w:r>
      <w:r w:rsidR="00360A5E">
        <w:rPr>
          <w:rFonts w:eastAsia="Arial" w:cs="Arial"/>
          <w:sz w:val="22"/>
          <w:szCs w:val="22"/>
        </w:rPr>
        <w:t>makes an ongoing contribution</w:t>
      </w:r>
      <w:r w:rsidR="003E5DC4">
        <w:rPr>
          <w:rFonts w:eastAsia="Arial" w:cs="Arial"/>
          <w:sz w:val="22"/>
          <w:szCs w:val="22"/>
        </w:rPr>
        <w:t xml:space="preserve"> to providing</w:t>
      </w:r>
      <w:r w:rsidR="2EE66EDC" w:rsidRPr="07FC4C9B">
        <w:rPr>
          <w:rFonts w:eastAsia="Arial" w:cs="Arial"/>
          <w:sz w:val="22"/>
          <w:szCs w:val="22"/>
        </w:rPr>
        <w:t xml:space="preserve"> finance </w:t>
      </w:r>
      <w:r w:rsidR="003E5DC4">
        <w:rPr>
          <w:rFonts w:eastAsia="Arial" w:cs="Arial"/>
          <w:sz w:val="22"/>
          <w:szCs w:val="22"/>
        </w:rPr>
        <w:t>that</w:t>
      </w:r>
      <w:r w:rsidR="2EE66EDC" w:rsidRPr="07FC4C9B">
        <w:rPr>
          <w:rFonts w:eastAsia="Arial" w:cs="Arial"/>
          <w:sz w:val="22"/>
          <w:szCs w:val="22"/>
        </w:rPr>
        <w:t xml:space="preserve"> support</w:t>
      </w:r>
      <w:r w:rsidR="003E5DC4">
        <w:rPr>
          <w:rFonts w:eastAsia="Arial" w:cs="Arial"/>
          <w:sz w:val="22"/>
          <w:szCs w:val="22"/>
        </w:rPr>
        <w:t>s</w:t>
      </w:r>
      <w:r w:rsidR="2EE66EDC" w:rsidRPr="07FC4C9B">
        <w:rPr>
          <w:rFonts w:eastAsia="Arial" w:cs="Arial"/>
          <w:sz w:val="22"/>
          <w:szCs w:val="22"/>
        </w:rPr>
        <w:t xml:space="preserve"> </w:t>
      </w:r>
      <w:r w:rsidR="003E5DC4">
        <w:rPr>
          <w:rFonts w:eastAsia="Arial" w:cs="Arial"/>
          <w:sz w:val="22"/>
          <w:szCs w:val="22"/>
        </w:rPr>
        <w:t>sustainable land management</w:t>
      </w:r>
      <w:r w:rsidR="2EE66EDC" w:rsidRPr="07FC4C9B">
        <w:rPr>
          <w:rFonts w:eastAsia="Arial" w:cs="Arial"/>
          <w:sz w:val="22"/>
          <w:szCs w:val="22"/>
        </w:rPr>
        <w:t xml:space="preserve">. </w:t>
      </w:r>
    </w:p>
    <w:p w14:paraId="57A0915C" w14:textId="2C3A00AD" w:rsidR="00F20A87" w:rsidRPr="00F3018E" w:rsidRDefault="00360A5E" w:rsidP="07FC4C9B">
      <w:pPr>
        <w:spacing w:after="160" w:line="257" w:lineRule="auto"/>
        <w:jc w:val="both"/>
        <w:rPr>
          <w:color w:val="00B050"/>
        </w:rPr>
      </w:pPr>
      <w:r w:rsidRPr="0B88416D">
        <w:rPr>
          <w:rFonts w:eastAsia="Arial" w:cs="Arial"/>
          <w:sz w:val="22"/>
          <w:szCs w:val="22"/>
        </w:rPr>
        <w:t>In 2018, Defra also made a small contribution (£170,000) to</w:t>
      </w:r>
      <w:r w:rsidR="00525666" w:rsidRPr="0B88416D">
        <w:rPr>
          <w:rFonts w:eastAsia="Arial" w:cs="Arial"/>
          <w:sz w:val="22"/>
          <w:szCs w:val="22"/>
        </w:rPr>
        <w:t xml:space="preserve"> the DF for TA provision. W</w:t>
      </w:r>
      <w:r w:rsidR="2EE66EDC" w:rsidRPr="0B88416D">
        <w:rPr>
          <w:rFonts w:eastAsia="Arial" w:cs="Arial"/>
          <w:sz w:val="22"/>
          <w:szCs w:val="22"/>
        </w:rPr>
        <w:t>hilst we cannot place a value on individual inputs</w:t>
      </w:r>
      <w:r w:rsidR="00CF29AE" w:rsidRPr="0B88416D">
        <w:rPr>
          <w:rFonts w:eastAsia="Arial" w:cs="Arial"/>
          <w:sz w:val="22"/>
          <w:szCs w:val="22"/>
        </w:rPr>
        <w:t xml:space="preserve"> across the whole programme</w:t>
      </w:r>
      <w:r w:rsidR="2EE66EDC" w:rsidRPr="0B88416D">
        <w:rPr>
          <w:rFonts w:eastAsia="Arial" w:cs="Arial"/>
          <w:sz w:val="22"/>
          <w:szCs w:val="22"/>
        </w:rPr>
        <w:t xml:space="preserve">, </w:t>
      </w:r>
      <w:r w:rsidR="00CF29AE" w:rsidRPr="0B88416D">
        <w:rPr>
          <w:rFonts w:eastAsia="Arial" w:cs="Arial"/>
          <w:sz w:val="22"/>
          <w:szCs w:val="22"/>
        </w:rPr>
        <w:t>the costs per TA project supported by EBF</w:t>
      </w:r>
      <w:r w:rsidR="00447BDD" w:rsidRPr="0B88416D">
        <w:rPr>
          <w:rFonts w:eastAsia="Arial" w:cs="Arial"/>
          <w:sz w:val="22"/>
          <w:szCs w:val="22"/>
        </w:rPr>
        <w:t xml:space="preserve"> </w:t>
      </w:r>
      <w:r w:rsidR="002B51C5">
        <w:rPr>
          <w:rFonts w:eastAsia="Arial" w:cs="Arial"/>
          <w:sz w:val="22"/>
          <w:szCs w:val="22"/>
        </w:rPr>
        <w:t xml:space="preserve">(including </w:t>
      </w:r>
      <w:r w:rsidR="00437B94">
        <w:rPr>
          <w:rFonts w:eastAsia="Arial" w:cs="Arial"/>
          <w:sz w:val="22"/>
          <w:szCs w:val="22"/>
        </w:rPr>
        <w:t xml:space="preserve">annual </w:t>
      </w:r>
      <w:r w:rsidR="002B51C5">
        <w:rPr>
          <w:rFonts w:eastAsia="Arial" w:cs="Arial"/>
          <w:sz w:val="22"/>
          <w:szCs w:val="22"/>
        </w:rPr>
        <w:t xml:space="preserve">DF administration and other costs) </w:t>
      </w:r>
      <w:r w:rsidR="00447BDD" w:rsidRPr="0B88416D">
        <w:rPr>
          <w:rFonts w:eastAsia="Arial" w:cs="Arial"/>
          <w:sz w:val="22"/>
          <w:szCs w:val="22"/>
        </w:rPr>
        <w:t xml:space="preserve">are set out in Table 1. </w:t>
      </w:r>
    </w:p>
    <w:p w14:paraId="45F559ED" w14:textId="77777777" w:rsidR="0046235A" w:rsidRPr="0046235A" w:rsidRDefault="0046235A" w:rsidP="0046235A">
      <w:pPr>
        <w:pStyle w:val="Caption"/>
        <w:keepNext/>
        <w:rPr>
          <w:sz w:val="22"/>
          <w:szCs w:val="22"/>
        </w:rPr>
      </w:pPr>
      <w:r w:rsidRPr="0046235A">
        <w:rPr>
          <w:sz w:val="22"/>
          <w:szCs w:val="22"/>
        </w:rPr>
        <w:lastRenderedPageBreak/>
        <w:t xml:space="preserve">Table </w:t>
      </w:r>
      <w:r w:rsidRPr="0046235A">
        <w:rPr>
          <w:sz w:val="22"/>
          <w:szCs w:val="22"/>
        </w:rPr>
        <w:fldChar w:fldCharType="begin"/>
      </w:r>
      <w:r w:rsidRPr="0046235A">
        <w:rPr>
          <w:sz w:val="22"/>
          <w:szCs w:val="22"/>
        </w:rPr>
        <w:instrText xml:space="preserve"> SEQ Table \* ARABIC </w:instrText>
      </w:r>
      <w:r w:rsidRPr="0046235A">
        <w:rPr>
          <w:sz w:val="22"/>
          <w:szCs w:val="22"/>
        </w:rPr>
        <w:fldChar w:fldCharType="separate"/>
      </w:r>
      <w:r w:rsidRPr="0046235A">
        <w:rPr>
          <w:noProof/>
          <w:sz w:val="22"/>
          <w:szCs w:val="22"/>
        </w:rPr>
        <w:t>1</w:t>
      </w:r>
      <w:r w:rsidRPr="0046235A">
        <w:rPr>
          <w:sz w:val="22"/>
          <w:szCs w:val="22"/>
        </w:rPr>
        <w:fldChar w:fldCharType="end"/>
      </w:r>
      <w:r w:rsidRPr="0046235A">
        <w:rPr>
          <w:sz w:val="22"/>
          <w:szCs w:val="22"/>
        </w:rPr>
        <w:t xml:space="preserve"> - VfM Metrics</w:t>
      </w:r>
    </w:p>
    <w:tbl>
      <w:tblPr>
        <w:tblStyle w:val="TableGrid"/>
        <w:tblW w:w="0" w:type="auto"/>
        <w:tblLayout w:type="fixed"/>
        <w:tblLook w:val="04A0" w:firstRow="1" w:lastRow="0" w:firstColumn="1" w:lastColumn="0" w:noHBand="0" w:noVBand="1"/>
      </w:tblPr>
      <w:tblGrid>
        <w:gridCol w:w="5235"/>
        <w:gridCol w:w="1843"/>
        <w:gridCol w:w="1922"/>
      </w:tblGrid>
      <w:tr w:rsidR="00271FD7" w14:paraId="39D810BD" w14:textId="77777777" w:rsidTr="00115EB4">
        <w:trPr>
          <w:trHeight w:val="420"/>
        </w:trPr>
        <w:tc>
          <w:tcPr>
            <w:tcW w:w="5235"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7087BB53" w14:textId="77777777" w:rsidR="00271FD7" w:rsidRPr="0053223F" w:rsidRDefault="00271FD7">
            <w:pPr>
              <w:jc w:val="both"/>
              <w:rPr>
                <w:b/>
                <w:bCs/>
              </w:rPr>
            </w:pPr>
            <w:r w:rsidRPr="0053223F">
              <w:rPr>
                <w:rFonts w:eastAsia="Arial" w:cs="Arial"/>
                <w:b/>
                <w:bCs/>
                <w:i/>
                <w:iCs/>
                <w:color w:val="000000" w:themeColor="text1"/>
                <w:sz w:val="22"/>
                <w:szCs w:val="22"/>
              </w:rPr>
              <w:t>VfM Metric</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222A6461" w14:textId="77777777" w:rsidR="00271FD7" w:rsidRPr="0053223F" w:rsidRDefault="00271FD7">
            <w:pPr>
              <w:rPr>
                <w:b/>
                <w:bCs/>
              </w:rPr>
            </w:pPr>
            <w:r w:rsidRPr="0053223F">
              <w:rPr>
                <w:rFonts w:eastAsia="Arial" w:cs="Arial"/>
                <w:b/>
                <w:bCs/>
                <w:i/>
                <w:iCs/>
                <w:sz w:val="22"/>
                <w:szCs w:val="22"/>
              </w:rPr>
              <w:t>Result 202</w:t>
            </w:r>
            <w:r>
              <w:rPr>
                <w:rFonts w:eastAsia="Arial" w:cs="Arial"/>
                <w:b/>
                <w:bCs/>
                <w:i/>
                <w:iCs/>
                <w:sz w:val="22"/>
                <w:szCs w:val="22"/>
              </w:rPr>
              <w:t>3</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F598F37" w14:textId="77777777" w:rsidR="00271FD7" w:rsidRPr="0053223F" w:rsidRDefault="00271FD7">
            <w:pPr>
              <w:rPr>
                <w:b/>
                <w:bCs/>
              </w:rPr>
            </w:pPr>
            <w:r w:rsidRPr="0053223F">
              <w:rPr>
                <w:rFonts w:eastAsia="Arial" w:cs="Arial"/>
                <w:b/>
                <w:bCs/>
                <w:i/>
                <w:iCs/>
                <w:sz w:val="22"/>
                <w:szCs w:val="22"/>
              </w:rPr>
              <w:t>Result 202</w:t>
            </w:r>
            <w:r>
              <w:rPr>
                <w:rFonts w:eastAsia="Arial" w:cs="Arial"/>
                <w:b/>
                <w:bCs/>
                <w:i/>
                <w:iCs/>
                <w:sz w:val="22"/>
                <w:szCs w:val="22"/>
              </w:rPr>
              <w:t>4</w:t>
            </w:r>
          </w:p>
        </w:tc>
      </w:tr>
      <w:tr w:rsidR="00271FD7" w14:paraId="44F2185E" w14:textId="77777777" w:rsidTr="00115EB4">
        <w:trPr>
          <w:trHeight w:val="300"/>
        </w:trPr>
        <w:tc>
          <w:tcPr>
            <w:tcW w:w="5235"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310701BF" w14:textId="2B2771F1" w:rsidR="00271FD7" w:rsidRPr="0053223F" w:rsidRDefault="00272B1B">
            <w:pPr>
              <w:jc w:val="both"/>
            </w:pPr>
            <w:r>
              <w:rPr>
                <w:rFonts w:eastAsia="Arial" w:cs="Arial"/>
                <w:color w:val="000000" w:themeColor="text1"/>
                <w:sz w:val="22"/>
                <w:szCs w:val="22"/>
              </w:rPr>
              <w:t xml:space="preserve">Average </w:t>
            </w:r>
            <w:r w:rsidR="00115EB4">
              <w:rPr>
                <w:rFonts w:eastAsia="Arial" w:cs="Arial"/>
                <w:color w:val="000000" w:themeColor="text1"/>
                <w:sz w:val="22"/>
                <w:szCs w:val="22"/>
              </w:rPr>
              <w:t>expense</w:t>
            </w:r>
            <w:r w:rsidR="00271FD7" w:rsidRPr="0053223F">
              <w:rPr>
                <w:rFonts w:eastAsia="Arial" w:cs="Arial"/>
                <w:color w:val="000000" w:themeColor="text1"/>
                <w:sz w:val="22"/>
                <w:szCs w:val="22"/>
              </w:rPr>
              <w:t xml:space="preserve"> per TA project </w:t>
            </w:r>
            <w:r w:rsidR="00474FF6">
              <w:rPr>
                <w:rFonts w:eastAsia="Arial" w:cs="Arial"/>
                <w:color w:val="000000" w:themeColor="text1"/>
                <w:sz w:val="22"/>
                <w:szCs w:val="22"/>
              </w:rPr>
              <w:t>since inception</w:t>
            </w:r>
            <w:r>
              <w:rPr>
                <w:rFonts w:eastAsia="Arial" w:cs="Arial"/>
                <w:color w:val="000000" w:themeColor="text1"/>
                <w:sz w:val="22"/>
                <w:szCs w:val="22"/>
              </w:rPr>
              <w:t xml:space="preserve"> </w:t>
            </w:r>
            <w:r w:rsidRPr="0053223F">
              <w:rPr>
                <w:rFonts w:eastAsia="Arial" w:cs="Arial"/>
                <w:color w:val="000000" w:themeColor="text1"/>
                <w:sz w:val="22"/>
                <w:szCs w:val="22"/>
              </w:rPr>
              <w:t>($)</w:t>
            </w:r>
            <w:r w:rsidR="00A1055F">
              <w:rPr>
                <w:rStyle w:val="FootnoteReference"/>
                <w:rFonts w:eastAsia="Arial" w:cs="Arial"/>
                <w:color w:val="000000" w:themeColor="text1"/>
                <w:sz w:val="22"/>
                <w:szCs w:val="22"/>
              </w:rPr>
              <w:footnoteReference w:id="2"/>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74DAC31E" w14:textId="58DF01C4" w:rsidR="00271FD7" w:rsidRPr="0053223F" w:rsidRDefault="00C9648F" w:rsidP="4C2903C7">
            <w:pPr>
              <w:jc w:val="both"/>
              <w:rPr>
                <w:rFonts w:eastAsia="Arial" w:cs="Arial"/>
                <w:sz w:val="22"/>
                <w:szCs w:val="22"/>
              </w:rPr>
            </w:pPr>
            <w:r>
              <w:rPr>
                <w:rFonts w:eastAsia="Arial" w:cs="Arial"/>
                <w:sz w:val="22"/>
                <w:szCs w:val="22"/>
              </w:rPr>
              <w:t>71,828</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077C41B9" w14:textId="24CD3FC2" w:rsidR="00271FD7" w:rsidRPr="00474FF6" w:rsidRDefault="007159D5">
            <w:pPr>
              <w:jc w:val="both"/>
              <w:rPr>
                <w:rFonts w:eastAsia="Arial" w:cs="Arial"/>
                <w:sz w:val="22"/>
                <w:szCs w:val="22"/>
              </w:rPr>
            </w:pPr>
            <w:r>
              <w:rPr>
                <w:rFonts w:eastAsia="Arial" w:cs="Arial"/>
                <w:sz w:val="22"/>
                <w:szCs w:val="22"/>
              </w:rPr>
              <w:t>6</w:t>
            </w:r>
            <w:r w:rsidR="00474FF6" w:rsidRPr="4C2903C7">
              <w:rPr>
                <w:rFonts w:eastAsia="Arial" w:cs="Arial"/>
                <w:sz w:val="22"/>
                <w:szCs w:val="22"/>
              </w:rPr>
              <w:t>4,</w:t>
            </w:r>
            <w:r>
              <w:rPr>
                <w:rFonts w:eastAsia="Arial" w:cs="Arial"/>
                <w:sz w:val="22"/>
                <w:szCs w:val="22"/>
              </w:rPr>
              <w:t>153</w:t>
            </w:r>
          </w:p>
        </w:tc>
      </w:tr>
    </w:tbl>
    <w:p w14:paraId="07B8C8BA" w14:textId="77777777" w:rsidR="00271FD7" w:rsidRPr="00F3018E" w:rsidRDefault="00271FD7" w:rsidP="00271FD7">
      <w:pPr>
        <w:rPr>
          <w:rFonts w:cs="Arial"/>
          <w:color w:val="EE0000"/>
          <w:sz w:val="22"/>
          <w:szCs w:val="22"/>
        </w:rPr>
      </w:pPr>
    </w:p>
    <w:p w14:paraId="6A544404" w14:textId="09562E23" w:rsidR="00913C1A" w:rsidRDefault="00473307" w:rsidP="00EC49E5">
      <w:pPr>
        <w:spacing w:after="200"/>
        <w:jc w:val="both"/>
        <w:rPr>
          <w:rFonts w:eastAsia="Arial" w:cs="Arial"/>
          <w:sz w:val="22"/>
          <w:szCs w:val="22"/>
        </w:rPr>
      </w:pPr>
      <w:r w:rsidRPr="00473307">
        <w:rPr>
          <w:rFonts w:eastAsia="Arial" w:cs="Arial"/>
          <w:color w:val="000000" w:themeColor="text1"/>
          <w:sz w:val="22"/>
          <w:szCs w:val="22"/>
        </w:rPr>
        <w:t>The methodology for calculating private and public finance mobilised will be updated for 2025 following latest ICF KPI guidance</w:t>
      </w:r>
      <w:r w:rsidR="00396638">
        <w:rPr>
          <w:rFonts w:eastAsia="Arial" w:cs="Arial"/>
          <w:color w:val="000000" w:themeColor="text1"/>
          <w:sz w:val="22"/>
          <w:szCs w:val="22"/>
        </w:rPr>
        <w:t>; these results are for internal use and are not published</w:t>
      </w:r>
      <w:r w:rsidRPr="00473307">
        <w:rPr>
          <w:rFonts w:eastAsia="Arial" w:cs="Arial"/>
          <w:color w:val="000000" w:themeColor="text1"/>
          <w:sz w:val="22"/>
          <w:szCs w:val="22"/>
        </w:rPr>
        <w:t>.</w:t>
      </w:r>
      <w:r>
        <w:rPr>
          <w:rFonts w:eastAsia="Arial" w:cs="Arial"/>
          <w:sz w:val="22"/>
          <w:szCs w:val="22"/>
        </w:rPr>
        <w:t xml:space="preserve"> </w:t>
      </w:r>
      <w:r w:rsidR="008A7DCE">
        <w:rPr>
          <w:rFonts w:eastAsia="Arial" w:cs="Arial"/>
          <w:sz w:val="22"/>
          <w:szCs w:val="22"/>
        </w:rPr>
        <w:t xml:space="preserve">Financial impact scales up at each stage, as public money leverages additional public and private investment in the Fund, which leads to additional loans to Financial Institutions, who </w:t>
      </w:r>
      <w:r w:rsidR="008268CF">
        <w:rPr>
          <w:rFonts w:eastAsia="Arial" w:cs="Arial"/>
          <w:sz w:val="22"/>
          <w:szCs w:val="22"/>
        </w:rPr>
        <w:t>in turn</w:t>
      </w:r>
      <w:r w:rsidR="008A7DCE">
        <w:rPr>
          <w:rFonts w:eastAsia="Arial" w:cs="Arial"/>
          <w:sz w:val="22"/>
          <w:szCs w:val="22"/>
        </w:rPr>
        <w:t xml:space="preserve"> </w:t>
      </w:r>
      <w:r w:rsidR="00913C1A">
        <w:rPr>
          <w:rFonts w:eastAsia="Arial" w:cs="Arial"/>
          <w:sz w:val="22"/>
          <w:szCs w:val="22"/>
        </w:rPr>
        <w:t xml:space="preserve">loan out their own </w:t>
      </w:r>
      <w:r w:rsidR="00A115E3">
        <w:rPr>
          <w:rFonts w:eastAsia="Arial" w:cs="Arial"/>
          <w:sz w:val="22"/>
          <w:szCs w:val="22"/>
        </w:rPr>
        <w:t>additional capital</w:t>
      </w:r>
      <w:r w:rsidR="00913C1A">
        <w:rPr>
          <w:rFonts w:eastAsia="Arial" w:cs="Arial"/>
          <w:sz w:val="22"/>
          <w:szCs w:val="22"/>
        </w:rPr>
        <w:t xml:space="preserve"> through the financial products supported by EBF’s loans</w:t>
      </w:r>
      <w:r w:rsidR="00A115E3">
        <w:rPr>
          <w:rFonts w:eastAsia="Arial" w:cs="Arial"/>
          <w:sz w:val="22"/>
          <w:szCs w:val="22"/>
        </w:rPr>
        <w:t>.</w:t>
      </w:r>
    </w:p>
    <w:p w14:paraId="42C8CEC4" w14:textId="15D4CE36" w:rsidR="006543F4" w:rsidRPr="00E66C8C" w:rsidRDefault="00271FD7" w:rsidP="0058520B">
      <w:pPr>
        <w:spacing w:after="200"/>
        <w:jc w:val="both"/>
        <w:rPr>
          <w:rFonts w:eastAsia="Arial" w:cs="Arial"/>
          <w:sz w:val="22"/>
          <w:szCs w:val="22"/>
        </w:rPr>
      </w:pPr>
      <w:r w:rsidRPr="404B96F6">
        <w:rPr>
          <w:rFonts w:eastAsia="Arial" w:cs="Arial"/>
          <w:sz w:val="22"/>
          <w:szCs w:val="22"/>
        </w:rPr>
        <w:t>In addition to tracking how much money is disbursed ($</w:t>
      </w:r>
      <w:r w:rsidR="00D662B2" w:rsidRPr="404B96F6">
        <w:rPr>
          <w:rFonts w:eastAsia="Arial" w:cs="Arial"/>
          <w:sz w:val="22"/>
          <w:szCs w:val="22"/>
        </w:rPr>
        <w:t>217.6</w:t>
      </w:r>
      <w:r w:rsidRPr="404B96F6">
        <w:rPr>
          <w:rFonts w:eastAsia="Arial" w:cs="Arial"/>
          <w:sz w:val="22"/>
          <w:szCs w:val="22"/>
        </w:rPr>
        <w:t xml:space="preserve"> million from EBF to PIs, and $</w:t>
      </w:r>
      <w:r w:rsidR="00B068CA" w:rsidRPr="404B96F6">
        <w:rPr>
          <w:rFonts w:eastAsia="Arial" w:cs="Arial"/>
          <w:sz w:val="22"/>
          <w:szCs w:val="22"/>
        </w:rPr>
        <w:t>386.6</w:t>
      </w:r>
      <w:r w:rsidRPr="404B96F6">
        <w:rPr>
          <w:rFonts w:eastAsia="Arial" w:cs="Arial"/>
          <w:sz w:val="22"/>
          <w:szCs w:val="22"/>
        </w:rPr>
        <w:t xml:space="preserve"> million in sub-loans to end-borrowers), the total amount spent on direct operating expenses</w:t>
      </w:r>
      <w:r w:rsidR="00BC13C2" w:rsidRPr="404B96F6">
        <w:rPr>
          <w:rFonts w:eastAsia="Arial" w:cs="Arial"/>
          <w:sz w:val="22"/>
          <w:szCs w:val="22"/>
        </w:rPr>
        <w:t xml:space="preserve"> </w:t>
      </w:r>
      <w:r w:rsidRPr="404B96F6">
        <w:rPr>
          <w:rFonts w:eastAsia="Arial" w:cs="Arial"/>
          <w:sz w:val="22"/>
          <w:szCs w:val="22"/>
        </w:rPr>
        <w:t xml:space="preserve">are monitored closely year-on-year. </w:t>
      </w:r>
      <w:r w:rsidRPr="404B96F6">
        <w:rPr>
          <w:rStyle w:val="normaltextrun"/>
          <w:rFonts w:eastAsia="Arial" w:cs="Arial"/>
          <w:sz w:val="22"/>
          <w:szCs w:val="22"/>
        </w:rPr>
        <w:t>Operating costs include the Fund’s service fees, performance fees and direct operating expenses</w:t>
      </w:r>
      <w:r w:rsidR="00EB1A46" w:rsidRPr="404B96F6">
        <w:rPr>
          <w:rStyle w:val="normaltextrun"/>
          <w:rFonts w:eastAsia="Arial" w:cs="Arial"/>
          <w:sz w:val="22"/>
          <w:szCs w:val="22"/>
        </w:rPr>
        <w:t xml:space="preserve">, including </w:t>
      </w:r>
      <w:r w:rsidR="004A2298">
        <w:rPr>
          <w:rStyle w:val="normaltextrun"/>
          <w:rFonts w:eastAsia="Arial" w:cs="Arial"/>
          <w:sz w:val="22"/>
          <w:szCs w:val="22"/>
        </w:rPr>
        <w:t xml:space="preserve">for </w:t>
      </w:r>
      <w:r w:rsidR="00EB1A46" w:rsidRPr="404B96F6">
        <w:rPr>
          <w:rStyle w:val="normaltextrun"/>
          <w:rFonts w:eastAsia="Arial" w:cs="Arial"/>
          <w:sz w:val="22"/>
          <w:szCs w:val="22"/>
        </w:rPr>
        <w:t>the DF</w:t>
      </w:r>
      <w:r w:rsidR="0058520B">
        <w:rPr>
          <w:rStyle w:val="normaltextrun"/>
          <w:rFonts w:eastAsia="Arial" w:cs="Arial"/>
          <w:sz w:val="22"/>
          <w:szCs w:val="22"/>
        </w:rPr>
        <w:t>, and were within Defra limits</w:t>
      </w:r>
      <w:r w:rsidRPr="404B96F6">
        <w:rPr>
          <w:rStyle w:val="normaltextrun"/>
          <w:rFonts w:eastAsia="Arial" w:cs="Arial"/>
          <w:sz w:val="22"/>
          <w:szCs w:val="22"/>
        </w:rPr>
        <w:t>.</w:t>
      </w:r>
    </w:p>
    <w:p w14:paraId="2CB11E67" w14:textId="1395D3B0" w:rsidR="00F20A87" w:rsidRPr="005716B3" w:rsidRDefault="2EE66EDC" w:rsidP="07FC4C9B">
      <w:pPr>
        <w:spacing w:after="160" w:line="257" w:lineRule="auto"/>
        <w:jc w:val="both"/>
        <w:rPr>
          <w:b/>
        </w:rPr>
      </w:pPr>
      <w:r w:rsidRPr="07FC4C9B">
        <w:rPr>
          <w:rFonts w:eastAsia="Arial" w:cs="Arial"/>
          <w:b/>
          <w:bCs/>
          <w:sz w:val="22"/>
          <w:szCs w:val="22"/>
        </w:rPr>
        <w:t>Efficiency</w:t>
      </w:r>
      <w:r w:rsidR="00877381">
        <w:rPr>
          <w:rFonts w:eastAsia="Arial" w:cs="Arial"/>
          <w:b/>
          <w:bCs/>
          <w:sz w:val="22"/>
          <w:szCs w:val="22"/>
        </w:rPr>
        <w:t xml:space="preserve"> - </w:t>
      </w:r>
      <w:r w:rsidR="00877381" w:rsidRPr="00E7215F">
        <w:rPr>
          <w:rFonts w:eastAsia="Arial" w:cs="Arial"/>
          <w:i/>
          <w:iCs/>
          <w:sz w:val="22"/>
          <w:szCs w:val="22"/>
        </w:rPr>
        <w:t>How well are we (or our agents) converting inputs into outputs? (‘Spending well’)</w:t>
      </w:r>
    </w:p>
    <w:p w14:paraId="21E83029" w14:textId="0ABFA58E" w:rsidR="00271FD7" w:rsidRPr="002137FE" w:rsidRDefault="00271FD7" w:rsidP="00271FD7">
      <w:pPr>
        <w:spacing w:after="160" w:line="257" w:lineRule="auto"/>
        <w:jc w:val="both"/>
        <w:rPr>
          <w:rFonts w:eastAsia="Arial" w:cs="Arial"/>
          <w:sz w:val="22"/>
          <w:szCs w:val="22"/>
        </w:rPr>
      </w:pPr>
      <w:r w:rsidRPr="002137FE">
        <w:rPr>
          <w:rFonts w:eastAsia="Arial" w:cs="Arial"/>
          <w:sz w:val="22"/>
          <w:szCs w:val="22"/>
        </w:rPr>
        <w:t xml:space="preserve">Reporting against output indicators for 2024 demonstrates solid conversion of inputs into outputs, with 89% of indicators either meeting or exceeding their targets for 2024 (Table 3) and six (75%) exceeding their target. All three indicators monitored through Output 1 </w:t>
      </w:r>
      <w:r>
        <w:rPr>
          <w:rFonts w:eastAsia="Arial" w:cs="Arial"/>
          <w:sz w:val="22"/>
          <w:szCs w:val="22"/>
        </w:rPr>
        <w:t xml:space="preserve">(linked to EBF’s portfolio) </w:t>
      </w:r>
      <w:r w:rsidRPr="002137FE">
        <w:rPr>
          <w:rFonts w:eastAsia="Arial" w:cs="Arial"/>
          <w:sz w:val="22"/>
          <w:szCs w:val="22"/>
        </w:rPr>
        <w:t>have notably exceeded their targets by between 11-38%. Output indicator 2.1 has remained unchanged from 2023 and indicator 2.2 has increased by 18% since 2023</w:t>
      </w:r>
      <w:r>
        <w:rPr>
          <w:rFonts w:eastAsia="Arial" w:cs="Arial"/>
          <w:sz w:val="22"/>
          <w:szCs w:val="22"/>
        </w:rPr>
        <w:t>, showing progress for supporting sustainability practices</w:t>
      </w:r>
      <w:r w:rsidRPr="002137FE">
        <w:rPr>
          <w:rFonts w:eastAsia="Arial" w:cs="Arial"/>
          <w:sz w:val="22"/>
          <w:szCs w:val="22"/>
        </w:rPr>
        <w:t>.</w:t>
      </w:r>
      <w:r>
        <w:rPr>
          <w:rFonts w:eastAsia="Arial" w:cs="Arial"/>
          <w:sz w:val="22"/>
          <w:szCs w:val="22"/>
        </w:rPr>
        <w:t xml:space="preserve"> Outputs 3 (provision of TA) show strong progress for indicators 3.1 and 3.3 (with 3.2 being unchanged) but 3.3 (number of events supported) narrowly missed its target for 2024. However, cost efficiency per project has increased this year, with </w:t>
      </w:r>
      <w:r w:rsidR="006A677C">
        <w:rPr>
          <w:rFonts w:eastAsia="Arial" w:cs="Arial"/>
          <w:sz w:val="22"/>
          <w:szCs w:val="22"/>
        </w:rPr>
        <w:t>2</w:t>
      </w:r>
      <w:r>
        <w:rPr>
          <w:rFonts w:eastAsia="Arial" w:cs="Arial"/>
          <w:sz w:val="22"/>
          <w:szCs w:val="22"/>
        </w:rPr>
        <w:t xml:space="preserve">5 new projects being completed in 2024. Overall, this shows that Defra’s investment continues to be spent well as the majority of indicators meet or exceed their targets and improvements have been made to increase cost efficiency.   </w:t>
      </w:r>
    </w:p>
    <w:p w14:paraId="638C4718" w14:textId="5E0C8067" w:rsidR="00271FD7" w:rsidRPr="00FC406F" w:rsidRDefault="00271FD7" w:rsidP="00271FD7">
      <w:pPr>
        <w:spacing w:after="160" w:line="257" w:lineRule="auto"/>
        <w:jc w:val="both"/>
      </w:pPr>
      <w:r w:rsidRPr="00FC406F">
        <w:rPr>
          <w:rFonts w:eastAsia="Arial" w:cs="Arial"/>
          <w:sz w:val="22"/>
          <w:szCs w:val="22"/>
        </w:rPr>
        <w:t xml:space="preserve">The ratio of private finance mobilised as a result of every £ of ICF support also indicates efficient use of inputs to maximise outputs. By leveraging additional private finance without an increase in Defra’s inputs, it shows more businesses are willing to invest in the programme, with the greater funding enabling potentially greater programme outputs.  </w:t>
      </w:r>
    </w:p>
    <w:p w14:paraId="17905863" w14:textId="77777777" w:rsidR="00271FD7" w:rsidRPr="00FC406F" w:rsidRDefault="00271FD7" w:rsidP="00271FD7">
      <w:pPr>
        <w:spacing w:after="160" w:line="257" w:lineRule="auto"/>
        <w:jc w:val="both"/>
      </w:pPr>
      <w:r w:rsidRPr="00FC406F">
        <w:rPr>
          <w:rFonts w:eastAsia="Arial" w:cs="Arial"/>
          <w:sz w:val="22"/>
          <w:szCs w:val="22"/>
        </w:rPr>
        <w:t>As of the end of 2024, 49 partner FIs have received financing from the EBF. To date, EBF has supported 67 events, and 419,805 individuals have been reached through events and other training activities co- or fully sponsored by the DF to promote sustainability in the region.</w:t>
      </w:r>
    </w:p>
    <w:p w14:paraId="179B7A53" w14:textId="73585F5F" w:rsidR="00271FD7" w:rsidRPr="00384470" w:rsidRDefault="00271FD7" w:rsidP="00271FD7">
      <w:pPr>
        <w:spacing w:after="160" w:line="257" w:lineRule="auto"/>
        <w:jc w:val="both"/>
        <w:rPr>
          <w:rFonts w:eastAsia="Arial" w:cs="Arial"/>
          <w:b/>
          <w:bCs/>
          <w:color w:val="00B050"/>
          <w:sz w:val="22"/>
          <w:szCs w:val="22"/>
        </w:rPr>
      </w:pPr>
      <w:r w:rsidRPr="003F6760">
        <w:rPr>
          <w:rFonts w:eastAsia="Arial" w:cs="Arial"/>
          <w:b/>
          <w:bCs/>
          <w:sz w:val="22"/>
          <w:szCs w:val="22"/>
        </w:rPr>
        <w:t>Effectiveness</w:t>
      </w:r>
      <w:r w:rsidR="00877381">
        <w:rPr>
          <w:rFonts w:eastAsia="Arial" w:cs="Arial"/>
          <w:b/>
          <w:bCs/>
          <w:sz w:val="22"/>
          <w:szCs w:val="22"/>
        </w:rPr>
        <w:t xml:space="preserve"> - </w:t>
      </w:r>
      <w:r w:rsidR="00877381" w:rsidRPr="008B45EA">
        <w:rPr>
          <w:rFonts w:eastAsia="Arial" w:cs="Arial"/>
          <w:i/>
          <w:iCs/>
          <w:sz w:val="22"/>
          <w:szCs w:val="22"/>
        </w:rPr>
        <w:t>How well are the outputs produced by an intervention having the intended effect? (‘Spending wisely’)</w:t>
      </w:r>
    </w:p>
    <w:tbl>
      <w:tblPr>
        <w:tblStyle w:val="TableGrid"/>
        <w:tblpPr w:leftFromText="180" w:rightFromText="180" w:vertAnchor="text" w:horzAnchor="margin" w:tblpY="296"/>
        <w:tblW w:w="910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24"/>
        <w:gridCol w:w="1370"/>
        <w:gridCol w:w="1370"/>
        <w:gridCol w:w="1370"/>
        <w:gridCol w:w="1370"/>
      </w:tblGrid>
      <w:tr w:rsidR="00271FD7" w:rsidRPr="00E128EB" w14:paraId="72302D9B" w14:textId="77777777">
        <w:trPr>
          <w:trHeight w:val="315"/>
        </w:trPr>
        <w:tc>
          <w:tcPr>
            <w:tcW w:w="3624" w:type="dxa"/>
            <w:shd w:val="clear" w:color="auto" w:fill="BDD6EE" w:themeFill="accent5" w:themeFillTint="66"/>
            <w:tcMar>
              <w:left w:w="105" w:type="dxa"/>
              <w:right w:w="105" w:type="dxa"/>
            </w:tcMar>
            <w:vAlign w:val="center"/>
          </w:tcPr>
          <w:p w14:paraId="42B08A02" w14:textId="77777777" w:rsidR="00271FD7" w:rsidRPr="00E128EB" w:rsidRDefault="00271FD7">
            <w:pPr>
              <w:spacing w:line="259" w:lineRule="auto"/>
              <w:jc w:val="center"/>
              <w:rPr>
                <w:rFonts w:eastAsia="Aptos" w:cs="Arial"/>
                <w:b/>
                <w:sz w:val="20"/>
                <w:szCs w:val="20"/>
              </w:rPr>
            </w:pPr>
          </w:p>
        </w:tc>
        <w:tc>
          <w:tcPr>
            <w:tcW w:w="1370" w:type="dxa"/>
            <w:shd w:val="clear" w:color="auto" w:fill="BDD6EE" w:themeFill="accent5" w:themeFillTint="66"/>
            <w:tcMar>
              <w:left w:w="105" w:type="dxa"/>
              <w:right w:w="105" w:type="dxa"/>
            </w:tcMar>
            <w:vAlign w:val="center"/>
          </w:tcPr>
          <w:p w14:paraId="09AB4FFD" w14:textId="77777777" w:rsidR="00271FD7" w:rsidRPr="00E128EB" w:rsidRDefault="00271FD7">
            <w:pPr>
              <w:spacing w:line="259" w:lineRule="auto"/>
              <w:jc w:val="center"/>
              <w:rPr>
                <w:rFonts w:eastAsia="Aptos" w:cs="Arial"/>
                <w:b/>
                <w:sz w:val="20"/>
                <w:szCs w:val="20"/>
              </w:rPr>
            </w:pPr>
            <w:r w:rsidRPr="00E128EB">
              <w:rPr>
                <w:rFonts w:eastAsia="Aptos" w:cs="Arial"/>
                <w:b/>
                <w:sz w:val="20"/>
                <w:szCs w:val="20"/>
              </w:rPr>
              <w:t>Output Indicators</w:t>
            </w:r>
          </w:p>
        </w:tc>
        <w:tc>
          <w:tcPr>
            <w:tcW w:w="1370" w:type="dxa"/>
            <w:shd w:val="clear" w:color="auto" w:fill="BDD6EE" w:themeFill="accent5" w:themeFillTint="66"/>
            <w:tcMar>
              <w:left w:w="105" w:type="dxa"/>
              <w:right w:w="105" w:type="dxa"/>
            </w:tcMar>
            <w:vAlign w:val="center"/>
          </w:tcPr>
          <w:p w14:paraId="0C28478C" w14:textId="77777777" w:rsidR="00271FD7" w:rsidRPr="00E128EB" w:rsidRDefault="00271FD7">
            <w:pPr>
              <w:spacing w:line="259" w:lineRule="auto"/>
              <w:jc w:val="center"/>
              <w:rPr>
                <w:rFonts w:eastAsia="Aptos" w:cs="Arial"/>
                <w:b/>
                <w:sz w:val="20"/>
                <w:szCs w:val="20"/>
              </w:rPr>
            </w:pPr>
            <w:r w:rsidRPr="00E128EB">
              <w:rPr>
                <w:rFonts w:eastAsia="Aptos" w:cs="Arial"/>
                <w:b/>
                <w:sz w:val="20"/>
                <w:szCs w:val="20"/>
              </w:rPr>
              <w:t>Outcome indicators</w:t>
            </w:r>
          </w:p>
        </w:tc>
        <w:tc>
          <w:tcPr>
            <w:tcW w:w="1370" w:type="dxa"/>
            <w:shd w:val="clear" w:color="auto" w:fill="BDD6EE" w:themeFill="accent5" w:themeFillTint="66"/>
          </w:tcPr>
          <w:p w14:paraId="004D86E7" w14:textId="77777777" w:rsidR="00271FD7" w:rsidRPr="00E128EB" w:rsidRDefault="00271FD7">
            <w:pPr>
              <w:spacing w:line="259" w:lineRule="auto"/>
              <w:jc w:val="center"/>
              <w:rPr>
                <w:rFonts w:eastAsia="Aptos" w:cs="Arial"/>
                <w:b/>
                <w:sz w:val="20"/>
                <w:szCs w:val="20"/>
              </w:rPr>
            </w:pPr>
            <w:r w:rsidRPr="00E128EB">
              <w:rPr>
                <w:rFonts w:eastAsia="Aptos" w:cs="Arial"/>
                <w:b/>
                <w:sz w:val="20"/>
                <w:szCs w:val="20"/>
              </w:rPr>
              <w:t>Impact indicators</w:t>
            </w:r>
          </w:p>
        </w:tc>
        <w:tc>
          <w:tcPr>
            <w:tcW w:w="1370" w:type="dxa"/>
            <w:shd w:val="clear" w:color="auto" w:fill="BDD6EE" w:themeFill="accent5" w:themeFillTint="66"/>
            <w:tcMar>
              <w:left w:w="105" w:type="dxa"/>
              <w:right w:w="105" w:type="dxa"/>
            </w:tcMar>
            <w:vAlign w:val="center"/>
          </w:tcPr>
          <w:p w14:paraId="393CF282" w14:textId="77777777" w:rsidR="00271FD7" w:rsidRPr="00E128EB" w:rsidRDefault="00271FD7">
            <w:pPr>
              <w:spacing w:line="259" w:lineRule="auto"/>
              <w:jc w:val="center"/>
              <w:rPr>
                <w:rFonts w:eastAsia="Aptos" w:cs="Arial"/>
                <w:b/>
                <w:sz w:val="20"/>
                <w:szCs w:val="20"/>
              </w:rPr>
            </w:pPr>
            <w:r w:rsidRPr="00E128EB">
              <w:rPr>
                <w:rFonts w:eastAsia="Aptos" w:cs="Arial"/>
                <w:b/>
                <w:sz w:val="20"/>
                <w:szCs w:val="20"/>
              </w:rPr>
              <w:t>Total</w:t>
            </w:r>
          </w:p>
        </w:tc>
      </w:tr>
      <w:tr w:rsidR="00271FD7" w:rsidRPr="00D10F90" w14:paraId="230C2253" w14:textId="77777777">
        <w:trPr>
          <w:trHeight w:val="78"/>
        </w:trPr>
        <w:tc>
          <w:tcPr>
            <w:tcW w:w="3624" w:type="dxa"/>
            <w:tcMar>
              <w:left w:w="105" w:type="dxa"/>
              <w:right w:w="105" w:type="dxa"/>
            </w:tcMar>
            <w:vAlign w:val="center"/>
          </w:tcPr>
          <w:p w14:paraId="3D528D5E" w14:textId="77777777" w:rsidR="00271FD7" w:rsidRPr="00817193" w:rsidRDefault="00271FD7">
            <w:pPr>
              <w:spacing w:line="259" w:lineRule="auto"/>
              <w:jc w:val="center"/>
              <w:rPr>
                <w:rFonts w:eastAsia="Aptos" w:cs="Arial"/>
                <w:sz w:val="20"/>
                <w:szCs w:val="20"/>
              </w:rPr>
            </w:pPr>
            <w:r w:rsidRPr="00817193">
              <w:rPr>
                <w:rFonts w:eastAsia="Aptos" w:cs="Arial"/>
                <w:sz w:val="20"/>
                <w:szCs w:val="20"/>
              </w:rPr>
              <w:t xml:space="preserve">Number of indicators </w:t>
            </w:r>
            <w:r w:rsidRPr="00817193">
              <w:rPr>
                <w:rFonts w:eastAsia="Aptos" w:cs="Arial"/>
                <w:color w:val="00B050"/>
                <w:sz w:val="20"/>
                <w:szCs w:val="20"/>
              </w:rPr>
              <w:t>met or exceeded</w:t>
            </w:r>
          </w:p>
        </w:tc>
        <w:tc>
          <w:tcPr>
            <w:tcW w:w="1370" w:type="dxa"/>
            <w:tcMar>
              <w:left w:w="105" w:type="dxa"/>
              <w:right w:w="105" w:type="dxa"/>
            </w:tcMar>
            <w:vAlign w:val="center"/>
          </w:tcPr>
          <w:p w14:paraId="230624F2" w14:textId="77777777" w:rsidR="00271FD7" w:rsidRPr="00817193" w:rsidRDefault="00271FD7">
            <w:pPr>
              <w:spacing w:line="259" w:lineRule="auto"/>
              <w:jc w:val="center"/>
              <w:rPr>
                <w:rFonts w:eastAsia="Aptos" w:cs="Arial"/>
                <w:sz w:val="20"/>
                <w:szCs w:val="20"/>
              </w:rPr>
            </w:pPr>
            <w:r>
              <w:rPr>
                <w:rFonts w:eastAsia="Aptos" w:cs="Arial"/>
                <w:sz w:val="20"/>
                <w:szCs w:val="20"/>
              </w:rPr>
              <w:t>8</w:t>
            </w:r>
          </w:p>
        </w:tc>
        <w:tc>
          <w:tcPr>
            <w:tcW w:w="1370" w:type="dxa"/>
            <w:tcMar>
              <w:left w:w="105" w:type="dxa"/>
              <w:right w:w="105" w:type="dxa"/>
            </w:tcMar>
            <w:vAlign w:val="center"/>
          </w:tcPr>
          <w:p w14:paraId="3DC40A91" w14:textId="77777777" w:rsidR="00271FD7" w:rsidRPr="00817193" w:rsidRDefault="00271FD7">
            <w:pPr>
              <w:spacing w:line="259" w:lineRule="auto"/>
              <w:jc w:val="center"/>
              <w:rPr>
                <w:rFonts w:eastAsia="Aptos" w:cs="Arial"/>
                <w:sz w:val="20"/>
                <w:szCs w:val="20"/>
              </w:rPr>
            </w:pPr>
            <w:r>
              <w:rPr>
                <w:rFonts w:eastAsia="Aptos" w:cs="Arial"/>
                <w:sz w:val="20"/>
                <w:szCs w:val="20"/>
              </w:rPr>
              <w:t>3</w:t>
            </w:r>
          </w:p>
        </w:tc>
        <w:tc>
          <w:tcPr>
            <w:tcW w:w="1370" w:type="dxa"/>
          </w:tcPr>
          <w:p w14:paraId="24D62E6D" w14:textId="77777777" w:rsidR="00271FD7" w:rsidRPr="00817193" w:rsidRDefault="00271FD7">
            <w:pPr>
              <w:spacing w:line="259" w:lineRule="auto"/>
              <w:jc w:val="center"/>
              <w:rPr>
                <w:rFonts w:eastAsia="Aptos" w:cs="Arial"/>
                <w:sz w:val="20"/>
                <w:szCs w:val="20"/>
              </w:rPr>
            </w:pPr>
            <w:r w:rsidRPr="00817193">
              <w:rPr>
                <w:rFonts w:eastAsia="Aptos" w:cs="Arial"/>
                <w:sz w:val="20"/>
                <w:szCs w:val="20"/>
              </w:rPr>
              <w:t>2</w:t>
            </w:r>
          </w:p>
        </w:tc>
        <w:tc>
          <w:tcPr>
            <w:tcW w:w="1370" w:type="dxa"/>
            <w:tcMar>
              <w:left w:w="105" w:type="dxa"/>
              <w:right w:w="105" w:type="dxa"/>
            </w:tcMar>
            <w:vAlign w:val="center"/>
          </w:tcPr>
          <w:p w14:paraId="47BFC598" w14:textId="77777777" w:rsidR="00271FD7" w:rsidRPr="00817193" w:rsidRDefault="00271FD7">
            <w:pPr>
              <w:spacing w:line="259" w:lineRule="auto"/>
              <w:jc w:val="center"/>
              <w:rPr>
                <w:rFonts w:eastAsia="Aptos" w:cs="Arial"/>
                <w:b/>
                <w:sz w:val="20"/>
                <w:szCs w:val="20"/>
              </w:rPr>
            </w:pPr>
            <w:r w:rsidRPr="00817193">
              <w:rPr>
                <w:rFonts w:eastAsia="Aptos" w:cs="Arial"/>
                <w:b/>
                <w:sz w:val="20"/>
                <w:szCs w:val="20"/>
              </w:rPr>
              <w:t>1</w:t>
            </w:r>
            <w:r>
              <w:rPr>
                <w:rFonts w:eastAsia="Aptos" w:cs="Arial"/>
                <w:b/>
                <w:sz w:val="20"/>
                <w:szCs w:val="20"/>
              </w:rPr>
              <w:t>3</w:t>
            </w:r>
          </w:p>
        </w:tc>
      </w:tr>
      <w:tr w:rsidR="00271FD7" w:rsidRPr="00D10F90" w14:paraId="7F757B45" w14:textId="77777777">
        <w:trPr>
          <w:trHeight w:val="78"/>
        </w:trPr>
        <w:tc>
          <w:tcPr>
            <w:tcW w:w="3624" w:type="dxa"/>
            <w:tcMar>
              <w:left w:w="105" w:type="dxa"/>
              <w:right w:w="105" w:type="dxa"/>
            </w:tcMar>
            <w:vAlign w:val="center"/>
          </w:tcPr>
          <w:p w14:paraId="238D9648" w14:textId="77777777" w:rsidR="00271FD7" w:rsidRPr="00817193" w:rsidRDefault="00271FD7">
            <w:pPr>
              <w:spacing w:line="259" w:lineRule="auto"/>
              <w:jc w:val="center"/>
              <w:rPr>
                <w:rFonts w:eastAsia="Aptos" w:cs="Arial"/>
                <w:sz w:val="20"/>
                <w:szCs w:val="20"/>
              </w:rPr>
            </w:pPr>
            <w:r w:rsidRPr="00817193">
              <w:rPr>
                <w:rFonts w:eastAsia="Aptos" w:cs="Arial"/>
                <w:sz w:val="20"/>
                <w:szCs w:val="20"/>
              </w:rPr>
              <w:t xml:space="preserve">Number of indicators </w:t>
            </w:r>
            <w:r w:rsidRPr="00817193">
              <w:rPr>
                <w:rFonts w:eastAsia="Aptos" w:cs="Arial"/>
                <w:color w:val="C00000"/>
                <w:sz w:val="20"/>
                <w:szCs w:val="20"/>
              </w:rPr>
              <w:t>not delivered</w:t>
            </w:r>
          </w:p>
        </w:tc>
        <w:tc>
          <w:tcPr>
            <w:tcW w:w="1370" w:type="dxa"/>
            <w:tcMar>
              <w:left w:w="105" w:type="dxa"/>
              <w:right w:w="105" w:type="dxa"/>
            </w:tcMar>
            <w:vAlign w:val="center"/>
          </w:tcPr>
          <w:p w14:paraId="09CB109E" w14:textId="77777777" w:rsidR="00271FD7" w:rsidRPr="00817193" w:rsidRDefault="00271FD7">
            <w:pPr>
              <w:spacing w:line="259" w:lineRule="auto"/>
              <w:jc w:val="center"/>
              <w:rPr>
                <w:rFonts w:eastAsia="Aptos" w:cs="Arial"/>
                <w:sz w:val="20"/>
                <w:szCs w:val="20"/>
              </w:rPr>
            </w:pPr>
            <w:r>
              <w:rPr>
                <w:rFonts w:eastAsia="Aptos" w:cs="Arial"/>
                <w:sz w:val="20"/>
                <w:szCs w:val="20"/>
              </w:rPr>
              <w:t>1</w:t>
            </w:r>
          </w:p>
        </w:tc>
        <w:tc>
          <w:tcPr>
            <w:tcW w:w="1370" w:type="dxa"/>
            <w:tcMar>
              <w:left w:w="105" w:type="dxa"/>
              <w:right w:w="105" w:type="dxa"/>
            </w:tcMar>
            <w:vAlign w:val="center"/>
          </w:tcPr>
          <w:p w14:paraId="4E492350" w14:textId="77777777" w:rsidR="00271FD7" w:rsidRPr="00817193" w:rsidRDefault="00271FD7">
            <w:pPr>
              <w:spacing w:line="259" w:lineRule="auto"/>
              <w:jc w:val="center"/>
              <w:rPr>
                <w:rFonts w:eastAsia="Aptos" w:cs="Arial"/>
                <w:sz w:val="20"/>
                <w:szCs w:val="20"/>
              </w:rPr>
            </w:pPr>
            <w:r>
              <w:rPr>
                <w:rFonts w:eastAsia="Aptos" w:cs="Arial"/>
                <w:sz w:val="20"/>
                <w:szCs w:val="20"/>
              </w:rPr>
              <w:t>5</w:t>
            </w:r>
          </w:p>
        </w:tc>
        <w:tc>
          <w:tcPr>
            <w:tcW w:w="1370" w:type="dxa"/>
          </w:tcPr>
          <w:p w14:paraId="66DC8A74" w14:textId="77777777" w:rsidR="00271FD7" w:rsidRPr="00817193" w:rsidRDefault="00271FD7">
            <w:pPr>
              <w:spacing w:line="259" w:lineRule="auto"/>
              <w:jc w:val="center"/>
              <w:rPr>
                <w:rFonts w:eastAsia="Aptos" w:cs="Arial"/>
                <w:sz w:val="20"/>
                <w:szCs w:val="20"/>
              </w:rPr>
            </w:pPr>
            <w:r w:rsidRPr="00817193">
              <w:rPr>
                <w:rFonts w:eastAsia="Aptos" w:cs="Arial"/>
                <w:sz w:val="20"/>
                <w:szCs w:val="20"/>
              </w:rPr>
              <w:t>1</w:t>
            </w:r>
          </w:p>
        </w:tc>
        <w:tc>
          <w:tcPr>
            <w:tcW w:w="1370" w:type="dxa"/>
            <w:tcMar>
              <w:left w:w="105" w:type="dxa"/>
              <w:right w:w="105" w:type="dxa"/>
            </w:tcMar>
            <w:vAlign w:val="center"/>
          </w:tcPr>
          <w:p w14:paraId="35B86E8A" w14:textId="77777777" w:rsidR="00271FD7" w:rsidRPr="00817193" w:rsidRDefault="00271FD7">
            <w:pPr>
              <w:spacing w:line="259" w:lineRule="auto"/>
              <w:jc w:val="center"/>
              <w:rPr>
                <w:rFonts w:eastAsia="Aptos" w:cs="Arial"/>
                <w:b/>
                <w:sz w:val="20"/>
                <w:szCs w:val="20"/>
              </w:rPr>
            </w:pPr>
            <w:r>
              <w:rPr>
                <w:rFonts w:eastAsia="Aptos" w:cs="Arial"/>
                <w:b/>
                <w:sz w:val="20"/>
                <w:szCs w:val="20"/>
              </w:rPr>
              <w:t>7</w:t>
            </w:r>
          </w:p>
        </w:tc>
      </w:tr>
      <w:tr w:rsidR="00271FD7" w:rsidRPr="00D10F90" w14:paraId="0DE722AD" w14:textId="77777777">
        <w:trPr>
          <w:trHeight w:val="78"/>
        </w:trPr>
        <w:tc>
          <w:tcPr>
            <w:tcW w:w="3624" w:type="dxa"/>
            <w:tcMar>
              <w:left w:w="105" w:type="dxa"/>
              <w:right w:w="105" w:type="dxa"/>
            </w:tcMar>
            <w:vAlign w:val="center"/>
          </w:tcPr>
          <w:p w14:paraId="59070FC9" w14:textId="77777777" w:rsidR="00271FD7" w:rsidRPr="00817193" w:rsidRDefault="00271FD7">
            <w:pPr>
              <w:spacing w:line="259" w:lineRule="auto"/>
              <w:jc w:val="center"/>
              <w:rPr>
                <w:rFonts w:eastAsia="Aptos" w:cs="Arial"/>
                <w:b/>
                <w:sz w:val="20"/>
                <w:szCs w:val="20"/>
              </w:rPr>
            </w:pPr>
            <w:r w:rsidRPr="00817193">
              <w:rPr>
                <w:rFonts w:eastAsia="Aptos" w:cs="Arial"/>
                <w:b/>
                <w:sz w:val="20"/>
                <w:szCs w:val="20"/>
              </w:rPr>
              <w:t>Total</w:t>
            </w:r>
          </w:p>
        </w:tc>
        <w:tc>
          <w:tcPr>
            <w:tcW w:w="1370" w:type="dxa"/>
            <w:tcMar>
              <w:left w:w="105" w:type="dxa"/>
              <w:right w:w="105" w:type="dxa"/>
            </w:tcMar>
            <w:vAlign w:val="center"/>
          </w:tcPr>
          <w:p w14:paraId="7EF56676" w14:textId="77777777" w:rsidR="00271FD7" w:rsidRPr="00817193" w:rsidRDefault="00271FD7">
            <w:pPr>
              <w:spacing w:line="259" w:lineRule="auto"/>
              <w:jc w:val="center"/>
              <w:rPr>
                <w:rFonts w:eastAsia="Aptos" w:cs="Arial"/>
                <w:b/>
                <w:sz w:val="20"/>
                <w:szCs w:val="20"/>
              </w:rPr>
            </w:pPr>
            <w:r>
              <w:rPr>
                <w:rFonts w:eastAsia="Aptos" w:cs="Arial"/>
                <w:b/>
                <w:sz w:val="20"/>
                <w:szCs w:val="20"/>
              </w:rPr>
              <w:t>9</w:t>
            </w:r>
          </w:p>
        </w:tc>
        <w:tc>
          <w:tcPr>
            <w:tcW w:w="1370" w:type="dxa"/>
            <w:tcMar>
              <w:left w:w="105" w:type="dxa"/>
              <w:right w:w="105" w:type="dxa"/>
            </w:tcMar>
            <w:vAlign w:val="center"/>
          </w:tcPr>
          <w:p w14:paraId="2768B1E8" w14:textId="77777777" w:rsidR="00271FD7" w:rsidRPr="00817193" w:rsidRDefault="00271FD7">
            <w:pPr>
              <w:spacing w:line="259" w:lineRule="auto"/>
              <w:jc w:val="center"/>
              <w:rPr>
                <w:rFonts w:eastAsia="Aptos" w:cs="Arial"/>
                <w:b/>
                <w:sz w:val="20"/>
                <w:szCs w:val="20"/>
              </w:rPr>
            </w:pPr>
            <w:r>
              <w:rPr>
                <w:rFonts w:eastAsia="Aptos" w:cs="Arial"/>
                <w:b/>
                <w:sz w:val="20"/>
                <w:szCs w:val="20"/>
              </w:rPr>
              <w:t>8</w:t>
            </w:r>
          </w:p>
        </w:tc>
        <w:tc>
          <w:tcPr>
            <w:tcW w:w="1370" w:type="dxa"/>
          </w:tcPr>
          <w:p w14:paraId="767DE0A1" w14:textId="77777777" w:rsidR="00271FD7" w:rsidRPr="00817193" w:rsidRDefault="00271FD7">
            <w:pPr>
              <w:spacing w:line="259" w:lineRule="auto"/>
              <w:jc w:val="center"/>
              <w:rPr>
                <w:rFonts w:eastAsia="Aptos" w:cs="Arial"/>
                <w:b/>
                <w:sz w:val="20"/>
                <w:szCs w:val="20"/>
              </w:rPr>
            </w:pPr>
            <w:r w:rsidRPr="00817193">
              <w:rPr>
                <w:rFonts w:eastAsia="Aptos" w:cs="Arial"/>
                <w:b/>
                <w:sz w:val="20"/>
                <w:szCs w:val="20"/>
              </w:rPr>
              <w:t>3</w:t>
            </w:r>
          </w:p>
        </w:tc>
        <w:tc>
          <w:tcPr>
            <w:tcW w:w="1370" w:type="dxa"/>
            <w:tcMar>
              <w:left w:w="105" w:type="dxa"/>
              <w:right w:w="105" w:type="dxa"/>
            </w:tcMar>
            <w:vAlign w:val="center"/>
          </w:tcPr>
          <w:p w14:paraId="561F680A" w14:textId="77777777" w:rsidR="00271FD7" w:rsidRPr="00817193" w:rsidRDefault="00271FD7">
            <w:pPr>
              <w:spacing w:line="259" w:lineRule="auto"/>
              <w:jc w:val="center"/>
              <w:rPr>
                <w:rFonts w:eastAsia="Aptos" w:cs="Arial"/>
                <w:b/>
                <w:sz w:val="20"/>
                <w:szCs w:val="20"/>
              </w:rPr>
            </w:pPr>
            <w:r>
              <w:rPr>
                <w:rFonts w:eastAsia="Aptos" w:cs="Arial"/>
                <w:b/>
                <w:sz w:val="20"/>
                <w:szCs w:val="20"/>
              </w:rPr>
              <w:t>20</w:t>
            </w:r>
          </w:p>
        </w:tc>
      </w:tr>
    </w:tbl>
    <w:p w14:paraId="7729EE8E" w14:textId="429040D2" w:rsidR="00C708C3" w:rsidRPr="005F73B9" w:rsidRDefault="00C708C3" w:rsidP="0C17AC5C">
      <w:pPr>
        <w:spacing w:after="160" w:line="257" w:lineRule="auto"/>
        <w:jc w:val="both"/>
        <w:rPr>
          <w:rFonts w:eastAsia="Arial" w:cs="Arial"/>
          <w:i/>
          <w:iCs/>
          <w:color w:val="44546A" w:themeColor="text2"/>
          <w:sz w:val="22"/>
          <w:szCs w:val="22"/>
        </w:rPr>
      </w:pPr>
      <w:r w:rsidRPr="005F73B9">
        <w:rPr>
          <w:i/>
          <w:iCs/>
          <w:color w:val="44546A" w:themeColor="text2"/>
          <w:sz w:val="22"/>
          <w:szCs w:val="22"/>
        </w:rPr>
        <w:t>Table 3 - Summary table of programme performance against 202</w:t>
      </w:r>
      <w:r w:rsidR="00BC4BD4">
        <w:rPr>
          <w:i/>
          <w:iCs/>
          <w:color w:val="44546A" w:themeColor="text2"/>
          <w:sz w:val="22"/>
          <w:szCs w:val="22"/>
        </w:rPr>
        <w:t>4</w:t>
      </w:r>
      <w:r w:rsidRPr="005F73B9">
        <w:rPr>
          <w:i/>
          <w:iCs/>
          <w:color w:val="44546A" w:themeColor="text2"/>
          <w:sz w:val="22"/>
          <w:szCs w:val="22"/>
        </w:rPr>
        <w:t xml:space="preserve"> indicator targets</w:t>
      </w:r>
      <w:r w:rsidRPr="005F73B9">
        <w:rPr>
          <w:rStyle w:val="FootnoteReference"/>
          <w:rFonts w:eastAsia="Arial" w:cs="Arial"/>
          <w:i/>
          <w:iCs/>
          <w:color w:val="44546A" w:themeColor="text2"/>
          <w:sz w:val="22"/>
          <w:szCs w:val="22"/>
        </w:rPr>
        <w:footnoteReference w:id="3"/>
      </w:r>
    </w:p>
    <w:p w14:paraId="1EB1C821" w14:textId="77777777" w:rsidR="002B67E8" w:rsidRDefault="002B67E8" w:rsidP="002B67E8">
      <w:pPr>
        <w:spacing w:after="160" w:line="257" w:lineRule="auto"/>
        <w:jc w:val="both"/>
        <w:rPr>
          <w:rFonts w:eastAsia="Arial" w:cs="Arial"/>
          <w:sz w:val="22"/>
          <w:szCs w:val="22"/>
        </w:rPr>
      </w:pPr>
    </w:p>
    <w:p w14:paraId="25576E49" w14:textId="192B321A" w:rsidR="00271FD7" w:rsidRPr="00C47B92" w:rsidRDefault="00271FD7" w:rsidP="00271FD7">
      <w:pPr>
        <w:spacing w:after="160" w:line="257" w:lineRule="auto"/>
        <w:jc w:val="both"/>
        <w:rPr>
          <w:rFonts w:eastAsia="Arial" w:cs="Arial"/>
          <w:sz w:val="22"/>
          <w:szCs w:val="22"/>
        </w:rPr>
      </w:pPr>
      <w:r w:rsidRPr="00944C51">
        <w:rPr>
          <w:rFonts w:eastAsia="Arial" w:cs="Arial"/>
          <w:sz w:val="22"/>
          <w:szCs w:val="22"/>
        </w:rPr>
        <w:t xml:space="preserve">Table 3 above shows that 38% of </w:t>
      </w:r>
      <w:r w:rsidR="00D87A00" w:rsidRPr="00D87A00">
        <w:rPr>
          <w:rFonts w:eastAsia="Arial" w:cs="Arial"/>
          <w:i/>
          <w:iCs/>
          <w:sz w:val="22"/>
          <w:szCs w:val="22"/>
        </w:rPr>
        <w:t>O</w:t>
      </w:r>
      <w:r w:rsidRPr="00D87A00">
        <w:rPr>
          <w:rFonts w:eastAsia="Arial" w:cs="Arial"/>
          <w:i/>
          <w:iCs/>
          <w:sz w:val="22"/>
          <w:szCs w:val="22"/>
        </w:rPr>
        <w:t>utcome</w:t>
      </w:r>
      <w:r w:rsidRPr="00944C51">
        <w:rPr>
          <w:rFonts w:eastAsia="Arial" w:cs="Arial"/>
          <w:sz w:val="22"/>
          <w:szCs w:val="22"/>
        </w:rPr>
        <w:t xml:space="preserve"> indicators have met or exceeded their 2024 milestones. Whilst this is lower compared to 2023, all the indicators that have not met their targets only missed by a small margin, suggesting that the programme continues to make good progress across both outcome areas. </w:t>
      </w:r>
      <w:r w:rsidR="00C91862">
        <w:rPr>
          <w:rFonts w:eastAsia="Arial" w:cs="Arial"/>
          <w:sz w:val="22"/>
          <w:szCs w:val="22"/>
        </w:rPr>
        <w:t xml:space="preserve">89% of </w:t>
      </w:r>
      <w:r w:rsidR="00C91862">
        <w:rPr>
          <w:rFonts w:eastAsia="Arial" w:cs="Arial"/>
          <w:i/>
          <w:iCs/>
          <w:sz w:val="22"/>
          <w:szCs w:val="22"/>
        </w:rPr>
        <w:t>Output</w:t>
      </w:r>
      <w:r w:rsidR="00C91862">
        <w:rPr>
          <w:rFonts w:eastAsia="Arial" w:cs="Arial"/>
          <w:sz w:val="22"/>
          <w:szCs w:val="22"/>
        </w:rPr>
        <w:t xml:space="preserve"> indicators were met</w:t>
      </w:r>
      <w:r w:rsidR="00C47B92">
        <w:rPr>
          <w:rFonts w:eastAsia="Arial" w:cs="Arial"/>
          <w:sz w:val="22"/>
          <w:szCs w:val="22"/>
        </w:rPr>
        <w:t xml:space="preserve"> or exceeded, and two thirds of </w:t>
      </w:r>
      <w:r w:rsidR="00C47B92">
        <w:rPr>
          <w:rFonts w:eastAsia="Arial" w:cs="Arial"/>
          <w:i/>
          <w:iCs/>
          <w:sz w:val="22"/>
          <w:szCs w:val="22"/>
        </w:rPr>
        <w:t>Impact</w:t>
      </w:r>
      <w:r w:rsidR="00C47B92">
        <w:rPr>
          <w:rFonts w:eastAsia="Arial" w:cs="Arial"/>
          <w:sz w:val="22"/>
          <w:szCs w:val="22"/>
        </w:rPr>
        <w:t xml:space="preserve"> indicators, for a total across all indicators of 65%.</w:t>
      </w:r>
    </w:p>
    <w:p w14:paraId="262EA742" w14:textId="77777777" w:rsidR="00413712" w:rsidRDefault="2EE66EDC" w:rsidP="0C17AC5C">
      <w:pPr>
        <w:spacing w:after="160" w:line="257" w:lineRule="auto"/>
        <w:jc w:val="both"/>
        <w:rPr>
          <w:rFonts w:eastAsia="Arial" w:cs="Arial"/>
          <w:sz w:val="22"/>
          <w:szCs w:val="22"/>
        </w:rPr>
      </w:pPr>
      <w:r w:rsidRPr="0C17AC5C">
        <w:rPr>
          <w:rFonts w:eastAsia="Arial" w:cs="Arial"/>
          <w:sz w:val="22"/>
          <w:szCs w:val="22"/>
        </w:rPr>
        <w:t xml:space="preserve">Between </w:t>
      </w:r>
      <w:r w:rsidR="00271FD7" w:rsidRPr="00944C51">
        <w:rPr>
          <w:rFonts w:eastAsia="Arial" w:cs="Arial"/>
          <w:sz w:val="22"/>
          <w:szCs w:val="22"/>
        </w:rPr>
        <w:t>2023 and 2024</w:t>
      </w:r>
      <w:r w:rsidRPr="0C17AC5C">
        <w:rPr>
          <w:rFonts w:eastAsia="Arial" w:cs="Arial"/>
          <w:sz w:val="22"/>
          <w:szCs w:val="22"/>
        </w:rPr>
        <w:t xml:space="preserve">, the outcome with the largest increase is the amount of water saved, which has increased by </w:t>
      </w:r>
      <w:r w:rsidR="00271FD7" w:rsidRPr="00944C51">
        <w:rPr>
          <w:rFonts w:eastAsia="Arial" w:cs="Arial"/>
          <w:sz w:val="22"/>
          <w:szCs w:val="22"/>
        </w:rPr>
        <w:t>14.1m</w:t>
      </w:r>
      <w:r w:rsidR="00271FD7" w:rsidRPr="00944C51">
        <w:rPr>
          <w:rFonts w:eastAsia="Arial" w:cs="Arial"/>
          <w:sz w:val="22"/>
          <w:szCs w:val="22"/>
          <w:vertAlign w:val="superscript"/>
        </w:rPr>
        <w:t>3</w:t>
      </w:r>
      <w:r w:rsidR="00271FD7" w:rsidRPr="00944C51">
        <w:rPr>
          <w:rFonts w:eastAsia="Arial" w:cs="Arial"/>
          <w:sz w:val="22"/>
          <w:szCs w:val="22"/>
        </w:rPr>
        <w:t xml:space="preserve">, an increase of 85%. </w:t>
      </w:r>
      <w:r w:rsidRPr="0C17AC5C">
        <w:rPr>
          <w:rFonts w:eastAsia="Arial" w:cs="Arial"/>
          <w:sz w:val="22"/>
          <w:szCs w:val="22"/>
        </w:rPr>
        <w:t xml:space="preserve">Furthermore, land sustainably managed through the portfolio increased by </w:t>
      </w:r>
      <w:r w:rsidR="00271FD7" w:rsidRPr="00944C51">
        <w:rPr>
          <w:rFonts w:eastAsia="Arial" w:cs="Arial"/>
          <w:sz w:val="22"/>
          <w:szCs w:val="22"/>
        </w:rPr>
        <w:t>107</w:t>
      </w:r>
      <w:r w:rsidRPr="0C17AC5C">
        <w:rPr>
          <w:rFonts w:eastAsia="Arial" w:cs="Arial"/>
          <w:sz w:val="22"/>
          <w:szCs w:val="22"/>
        </w:rPr>
        <w:t xml:space="preserve">,000 hectares, an increase of </w:t>
      </w:r>
      <w:r w:rsidR="00271FD7" w:rsidRPr="00944C51">
        <w:rPr>
          <w:rFonts w:eastAsia="Arial" w:cs="Arial"/>
          <w:sz w:val="22"/>
          <w:szCs w:val="22"/>
        </w:rPr>
        <w:t>10</w:t>
      </w:r>
      <w:r w:rsidRPr="0C17AC5C">
        <w:rPr>
          <w:rFonts w:eastAsia="Arial" w:cs="Arial"/>
          <w:sz w:val="22"/>
          <w:szCs w:val="22"/>
        </w:rPr>
        <w:t>% and the amount of net CO</w:t>
      </w:r>
      <w:r w:rsidRPr="0C17AC5C">
        <w:rPr>
          <w:rFonts w:eastAsia="Arial" w:cs="Arial"/>
          <w:sz w:val="22"/>
          <w:szCs w:val="22"/>
          <w:vertAlign w:val="subscript"/>
        </w:rPr>
        <w:t>2</w:t>
      </w:r>
      <w:r w:rsidRPr="0C17AC5C">
        <w:rPr>
          <w:rFonts w:eastAsia="Arial" w:cs="Arial"/>
          <w:sz w:val="22"/>
          <w:szCs w:val="22"/>
        </w:rPr>
        <w:t xml:space="preserve"> stored has increased by </w:t>
      </w:r>
      <w:r w:rsidR="00271FD7" w:rsidRPr="00944C51">
        <w:rPr>
          <w:rFonts w:eastAsia="Arial" w:cs="Arial"/>
          <w:sz w:val="22"/>
          <w:szCs w:val="22"/>
        </w:rPr>
        <w:t>66</w:t>
      </w:r>
      <w:r w:rsidRPr="0C17AC5C">
        <w:rPr>
          <w:rFonts w:eastAsia="Arial" w:cs="Arial"/>
          <w:sz w:val="22"/>
          <w:szCs w:val="22"/>
        </w:rPr>
        <w:t>,000</w:t>
      </w:r>
      <w:r w:rsidR="62AF270C" w:rsidRPr="0C17AC5C">
        <w:rPr>
          <w:rFonts w:eastAsia="Arial" w:cs="Arial"/>
          <w:sz w:val="22"/>
          <w:szCs w:val="22"/>
        </w:rPr>
        <w:t xml:space="preserve"> tonnes</w:t>
      </w:r>
      <w:r w:rsidRPr="0C17AC5C">
        <w:rPr>
          <w:rFonts w:eastAsia="Arial" w:cs="Arial"/>
          <w:sz w:val="22"/>
          <w:szCs w:val="22"/>
        </w:rPr>
        <w:t xml:space="preserve"> (a 2% increase). The number of jobs supported by sub-borrowers has also increased, with an extra </w:t>
      </w:r>
      <w:r w:rsidR="00271FD7" w:rsidRPr="00944C51">
        <w:rPr>
          <w:rFonts w:eastAsia="Arial" w:cs="Arial"/>
          <w:sz w:val="22"/>
          <w:szCs w:val="22"/>
        </w:rPr>
        <w:t>29</w:t>
      </w:r>
      <w:r w:rsidRPr="0C17AC5C">
        <w:rPr>
          <w:rFonts w:eastAsia="Arial" w:cs="Arial"/>
          <w:sz w:val="22"/>
          <w:szCs w:val="22"/>
        </w:rPr>
        <w:t xml:space="preserve">,000 people being supported (an increase of </w:t>
      </w:r>
      <w:r w:rsidR="00271FD7" w:rsidRPr="00944C51">
        <w:rPr>
          <w:rFonts w:eastAsia="Arial" w:cs="Arial"/>
          <w:sz w:val="22"/>
          <w:szCs w:val="22"/>
        </w:rPr>
        <w:t>4%).</w:t>
      </w:r>
      <w:r w:rsidRPr="0C17AC5C">
        <w:rPr>
          <w:rFonts w:eastAsia="Arial" w:cs="Arial"/>
          <w:sz w:val="22"/>
          <w:szCs w:val="22"/>
        </w:rPr>
        <w:t xml:space="preserve"> </w:t>
      </w:r>
    </w:p>
    <w:p w14:paraId="66D3666A" w14:textId="76EE435D" w:rsidR="00F20A87" w:rsidRDefault="2EE66EDC" w:rsidP="0C17AC5C">
      <w:pPr>
        <w:spacing w:after="160" w:line="257" w:lineRule="auto"/>
        <w:jc w:val="both"/>
        <w:rPr>
          <w:rFonts w:eastAsia="Arial" w:cs="Arial"/>
          <w:sz w:val="22"/>
          <w:szCs w:val="22"/>
        </w:rPr>
      </w:pPr>
      <w:r w:rsidRPr="0C17AC5C">
        <w:rPr>
          <w:rFonts w:eastAsia="Arial" w:cs="Arial"/>
          <w:sz w:val="22"/>
          <w:szCs w:val="22"/>
        </w:rPr>
        <w:t xml:space="preserve">Overall, this shows progress across a range of outcomes between </w:t>
      </w:r>
      <w:r w:rsidR="00271FD7" w:rsidRPr="00944C51">
        <w:rPr>
          <w:rFonts w:eastAsia="Arial" w:cs="Arial"/>
          <w:sz w:val="22"/>
          <w:szCs w:val="22"/>
        </w:rPr>
        <w:t>2023 and 2024</w:t>
      </w:r>
      <w:r w:rsidRPr="0C17AC5C">
        <w:rPr>
          <w:rFonts w:eastAsia="Arial" w:cs="Arial"/>
          <w:sz w:val="22"/>
          <w:szCs w:val="22"/>
        </w:rPr>
        <w:t xml:space="preserve">, suggesting that the programme is on track to </w:t>
      </w:r>
      <w:r w:rsidR="0074017D">
        <w:rPr>
          <w:rFonts w:eastAsia="Arial" w:cs="Arial"/>
          <w:sz w:val="22"/>
          <w:szCs w:val="22"/>
        </w:rPr>
        <w:t xml:space="preserve">meet or </w:t>
      </w:r>
      <w:r w:rsidR="00CC7364">
        <w:rPr>
          <w:rFonts w:eastAsia="Arial" w:cs="Arial"/>
          <w:sz w:val="22"/>
          <w:szCs w:val="22"/>
        </w:rPr>
        <w:t>exceed</w:t>
      </w:r>
      <w:r w:rsidRPr="0C17AC5C">
        <w:rPr>
          <w:rFonts w:eastAsia="Arial" w:cs="Arial"/>
          <w:sz w:val="22"/>
          <w:szCs w:val="22"/>
        </w:rPr>
        <w:t xml:space="preserve"> its overall aims by the end of the programme.  </w:t>
      </w:r>
    </w:p>
    <w:p w14:paraId="570CEFBC" w14:textId="7019A8CF" w:rsidR="00F20A87" w:rsidRPr="00A54B18" w:rsidRDefault="2EE66EDC" w:rsidP="07FC4C9B">
      <w:pPr>
        <w:jc w:val="both"/>
        <w:rPr>
          <w:rFonts w:eastAsia="Arial" w:cs="Arial"/>
          <w:b/>
          <w:bCs/>
          <w:sz w:val="22"/>
          <w:szCs w:val="22"/>
        </w:rPr>
      </w:pPr>
      <w:r w:rsidRPr="07FC4C9B">
        <w:rPr>
          <w:rFonts w:eastAsia="Arial" w:cs="Arial"/>
          <w:b/>
          <w:bCs/>
          <w:sz w:val="22"/>
          <w:szCs w:val="22"/>
        </w:rPr>
        <w:t>Equity</w:t>
      </w:r>
      <w:r w:rsidR="00877381">
        <w:rPr>
          <w:rFonts w:eastAsia="Arial" w:cs="Arial"/>
          <w:b/>
          <w:bCs/>
          <w:sz w:val="22"/>
          <w:szCs w:val="22"/>
        </w:rPr>
        <w:t xml:space="preserve"> - </w:t>
      </w:r>
      <w:r w:rsidR="00877381" w:rsidRPr="00E47BAA">
        <w:rPr>
          <w:rFonts w:eastAsia="Arial" w:cs="Arial"/>
          <w:i/>
          <w:iCs/>
          <w:sz w:val="22"/>
          <w:szCs w:val="22"/>
        </w:rPr>
        <w:t>How fairly are the benefits distributed? To what extent will we reach marginalised groups? (“spending fairly”)</w:t>
      </w:r>
    </w:p>
    <w:p w14:paraId="2655E979" w14:textId="77777777" w:rsidR="00F20A87" w:rsidRPr="00A54B18" w:rsidRDefault="00F20A87" w:rsidP="07FC4C9B">
      <w:pPr>
        <w:jc w:val="both"/>
        <w:rPr>
          <w:rFonts w:eastAsia="Arial" w:cs="Arial"/>
          <w:b/>
          <w:bCs/>
          <w:sz w:val="22"/>
          <w:szCs w:val="22"/>
        </w:rPr>
      </w:pPr>
    </w:p>
    <w:p w14:paraId="48EA8932" w14:textId="77777777" w:rsidR="00F20A87" w:rsidRPr="00A54B18" w:rsidRDefault="2EE66EDC" w:rsidP="07FC4C9B">
      <w:pPr>
        <w:jc w:val="both"/>
        <w:rPr>
          <w:rFonts w:eastAsia="Arial" w:cs="Arial"/>
          <w:color w:val="000000" w:themeColor="text1"/>
          <w:sz w:val="22"/>
          <w:szCs w:val="22"/>
        </w:rPr>
      </w:pPr>
      <w:r w:rsidRPr="07FC4C9B">
        <w:rPr>
          <w:rFonts w:eastAsia="Arial" w:cs="Arial"/>
          <w:color w:val="000000" w:themeColor="text1"/>
          <w:sz w:val="22"/>
          <w:szCs w:val="22"/>
        </w:rPr>
        <w:t>In order to track the progress with respect to how well EBF is doing in terms of equity, the following VfM metrics will be used in this and future ARs:</w:t>
      </w:r>
    </w:p>
    <w:p w14:paraId="689E0C84" w14:textId="77777777" w:rsidR="00F20A87" w:rsidRPr="00A54B18" w:rsidRDefault="2EE66EDC" w:rsidP="00674C5F">
      <w:pPr>
        <w:pStyle w:val="ListParagraph"/>
        <w:numPr>
          <w:ilvl w:val="0"/>
          <w:numId w:val="1"/>
        </w:numPr>
        <w:spacing w:after="0"/>
        <w:jc w:val="both"/>
        <w:rPr>
          <w:rFonts w:eastAsia="Arial" w:cs="Arial"/>
          <w:color w:val="000000" w:themeColor="text1"/>
          <w:sz w:val="22"/>
          <w:szCs w:val="22"/>
        </w:rPr>
      </w:pPr>
      <w:r w:rsidRPr="07FC4C9B">
        <w:rPr>
          <w:rFonts w:eastAsia="Arial" w:cs="Arial"/>
          <w:color w:val="000000" w:themeColor="text1"/>
          <w:sz w:val="22"/>
          <w:szCs w:val="22"/>
        </w:rPr>
        <w:t>Gender ratio in core EBF team</w:t>
      </w:r>
    </w:p>
    <w:p w14:paraId="12531D7D" w14:textId="77777777" w:rsidR="00F20A87" w:rsidRPr="00A54B18" w:rsidRDefault="2EE66EDC" w:rsidP="00674C5F">
      <w:pPr>
        <w:pStyle w:val="ListParagraph"/>
        <w:numPr>
          <w:ilvl w:val="0"/>
          <w:numId w:val="1"/>
        </w:numPr>
        <w:spacing w:after="0"/>
        <w:jc w:val="both"/>
        <w:rPr>
          <w:rFonts w:eastAsia="Arial" w:cs="Arial"/>
          <w:color w:val="000000" w:themeColor="text1"/>
          <w:sz w:val="22"/>
          <w:szCs w:val="22"/>
        </w:rPr>
      </w:pPr>
      <w:r w:rsidRPr="07FC4C9B">
        <w:rPr>
          <w:rFonts w:eastAsia="Arial" w:cs="Arial"/>
          <w:color w:val="000000" w:themeColor="text1"/>
          <w:sz w:val="22"/>
          <w:szCs w:val="22"/>
        </w:rPr>
        <w:t>Gender ratio employed in PIs</w:t>
      </w:r>
    </w:p>
    <w:p w14:paraId="199F0FB7" w14:textId="77777777" w:rsidR="00F20A87" w:rsidRPr="00A54B18" w:rsidRDefault="2EE66EDC" w:rsidP="07FC4C9B">
      <w:pPr>
        <w:spacing w:after="160" w:line="257" w:lineRule="auto"/>
        <w:jc w:val="both"/>
      </w:pPr>
      <w:r w:rsidRPr="07FC4C9B">
        <w:rPr>
          <w:rFonts w:eastAsia="Arial" w:cs="Arial"/>
          <w:color w:val="000000" w:themeColor="text1"/>
          <w:sz w:val="22"/>
          <w:szCs w:val="22"/>
        </w:rPr>
        <w:t xml:space="preserve">The results for the VfM metrics for this AR are shown below in Table </w:t>
      </w:r>
      <w:r w:rsidR="00FE386E">
        <w:rPr>
          <w:rFonts w:eastAsia="Arial" w:cs="Arial"/>
          <w:color w:val="000000" w:themeColor="text1"/>
          <w:sz w:val="22"/>
          <w:szCs w:val="22"/>
        </w:rPr>
        <w:t>4</w:t>
      </w:r>
      <w:r w:rsidRPr="07FC4C9B">
        <w:rPr>
          <w:rFonts w:eastAsia="Arial" w:cs="Arial"/>
          <w:color w:val="000000" w:themeColor="text1"/>
          <w:sz w:val="22"/>
          <w:szCs w:val="22"/>
        </w:rPr>
        <w:t>:</w:t>
      </w:r>
    </w:p>
    <w:p w14:paraId="062AA804" w14:textId="77777777" w:rsidR="00F20A87" w:rsidRPr="00FE386E" w:rsidRDefault="2EE66EDC" w:rsidP="07FC4C9B">
      <w:pPr>
        <w:spacing w:after="200" w:line="257" w:lineRule="auto"/>
        <w:jc w:val="both"/>
        <w:rPr>
          <w:i/>
          <w:iCs/>
        </w:rPr>
      </w:pPr>
      <w:r w:rsidRPr="00FE386E">
        <w:rPr>
          <w:rFonts w:eastAsia="Arial" w:cs="Arial"/>
          <w:i/>
          <w:iCs/>
          <w:color w:val="445369"/>
          <w:sz w:val="22"/>
          <w:szCs w:val="22"/>
        </w:rPr>
        <w:t xml:space="preserve">Table </w:t>
      </w:r>
      <w:r w:rsidR="00FE386E" w:rsidRPr="00FE386E">
        <w:rPr>
          <w:rFonts w:eastAsia="Arial" w:cs="Arial"/>
          <w:i/>
          <w:iCs/>
          <w:color w:val="445369"/>
          <w:sz w:val="22"/>
          <w:szCs w:val="22"/>
        </w:rPr>
        <w:t>4</w:t>
      </w:r>
      <w:r w:rsidRPr="00FE386E">
        <w:rPr>
          <w:rFonts w:eastAsia="Arial" w:cs="Arial"/>
          <w:i/>
          <w:iCs/>
          <w:color w:val="445369"/>
          <w:sz w:val="22"/>
          <w:szCs w:val="22"/>
        </w:rPr>
        <w:t xml:space="preserve"> - VfM Equity Metrics Results</w:t>
      </w:r>
    </w:p>
    <w:tbl>
      <w:tblPr>
        <w:tblStyle w:val="TableGrid"/>
        <w:tblW w:w="0" w:type="auto"/>
        <w:tblLayout w:type="fixed"/>
        <w:tblLook w:val="04A0" w:firstRow="1" w:lastRow="0" w:firstColumn="1" w:lastColumn="0" w:noHBand="0" w:noVBand="1"/>
      </w:tblPr>
      <w:tblGrid>
        <w:gridCol w:w="4500"/>
        <w:gridCol w:w="4500"/>
      </w:tblGrid>
      <w:tr w:rsidR="00271FD7" w14:paraId="72848B5C" w14:textId="77777777">
        <w:trPr>
          <w:trHeight w:val="300"/>
        </w:trPr>
        <w:tc>
          <w:tcPr>
            <w:tcW w:w="4500"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2D7C4E56" w14:textId="77777777" w:rsidR="00271FD7" w:rsidRPr="002969A2" w:rsidRDefault="00271FD7">
            <w:pPr>
              <w:jc w:val="both"/>
            </w:pPr>
            <w:r w:rsidRPr="002969A2">
              <w:rPr>
                <w:rFonts w:eastAsia="Arial" w:cs="Arial"/>
                <w:i/>
                <w:iCs/>
                <w:color w:val="000000" w:themeColor="text1"/>
                <w:sz w:val="22"/>
                <w:szCs w:val="22"/>
              </w:rPr>
              <w:t>VfM Metric</w:t>
            </w:r>
          </w:p>
        </w:tc>
        <w:tc>
          <w:tcPr>
            <w:tcW w:w="4500" w:type="dxa"/>
            <w:tcBorders>
              <w:top w:val="single" w:sz="8" w:space="0" w:color="auto"/>
              <w:left w:val="single" w:sz="8" w:space="0" w:color="auto"/>
              <w:bottom w:val="single" w:sz="8" w:space="0" w:color="auto"/>
              <w:right w:val="single" w:sz="8" w:space="0" w:color="auto"/>
            </w:tcBorders>
            <w:tcMar>
              <w:left w:w="108" w:type="dxa"/>
              <w:right w:w="108" w:type="dxa"/>
            </w:tcMar>
          </w:tcPr>
          <w:p w14:paraId="14D60B84" w14:textId="77777777" w:rsidR="00271FD7" w:rsidRPr="002969A2" w:rsidRDefault="00271FD7">
            <w:pPr>
              <w:jc w:val="both"/>
            </w:pPr>
            <w:r w:rsidRPr="002969A2">
              <w:rPr>
                <w:rFonts w:eastAsia="Arial" w:cs="Arial"/>
                <w:i/>
                <w:iCs/>
                <w:sz w:val="22"/>
                <w:szCs w:val="22"/>
              </w:rPr>
              <w:t xml:space="preserve">Result </w:t>
            </w:r>
          </w:p>
        </w:tc>
      </w:tr>
      <w:tr w:rsidR="00271FD7" w14:paraId="0C725D94" w14:textId="77777777">
        <w:trPr>
          <w:trHeight w:val="480"/>
        </w:trPr>
        <w:tc>
          <w:tcPr>
            <w:tcW w:w="4500"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61E34267" w14:textId="42F2CE2D" w:rsidR="00271FD7" w:rsidRPr="00BB1A94" w:rsidRDefault="00271FD7">
            <w:pPr>
              <w:jc w:val="both"/>
            </w:pPr>
            <w:r w:rsidRPr="00BB1A94">
              <w:rPr>
                <w:rFonts w:eastAsia="Arial" w:cs="Arial"/>
                <w:sz w:val="22"/>
                <w:szCs w:val="22"/>
              </w:rPr>
              <w:t>Percentage of women in EBF team</w:t>
            </w:r>
          </w:p>
        </w:tc>
        <w:tc>
          <w:tcPr>
            <w:tcW w:w="4500" w:type="dxa"/>
            <w:tcBorders>
              <w:top w:val="single" w:sz="8" w:space="0" w:color="auto"/>
              <w:left w:val="single" w:sz="8" w:space="0" w:color="auto"/>
              <w:bottom w:val="single" w:sz="8" w:space="0" w:color="auto"/>
              <w:right w:val="single" w:sz="8" w:space="0" w:color="auto"/>
            </w:tcBorders>
            <w:tcMar>
              <w:left w:w="108" w:type="dxa"/>
              <w:right w:w="108" w:type="dxa"/>
            </w:tcMar>
          </w:tcPr>
          <w:p w14:paraId="66775E87" w14:textId="4F63C467" w:rsidR="00271FD7" w:rsidRPr="00BE2398" w:rsidRDefault="00BE2398">
            <w:pPr>
              <w:rPr>
                <w:rFonts w:eastAsia="Arial" w:cs="Arial"/>
                <w:sz w:val="22"/>
                <w:szCs w:val="22"/>
              </w:rPr>
            </w:pPr>
            <w:r w:rsidRPr="00BE2398">
              <w:rPr>
                <w:rFonts w:eastAsia="Arial" w:cs="Arial"/>
                <w:sz w:val="22"/>
                <w:szCs w:val="22"/>
              </w:rPr>
              <w:t>53</w:t>
            </w:r>
            <w:r w:rsidR="00271FD7" w:rsidRPr="00BE2398">
              <w:rPr>
                <w:rFonts w:eastAsia="Arial" w:cs="Arial"/>
                <w:sz w:val="22"/>
                <w:szCs w:val="22"/>
              </w:rPr>
              <w:t>%</w:t>
            </w:r>
            <w:r w:rsidR="00815419" w:rsidRPr="00BE2398">
              <w:rPr>
                <w:rFonts w:eastAsia="Arial" w:cs="Arial"/>
                <w:sz w:val="22"/>
                <w:szCs w:val="22"/>
              </w:rPr>
              <w:t xml:space="preserve"> (56% of senior management)*</w:t>
            </w:r>
          </w:p>
        </w:tc>
      </w:tr>
      <w:tr w:rsidR="00271FD7" w14:paraId="1EE971EA" w14:textId="77777777">
        <w:trPr>
          <w:trHeight w:val="480"/>
        </w:trPr>
        <w:tc>
          <w:tcPr>
            <w:tcW w:w="4500"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1A7CA5E6" w14:textId="77777777" w:rsidR="00271FD7" w:rsidRPr="004521A8" w:rsidRDefault="00271FD7">
            <w:pPr>
              <w:jc w:val="both"/>
            </w:pPr>
            <w:r w:rsidRPr="004521A8">
              <w:rPr>
                <w:rFonts w:eastAsia="Arial" w:cs="Arial"/>
                <w:color w:val="000000" w:themeColor="text1"/>
                <w:sz w:val="22"/>
                <w:szCs w:val="22"/>
              </w:rPr>
              <w:t>Percentage of women employed by PIs</w:t>
            </w:r>
          </w:p>
        </w:tc>
        <w:tc>
          <w:tcPr>
            <w:tcW w:w="4500" w:type="dxa"/>
            <w:tcBorders>
              <w:top w:val="single" w:sz="8" w:space="0" w:color="auto"/>
              <w:left w:val="single" w:sz="8" w:space="0" w:color="auto"/>
              <w:bottom w:val="single" w:sz="8" w:space="0" w:color="auto"/>
              <w:right w:val="single" w:sz="8" w:space="0" w:color="auto"/>
            </w:tcBorders>
            <w:tcMar>
              <w:left w:w="108" w:type="dxa"/>
              <w:right w:w="108" w:type="dxa"/>
            </w:tcMar>
          </w:tcPr>
          <w:p w14:paraId="3AF525B2" w14:textId="77777777" w:rsidR="00271FD7" w:rsidRPr="004521A8" w:rsidRDefault="00271FD7">
            <w:r w:rsidRPr="004521A8">
              <w:rPr>
                <w:rFonts w:eastAsia="Arial" w:cs="Arial"/>
                <w:b/>
                <w:bCs/>
                <w:sz w:val="22"/>
                <w:szCs w:val="22"/>
              </w:rPr>
              <w:t>Overall:</w:t>
            </w:r>
            <w:r w:rsidRPr="004521A8">
              <w:rPr>
                <w:rFonts w:eastAsia="Arial" w:cs="Arial"/>
                <w:sz w:val="22"/>
                <w:szCs w:val="22"/>
              </w:rPr>
              <w:t xml:space="preserve"> 5</w:t>
            </w:r>
            <w:r>
              <w:rPr>
                <w:rFonts w:eastAsia="Arial" w:cs="Arial"/>
                <w:sz w:val="22"/>
                <w:szCs w:val="22"/>
              </w:rPr>
              <w:t>4</w:t>
            </w:r>
            <w:r w:rsidRPr="004521A8">
              <w:rPr>
                <w:rFonts w:eastAsia="Arial" w:cs="Arial"/>
                <w:sz w:val="22"/>
                <w:szCs w:val="22"/>
              </w:rPr>
              <w:t xml:space="preserve">% </w:t>
            </w:r>
            <w:r w:rsidRPr="004521A8">
              <w:rPr>
                <w:rFonts w:eastAsia="Arial" w:cs="Arial"/>
                <w:color w:val="747474"/>
                <w:sz w:val="22"/>
                <w:szCs w:val="22"/>
              </w:rPr>
              <w:t>(5</w:t>
            </w:r>
            <w:r>
              <w:rPr>
                <w:rFonts w:eastAsia="Arial" w:cs="Arial"/>
                <w:color w:val="747474"/>
                <w:sz w:val="22"/>
                <w:szCs w:val="22"/>
              </w:rPr>
              <w:t>5</w:t>
            </w:r>
            <w:r w:rsidRPr="004521A8">
              <w:rPr>
                <w:rFonts w:eastAsia="Arial" w:cs="Arial"/>
                <w:color w:val="747474"/>
                <w:sz w:val="22"/>
                <w:szCs w:val="22"/>
              </w:rPr>
              <w:t>% 202</w:t>
            </w:r>
            <w:r>
              <w:rPr>
                <w:rFonts w:eastAsia="Arial" w:cs="Arial"/>
                <w:color w:val="747474"/>
                <w:sz w:val="22"/>
                <w:szCs w:val="22"/>
              </w:rPr>
              <w:t>3</w:t>
            </w:r>
            <w:r w:rsidRPr="004521A8">
              <w:rPr>
                <w:rFonts w:eastAsia="Arial" w:cs="Arial"/>
                <w:color w:val="747474"/>
                <w:sz w:val="22"/>
                <w:szCs w:val="22"/>
              </w:rPr>
              <w:t>)</w:t>
            </w:r>
          </w:p>
          <w:p w14:paraId="69B3FFE5" w14:textId="77777777" w:rsidR="00271FD7" w:rsidRPr="004521A8" w:rsidRDefault="00271FD7">
            <w:r w:rsidRPr="004521A8">
              <w:rPr>
                <w:rFonts w:eastAsia="Arial" w:cs="Arial"/>
                <w:b/>
                <w:bCs/>
                <w:sz w:val="22"/>
                <w:szCs w:val="22"/>
              </w:rPr>
              <w:t>Management</w:t>
            </w:r>
            <w:r w:rsidRPr="004521A8">
              <w:rPr>
                <w:rFonts w:eastAsia="Arial" w:cs="Arial"/>
                <w:sz w:val="22"/>
                <w:szCs w:val="22"/>
              </w:rPr>
              <w:t xml:space="preserve">: </w:t>
            </w:r>
            <w:r>
              <w:rPr>
                <w:rFonts w:eastAsia="Arial" w:cs="Arial"/>
                <w:sz w:val="22"/>
                <w:szCs w:val="22"/>
              </w:rPr>
              <w:t>44</w:t>
            </w:r>
            <w:r w:rsidRPr="004521A8">
              <w:rPr>
                <w:rFonts w:eastAsia="Arial" w:cs="Arial"/>
                <w:sz w:val="22"/>
                <w:szCs w:val="22"/>
              </w:rPr>
              <w:t xml:space="preserve">% </w:t>
            </w:r>
            <w:r w:rsidRPr="004521A8">
              <w:rPr>
                <w:rFonts w:eastAsia="Arial" w:cs="Arial"/>
                <w:color w:val="747474"/>
                <w:sz w:val="22"/>
                <w:szCs w:val="22"/>
              </w:rPr>
              <w:t>(3</w:t>
            </w:r>
            <w:r>
              <w:rPr>
                <w:rFonts w:eastAsia="Arial" w:cs="Arial"/>
                <w:color w:val="747474"/>
                <w:sz w:val="22"/>
                <w:szCs w:val="22"/>
              </w:rPr>
              <w:t>6</w:t>
            </w:r>
            <w:r w:rsidRPr="004521A8">
              <w:rPr>
                <w:rFonts w:eastAsia="Arial" w:cs="Arial"/>
                <w:color w:val="747474"/>
                <w:sz w:val="22"/>
                <w:szCs w:val="22"/>
              </w:rPr>
              <w:t>% 202</w:t>
            </w:r>
            <w:r>
              <w:rPr>
                <w:rFonts w:eastAsia="Arial" w:cs="Arial"/>
                <w:color w:val="747474"/>
                <w:sz w:val="22"/>
                <w:szCs w:val="22"/>
              </w:rPr>
              <w:t>3</w:t>
            </w:r>
            <w:r w:rsidRPr="004521A8">
              <w:rPr>
                <w:rFonts w:eastAsia="Arial" w:cs="Arial"/>
                <w:color w:val="747474"/>
                <w:sz w:val="22"/>
                <w:szCs w:val="22"/>
              </w:rPr>
              <w:t>)</w:t>
            </w:r>
          </w:p>
          <w:p w14:paraId="396CD30D" w14:textId="77777777" w:rsidR="00271FD7" w:rsidRPr="004521A8" w:rsidRDefault="00271FD7">
            <w:r w:rsidRPr="004521A8">
              <w:rPr>
                <w:rFonts w:eastAsia="Arial" w:cs="Arial"/>
                <w:b/>
                <w:bCs/>
                <w:sz w:val="22"/>
                <w:szCs w:val="22"/>
              </w:rPr>
              <w:t>Board:</w:t>
            </w:r>
            <w:r w:rsidRPr="004521A8">
              <w:rPr>
                <w:rFonts w:eastAsia="Arial" w:cs="Arial"/>
                <w:sz w:val="22"/>
                <w:szCs w:val="22"/>
              </w:rPr>
              <w:t xml:space="preserve"> 19% </w:t>
            </w:r>
            <w:r w:rsidRPr="004521A8">
              <w:rPr>
                <w:rFonts w:eastAsia="Arial" w:cs="Arial"/>
                <w:color w:val="747474"/>
                <w:sz w:val="22"/>
                <w:szCs w:val="22"/>
              </w:rPr>
              <w:t>(1</w:t>
            </w:r>
            <w:r>
              <w:rPr>
                <w:rFonts w:eastAsia="Arial" w:cs="Arial"/>
                <w:color w:val="747474"/>
                <w:sz w:val="22"/>
                <w:szCs w:val="22"/>
              </w:rPr>
              <w:t>9</w:t>
            </w:r>
            <w:r w:rsidRPr="004521A8">
              <w:rPr>
                <w:rFonts w:eastAsia="Arial" w:cs="Arial"/>
                <w:color w:val="747474"/>
                <w:sz w:val="22"/>
                <w:szCs w:val="22"/>
              </w:rPr>
              <w:t>% 202</w:t>
            </w:r>
            <w:r>
              <w:rPr>
                <w:rFonts w:eastAsia="Arial" w:cs="Arial"/>
                <w:color w:val="747474"/>
                <w:sz w:val="22"/>
                <w:szCs w:val="22"/>
              </w:rPr>
              <w:t>3</w:t>
            </w:r>
            <w:r w:rsidRPr="004521A8">
              <w:rPr>
                <w:rFonts w:eastAsia="Arial" w:cs="Arial"/>
                <w:color w:val="747474"/>
                <w:sz w:val="22"/>
                <w:szCs w:val="22"/>
              </w:rPr>
              <w:t>)</w:t>
            </w:r>
          </w:p>
        </w:tc>
      </w:tr>
    </w:tbl>
    <w:p w14:paraId="7CC3EFD3" w14:textId="132DFBE0" w:rsidR="00F20A87" w:rsidRPr="00A54B18" w:rsidRDefault="2EE66EDC" w:rsidP="07FC4C9B">
      <w:pPr>
        <w:spacing w:after="160" w:line="257" w:lineRule="auto"/>
        <w:jc w:val="both"/>
      </w:pPr>
      <w:r w:rsidRPr="07FC4C9B">
        <w:rPr>
          <w:rFonts w:eastAsia="Arial" w:cs="Arial"/>
          <w:sz w:val="22"/>
          <w:szCs w:val="22"/>
        </w:rPr>
        <w:t xml:space="preserve"> </w:t>
      </w:r>
      <w:r w:rsidR="00435CF9">
        <w:rPr>
          <w:rFonts w:eastAsia="Arial" w:cs="Arial"/>
          <w:sz w:val="22"/>
          <w:szCs w:val="22"/>
        </w:rPr>
        <w:t>*Overall Finance in Motion figure</w:t>
      </w:r>
      <w:r w:rsidR="00815419">
        <w:rPr>
          <w:rFonts w:eastAsia="Arial" w:cs="Arial"/>
          <w:sz w:val="22"/>
          <w:szCs w:val="22"/>
        </w:rPr>
        <w:t>s</w:t>
      </w:r>
      <w:r w:rsidR="00950C65">
        <w:rPr>
          <w:rFonts w:eastAsia="Arial" w:cs="Arial"/>
          <w:sz w:val="22"/>
          <w:szCs w:val="22"/>
        </w:rPr>
        <w:t xml:space="preserve"> – staff typically work across more than one Fund</w:t>
      </w:r>
      <w:r w:rsidR="00435CF9">
        <w:rPr>
          <w:rFonts w:eastAsia="Arial" w:cs="Arial"/>
          <w:sz w:val="22"/>
          <w:szCs w:val="22"/>
        </w:rPr>
        <w:t>.</w:t>
      </w:r>
    </w:p>
    <w:p w14:paraId="03D47F59" w14:textId="46508C29" w:rsidR="00271FD7" w:rsidRPr="000E40BC" w:rsidRDefault="00271FD7" w:rsidP="00271FD7">
      <w:pPr>
        <w:spacing w:after="160" w:line="257" w:lineRule="auto"/>
        <w:jc w:val="both"/>
        <w:rPr>
          <w:rFonts w:eastAsia="Arial" w:cs="Arial"/>
          <w:sz w:val="22"/>
          <w:szCs w:val="22"/>
        </w:rPr>
      </w:pPr>
      <w:r w:rsidRPr="000E40BC">
        <w:rPr>
          <w:rFonts w:eastAsia="Arial" w:cs="Arial"/>
          <w:sz w:val="22"/>
          <w:szCs w:val="22"/>
        </w:rPr>
        <w:t xml:space="preserve">The table shows that the percentage of women employed by partner institutions (PIs) overall has decreased by 1% from 2023, however is still over 50% of the total number of people employed by PIs. The ratio of women in management roles has increased to 44% (up from 36% in 2023) but the </w:t>
      </w:r>
      <w:r w:rsidR="00E06638">
        <w:rPr>
          <w:rFonts w:eastAsia="Arial" w:cs="Arial"/>
          <w:sz w:val="22"/>
          <w:szCs w:val="22"/>
        </w:rPr>
        <w:t>percentage</w:t>
      </w:r>
      <w:r w:rsidRPr="000E40BC">
        <w:rPr>
          <w:rFonts w:eastAsia="Arial" w:cs="Arial"/>
          <w:sz w:val="22"/>
          <w:szCs w:val="22"/>
        </w:rPr>
        <w:t xml:space="preserve"> of women working at board level has remained the same as 2023</w:t>
      </w:r>
      <w:r w:rsidR="00B061E0">
        <w:rPr>
          <w:rFonts w:eastAsia="Arial" w:cs="Arial"/>
          <w:sz w:val="22"/>
          <w:szCs w:val="22"/>
        </w:rPr>
        <w:t xml:space="preserve"> at just 19%</w:t>
      </w:r>
      <w:r w:rsidRPr="000E40BC">
        <w:rPr>
          <w:rFonts w:eastAsia="Arial" w:cs="Arial"/>
          <w:sz w:val="22"/>
          <w:szCs w:val="22"/>
        </w:rPr>
        <w:t>. The recommended targets, as set out by the 2X initiative, suggest that overall, 46% of roles should be held by women, 43% of management roles should be represented by women and 30% in board positions. Whilst the programme exceeds the overall and management targets, there are still significant improvements to be made in increasing the percentages at board level</w:t>
      </w:r>
      <w:r w:rsidR="00D96B84">
        <w:rPr>
          <w:rFonts w:eastAsia="Arial" w:cs="Arial"/>
          <w:sz w:val="22"/>
          <w:szCs w:val="22"/>
        </w:rPr>
        <w:t>, though the Fund does not have direct influence</w:t>
      </w:r>
      <w:r w:rsidR="008A702D">
        <w:rPr>
          <w:rFonts w:eastAsia="Arial" w:cs="Arial"/>
          <w:sz w:val="22"/>
          <w:szCs w:val="22"/>
        </w:rPr>
        <w:t xml:space="preserve"> on these </w:t>
      </w:r>
      <w:r w:rsidR="00A10DA3">
        <w:rPr>
          <w:rFonts w:eastAsia="Arial" w:cs="Arial"/>
          <w:sz w:val="22"/>
          <w:szCs w:val="22"/>
        </w:rPr>
        <w:t>figures</w:t>
      </w:r>
      <w:r w:rsidRPr="000E40BC">
        <w:rPr>
          <w:rFonts w:eastAsia="Arial" w:cs="Arial"/>
          <w:sz w:val="22"/>
          <w:szCs w:val="22"/>
        </w:rPr>
        <w:t xml:space="preserve">. </w:t>
      </w:r>
    </w:p>
    <w:p w14:paraId="13D91A38" w14:textId="2FAB1715" w:rsidR="00C0035D" w:rsidRDefault="00271FD7" w:rsidP="00271FD7">
      <w:pPr>
        <w:spacing w:after="160" w:line="257" w:lineRule="auto"/>
        <w:jc w:val="both"/>
        <w:rPr>
          <w:rFonts w:eastAsia="Arial" w:cs="Arial"/>
          <w:sz w:val="22"/>
          <w:szCs w:val="22"/>
        </w:rPr>
      </w:pPr>
      <w:r w:rsidRPr="000E40BC">
        <w:rPr>
          <w:rFonts w:eastAsia="Arial" w:cs="Arial"/>
          <w:sz w:val="22"/>
          <w:szCs w:val="22"/>
        </w:rPr>
        <w:t>The delivery partner has provided information regarding the gender ratio of those benefitting from sub-</w:t>
      </w:r>
      <w:r w:rsidR="00EF7EB6">
        <w:rPr>
          <w:rFonts w:eastAsia="Arial" w:cs="Arial"/>
          <w:sz w:val="22"/>
          <w:szCs w:val="22"/>
        </w:rPr>
        <w:t>loans</w:t>
      </w:r>
      <w:r w:rsidRPr="000E40BC">
        <w:rPr>
          <w:rFonts w:eastAsia="Arial" w:cs="Arial"/>
          <w:sz w:val="22"/>
          <w:szCs w:val="22"/>
        </w:rPr>
        <w:t>. Out of the total number of jobs supported by sub-borrowers as a result of EBF support (Outcome 1.7), 178,000 people supported are women, equating to 24% of the overall number. A</w:t>
      </w:r>
      <w:r w:rsidR="00FA6663">
        <w:rPr>
          <w:rFonts w:eastAsia="Arial" w:cs="Arial"/>
          <w:sz w:val="22"/>
          <w:szCs w:val="22"/>
        </w:rPr>
        <w:t xml:space="preserve">lthough there is room for improvement here, </w:t>
      </w:r>
      <w:r w:rsidR="00582A3A">
        <w:rPr>
          <w:rFonts w:eastAsia="Arial" w:cs="Arial"/>
          <w:sz w:val="22"/>
          <w:szCs w:val="22"/>
        </w:rPr>
        <w:t>most of the land use industries eligible for support have traditionally been dominated by men</w:t>
      </w:r>
      <w:r w:rsidR="002D52B9">
        <w:rPr>
          <w:rFonts w:eastAsia="Arial" w:cs="Arial"/>
          <w:sz w:val="22"/>
          <w:szCs w:val="22"/>
        </w:rPr>
        <w:t xml:space="preserve">, for cultural reasons or due to the physical nature of the work. </w:t>
      </w:r>
      <w:r w:rsidR="00BA3E58">
        <w:rPr>
          <w:rFonts w:eastAsia="Arial" w:cs="Arial"/>
          <w:sz w:val="22"/>
          <w:szCs w:val="22"/>
        </w:rPr>
        <w:t>In</w:t>
      </w:r>
      <w:r w:rsidR="00D900F7">
        <w:rPr>
          <w:rFonts w:eastAsia="Arial" w:cs="Arial"/>
          <w:sz w:val="22"/>
          <w:szCs w:val="22"/>
        </w:rPr>
        <w:t xml:space="preserve"> some sectors </w:t>
      </w:r>
      <w:r w:rsidR="00860D40">
        <w:rPr>
          <w:rFonts w:eastAsia="Arial" w:cs="Arial"/>
          <w:sz w:val="22"/>
          <w:szCs w:val="22"/>
        </w:rPr>
        <w:t xml:space="preserve">supported by the Fund like flower picking and shrimp processing, </w:t>
      </w:r>
      <w:r w:rsidR="00D900F7">
        <w:rPr>
          <w:rFonts w:eastAsia="Arial" w:cs="Arial"/>
          <w:sz w:val="22"/>
          <w:szCs w:val="22"/>
        </w:rPr>
        <w:t xml:space="preserve">where work is more </w:t>
      </w:r>
      <w:r w:rsidR="007503B0">
        <w:rPr>
          <w:rFonts w:eastAsia="Arial" w:cs="Arial"/>
          <w:sz w:val="22"/>
          <w:szCs w:val="22"/>
        </w:rPr>
        <w:t>skilled</w:t>
      </w:r>
      <w:r w:rsidR="00D900F7">
        <w:rPr>
          <w:rFonts w:eastAsia="Arial" w:cs="Arial"/>
          <w:sz w:val="22"/>
          <w:szCs w:val="22"/>
        </w:rPr>
        <w:t xml:space="preserve">, employment is </w:t>
      </w:r>
      <w:r w:rsidR="00860D40">
        <w:rPr>
          <w:rFonts w:eastAsia="Arial" w:cs="Arial"/>
          <w:sz w:val="22"/>
          <w:szCs w:val="22"/>
        </w:rPr>
        <w:t>broadly equal.</w:t>
      </w:r>
    </w:p>
    <w:p w14:paraId="579946F1" w14:textId="33C89D7F" w:rsidR="00C0035D" w:rsidRPr="000E40BC" w:rsidRDefault="00C0035D" w:rsidP="00271FD7">
      <w:pPr>
        <w:spacing w:after="160" w:line="257" w:lineRule="auto"/>
        <w:jc w:val="both"/>
      </w:pPr>
      <w:r>
        <w:rPr>
          <w:rFonts w:eastAsia="Arial" w:cs="Arial"/>
          <w:sz w:val="22"/>
          <w:szCs w:val="22"/>
        </w:rPr>
        <w:lastRenderedPageBreak/>
        <w:t xml:space="preserve">In general the jobs supported by the Fund are in rural communities, where </w:t>
      </w:r>
      <w:r w:rsidR="00CD406A">
        <w:rPr>
          <w:rFonts w:eastAsia="Arial" w:cs="Arial"/>
          <w:sz w:val="22"/>
          <w:szCs w:val="22"/>
        </w:rPr>
        <w:t>incomes are low and poverty is high</w:t>
      </w:r>
      <w:r w:rsidR="004F2EF7">
        <w:rPr>
          <w:rFonts w:eastAsia="Arial" w:cs="Arial"/>
          <w:sz w:val="22"/>
          <w:szCs w:val="22"/>
        </w:rPr>
        <w:t xml:space="preserve">, so any </w:t>
      </w:r>
      <w:r w:rsidR="00FF0B7A">
        <w:rPr>
          <w:rFonts w:eastAsia="Arial" w:cs="Arial"/>
          <w:sz w:val="22"/>
          <w:szCs w:val="22"/>
        </w:rPr>
        <w:t>increased</w:t>
      </w:r>
      <w:r w:rsidR="004F2EF7">
        <w:rPr>
          <w:rFonts w:eastAsia="Arial" w:cs="Arial"/>
          <w:sz w:val="22"/>
          <w:szCs w:val="22"/>
        </w:rPr>
        <w:t xml:space="preserve"> job security or improved income is likely to directly </w:t>
      </w:r>
      <w:r w:rsidR="00FF0B7A">
        <w:rPr>
          <w:rFonts w:eastAsia="Arial" w:cs="Arial"/>
          <w:sz w:val="22"/>
          <w:szCs w:val="22"/>
        </w:rPr>
        <w:t>reduce poverty.</w:t>
      </w:r>
      <w:r w:rsidR="00CD406A">
        <w:rPr>
          <w:rFonts w:eastAsia="Arial" w:cs="Arial"/>
          <w:sz w:val="22"/>
          <w:szCs w:val="22"/>
        </w:rPr>
        <w:t xml:space="preserve"> </w:t>
      </w:r>
      <w:r w:rsidR="00FF0B7A">
        <w:rPr>
          <w:rFonts w:eastAsia="Arial" w:cs="Arial"/>
          <w:sz w:val="22"/>
          <w:szCs w:val="22"/>
        </w:rPr>
        <w:t>A</w:t>
      </w:r>
      <w:r w:rsidR="00CD406A">
        <w:rPr>
          <w:rFonts w:eastAsia="Arial" w:cs="Arial"/>
          <w:sz w:val="22"/>
          <w:szCs w:val="22"/>
        </w:rPr>
        <w:t>s</w:t>
      </w:r>
      <w:r w:rsidR="009971FD">
        <w:rPr>
          <w:rFonts w:eastAsia="Arial" w:cs="Arial"/>
          <w:sz w:val="22"/>
          <w:szCs w:val="22"/>
        </w:rPr>
        <w:t xml:space="preserve"> well as loans to businesses </w:t>
      </w:r>
      <w:r w:rsidR="00BB3B8B">
        <w:rPr>
          <w:rFonts w:eastAsia="Arial" w:cs="Arial"/>
          <w:sz w:val="22"/>
          <w:szCs w:val="22"/>
        </w:rPr>
        <w:t>providing employment in poor, rural areas, as</w:t>
      </w:r>
      <w:r w:rsidR="00CD406A">
        <w:rPr>
          <w:rFonts w:eastAsia="Arial" w:cs="Arial"/>
          <w:sz w:val="22"/>
          <w:szCs w:val="22"/>
        </w:rPr>
        <w:t xml:space="preserve"> set out in the Recommendations on page three, </w:t>
      </w:r>
      <w:r w:rsidR="00FF0B7A">
        <w:rPr>
          <w:rFonts w:eastAsia="Arial" w:cs="Arial"/>
          <w:sz w:val="22"/>
          <w:szCs w:val="22"/>
        </w:rPr>
        <w:t xml:space="preserve">some banks in the portfolio also specialise in micro-finance, </w:t>
      </w:r>
      <w:r w:rsidR="009971FD">
        <w:rPr>
          <w:rFonts w:eastAsia="Arial" w:cs="Arial"/>
          <w:sz w:val="22"/>
          <w:szCs w:val="22"/>
        </w:rPr>
        <w:t>making finance directly available to smallholders</w:t>
      </w:r>
      <w:r w:rsidR="00BB3B8B">
        <w:rPr>
          <w:rFonts w:eastAsia="Arial" w:cs="Arial"/>
          <w:sz w:val="22"/>
          <w:szCs w:val="22"/>
        </w:rPr>
        <w:t xml:space="preserve"> seeking to improve their livelihoods</w:t>
      </w:r>
      <w:r w:rsidR="009971FD">
        <w:rPr>
          <w:rFonts w:eastAsia="Arial" w:cs="Arial"/>
          <w:sz w:val="22"/>
          <w:szCs w:val="22"/>
        </w:rPr>
        <w:t>.</w:t>
      </w:r>
    </w:p>
    <w:p w14:paraId="729AF503" w14:textId="51EBF52A" w:rsidR="00F20A87" w:rsidRPr="00BA3E58" w:rsidRDefault="2EE66EDC" w:rsidP="07FC4C9B">
      <w:pPr>
        <w:spacing w:after="160" w:line="257" w:lineRule="auto"/>
        <w:jc w:val="both"/>
        <w:rPr>
          <w:i/>
          <w:iCs/>
        </w:rPr>
      </w:pPr>
      <w:r w:rsidRPr="07FC4C9B">
        <w:rPr>
          <w:rFonts w:eastAsia="Arial" w:cs="Arial"/>
          <w:b/>
          <w:bCs/>
          <w:sz w:val="22"/>
          <w:szCs w:val="22"/>
        </w:rPr>
        <w:t>Cost-Effectiveness</w:t>
      </w:r>
      <w:r w:rsidR="00877381">
        <w:rPr>
          <w:rFonts w:eastAsia="Arial" w:cs="Arial"/>
          <w:b/>
          <w:bCs/>
          <w:sz w:val="22"/>
          <w:szCs w:val="22"/>
        </w:rPr>
        <w:t xml:space="preserve"> - </w:t>
      </w:r>
      <w:r w:rsidR="00877381" w:rsidRPr="00BA3E58">
        <w:rPr>
          <w:rFonts w:eastAsia="Arial" w:cs="Arial"/>
          <w:i/>
          <w:iCs/>
          <w:sz w:val="22"/>
          <w:szCs w:val="22"/>
        </w:rPr>
        <w:t>What is the intervention’s ultimate impact on the long-term transformational change, relative to the inputs that our agents or we invest in it?</w:t>
      </w:r>
    </w:p>
    <w:p w14:paraId="3DB65B44" w14:textId="2C4A0A32" w:rsidR="00271FD7" w:rsidRPr="006579B7" w:rsidRDefault="00271FD7" w:rsidP="00271FD7">
      <w:pPr>
        <w:spacing w:after="160" w:line="257" w:lineRule="auto"/>
        <w:jc w:val="both"/>
        <w:rPr>
          <w:rFonts w:eastAsia="Arial" w:cs="Arial"/>
          <w:sz w:val="22"/>
          <w:szCs w:val="22"/>
        </w:rPr>
      </w:pPr>
      <w:r w:rsidRPr="006579B7">
        <w:rPr>
          <w:rFonts w:eastAsia="Arial" w:cs="Arial"/>
          <w:sz w:val="22"/>
          <w:szCs w:val="22"/>
        </w:rPr>
        <w:t xml:space="preserve">The number of jobs supported by sub-borrowers </w:t>
      </w:r>
      <w:r w:rsidR="00010615">
        <w:rPr>
          <w:rFonts w:eastAsia="Arial" w:cs="Arial"/>
          <w:sz w:val="22"/>
          <w:szCs w:val="22"/>
        </w:rPr>
        <w:t>attributed to Defra</w:t>
      </w:r>
      <w:r w:rsidR="00821532">
        <w:rPr>
          <w:rFonts w:eastAsia="Arial" w:cs="Arial"/>
          <w:sz w:val="22"/>
          <w:szCs w:val="22"/>
        </w:rPr>
        <w:t>’s</w:t>
      </w:r>
      <w:r w:rsidR="00010615">
        <w:rPr>
          <w:rFonts w:eastAsia="Arial" w:cs="Arial"/>
          <w:sz w:val="22"/>
          <w:szCs w:val="22"/>
        </w:rPr>
        <w:t xml:space="preserve"> direct support to EBF</w:t>
      </w:r>
      <w:r w:rsidRPr="006579B7">
        <w:rPr>
          <w:rFonts w:eastAsia="Arial" w:cs="Arial"/>
          <w:sz w:val="22"/>
          <w:szCs w:val="22"/>
        </w:rPr>
        <w:t xml:space="preserve"> has increased to </w:t>
      </w:r>
      <w:r w:rsidR="00FD6452">
        <w:rPr>
          <w:rFonts w:eastAsia="Arial" w:cs="Arial"/>
          <w:sz w:val="22"/>
          <w:szCs w:val="22"/>
        </w:rPr>
        <w:t>nearly 8</w:t>
      </w:r>
      <w:r w:rsidRPr="006579B7">
        <w:rPr>
          <w:rFonts w:eastAsia="Arial" w:cs="Arial"/>
          <w:sz w:val="22"/>
          <w:szCs w:val="22"/>
        </w:rPr>
        <w:t xml:space="preserve">0,000, showing that the aim of promoting fair jobs is positively progressing. Similarly, </w:t>
      </w:r>
      <w:r>
        <w:rPr>
          <w:rFonts w:eastAsia="Arial" w:cs="Arial"/>
          <w:sz w:val="22"/>
          <w:szCs w:val="22"/>
        </w:rPr>
        <w:t>O</w:t>
      </w:r>
      <w:r w:rsidRPr="006579B7">
        <w:rPr>
          <w:rFonts w:eastAsia="Arial" w:cs="Arial"/>
          <w:sz w:val="22"/>
          <w:szCs w:val="22"/>
        </w:rPr>
        <w:t xml:space="preserve">utcome </w:t>
      </w:r>
      <w:r>
        <w:rPr>
          <w:rFonts w:eastAsia="Arial" w:cs="Arial"/>
          <w:sz w:val="22"/>
          <w:szCs w:val="22"/>
        </w:rPr>
        <w:t>I</w:t>
      </w:r>
      <w:r w:rsidRPr="006579B7">
        <w:rPr>
          <w:rFonts w:eastAsia="Arial" w:cs="Arial"/>
          <w:sz w:val="22"/>
          <w:szCs w:val="22"/>
        </w:rPr>
        <w:t xml:space="preserve">ndicator 1.2 shows that </w:t>
      </w:r>
      <w:r w:rsidR="003A06FF">
        <w:rPr>
          <w:rFonts w:eastAsia="Arial" w:cs="Arial"/>
          <w:sz w:val="22"/>
          <w:szCs w:val="22"/>
        </w:rPr>
        <w:t>over 300,000</w:t>
      </w:r>
      <w:r w:rsidR="003A06FF" w:rsidRPr="006579B7" w:rsidDel="003A06FF">
        <w:rPr>
          <w:rFonts w:eastAsia="Arial" w:cs="Arial"/>
          <w:sz w:val="22"/>
          <w:szCs w:val="22"/>
        </w:rPr>
        <w:t xml:space="preserve"> </w:t>
      </w:r>
      <w:r w:rsidRPr="006579B7">
        <w:rPr>
          <w:rFonts w:eastAsia="Arial" w:cs="Arial"/>
          <w:sz w:val="22"/>
          <w:szCs w:val="22"/>
        </w:rPr>
        <w:t xml:space="preserve">tonnes </w:t>
      </w:r>
      <w:r w:rsidR="003A06FF">
        <w:rPr>
          <w:rFonts w:eastAsia="Arial" w:cs="Arial"/>
          <w:sz w:val="22"/>
          <w:szCs w:val="22"/>
        </w:rPr>
        <w:t>(directly attributed to Defra, excl</w:t>
      </w:r>
      <w:r w:rsidR="003B6F19">
        <w:rPr>
          <w:rFonts w:eastAsia="Arial" w:cs="Arial"/>
          <w:sz w:val="22"/>
          <w:szCs w:val="22"/>
        </w:rPr>
        <w:t>.</w:t>
      </w:r>
      <w:r w:rsidR="003A06FF">
        <w:rPr>
          <w:rFonts w:eastAsia="Arial" w:cs="Arial"/>
          <w:sz w:val="22"/>
          <w:szCs w:val="22"/>
        </w:rPr>
        <w:t xml:space="preserve"> leveraged) </w:t>
      </w:r>
      <w:r w:rsidRPr="006579B7">
        <w:rPr>
          <w:rFonts w:eastAsia="Arial" w:cs="Arial"/>
          <w:sz w:val="22"/>
          <w:szCs w:val="22"/>
        </w:rPr>
        <w:t xml:space="preserve">of net CO2 emissions have been stored, reducing overall GHG emissions. </w:t>
      </w:r>
      <w:r w:rsidRPr="006579B7">
        <w:rPr>
          <w:sz w:val="22"/>
          <w:szCs w:val="18"/>
        </w:rPr>
        <w:t>While a full cost-benefit analysis has not been conducted, these have high inherent economic valuations which demonstrate cost effectiveness. For example, the UK government valuation in appraisal for 1</w:t>
      </w:r>
      <w:r w:rsidRPr="006579B7">
        <w:rPr>
          <w:rFonts w:eastAsia="Arial" w:cs="Arial"/>
          <w:sz w:val="22"/>
          <w:szCs w:val="22"/>
        </w:rPr>
        <w:t xml:space="preserve"> tonne of </w:t>
      </w:r>
      <w:r w:rsidRPr="006579B7">
        <w:rPr>
          <w:sz w:val="22"/>
          <w:szCs w:val="18"/>
        </w:rPr>
        <w:t>CO2e</w:t>
      </w:r>
      <w:r w:rsidRPr="006579B7">
        <w:rPr>
          <w:rFonts w:eastAsia="Arial" w:cs="Arial"/>
          <w:sz w:val="22"/>
          <w:szCs w:val="22"/>
        </w:rPr>
        <w:t xml:space="preserve"> is </w:t>
      </w:r>
      <w:r w:rsidRPr="006579B7">
        <w:rPr>
          <w:sz w:val="22"/>
          <w:szCs w:val="18"/>
        </w:rPr>
        <w:t>estimated to be £256 in 2024</w:t>
      </w:r>
      <w:r w:rsidRPr="006579B7">
        <w:rPr>
          <w:rFonts w:eastAsia="Arial" w:cs="Arial"/>
          <w:sz w:val="22"/>
          <w:szCs w:val="22"/>
        </w:rPr>
        <w:t xml:space="preserve">, giving a potential benefit just for avoided carbon emissions of </w:t>
      </w:r>
      <w:r w:rsidR="00405332">
        <w:rPr>
          <w:rFonts w:eastAsia="Arial" w:cs="Arial"/>
          <w:sz w:val="22"/>
          <w:szCs w:val="22"/>
        </w:rPr>
        <w:t>£83</w:t>
      </w:r>
      <w:r w:rsidRPr="00433DDA">
        <w:rPr>
          <w:rFonts w:eastAsia="Arial" w:cs="Arial"/>
          <w:color w:val="EE0000"/>
          <w:sz w:val="22"/>
          <w:szCs w:val="22"/>
        </w:rPr>
        <w:t xml:space="preserve"> </w:t>
      </w:r>
      <w:r w:rsidRPr="006579B7">
        <w:rPr>
          <w:rFonts w:eastAsia="Arial" w:cs="Arial"/>
          <w:sz w:val="22"/>
          <w:szCs w:val="22"/>
        </w:rPr>
        <w:t>million so far</w:t>
      </w:r>
      <w:r w:rsidR="009C27EC">
        <w:rPr>
          <w:rFonts w:eastAsia="Arial" w:cs="Arial"/>
          <w:sz w:val="22"/>
          <w:szCs w:val="22"/>
        </w:rPr>
        <w:t xml:space="preserve">. </w:t>
      </w:r>
    </w:p>
    <w:p w14:paraId="0F282017" w14:textId="573F1C21" w:rsidR="00271FD7" w:rsidRPr="001B1AE0" w:rsidRDefault="00271FD7" w:rsidP="16E104C4">
      <w:pPr>
        <w:spacing w:after="160" w:line="257" w:lineRule="auto"/>
        <w:jc w:val="both"/>
        <w:rPr>
          <w:rFonts w:eastAsia="Arial" w:cs="Arial"/>
          <w:sz w:val="22"/>
          <w:szCs w:val="22"/>
        </w:rPr>
      </w:pPr>
      <w:r w:rsidRPr="001B1AE0">
        <w:rPr>
          <w:rFonts w:eastAsia="Arial" w:cs="Arial"/>
          <w:sz w:val="22"/>
          <w:szCs w:val="22"/>
        </w:rPr>
        <w:t xml:space="preserve">It has also separately been estimated by FiM that the </w:t>
      </w:r>
      <w:r w:rsidR="00CA3822">
        <w:rPr>
          <w:rFonts w:eastAsia="Arial" w:cs="Arial"/>
          <w:sz w:val="22"/>
          <w:szCs w:val="22"/>
        </w:rPr>
        <w:t>Defra</w:t>
      </w:r>
      <w:r w:rsidR="00DD3D5A">
        <w:rPr>
          <w:rFonts w:eastAsia="Arial" w:cs="Arial"/>
          <w:sz w:val="22"/>
          <w:szCs w:val="22"/>
        </w:rPr>
        <w:t xml:space="preserve">’s </w:t>
      </w:r>
      <w:r w:rsidR="001E2E87">
        <w:rPr>
          <w:rFonts w:eastAsia="Arial" w:cs="Arial"/>
          <w:sz w:val="22"/>
          <w:szCs w:val="22"/>
        </w:rPr>
        <w:t xml:space="preserve">direct </w:t>
      </w:r>
      <w:r w:rsidR="00DD3D5A">
        <w:rPr>
          <w:rFonts w:eastAsia="Arial" w:cs="Arial"/>
          <w:sz w:val="22"/>
          <w:szCs w:val="22"/>
        </w:rPr>
        <w:t xml:space="preserve">contribution </w:t>
      </w:r>
      <w:r w:rsidRPr="001B1AE0">
        <w:rPr>
          <w:rFonts w:eastAsia="Arial" w:cs="Arial"/>
          <w:sz w:val="22"/>
          <w:szCs w:val="22"/>
        </w:rPr>
        <w:t xml:space="preserve">has </w:t>
      </w:r>
      <w:r w:rsidR="001E2E87">
        <w:rPr>
          <w:rFonts w:eastAsia="Arial" w:cs="Arial"/>
          <w:sz w:val="22"/>
          <w:szCs w:val="22"/>
        </w:rPr>
        <w:t>supported</w:t>
      </w:r>
      <w:r w:rsidRPr="001B1AE0">
        <w:rPr>
          <w:rFonts w:eastAsia="Arial" w:cs="Arial"/>
          <w:sz w:val="22"/>
          <w:szCs w:val="22"/>
        </w:rPr>
        <w:t xml:space="preserve"> </w:t>
      </w:r>
      <w:r w:rsidR="00D2542F">
        <w:rPr>
          <w:rFonts w:eastAsia="Arial" w:cs="Arial"/>
          <w:sz w:val="22"/>
          <w:szCs w:val="22"/>
        </w:rPr>
        <w:t>£51</w:t>
      </w:r>
      <w:r w:rsidR="00CA3822">
        <w:rPr>
          <w:rFonts w:eastAsia="Arial" w:cs="Arial"/>
          <w:sz w:val="22"/>
          <w:szCs w:val="22"/>
        </w:rPr>
        <w:t xml:space="preserve"> million </w:t>
      </w:r>
      <w:r w:rsidRPr="001B1AE0">
        <w:rPr>
          <w:rFonts w:eastAsia="Arial" w:cs="Arial"/>
          <w:sz w:val="22"/>
          <w:szCs w:val="22"/>
        </w:rPr>
        <w:t>worth of ecosystem services in the form of ‘hectares protected from deforestation’</w:t>
      </w:r>
      <w:r w:rsidR="001E2E87">
        <w:rPr>
          <w:rFonts w:eastAsia="Arial" w:cs="Arial"/>
          <w:sz w:val="22"/>
          <w:szCs w:val="22"/>
        </w:rPr>
        <w:t>. This is</w:t>
      </w:r>
      <w:r w:rsidR="00E81965">
        <w:rPr>
          <w:rFonts w:eastAsia="Arial" w:cs="Arial"/>
          <w:sz w:val="22"/>
          <w:szCs w:val="22"/>
        </w:rPr>
        <w:t xml:space="preserve"> based on </w:t>
      </w:r>
      <w:r w:rsidR="00085A59">
        <w:rPr>
          <w:rFonts w:eastAsia="Arial" w:cs="Arial"/>
          <w:sz w:val="22"/>
          <w:szCs w:val="22"/>
        </w:rPr>
        <w:t xml:space="preserve">ecosystem values for forest multiplied by the </w:t>
      </w:r>
      <w:r w:rsidR="00085A59">
        <w:rPr>
          <w:rFonts w:eastAsia="Arial" w:cs="Arial"/>
          <w:color w:val="000000" w:themeColor="text1"/>
          <w:sz w:val="22"/>
          <w:szCs w:val="22"/>
        </w:rPr>
        <w:t>area supported under certification schemes with the strongest protections against deforestation</w:t>
      </w:r>
      <w:r w:rsidRPr="001B1AE0">
        <w:rPr>
          <w:rFonts w:eastAsia="Arial" w:cs="Arial"/>
          <w:sz w:val="22"/>
          <w:szCs w:val="22"/>
        </w:rPr>
        <w:t>.</w:t>
      </w:r>
      <w:r w:rsidR="3440BAEA" w:rsidRPr="01E7F10B">
        <w:rPr>
          <w:rFonts w:eastAsia="Arial" w:cs="Arial"/>
          <w:sz w:val="22"/>
          <w:szCs w:val="22"/>
        </w:rPr>
        <w:t xml:space="preserve"> </w:t>
      </w:r>
    </w:p>
    <w:p w14:paraId="17D81E31" w14:textId="311308D4" w:rsidR="00271FD7" w:rsidRPr="001B1AE0" w:rsidRDefault="3440BAEA" w:rsidP="00271FD7">
      <w:pPr>
        <w:spacing w:after="160" w:line="257" w:lineRule="auto"/>
        <w:jc w:val="both"/>
        <w:rPr>
          <w:rFonts w:eastAsia="Arial" w:cs="Arial"/>
          <w:sz w:val="22"/>
          <w:szCs w:val="22"/>
        </w:rPr>
      </w:pPr>
      <w:r w:rsidRPr="4F24643B">
        <w:rPr>
          <w:rFonts w:eastAsia="Arial" w:cs="Arial"/>
          <w:sz w:val="22"/>
          <w:szCs w:val="22"/>
        </w:rPr>
        <w:t xml:space="preserve">While this is just an indicative value for two benefits and does not account for risks such as additionality and leakage, they indicate benefits already </w:t>
      </w:r>
      <w:r w:rsidR="0C13D154" w:rsidRPr="4F24643B">
        <w:rPr>
          <w:rFonts w:eastAsia="Arial" w:cs="Arial"/>
          <w:sz w:val="22"/>
          <w:szCs w:val="22"/>
        </w:rPr>
        <w:t>(</w:t>
      </w:r>
      <w:r w:rsidR="0C13D154" w:rsidRPr="3C091219">
        <w:rPr>
          <w:rFonts w:eastAsia="Arial" w:cs="Arial"/>
          <w:sz w:val="22"/>
          <w:szCs w:val="22"/>
        </w:rPr>
        <w:t xml:space="preserve">likely to continue to grow over the </w:t>
      </w:r>
      <w:r w:rsidR="0C13D154" w:rsidRPr="76B841CF">
        <w:rPr>
          <w:rFonts w:eastAsia="Arial" w:cs="Arial"/>
          <w:sz w:val="22"/>
          <w:szCs w:val="22"/>
        </w:rPr>
        <w:t xml:space="preserve">implementation and appraisal period) </w:t>
      </w:r>
      <w:r w:rsidRPr="76B841CF">
        <w:rPr>
          <w:rFonts w:eastAsia="Arial" w:cs="Arial"/>
          <w:sz w:val="22"/>
          <w:szCs w:val="22"/>
        </w:rPr>
        <w:t>several</w:t>
      </w:r>
      <w:r w:rsidRPr="4F24643B">
        <w:rPr>
          <w:rFonts w:eastAsia="Arial" w:cs="Arial"/>
          <w:sz w:val="22"/>
          <w:szCs w:val="22"/>
        </w:rPr>
        <w:t xml:space="preserve"> times greater than the cost of Defra’s investment of £32.6 million into the EBF, indicating </w:t>
      </w:r>
      <w:r w:rsidR="4FAA5FC3" w:rsidRPr="4F24643B">
        <w:rPr>
          <w:rFonts w:eastAsia="Arial" w:cs="Arial"/>
          <w:sz w:val="22"/>
          <w:szCs w:val="22"/>
        </w:rPr>
        <w:t xml:space="preserve">a BCR above 2, with </w:t>
      </w:r>
      <w:r w:rsidRPr="4F24643B">
        <w:rPr>
          <w:rFonts w:eastAsia="Arial" w:cs="Arial"/>
          <w:sz w:val="22"/>
          <w:szCs w:val="22"/>
        </w:rPr>
        <w:t xml:space="preserve">likely value for money of at least high, per Defra’s </w:t>
      </w:r>
      <w:r w:rsidR="695ED389" w:rsidRPr="4F24643B">
        <w:rPr>
          <w:rFonts w:eastAsia="Arial" w:cs="Arial"/>
          <w:sz w:val="22"/>
          <w:szCs w:val="22"/>
        </w:rPr>
        <w:t>V</w:t>
      </w:r>
      <w:r w:rsidRPr="4F24643B">
        <w:rPr>
          <w:rFonts w:eastAsia="Arial" w:cs="Arial"/>
          <w:sz w:val="22"/>
          <w:szCs w:val="22"/>
        </w:rPr>
        <w:t>alue for Mone</w:t>
      </w:r>
      <w:r w:rsidR="1AAB1C36" w:rsidRPr="4F24643B">
        <w:rPr>
          <w:rFonts w:eastAsia="Arial" w:cs="Arial"/>
          <w:sz w:val="22"/>
          <w:szCs w:val="22"/>
        </w:rPr>
        <w:t>y Framework</w:t>
      </w:r>
      <w:r w:rsidRPr="4F24643B">
        <w:rPr>
          <w:rFonts w:eastAsia="Arial" w:cs="Arial"/>
          <w:sz w:val="22"/>
          <w:szCs w:val="22"/>
        </w:rPr>
        <w:t>.</w:t>
      </w:r>
    </w:p>
    <w:p w14:paraId="590AF326" w14:textId="59D6F63E" w:rsidR="00F20A87" w:rsidRPr="00A54B18" w:rsidRDefault="001736AD" w:rsidP="001736AD">
      <w:pPr>
        <w:spacing w:after="160" w:line="257" w:lineRule="auto"/>
        <w:jc w:val="both"/>
        <w:rPr>
          <w:rFonts w:eastAsia="Arial" w:cs="Arial"/>
          <w:sz w:val="22"/>
          <w:szCs w:val="22"/>
        </w:rPr>
      </w:pPr>
      <w:r w:rsidRPr="001736AD">
        <w:rPr>
          <w:rFonts w:eastAsia="Arial" w:cs="Arial"/>
          <w:sz w:val="22"/>
          <w:szCs w:val="22"/>
        </w:rPr>
        <w:t xml:space="preserve">The impact indicators currently suggest that transformational change is likely to occur. Impact indicator 4, which looks at the extent to which ICF intervention is likely to lead to Transformational Change (KPI 15) has a score of </w:t>
      </w:r>
      <w:r w:rsidR="0002777C">
        <w:rPr>
          <w:rFonts w:eastAsia="Arial" w:cs="Arial"/>
          <w:sz w:val="22"/>
          <w:szCs w:val="22"/>
        </w:rPr>
        <w:t>4</w:t>
      </w:r>
      <w:r w:rsidR="00271FD7" w:rsidRPr="00FB15AA">
        <w:rPr>
          <w:rFonts w:eastAsia="Arial" w:cs="Arial"/>
          <w:sz w:val="22"/>
          <w:szCs w:val="22"/>
        </w:rPr>
        <w:t xml:space="preserve">, showing there is partial evidence to suggest transformational change is likely to occur. </w:t>
      </w:r>
      <w:r w:rsidRPr="001736AD">
        <w:rPr>
          <w:rFonts w:eastAsia="Arial" w:cs="Arial"/>
          <w:sz w:val="22"/>
          <w:szCs w:val="22"/>
        </w:rPr>
        <w:t xml:space="preserve">Furthermore, impact indicator 3 shows that </w:t>
      </w:r>
      <w:r w:rsidR="00271FD7" w:rsidRPr="00FB15AA">
        <w:rPr>
          <w:rFonts w:eastAsia="Arial" w:cs="Arial"/>
          <w:sz w:val="22"/>
          <w:szCs w:val="22"/>
        </w:rPr>
        <w:t>30</w:t>
      </w:r>
      <w:r w:rsidRPr="001736AD">
        <w:rPr>
          <w:rFonts w:eastAsia="Arial" w:cs="Arial"/>
          <w:sz w:val="22"/>
          <w:szCs w:val="22"/>
        </w:rPr>
        <w:t xml:space="preserve"> FIs within Latin America are using the lessons learned approach from EBF, showing continued development across FIs arising from the programme.</w:t>
      </w:r>
    </w:p>
    <w:p w14:paraId="141EDF3C" w14:textId="77777777" w:rsidR="00F20A87" w:rsidRPr="00A54B18" w:rsidRDefault="00176383" w:rsidP="07FC4C9B">
      <w:pPr>
        <w:spacing w:after="160" w:line="257" w:lineRule="auto"/>
        <w:jc w:val="both"/>
      </w:pPr>
      <w:r>
        <w:rPr>
          <w:rFonts w:eastAsia="Arial" w:cs="Arial"/>
          <w:b/>
          <w:bCs/>
          <w:sz w:val="22"/>
          <w:szCs w:val="22"/>
        </w:rPr>
        <w:t>Value for money summary</w:t>
      </w:r>
    </w:p>
    <w:p w14:paraId="7F66BFE2" w14:textId="62991AD5" w:rsidR="00315E55" w:rsidRDefault="009D4538" w:rsidP="07FC4C9B">
      <w:pPr>
        <w:spacing w:after="160" w:line="257" w:lineRule="auto"/>
        <w:jc w:val="both"/>
        <w:rPr>
          <w:rFonts w:eastAsia="Arial" w:cs="Arial"/>
          <w:sz w:val="22"/>
          <w:szCs w:val="22"/>
        </w:rPr>
      </w:pPr>
      <w:r w:rsidRPr="009D4538">
        <w:rPr>
          <w:rFonts w:eastAsia="Arial" w:cs="Arial"/>
          <w:sz w:val="22"/>
          <w:szCs w:val="22"/>
        </w:rPr>
        <w:t xml:space="preserve">Overall, the assessment </w:t>
      </w:r>
      <w:r w:rsidR="00FC3A15">
        <w:rPr>
          <w:rFonts w:eastAsia="Arial" w:cs="Arial"/>
          <w:sz w:val="22"/>
          <w:szCs w:val="22"/>
        </w:rPr>
        <w:t xml:space="preserve">has found </w:t>
      </w:r>
      <w:r w:rsidR="00315E55" w:rsidRPr="00315E55">
        <w:rPr>
          <w:rFonts w:eastAsia="Arial" w:cs="Arial"/>
          <w:sz w:val="22"/>
          <w:szCs w:val="22"/>
        </w:rPr>
        <w:t xml:space="preserve">no evidence that the economic arguments for funding </w:t>
      </w:r>
      <w:r w:rsidR="00315E55">
        <w:rPr>
          <w:rFonts w:eastAsia="Arial" w:cs="Arial"/>
          <w:sz w:val="22"/>
          <w:szCs w:val="22"/>
        </w:rPr>
        <w:t xml:space="preserve">EBF </w:t>
      </w:r>
      <w:r w:rsidR="00315E55" w:rsidRPr="00315E55">
        <w:rPr>
          <w:rFonts w:eastAsia="Arial" w:cs="Arial"/>
          <w:sz w:val="22"/>
          <w:szCs w:val="22"/>
        </w:rPr>
        <w:t xml:space="preserve">have changed significantly since Business Case approval, with current results indicating that Defra’s funding of </w:t>
      </w:r>
      <w:r w:rsidR="00315E55">
        <w:rPr>
          <w:rFonts w:eastAsia="Arial" w:cs="Arial"/>
          <w:sz w:val="22"/>
          <w:szCs w:val="22"/>
        </w:rPr>
        <w:t xml:space="preserve">EBF </w:t>
      </w:r>
      <w:r w:rsidR="00271FD7">
        <w:rPr>
          <w:rFonts w:eastAsia="Arial" w:cs="Arial"/>
          <w:sz w:val="22"/>
          <w:szCs w:val="22"/>
        </w:rPr>
        <w:t xml:space="preserve">continues to </w:t>
      </w:r>
      <w:r w:rsidR="00271FD7" w:rsidRPr="00FB15AA">
        <w:rPr>
          <w:rFonts w:eastAsia="Arial" w:cs="Arial"/>
          <w:sz w:val="22"/>
          <w:szCs w:val="22"/>
        </w:rPr>
        <w:t>represent</w:t>
      </w:r>
      <w:r w:rsidR="00315E55" w:rsidRPr="00315E55">
        <w:rPr>
          <w:rFonts w:eastAsia="Arial" w:cs="Arial"/>
          <w:sz w:val="22"/>
          <w:szCs w:val="22"/>
        </w:rPr>
        <w:t xml:space="preserve"> value for money.</w:t>
      </w:r>
    </w:p>
    <w:p w14:paraId="168A203A" w14:textId="31DFDF61" w:rsidR="19A372B6" w:rsidRPr="0080725B" w:rsidRDefault="00271FD7" w:rsidP="0080725B">
      <w:pPr>
        <w:spacing w:after="160" w:line="257" w:lineRule="auto"/>
        <w:jc w:val="both"/>
        <w:rPr>
          <w:rFonts w:eastAsia="Arial" w:cs="Arial"/>
          <w:sz w:val="22"/>
          <w:szCs w:val="22"/>
        </w:rPr>
      </w:pPr>
      <w:r w:rsidRPr="1B8ED670">
        <w:rPr>
          <w:rFonts w:eastAsia="Arial" w:cs="Arial"/>
          <w:sz w:val="22"/>
          <w:szCs w:val="22"/>
        </w:rPr>
        <w:t>89% of output indicators are</w:t>
      </w:r>
      <w:r w:rsidR="009D4538" w:rsidRPr="1B8ED670">
        <w:rPr>
          <w:rFonts w:eastAsia="Arial" w:cs="Arial"/>
          <w:sz w:val="22"/>
          <w:szCs w:val="22"/>
        </w:rPr>
        <w:t xml:space="preserve"> either meeting or exceeding </w:t>
      </w:r>
      <w:r w:rsidR="18C7BC98" w:rsidRPr="1B8ED670">
        <w:rPr>
          <w:rFonts w:eastAsia="Arial" w:cs="Arial"/>
          <w:sz w:val="22"/>
          <w:szCs w:val="22"/>
        </w:rPr>
        <w:t xml:space="preserve">their </w:t>
      </w:r>
      <w:r w:rsidR="009D4538" w:rsidRPr="1B8ED670">
        <w:rPr>
          <w:rFonts w:eastAsia="Arial" w:cs="Arial"/>
          <w:sz w:val="22"/>
          <w:szCs w:val="22"/>
        </w:rPr>
        <w:t xml:space="preserve">target, which </w:t>
      </w:r>
      <w:r w:rsidRPr="1B8ED670">
        <w:rPr>
          <w:rFonts w:eastAsia="Arial" w:cs="Arial"/>
          <w:sz w:val="22"/>
          <w:szCs w:val="22"/>
        </w:rPr>
        <w:t xml:space="preserve">are </w:t>
      </w:r>
      <w:r w:rsidR="00BF42C8" w:rsidRPr="1B8ED670">
        <w:rPr>
          <w:rFonts w:eastAsia="Arial" w:cs="Arial"/>
          <w:sz w:val="22"/>
          <w:szCs w:val="22"/>
        </w:rPr>
        <w:t xml:space="preserve">in turn driving progress against </w:t>
      </w:r>
      <w:r w:rsidRPr="1B8ED670">
        <w:rPr>
          <w:rFonts w:eastAsia="Arial" w:cs="Arial"/>
          <w:sz w:val="22"/>
          <w:szCs w:val="22"/>
        </w:rPr>
        <w:t>the outcome indicators.</w:t>
      </w:r>
      <w:r w:rsidR="009D4538" w:rsidRPr="1B8ED670">
        <w:rPr>
          <w:rFonts w:eastAsia="Arial" w:cs="Arial"/>
          <w:sz w:val="22"/>
          <w:szCs w:val="22"/>
        </w:rPr>
        <w:t xml:space="preserve"> In addition, the ratio of private finance leverage</w:t>
      </w:r>
      <w:r w:rsidR="00BF42C8" w:rsidRPr="1B8ED670">
        <w:rPr>
          <w:rFonts w:eastAsia="Arial" w:cs="Arial"/>
          <w:sz w:val="22"/>
          <w:szCs w:val="22"/>
        </w:rPr>
        <w:t>d</w:t>
      </w:r>
      <w:r w:rsidR="009D4538" w:rsidRPr="1B8ED670">
        <w:rPr>
          <w:rFonts w:eastAsia="Arial" w:cs="Arial"/>
          <w:sz w:val="22"/>
          <w:szCs w:val="22"/>
        </w:rPr>
        <w:t xml:space="preserve"> continues to increase, showing growing confidence amongst private investors. The impact indicators highlight that partial evidence towards transformational change is being demonstrated, which is evidenced through the level of funding to businesses and the increasing number of FIs using the lessons learned approach.</w:t>
      </w:r>
      <w:r w:rsidR="00DB3C52">
        <w:rPr>
          <w:rFonts w:eastAsia="Arial" w:cs="Arial"/>
          <w:sz w:val="22"/>
          <w:szCs w:val="22"/>
        </w:rPr>
        <w:t xml:space="preserve"> The Fund is continuing to </w:t>
      </w:r>
      <w:r w:rsidR="00A9507E">
        <w:rPr>
          <w:rFonts w:eastAsia="Arial" w:cs="Arial"/>
          <w:sz w:val="22"/>
          <w:szCs w:val="22"/>
        </w:rPr>
        <w:t>provide sustainable loans that support livelihoods, sequester carbon, and improve nature outcomes.</w:t>
      </w:r>
    </w:p>
    <w:sectPr w:rsidR="19A372B6" w:rsidRPr="0080725B" w:rsidSect="008E001B">
      <w:headerReference w:type="default" r:id="rId24"/>
      <w:footerReference w:type="default" r:id="rId25"/>
      <w:pgSz w:w="11906" w:h="16838" w:code="9"/>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5E5A" w14:textId="77777777" w:rsidR="00604B8B" w:rsidRDefault="00604B8B" w:rsidP="006E5785">
      <w:r>
        <w:separator/>
      </w:r>
    </w:p>
  </w:endnote>
  <w:endnote w:type="continuationSeparator" w:id="0">
    <w:p w14:paraId="0096A5A6" w14:textId="77777777" w:rsidR="00604B8B" w:rsidRDefault="00604B8B" w:rsidP="006E5785">
      <w:r>
        <w:continuationSeparator/>
      </w:r>
    </w:p>
  </w:endnote>
  <w:endnote w:type="continuationNotice" w:id="1">
    <w:p w14:paraId="533A8FA8" w14:textId="77777777" w:rsidR="00604B8B" w:rsidRDefault="00604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23339"/>
      <w:docPartObj>
        <w:docPartGallery w:val="Page Numbers (Bottom of Page)"/>
        <w:docPartUnique/>
      </w:docPartObj>
    </w:sdtPr>
    <w:sdtEndPr>
      <w:rPr>
        <w:noProof/>
      </w:rPr>
    </w:sdtEndPr>
    <w:sdtContent>
      <w:p w14:paraId="6C5B066D" w14:textId="4D383F3E" w:rsidR="00744E7D" w:rsidRDefault="00744E7D">
        <w:pPr>
          <w:pStyle w:val="Footer"/>
          <w:jc w:val="right"/>
        </w:pPr>
        <w:r w:rsidRPr="00744E7D">
          <w:rPr>
            <w:sz w:val="20"/>
            <w:szCs w:val="20"/>
          </w:rPr>
          <w:fldChar w:fldCharType="begin"/>
        </w:r>
        <w:r w:rsidRPr="00744E7D">
          <w:rPr>
            <w:sz w:val="20"/>
            <w:szCs w:val="20"/>
          </w:rPr>
          <w:instrText xml:space="preserve"> PAGE   \* MERGEFORMAT </w:instrText>
        </w:r>
        <w:r w:rsidRPr="00744E7D">
          <w:rPr>
            <w:sz w:val="20"/>
            <w:szCs w:val="20"/>
          </w:rPr>
          <w:fldChar w:fldCharType="separate"/>
        </w:r>
        <w:r w:rsidRPr="00744E7D">
          <w:rPr>
            <w:noProof/>
            <w:sz w:val="20"/>
            <w:szCs w:val="20"/>
          </w:rPr>
          <w:t>2</w:t>
        </w:r>
        <w:r w:rsidRPr="00744E7D">
          <w:rPr>
            <w:noProof/>
            <w:sz w:val="20"/>
            <w:szCs w:val="20"/>
          </w:rPr>
          <w:fldChar w:fldCharType="end"/>
        </w:r>
      </w:p>
    </w:sdtContent>
  </w:sdt>
  <w:p w14:paraId="581FBA79" w14:textId="77777777" w:rsidR="00744E7D" w:rsidRDefault="00744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E1A2" w14:textId="77777777" w:rsidR="00604B8B" w:rsidRDefault="00604B8B" w:rsidP="006E5785">
      <w:r>
        <w:separator/>
      </w:r>
    </w:p>
  </w:footnote>
  <w:footnote w:type="continuationSeparator" w:id="0">
    <w:p w14:paraId="69654AEE" w14:textId="77777777" w:rsidR="00604B8B" w:rsidRDefault="00604B8B" w:rsidP="006E5785">
      <w:r>
        <w:continuationSeparator/>
      </w:r>
    </w:p>
  </w:footnote>
  <w:footnote w:type="continuationNotice" w:id="1">
    <w:p w14:paraId="6EFA9850" w14:textId="77777777" w:rsidR="00604B8B" w:rsidRDefault="00604B8B"/>
  </w:footnote>
  <w:footnote w:id="2">
    <w:p w14:paraId="234B0285" w14:textId="123C76B3" w:rsidR="00A1055F" w:rsidRPr="00FF4571" w:rsidRDefault="00A1055F">
      <w:pPr>
        <w:pStyle w:val="FootnoteText"/>
        <w:rPr>
          <w:sz w:val="18"/>
          <w:szCs w:val="18"/>
        </w:rPr>
      </w:pPr>
      <w:r w:rsidRPr="00FF4571">
        <w:rPr>
          <w:rStyle w:val="FootnoteReference"/>
          <w:sz w:val="18"/>
          <w:szCs w:val="18"/>
        </w:rPr>
        <w:footnoteRef/>
      </w:r>
      <w:r w:rsidRPr="00FF4571">
        <w:rPr>
          <w:sz w:val="18"/>
          <w:szCs w:val="18"/>
        </w:rPr>
        <w:t xml:space="preserve"> Includes</w:t>
      </w:r>
      <w:r w:rsidR="00806CE7" w:rsidRPr="00FF4571">
        <w:rPr>
          <w:sz w:val="18"/>
          <w:szCs w:val="18"/>
        </w:rPr>
        <w:t xml:space="preserve"> running costs of DF; individual project costs </w:t>
      </w:r>
      <w:r w:rsidR="00FF4571" w:rsidRPr="00FF4571">
        <w:rPr>
          <w:sz w:val="18"/>
          <w:szCs w:val="18"/>
        </w:rPr>
        <w:t>typically average around $55,000.</w:t>
      </w:r>
    </w:p>
  </w:footnote>
  <w:footnote w:id="3">
    <w:p w14:paraId="34EC7876" w14:textId="25AE8C02" w:rsidR="00C708C3" w:rsidRDefault="00C708C3" w:rsidP="00C708C3">
      <w:pPr>
        <w:spacing w:after="120"/>
        <w:jc w:val="both"/>
      </w:pPr>
      <w:r>
        <w:rPr>
          <w:rStyle w:val="FootnoteReference"/>
        </w:rPr>
        <w:footnoteRef/>
      </w:r>
      <w:r>
        <w:t xml:space="preserve"> </w:t>
      </w:r>
      <w:r w:rsidRPr="00802D3B">
        <w:rPr>
          <w:i/>
          <w:sz w:val="20"/>
          <w:szCs w:val="20"/>
        </w:rPr>
        <w:t>N</w:t>
      </w:r>
      <w:r w:rsidRPr="428F1934">
        <w:rPr>
          <w:rFonts w:eastAsia="Arial" w:cs="Arial"/>
          <w:i/>
          <w:iCs/>
          <w:color w:val="000000" w:themeColor="text1"/>
          <w:sz w:val="20"/>
          <w:szCs w:val="20"/>
        </w:rPr>
        <w:t xml:space="preserve">ote the </w:t>
      </w:r>
      <w:r>
        <w:rPr>
          <w:rFonts w:eastAsia="Arial" w:cs="Arial"/>
          <w:i/>
          <w:iCs/>
          <w:color w:val="000000" w:themeColor="text1"/>
          <w:sz w:val="20"/>
          <w:szCs w:val="20"/>
        </w:rPr>
        <w:t>indicators assessed</w:t>
      </w:r>
      <w:r w:rsidRPr="428F1934">
        <w:rPr>
          <w:rFonts w:eastAsia="Arial" w:cs="Arial"/>
          <w:i/>
          <w:iCs/>
          <w:color w:val="000000" w:themeColor="text1"/>
          <w:sz w:val="20"/>
          <w:szCs w:val="20"/>
        </w:rPr>
        <w:t xml:space="preserve"> in this table are </w:t>
      </w:r>
      <w:r>
        <w:rPr>
          <w:rFonts w:eastAsia="Arial" w:cs="Arial"/>
          <w:i/>
          <w:iCs/>
          <w:color w:val="000000" w:themeColor="text1"/>
          <w:sz w:val="20"/>
          <w:szCs w:val="20"/>
        </w:rPr>
        <w:t xml:space="preserve">those </w:t>
      </w:r>
      <w:r w:rsidRPr="428F1934">
        <w:rPr>
          <w:rFonts w:eastAsia="Arial" w:cs="Arial"/>
          <w:i/>
          <w:iCs/>
          <w:color w:val="000000" w:themeColor="text1"/>
          <w:sz w:val="20"/>
          <w:szCs w:val="20"/>
        </w:rPr>
        <w:t xml:space="preserve">that have both a planned target and achieved figure in the log frame; other indicators that do not contain </w:t>
      </w:r>
      <w:r w:rsidR="003F7EDE">
        <w:rPr>
          <w:rFonts w:eastAsia="Arial" w:cs="Arial"/>
          <w:i/>
          <w:iCs/>
          <w:color w:val="000000" w:themeColor="text1"/>
          <w:sz w:val="20"/>
          <w:szCs w:val="20"/>
        </w:rPr>
        <w:t>this</w:t>
      </w:r>
      <w:r w:rsidRPr="428F1934">
        <w:rPr>
          <w:rFonts w:eastAsia="Arial" w:cs="Arial"/>
          <w:i/>
          <w:iCs/>
          <w:color w:val="000000" w:themeColor="text1"/>
          <w:sz w:val="20"/>
          <w:szCs w:val="20"/>
        </w:rPr>
        <w:t xml:space="preserve"> information are excluded from</w:t>
      </w:r>
      <w:r>
        <w:rPr>
          <w:rFonts w:eastAsia="Arial" w:cs="Arial"/>
          <w:i/>
          <w:iCs/>
          <w:color w:val="000000" w:themeColor="text1"/>
          <w:sz w:val="20"/>
          <w:szCs w:val="20"/>
        </w:rPr>
        <w:t xml:space="preserve"> the table</w:t>
      </w:r>
      <w:r w:rsidRPr="428F1934">
        <w:rPr>
          <w:rFonts w:eastAsia="Arial" w:cs="Arial"/>
          <w:i/>
          <w:iCs/>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92EF" w14:textId="5B953D0D" w:rsidR="006E5785" w:rsidRDefault="006E5785">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14:anchorId="075411E3" wp14:editId="2B8A39F1">
              <wp:simplePos x="0" y="0"/>
              <wp:positionH relativeFrom="page">
                <wp:posOffset>0</wp:posOffset>
              </wp:positionH>
              <wp:positionV relativeFrom="page">
                <wp:posOffset>190500</wp:posOffset>
              </wp:positionV>
              <wp:extent cx="7560310" cy="273050"/>
              <wp:effectExtent l="0" t="0" r="0" b="12700"/>
              <wp:wrapNone/>
              <wp:docPr id="1" name="Text Box 1"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ABAE4" w14:textId="5DE5ECEF" w:rsidR="006E5785" w:rsidRPr="006E5785" w:rsidRDefault="006E5785" w:rsidP="006E5785">
                          <w:pPr>
                            <w:rPr>
                              <w:rFonts w:ascii="Calibri" w:hAnsi="Calibri" w:cs="Calibri"/>
                              <w:color w:val="000000"/>
                              <w:sz w:val="20"/>
                            </w:rPr>
                          </w:pPr>
                          <w:r w:rsidRPr="006E578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75411E3" id="_x0000_t202" coordsize="21600,21600" o:spt="202" path="m,l,21600r21600,l21600,xe">
              <v:stroke joinstyle="miter"/>
              <v:path gradientshapeok="t" o:connecttype="rect"/>
            </v:shapetype>
            <v:shape id="Text Box 1" o:spid="_x0000_s1026" type="#_x0000_t202" alt="{&quot;HashCode&quot;:-1291824593,&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72ABAE4" w14:textId="5DE5ECEF" w:rsidR="006E5785" w:rsidRPr="006E5785" w:rsidRDefault="006E5785" w:rsidP="006E5785">
                    <w:pPr>
                      <w:rPr>
                        <w:rFonts w:ascii="Calibri" w:hAnsi="Calibri" w:cs="Calibri"/>
                        <w:color w:val="000000"/>
                        <w:sz w:val="20"/>
                      </w:rPr>
                    </w:pPr>
                    <w:r w:rsidRPr="006E5785">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2595"/>
    <w:multiLevelType w:val="hybridMultilevel"/>
    <w:tmpl w:val="263AE61E"/>
    <w:lvl w:ilvl="0" w:tplc="A5402178">
      <w:start w:val="1"/>
      <w:numFmt w:val="decimal"/>
      <w:lvlText w:val="%1."/>
      <w:lvlJc w:val="left"/>
      <w:pPr>
        <w:ind w:left="720" w:hanging="360"/>
      </w:pPr>
    </w:lvl>
    <w:lvl w:ilvl="1" w:tplc="3984E634">
      <w:start w:val="1"/>
      <w:numFmt w:val="lowerLetter"/>
      <w:lvlText w:val="%2."/>
      <w:lvlJc w:val="left"/>
      <w:pPr>
        <w:ind w:left="1440" w:hanging="360"/>
      </w:pPr>
    </w:lvl>
    <w:lvl w:ilvl="2" w:tplc="087CDC74">
      <w:start w:val="1"/>
      <w:numFmt w:val="lowerRoman"/>
      <w:lvlText w:val="%3."/>
      <w:lvlJc w:val="right"/>
      <w:pPr>
        <w:ind w:left="2160" w:hanging="180"/>
      </w:pPr>
    </w:lvl>
    <w:lvl w:ilvl="3" w:tplc="D90C1A0A">
      <w:start w:val="1"/>
      <w:numFmt w:val="decimal"/>
      <w:lvlText w:val="%4."/>
      <w:lvlJc w:val="left"/>
      <w:pPr>
        <w:ind w:left="2880" w:hanging="360"/>
      </w:pPr>
    </w:lvl>
    <w:lvl w:ilvl="4" w:tplc="52D06248">
      <w:start w:val="1"/>
      <w:numFmt w:val="lowerLetter"/>
      <w:lvlText w:val="%5."/>
      <w:lvlJc w:val="left"/>
      <w:pPr>
        <w:ind w:left="3600" w:hanging="360"/>
      </w:pPr>
    </w:lvl>
    <w:lvl w:ilvl="5" w:tplc="D37CC02E">
      <w:start w:val="1"/>
      <w:numFmt w:val="lowerRoman"/>
      <w:lvlText w:val="%6."/>
      <w:lvlJc w:val="right"/>
      <w:pPr>
        <w:ind w:left="4320" w:hanging="180"/>
      </w:pPr>
    </w:lvl>
    <w:lvl w:ilvl="6" w:tplc="363C2D30">
      <w:start w:val="1"/>
      <w:numFmt w:val="decimal"/>
      <w:lvlText w:val="%7."/>
      <w:lvlJc w:val="left"/>
      <w:pPr>
        <w:ind w:left="5040" w:hanging="360"/>
      </w:pPr>
    </w:lvl>
    <w:lvl w:ilvl="7" w:tplc="0A5820CC">
      <w:start w:val="1"/>
      <w:numFmt w:val="lowerLetter"/>
      <w:lvlText w:val="%8."/>
      <w:lvlJc w:val="left"/>
      <w:pPr>
        <w:ind w:left="5760" w:hanging="360"/>
      </w:pPr>
    </w:lvl>
    <w:lvl w:ilvl="8" w:tplc="81700D48">
      <w:start w:val="1"/>
      <w:numFmt w:val="lowerRoman"/>
      <w:lvlText w:val="%9."/>
      <w:lvlJc w:val="right"/>
      <w:pPr>
        <w:ind w:left="6480" w:hanging="180"/>
      </w:pPr>
    </w:lvl>
  </w:abstractNum>
  <w:abstractNum w:abstractNumId="1" w15:restartNumberingAfterBreak="0">
    <w:nsid w:val="2E983345"/>
    <w:multiLevelType w:val="hybridMultilevel"/>
    <w:tmpl w:val="219241A8"/>
    <w:lvl w:ilvl="0" w:tplc="AA20FA8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3402B"/>
    <w:multiLevelType w:val="hybridMultilevel"/>
    <w:tmpl w:val="5A10A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98185F"/>
    <w:multiLevelType w:val="hybridMultilevel"/>
    <w:tmpl w:val="DBA4D7EA"/>
    <w:lvl w:ilvl="0" w:tplc="42BA4ADA">
      <w:start w:val="1"/>
      <w:numFmt w:val="bullet"/>
      <w:lvlText w:val=""/>
      <w:lvlJc w:val="left"/>
      <w:pPr>
        <w:ind w:left="360" w:hanging="360"/>
      </w:pPr>
      <w:rPr>
        <w:rFonts w:ascii="Symbol" w:hAnsi="Symbol" w:hint="default"/>
        <w:color w:val="auto"/>
      </w:rPr>
    </w:lvl>
    <w:lvl w:ilvl="1" w:tplc="DAAEE230">
      <w:start w:val="1"/>
      <w:numFmt w:val="bullet"/>
      <w:lvlText w:val="o"/>
      <w:lvlJc w:val="left"/>
      <w:pPr>
        <w:ind w:left="785" w:hanging="360"/>
      </w:pPr>
      <w:rPr>
        <w:rFonts w:ascii="Courier New" w:hAnsi="Courier New" w:hint="default"/>
        <w:color w:val="auto"/>
      </w:rPr>
    </w:lvl>
    <w:lvl w:ilvl="2" w:tplc="C20CF42C">
      <w:start w:val="1"/>
      <w:numFmt w:val="bullet"/>
      <w:lvlText w:val=""/>
      <w:lvlJc w:val="left"/>
      <w:pPr>
        <w:ind w:left="1800" w:hanging="360"/>
      </w:pPr>
      <w:rPr>
        <w:rFonts w:ascii="Wingdings" w:hAnsi="Wingdings" w:hint="default"/>
      </w:rPr>
    </w:lvl>
    <w:lvl w:ilvl="3" w:tplc="F8940E7A">
      <w:start w:val="1"/>
      <w:numFmt w:val="bullet"/>
      <w:lvlText w:val=""/>
      <w:lvlJc w:val="left"/>
      <w:pPr>
        <w:ind w:left="2520" w:hanging="360"/>
      </w:pPr>
      <w:rPr>
        <w:rFonts w:ascii="Symbol" w:hAnsi="Symbol" w:hint="default"/>
      </w:rPr>
    </w:lvl>
    <w:lvl w:ilvl="4" w:tplc="C89ED15E">
      <w:start w:val="1"/>
      <w:numFmt w:val="bullet"/>
      <w:lvlText w:val="o"/>
      <w:lvlJc w:val="left"/>
      <w:pPr>
        <w:ind w:left="3240" w:hanging="360"/>
      </w:pPr>
      <w:rPr>
        <w:rFonts w:ascii="Courier New" w:hAnsi="Courier New" w:hint="default"/>
      </w:rPr>
    </w:lvl>
    <w:lvl w:ilvl="5" w:tplc="B916F362">
      <w:start w:val="1"/>
      <w:numFmt w:val="bullet"/>
      <w:lvlText w:val=""/>
      <w:lvlJc w:val="left"/>
      <w:pPr>
        <w:ind w:left="3960" w:hanging="360"/>
      </w:pPr>
      <w:rPr>
        <w:rFonts w:ascii="Wingdings" w:hAnsi="Wingdings" w:hint="default"/>
      </w:rPr>
    </w:lvl>
    <w:lvl w:ilvl="6" w:tplc="A33EF62C">
      <w:start w:val="1"/>
      <w:numFmt w:val="bullet"/>
      <w:lvlText w:val=""/>
      <w:lvlJc w:val="left"/>
      <w:pPr>
        <w:ind w:left="4680" w:hanging="360"/>
      </w:pPr>
      <w:rPr>
        <w:rFonts w:ascii="Symbol" w:hAnsi="Symbol" w:hint="default"/>
      </w:rPr>
    </w:lvl>
    <w:lvl w:ilvl="7" w:tplc="868AF2DA">
      <w:start w:val="1"/>
      <w:numFmt w:val="bullet"/>
      <w:lvlText w:val="o"/>
      <w:lvlJc w:val="left"/>
      <w:pPr>
        <w:ind w:left="5400" w:hanging="360"/>
      </w:pPr>
      <w:rPr>
        <w:rFonts w:ascii="Courier New" w:hAnsi="Courier New" w:hint="default"/>
      </w:rPr>
    </w:lvl>
    <w:lvl w:ilvl="8" w:tplc="3DB017AE">
      <w:start w:val="1"/>
      <w:numFmt w:val="bullet"/>
      <w:lvlText w:val=""/>
      <w:lvlJc w:val="left"/>
      <w:pPr>
        <w:ind w:left="6120" w:hanging="360"/>
      </w:pPr>
      <w:rPr>
        <w:rFonts w:ascii="Wingdings" w:hAnsi="Wingdings" w:hint="default"/>
      </w:rPr>
    </w:lvl>
  </w:abstractNum>
  <w:abstractNum w:abstractNumId="4" w15:restartNumberingAfterBreak="0">
    <w:nsid w:val="362B46DC"/>
    <w:multiLevelType w:val="hybridMultilevel"/>
    <w:tmpl w:val="038EDED2"/>
    <w:lvl w:ilvl="0" w:tplc="AA20FA8C">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D011AE"/>
    <w:multiLevelType w:val="hybridMultilevel"/>
    <w:tmpl w:val="FD66BB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BCF7C1"/>
    <w:multiLevelType w:val="hybridMultilevel"/>
    <w:tmpl w:val="4FF00542"/>
    <w:lvl w:ilvl="0" w:tplc="0D74689E">
      <w:start w:val="1"/>
      <w:numFmt w:val="bullet"/>
      <w:lvlText w:val="·"/>
      <w:lvlJc w:val="left"/>
      <w:pPr>
        <w:ind w:left="720" w:hanging="360"/>
      </w:pPr>
      <w:rPr>
        <w:rFonts w:ascii="Symbol" w:hAnsi="Symbol" w:hint="default"/>
      </w:rPr>
    </w:lvl>
    <w:lvl w:ilvl="1" w:tplc="E1C832FE">
      <w:start w:val="1"/>
      <w:numFmt w:val="bullet"/>
      <w:lvlText w:val="o"/>
      <w:lvlJc w:val="left"/>
      <w:pPr>
        <w:ind w:left="1440" w:hanging="360"/>
      </w:pPr>
      <w:rPr>
        <w:rFonts w:ascii="Courier New" w:hAnsi="Courier New" w:hint="default"/>
      </w:rPr>
    </w:lvl>
    <w:lvl w:ilvl="2" w:tplc="AE8E026E">
      <w:start w:val="1"/>
      <w:numFmt w:val="bullet"/>
      <w:lvlText w:val=""/>
      <w:lvlJc w:val="left"/>
      <w:pPr>
        <w:ind w:left="2160" w:hanging="360"/>
      </w:pPr>
      <w:rPr>
        <w:rFonts w:ascii="Wingdings" w:hAnsi="Wingdings" w:hint="default"/>
      </w:rPr>
    </w:lvl>
    <w:lvl w:ilvl="3" w:tplc="8A58D4C4">
      <w:start w:val="1"/>
      <w:numFmt w:val="bullet"/>
      <w:lvlText w:val=""/>
      <w:lvlJc w:val="left"/>
      <w:pPr>
        <w:ind w:left="2880" w:hanging="360"/>
      </w:pPr>
      <w:rPr>
        <w:rFonts w:ascii="Symbol" w:hAnsi="Symbol" w:hint="default"/>
      </w:rPr>
    </w:lvl>
    <w:lvl w:ilvl="4" w:tplc="06FC3878">
      <w:start w:val="1"/>
      <w:numFmt w:val="bullet"/>
      <w:lvlText w:val="o"/>
      <w:lvlJc w:val="left"/>
      <w:pPr>
        <w:ind w:left="3600" w:hanging="360"/>
      </w:pPr>
      <w:rPr>
        <w:rFonts w:ascii="Courier New" w:hAnsi="Courier New" w:hint="default"/>
      </w:rPr>
    </w:lvl>
    <w:lvl w:ilvl="5" w:tplc="DEF01698">
      <w:start w:val="1"/>
      <w:numFmt w:val="bullet"/>
      <w:lvlText w:val=""/>
      <w:lvlJc w:val="left"/>
      <w:pPr>
        <w:ind w:left="4320" w:hanging="360"/>
      </w:pPr>
      <w:rPr>
        <w:rFonts w:ascii="Wingdings" w:hAnsi="Wingdings" w:hint="default"/>
      </w:rPr>
    </w:lvl>
    <w:lvl w:ilvl="6" w:tplc="2C541A04">
      <w:start w:val="1"/>
      <w:numFmt w:val="bullet"/>
      <w:lvlText w:val=""/>
      <w:lvlJc w:val="left"/>
      <w:pPr>
        <w:ind w:left="5040" w:hanging="360"/>
      </w:pPr>
      <w:rPr>
        <w:rFonts w:ascii="Symbol" w:hAnsi="Symbol" w:hint="default"/>
      </w:rPr>
    </w:lvl>
    <w:lvl w:ilvl="7" w:tplc="4A3C3462">
      <w:start w:val="1"/>
      <w:numFmt w:val="bullet"/>
      <w:lvlText w:val="o"/>
      <w:lvlJc w:val="left"/>
      <w:pPr>
        <w:ind w:left="5760" w:hanging="360"/>
      </w:pPr>
      <w:rPr>
        <w:rFonts w:ascii="Courier New" w:hAnsi="Courier New" w:hint="default"/>
      </w:rPr>
    </w:lvl>
    <w:lvl w:ilvl="8" w:tplc="F7703678">
      <w:start w:val="1"/>
      <w:numFmt w:val="bullet"/>
      <w:lvlText w:val=""/>
      <w:lvlJc w:val="left"/>
      <w:pPr>
        <w:ind w:left="6480" w:hanging="360"/>
      </w:pPr>
      <w:rPr>
        <w:rFonts w:ascii="Wingdings" w:hAnsi="Wingdings" w:hint="default"/>
      </w:rPr>
    </w:lvl>
  </w:abstractNum>
  <w:abstractNum w:abstractNumId="7" w15:restartNumberingAfterBreak="0">
    <w:nsid w:val="4B3E5BD6"/>
    <w:multiLevelType w:val="hybridMultilevel"/>
    <w:tmpl w:val="B03ED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2793A1"/>
    <w:multiLevelType w:val="hybridMultilevel"/>
    <w:tmpl w:val="B65C8BF2"/>
    <w:lvl w:ilvl="0" w:tplc="4B9E4218">
      <w:start w:val="1"/>
      <w:numFmt w:val="decimal"/>
      <w:lvlText w:val="%1."/>
      <w:lvlJc w:val="left"/>
      <w:pPr>
        <w:ind w:left="720" w:hanging="360"/>
      </w:pPr>
    </w:lvl>
    <w:lvl w:ilvl="1" w:tplc="11FA0D18">
      <w:start w:val="1"/>
      <w:numFmt w:val="lowerLetter"/>
      <w:lvlText w:val="%2."/>
      <w:lvlJc w:val="left"/>
      <w:pPr>
        <w:ind w:left="1440" w:hanging="360"/>
      </w:pPr>
    </w:lvl>
    <w:lvl w:ilvl="2" w:tplc="D3E2087E">
      <w:start w:val="1"/>
      <w:numFmt w:val="lowerRoman"/>
      <w:lvlText w:val="%3."/>
      <w:lvlJc w:val="right"/>
      <w:pPr>
        <w:ind w:left="2160" w:hanging="180"/>
      </w:pPr>
    </w:lvl>
    <w:lvl w:ilvl="3" w:tplc="064E2D1A">
      <w:start w:val="1"/>
      <w:numFmt w:val="decimal"/>
      <w:lvlText w:val="%4."/>
      <w:lvlJc w:val="left"/>
      <w:pPr>
        <w:ind w:left="2880" w:hanging="360"/>
      </w:pPr>
    </w:lvl>
    <w:lvl w:ilvl="4" w:tplc="B2FAAC8C">
      <w:start w:val="1"/>
      <w:numFmt w:val="lowerLetter"/>
      <w:lvlText w:val="%5."/>
      <w:lvlJc w:val="left"/>
      <w:pPr>
        <w:ind w:left="3600" w:hanging="360"/>
      </w:pPr>
    </w:lvl>
    <w:lvl w:ilvl="5" w:tplc="145EC06C">
      <w:start w:val="1"/>
      <w:numFmt w:val="lowerRoman"/>
      <w:lvlText w:val="%6."/>
      <w:lvlJc w:val="right"/>
      <w:pPr>
        <w:ind w:left="4320" w:hanging="180"/>
      </w:pPr>
    </w:lvl>
    <w:lvl w:ilvl="6" w:tplc="7C08CF2E">
      <w:start w:val="1"/>
      <w:numFmt w:val="decimal"/>
      <w:lvlText w:val="%7."/>
      <w:lvlJc w:val="left"/>
      <w:pPr>
        <w:ind w:left="5040" w:hanging="360"/>
      </w:pPr>
    </w:lvl>
    <w:lvl w:ilvl="7" w:tplc="8E32BB88">
      <w:start w:val="1"/>
      <w:numFmt w:val="lowerLetter"/>
      <w:lvlText w:val="%8."/>
      <w:lvlJc w:val="left"/>
      <w:pPr>
        <w:ind w:left="5760" w:hanging="360"/>
      </w:pPr>
    </w:lvl>
    <w:lvl w:ilvl="8" w:tplc="FA88B7F6">
      <w:start w:val="1"/>
      <w:numFmt w:val="lowerRoman"/>
      <w:lvlText w:val="%9."/>
      <w:lvlJc w:val="right"/>
      <w:pPr>
        <w:ind w:left="6480" w:hanging="180"/>
      </w:pPr>
    </w:lvl>
  </w:abstractNum>
  <w:abstractNum w:abstractNumId="9" w15:restartNumberingAfterBreak="0">
    <w:nsid w:val="53E2F708"/>
    <w:multiLevelType w:val="hybridMultilevel"/>
    <w:tmpl w:val="59E0637A"/>
    <w:lvl w:ilvl="0" w:tplc="B682334E">
      <w:start w:val="1"/>
      <w:numFmt w:val="decimal"/>
      <w:lvlText w:val="%1."/>
      <w:lvlJc w:val="left"/>
      <w:pPr>
        <w:ind w:left="720" w:hanging="360"/>
      </w:pPr>
    </w:lvl>
    <w:lvl w:ilvl="1" w:tplc="A4CE2040">
      <w:start w:val="1"/>
      <w:numFmt w:val="lowerLetter"/>
      <w:lvlText w:val="%2."/>
      <w:lvlJc w:val="left"/>
      <w:pPr>
        <w:ind w:left="1440" w:hanging="360"/>
      </w:pPr>
    </w:lvl>
    <w:lvl w:ilvl="2" w:tplc="7AC6A03A">
      <w:start w:val="1"/>
      <w:numFmt w:val="lowerRoman"/>
      <w:lvlText w:val="%3."/>
      <w:lvlJc w:val="right"/>
      <w:pPr>
        <w:ind w:left="2160" w:hanging="180"/>
      </w:pPr>
    </w:lvl>
    <w:lvl w:ilvl="3" w:tplc="5742EEC6">
      <w:start w:val="1"/>
      <w:numFmt w:val="decimal"/>
      <w:lvlText w:val="%4."/>
      <w:lvlJc w:val="left"/>
      <w:pPr>
        <w:ind w:left="2880" w:hanging="360"/>
      </w:pPr>
    </w:lvl>
    <w:lvl w:ilvl="4" w:tplc="A5A8BEDA">
      <w:start w:val="1"/>
      <w:numFmt w:val="lowerLetter"/>
      <w:lvlText w:val="%5."/>
      <w:lvlJc w:val="left"/>
      <w:pPr>
        <w:ind w:left="3600" w:hanging="360"/>
      </w:pPr>
    </w:lvl>
    <w:lvl w:ilvl="5" w:tplc="4EBAA09C">
      <w:start w:val="1"/>
      <w:numFmt w:val="lowerRoman"/>
      <w:lvlText w:val="%6."/>
      <w:lvlJc w:val="right"/>
      <w:pPr>
        <w:ind w:left="4320" w:hanging="180"/>
      </w:pPr>
    </w:lvl>
    <w:lvl w:ilvl="6" w:tplc="0AC6B446">
      <w:start w:val="1"/>
      <w:numFmt w:val="decimal"/>
      <w:lvlText w:val="%7."/>
      <w:lvlJc w:val="left"/>
      <w:pPr>
        <w:ind w:left="5040" w:hanging="360"/>
      </w:pPr>
    </w:lvl>
    <w:lvl w:ilvl="7" w:tplc="8AAC6B6C">
      <w:start w:val="1"/>
      <w:numFmt w:val="lowerLetter"/>
      <w:lvlText w:val="%8."/>
      <w:lvlJc w:val="left"/>
      <w:pPr>
        <w:ind w:left="5760" w:hanging="360"/>
      </w:pPr>
    </w:lvl>
    <w:lvl w:ilvl="8" w:tplc="80F8203E">
      <w:start w:val="1"/>
      <w:numFmt w:val="lowerRoman"/>
      <w:lvlText w:val="%9."/>
      <w:lvlJc w:val="right"/>
      <w:pPr>
        <w:ind w:left="6480" w:hanging="180"/>
      </w:pPr>
    </w:lvl>
  </w:abstractNum>
  <w:abstractNum w:abstractNumId="10" w15:restartNumberingAfterBreak="0">
    <w:nsid w:val="59601290"/>
    <w:multiLevelType w:val="hybridMultilevel"/>
    <w:tmpl w:val="A0FE96E2"/>
    <w:lvl w:ilvl="0" w:tplc="AA20FA8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E9DC3F"/>
    <w:multiLevelType w:val="hybridMultilevel"/>
    <w:tmpl w:val="74D0ACBC"/>
    <w:lvl w:ilvl="0" w:tplc="54081472">
      <w:start w:val="1"/>
      <w:numFmt w:val="bullet"/>
      <w:lvlText w:val="·"/>
      <w:lvlJc w:val="left"/>
      <w:pPr>
        <w:ind w:left="360" w:hanging="360"/>
      </w:pPr>
      <w:rPr>
        <w:rFonts w:ascii="Symbol" w:hAnsi="Symbol" w:hint="default"/>
      </w:rPr>
    </w:lvl>
    <w:lvl w:ilvl="1" w:tplc="A5B236B0">
      <w:start w:val="1"/>
      <w:numFmt w:val="bullet"/>
      <w:lvlText w:val="o"/>
      <w:lvlJc w:val="left"/>
      <w:pPr>
        <w:ind w:left="1080" w:hanging="360"/>
      </w:pPr>
      <w:rPr>
        <w:rFonts w:ascii="Courier New" w:hAnsi="Courier New" w:hint="default"/>
      </w:rPr>
    </w:lvl>
    <w:lvl w:ilvl="2" w:tplc="79FC4D84">
      <w:start w:val="1"/>
      <w:numFmt w:val="bullet"/>
      <w:lvlText w:val=""/>
      <w:lvlJc w:val="left"/>
      <w:pPr>
        <w:ind w:left="1800" w:hanging="360"/>
      </w:pPr>
      <w:rPr>
        <w:rFonts w:ascii="Wingdings" w:hAnsi="Wingdings" w:hint="default"/>
      </w:rPr>
    </w:lvl>
    <w:lvl w:ilvl="3" w:tplc="45204068">
      <w:start w:val="1"/>
      <w:numFmt w:val="bullet"/>
      <w:lvlText w:val=""/>
      <w:lvlJc w:val="left"/>
      <w:pPr>
        <w:ind w:left="2520" w:hanging="360"/>
      </w:pPr>
      <w:rPr>
        <w:rFonts w:ascii="Symbol" w:hAnsi="Symbol" w:hint="default"/>
      </w:rPr>
    </w:lvl>
    <w:lvl w:ilvl="4" w:tplc="4C409142">
      <w:start w:val="1"/>
      <w:numFmt w:val="bullet"/>
      <w:lvlText w:val="o"/>
      <w:lvlJc w:val="left"/>
      <w:pPr>
        <w:ind w:left="3240" w:hanging="360"/>
      </w:pPr>
      <w:rPr>
        <w:rFonts w:ascii="Courier New" w:hAnsi="Courier New" w:hint="default"/>
      </w:rPr>
    </w:lvl>
    <w:lvl w:ilvl="5" w:tplc="1C9840B8">
      <w:start w:val="1"/>
      <w:numFmt w:val="bullet"/>
      <w:lvlText w:val=""/>
      <w:lvlJc w:val="left"/>
      <w:pPr>
        <w:ind w:left="3960" w:hanging="360"/>
      </w:pPr>
      <w:rPr>
        <w:rFonts w:ascii="Wingdings" w:hAnsi="Wingdings" w:hint="default"/>
      </w:rPr>
    </w:lvl>
    <w:lvl w:ilvl="6" w:tplc="531CA93C">
      <w:start w:val="1"/>
      <w:numFmt w:val="bullet"/>
      <w:lvlText w:val=""/>
      <w:lvlJc w:val="left"/>
      <w:pPr>
        <w:ind w:left="4680" w:hanging="360"/>
      </w:pPr>
      <w:rPr>
        <w:rFonts w:ascii="Symbol" w:hAnsi="Symbol" w:hint="default"/>
      </w:rPr>
    </w:lvl>
    <w:lvl w:ilvl="7" w:tplc="0E4AAEE6">
      <w:start w:val="1"/>
      <w:numFmt w:val="bullet"/>
      <w:lvlText w:val="o"/>
      <w:lvlJc w:val="left"/>
      <w:pPr>
        <w:ind w:left="5400" w:hanging="360"/>
      </w:pPr>
      <w:rPr>
        <w:rFonts w:ascii="Courier New" w:hAnsi="Courier New" w:hint="default"/>
      </w:rPr>
    </w:lvl>
    <w:lvl w:ilvl="8" w:tplc="4196ADBE">
      <w:start w:val="1"/>
      <w:numFmt w:val="bullet"/>
      <w:lvlText w:val=""/>
      <w:lvlJc w:val="left"/>
      <w:pPr>
        <w:ind w:left="6120" w:hanging="360"/>
      </w:pPr>
      <w:rPr>
        <w:rFonts w:ascii="Wingdings" w:hAnsi="Wingdings" w:hint="default"/>
      </w:rPr>
    </w:lvl>
  </w:abstractNum>
  <w:abstractNum w:abstractNumId="12" w15:restartNumberingAfterBreak="0">
    <w:nsid w:val="5CAE4DD6"/>
    <w:multiLevelType w:val="hybridMultilevel"/>
    <w:tmpl w:val="D9BECB5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13" w15:restartNumberingAfterBreak="0">
    <w:nsid w:val="6B2E8A4C"/>
    <w:multiLevelType w:val="hybridMultilevel"/>
    <w:tmpl w:val="8BE093F2"/>
    <w:lvl w:ilvl="0" w:tplc="319A39FC">
      <w:start w:val="1"/>
      <w:numFmt w:val="decimal"/>
      <w:lvlText w:val="%1."/>
      <w:lvlJc w:val="left"/>
      <w:pPr>
        <w:ind w:left="360" w:hanging="360"/>
      </w:pPr>
    </w:lvl>
    <w:lvl w:ilvl="1" w:tplc="F662C7E2">
      <w:start w:val="1"/>
      <w:numFmt w:val="lowerLetter"/>
      <w:lvlText w:val="%2."/>
      <w:lvlJc w:val="left"/>
      <w:pPr>
        <w:ind w:left="1080" w:hanging="360"/>
      </w:pPr>
    </w:lvl>
    <w:lvl w:ilvl="2" w:tplc="AFC8FFF8">
      <w:start w:val="1"/>
      <w:numFmt w:val="lowerRoman"/>
      <w:lvlText w:val="%3."/>
      <w:lvlJc w:val="right"/>
      <w:pPr>
        <w:ind w:left="1800" w:hanging="180"/>
      </w:pPr>
    </w:lvl>
    <w:lvl w:ilvl="3" w:tplc="66BE0200">
      <w:start w:val="1"/>
      <w:numFmt w:val="decimal"/>
      <w:lvlText w:val="%4."/>
      <w:lvlJc w:val="left"/>
      <w:pPr>
        <w:ind w:left="2520" w:hanging="360"/>
      </w:pPr>
    </w:lvl>
    <w:lvl w:ilvl="4" w:tplc="FE046FB4">
      <w:start w:val="1"/>
      <w:numFmt w:val="lowerLetter"/>
      <w:lvlText w:val="%5."/>
      <w:lvlJc w:val="left"/>
      <w:pPr>
        <w:ind w:left="3240" w:hanging="360"/>
      </w:pPr>
    </w:lvl>
    <w:lvl w:ilvl="5" w:tplc="A5F2E5CE">
      <w:start w:val="1"/>
      <w:numFmt w:val="lowerRoman"/>
      <w:lvlText w:val="%6."/>
      <w:lvlJc w:val="right"/>
      <w:pPr>
        <w:ind w:left="3960" w:hanging="180"/>
      </w:pPr>
    </w:lvl>
    <w:lvl w:ilvl="6" w:tplc="BB9AA256">
      <w:start w:val="1"/>
      <w:numFmt w:val="decimal"/>
      <w:lvlText w:val="%7."/>
      <w:lvlJc w:val="left"/>
      <w:pPr>
        <w:ind w:left="4680" w:hanging="360"/>
      </w:pPr>
    </w:lvl>
    <w:lvl w:ilvl="7" w:tplc="424A9B38">
      <w:start w:val="1"/>
      <w:numFmt w:val="lowerLetter"/>
      <w:lvlText w:val="%8."/>
      <w:lvlJc w:val="left"/>
      <w:pPr>
        <w:ind w:left="5400" w:hanging="360"/>
      </w:pPr>
    </w:lvl>
    <w:lvl w:ilvl="8" w:tplc="1C184AC0">
      <w:start w:val="1"/>
      <w:numFmt w:val="lowerRoman"/>
      <w:lvlText w:val="%9."/>
      <w:lvlJc w:val="right"/>
      <w:pPr>
        <w:ind w:left="6120" w:hanging="180"/>
      </w:pPr>
    </w:lvl>
  </w:abstractNum>
  <w:abstractNum w:abstractNumId="14" w15:restartNumberingAfterBreak="0">
    <w:nsid w:val="790C16E0"/>
    <w:multiLevelType w:val="hybridMultilevel"/>
    <w:tmpl w:val="05C00DFE"/>
    <w:lvl w:ilvl="0" w:tplc="067E4DD6">
      <w:start w:val="1"/>
      <w:numFmt w:val="bullet"/>
      <w:lvlText w:val=""/>
      <w:lvlJc w:val="left"/>
      <w:pPr>
        <w:ind w:left="720" w:hanging="360"/>
      </w:pPr>
      <w:rPr>
        <w:rFonts w:ascii="Symbol" w:hAnsi="Symbol" w:hint="default"/>
        <w:sz w:val="22"/>
        <w:szCs w:val="22"/>
      </w:rPr>
    </w:lvl>
    <w:lvl w:ilvl="1" w:tplc="93E41C7C">
      <w:start w:val="1"/>
      <w:numFmt w:val="bullet"/>
      <w:lvlText w:val="o"/>
      <w:lvlJc w:val="left"/>
      <w:pPr>
        <w:ind w:left="1440" w:hanging="360"/>
      </w:pPr>
      <w:rPr>
        <w:rFonts w:ascii="Courier New" w:hAnsi="Courier New" w:hint="default"/>
        <w:color w:val="auto"/>
      </w:rPr>
    </w:lvl>
    <w:lvl w:ilvl="2" w:tplc="92C65432">
      <w:start w:val="1"/>
      <w:numFmt w:val="bullet"/>
      <w:lvlText w:val=""/>
      <w:lvlJc w:val="left"/>
      <w:pPr>
        <w:ind w:left="2160" w:hanging="360"/>
      </w:pPr>
      <w:rPr>
        <w:rFonts w:ascii="Wingdings" w:hAnsi="Wingdings" w:hint="default"/>
      </w:rPr>
    </w:lvl>
    <w:lvl w:ilvl="3" w:tplc="993C015A">
      <w:start w:val="1"/>
      <w:numFmt w:val="bullet"/>
      <w:lvlText w:val=""/>
      <w:lvlJc w:val="left"/>
      <w:pPr>
        <w:ind w:left="2880" w:hanging="360"/>
      </w:pPr>
      <w:rPr>
        <w:rFonts w:ascii="Symbol" w:hAnsi="Symbol" w:hint="default"/>
      </w:rPr>
    </w:lvl>
    <w:lvl w:ilvl="4" w:tplc="55EA6122">
      <w:start w:val="1"/>
      <w:numFmt w:val="bullet"/>
      <w:lvlText w:val="o"/>
      <w:lvlJc w:val="left"/>
      <w:pPr>
        <w:ind w:left="3600" w:hanging="360"/>
      </w:pPr>
      <w:rPr>
        <w:rFonts w:ascii="Courier New" w:hAnsi="Courier New" w:hint="default"/>
      </w:rPr>
    </w:lvl>
    <w:lvl w:ilvl="5" w:tplc="D0446F3E">
      <w:start w:val="1"/>
      <w:numFmt w:val="bullet"/>
      <w:lvlText w:val=""/>
      <w:lvlJc w:val="left"/>
      <w:pPr>
        <w:ind w:left="4320" w:hanging="360"/>
      </w:pPr>
      <w:rPr>
        <w:rFonts w:ascii="Wingdings" w:hAnsi="Wingdings" w:hint="default"/>
      </w:rPr>
    </w:lvl>
    <w:lvl w:ilvl="6" w:tplc="0F06C0CC">
      <w:start w:val="1"/>
      <w:numFmt w:val="bullet"/>
      <w:lvlText w:val=""/>
      <w:lvlJc w:val="left"/>
      <w:pPr>
        <w:ind w:left="5040" w:hanging="360"/>
      </w:pPr>
      <w:rPr>
        <w:rFonts w:ascii="Symbol" w:hAnsi="Symbol" w:hint="default"/>
      </w:rPr>
    </w:lvl>
    <w:lvl w:ilvl="7" w:tplc="CBD65246">
      <w:start w:val="1"/>
      <w:numFmt w:val="bullet"/>
      <w:lvlText w:val="o"/>
      <w:lvlJc w:val="left"/>
      <w:pPr>
        <w:ind w:left="5760" w:hanging="360"/>
      </w:pPr>
      <w:rPr>
        <w:rFonts w:ascii="Courier New" w:hAnsi="Courier New" w:hint="default"/>
      </w:rPr>
    </w:lvl>
    <w:lvl w:ilvl="8" w:tplc="A9AE0560">
      <w:start w:val="1"/>
      <w:numFmt w:val="bullet"/>
      <w:lvlText w:val=""/>
      <w:lvlJc w:val="left"/>
      <w:pPr>
        <w:ind w:left="6480" w:hanging="360"/>
      </w:pPr>
      <w:rPr>
        <w:rFonts w:ascii="Wingdings" w:hAnsi="Wingdings" w:hint="default"/>
      </w:rPr>
    </w:lvl>
  </w:abstractNum>
  <w:abstractNum w:abstractNumId="15" w15:restartNumberingAfterBreak="0">
    <w:nsid w:val="7F925DFC"/>
    <w:multiLevelType w:val="hybridMultilevel"/>
    <w:tmpl w:val="F282F3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60640746">
    <w:abstractNumId w:val="0"/>
  </w:num>
  <w:num w:numId="2" w16cid:durableId="1746998334">
    <w:abstractNumId w:val="6"/>
  </w:num>
  <w:num w:numId="3" w16cid:durableId="440341417">
    <w:abstractNumId w:val="13"/>
  </w:num>
  <w:num w:numId="4" w16cid:durableId="1727412291">
    <w:abstractNumId w:val="8"/>
  </w:num>
  <w:num w:numId="5" w16cid:durableId="1652755568">
    <w:abstractNumId w:val="9"/>
  </w:num>
  <w:num w:numId="6" w16cid:durableId="772751086">
    <w:abstractNumId w:val="11"/>
  </w:num>
  <w:num w:numId="7" w16cid:durableId="1352344316">
    <w:abstractNumId w:val="4"/>
  </w:num>
  <w:num w:numId="8" w16cid:durableId="82654184">
    <w:abstractNumId w:val="1"/>
  </w:num>
  <w:num w:numId="9" w16cid:durableId="592129806">
    <w:abstractNumId w:val="10"/>
  </w:num>
  <w:num w:numId="10" w16cid:durableId="1866020524">
    <w:abstractNumId w:val="12"/>
  </w:num>
  <w:num w:numId="11" w16cid:durableId="425460016">
    <w:abstractNumId w:val="2"/>
  </w:num>
  <w:num w:numId="12" w16cid:durableId="216280206">
    <w:abstractNumId w:val="15"/>
  </w:num>
  <w:num w:numId="13" w16cid:durableId="1571649208">
    <w:abstractNumId w:val="3"/>
  </w:num>
  <w:num w:numId="14" w16cid:durableId="1483236605">
    <w:abstractNumId w:val="5"/>
  </w:num>
  <w:num w:numId="15" w16cid:durableId="731385492">
    <w:abstractNumId w:val="14"/>
  </w:num>
  <w:num w:numId="16" w16cid:durableId="75277620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CF"/>
    <w:rsid w:val="00000154"/>
    <w:rsid w:val="000008E3"/>
    <w:rsid w:val="00000EB6"/>
    <w:rsid w:val="00001253"/>
    <w:rsid w:val="0000135A"/>
    <w:rsid w:val="00001D1E"/>
    <w:rsid w:val="000021A3"/>
    <w:rsid w:val="00002405"/>
    <w:rsid w:val="000025CA"/>
    <w:rsid w:val="00002651"/>
    <w:rsid w:val="000027A5"/>
    <w:rsid w:val="00002C36"/>
    <w:rsid w:val="000030CB"/>
    <w:rsid w:val="000034BE"/>
    <w:rsid w:val="0000388D"/>
    <w:rsid w:val="00003947"/>
    <w:rsid w:val="00003A8E"/>
    <w:rsid w:val="00004D64"/>
    <w:rsid w:val="000051E8"/>
    <w:rsid w:val="00005372"/>
    <w:rsid w:val="00005788"/>
    <w:rsid w:val="00005F04"/>
    <w:rsid w:val="000066C9"/>
    <w:rsid w:val="000068E6"/>
    <w:rsid w:val="00006BDA"/>
    <w:rsid w:val="00010615"/>
    <w:rsid w:val="00010A74"/>
    <w:rsid w:val="00011567"/>
    <w:rsid w:val="000117F9"/>
    <w:rsid w:val="00011899"/>
    <w:rsid w:val="00012609"/>
    <w:rsid w:val="00012AC0"/>
    <w:rsid w:val="00012EB1"/>
    <w:rsid w:val="00013C7A"/>
    <w:rsid w:val="00013E1F"/>
    <w:rsid w:val="000140AA"/>
    <w:rsid w:val="000144D9"/>
    <w:rsid w:val="000153E8"/>
    <w:rsid w:val="00015437"/>
    <w:rsid w:val="000155A7"/>
    <w:rsid w:val="00015A91"/>
    <w:rsid w:val="00015E93"/>
    <w:rsid w:val="00016137"/>
    <w:rsid w:val="000163EC"/>
    <w:rsid w:val="00016533"/>
    <w:rsid w:val="00016693"/>
    <w:rsid w:val="0001674D"/>
    <w:rsid w:val="00016A1D"/>
    <w:rsid w:val="00016BFE"/>
    <w:rsid w:val="00017A90"/>
    <w:rsid w:val="00017B49"/>
    <w:rsid w:val="000200EB"/>
    <w:rsid w:val="000209BF"/>
    <w:rsid w:val="00020BCE"/>
    <w:rsid w:val="00020CF8"/>
    <w:rsid w:val="00020FA0"/>
    <w:rsid w:val="0002130C"/>
    <w:rsid w:val="00021BAD"/>
    <w:rsid w:val="00021D7F"/>
    <w:rsid w:val="000229C0"/>
    <w:rsid w:val="00022BD6"/>
    <w:rsid w:val="00022CD7"/>
    <w:rsid w:val="000232E9"/>
    <w:rsid w:val="00023375"/>
    <w:rsid w:val="00023BE0"/>
    <w:rsid w:val="0002405E"/>
    <w:rsid w:val="00024BE3"/>
    <w:rsid w:val="000251C7"/>
    <w:rsid w:val="0002544C"/>
    <w:rsid w:val="000254A1"/>
    <w:rsid w:val="000256B0"/>
    <w:rsid w:val="000256F1"/>
    <w:rsid w:val="00026CB1"/>
    <w:rsid w:val="00027280"/>
    <w:rsid w:val="0002777C"/>
    <w:rsid w:val="000278F2"/>
    <w:rsid w:val="0002795A"/>
    <w:rsid w:val="0003098B"/>
    <w:rsid w:val="00032743"/>
    <w:rsid w:val="0003324C"/>
    <w:rsid w:val="00033728"/>
    <w:rsid w:val="00033798"/>
    <w:rsid w:val="00033BA7"/>
    <w:rsid w:val="00033BB0"/>
    <w:rsid w:val="00034805"/>
    <w:rsid w:val="0003511C"/>
    <w:rsid w:val="00035280"/>
    <w:rsid w:val="000356F1"/>
    <w:rsid w:val="00035E7D"/>
    <w:rsid w:val="00035ED5"/>
    <w:rsid w:val="00037671"/>
    <w:rsid w:val="00037C95"/>
    <w:rsid w:val="000406E0"/>
    <w:rsid w:val="00040942"/>
    <w:rsid w:val="00040B31"/>
    <w:rsid w:val="00040E18"/>
    <w:rsid w:val="00041684"/>
    <w:rsid w:val="000422D1"/>
    <w:rsid w:val="00042A8C"/>
    <w:rsid w:val="000435B9"/>
    <w:rsid w:val="00043EAD"/>
    <w:rsid w:val="00044160"/>
    <w:rsid w:val="00044363"/>
    <w:rsid w:val="0004480B"/>
    <w:rsid w:val="00044E79"/>
    <w:rsid w:val="000451F8"/>
    <w:rsid w:val="0004527C"/>
    <w:rsid w:val="00045750"/>
    <w:rsid w:val="00045846"/>
    <w:rsid w:val="0004594B"/>
    <w:rsid w:val="00046384"/>
    <w:rsid w:val="0004667D"/>
    <w:rsid w:val="00046943"/>
    <w:rsid w:val="00046F3D"/>
    <w:rsid w:val="00047587"/>
    <w:rsid w:val="00047B82"/>
    <w:rsid w:val="00047DE4"/>
    <w:rsid w:val="000505EC"/>
    <w:rsid w:val="00050A54"/>
    <w:rsid w:val="000516CE"/>
    <w:rsid w:val="00051CF7"/>
    <w:rsid w:val="00052A70"/>
    <w:rsid w:val="000534BC"/>
    <w:rsid w:val="00053B44"/>
    <w:rsid w:val="00054E4A"/>
    <w:rsid w:val="00054ED1"/>
    <w:rsid w:val="00054F98"/>
    <w:rsid w:val="00055261"/>
    <w:rsid w:val="0005594B"/>
    <w:rsid w:val="00055F4B"/>
    <w:rsid w:val="00056201"/>
    <w:rsid w:val="00056509"/>
    <w:rsid w:val="00056AE2"/>
    <w:rsid w:val="00056E89"/>
    <w:rsid w:val="00057538"/>
    <w:rsid w:val="00057EDC"/>
    <w:rsid w:val="00060623"/>
    <w:rsid w:val="00060794"/>
    <w:rsid w:val="000607C1"/>
    <w:rsid w:val="00060A72"/>
    <w:rsid w:val="00060BE1"/>
    <w:rsid w:val="00060CFE"/>
    <w:rsid w:val="00060D2C"/>
    <w:rsid w:val="00061126"/>
    <w:rsid w:val="000614A6"/>
    <w:rsid w:val="00061EF6"/>
    <w:rsid w:val="0006251F"/>
    <w:rsid w:val="00063071"/>
    <w:rsid w:val="00065459"/>
    <w:rsid w:val="0006548D"/>
    <w:rsid w:val="00066214"/>
    <w:rsid w:val="0006656B"/>
    <w:rsid w:val="00066714"/>
    <w:rsid w:val="00067643"/>
    <w:rsid w:val="000677DE"/>
    <w:rsid w:val="0006781E"/>
    <w:rsid w:val="00067B34"/>
    <w:rsid w:val="00067C98"/>
    <w:rsid w:val="000709BD"/>
    <w:rsid w:val="000710B6"/>
    <w:rsid w:val="0007125A"/>
    <w:rsid w:val="000718BB"/>
    <w:rsid w:val="00071CF7"/>
    <w:rsid w:val="00071FA1"/>
    <w:rsid w:val="0007204F"/>
    <w:rsid w:val="000728DA"/>
    <w:rsid w:val="00072A1C"/>
    <w:rsid w:val="00073D25"/>
    <w:rsid w:val="00074051"/>
    <w:rsid w:val="00074242"/>
    <w:rsid w:val="00074258"/>
    <w:rsid w:val="000745C7"/>
    <w:rsid w:val="00074D26"/>
    <w:rsid w:val="00075260"/>
    <w:rsid w:val="0007589D"/>
    <w:rsid w:val="00075E1E"/>
    <w:rsid w:val="00076598"/>
    <w:rsid w:val="000770B2"/>
    <w:rsid w:val="0007731D"/>
    <w:rsid w:val="00077693"/>
    <w:rsid w:val="000776F5"/>
    <w:rsid w:val="00077E65"/>
    <w:rsid w:val="00077F7A"/>
    <w:rsid w:val="000801FE"/>
    <w:rsid w:val="0008079B"/>
    <w:rsid w:val="00080E26"/>
    <w:rsid w:val="000818BC"/>
    <w:rsid w:val="00081AE5"/>
    <w:rsid w:val="00081B6B"/>
    <w:rsid w:val="00081CF2"/>
    <w:rsid w:val="00082D71"/>
    <w:rsid w:val="00082E3D"/>
    <w:rsid w:val="000840AC"/>
    <w:rsid w:val="000841F9"/>
    <w:rsid w:val="000848A5"/>
    <w:rsid w:val="00084C77"/>
    <w:rsid w:val="00085169"/>
    <w:rsid w:val="000859BE"/>
    <w:rsid w:val="00085A59"/>
    <w:rsid w:val="00086036"/>
    <w:rsid w:val="00086111"/>
    <w:rsid w:val="00086783"/>
    <w:rsid w:val="0008687C"/>
    <w:rsid w:val="0008788E"/>
    <w:rsid w:val="00087A75"/>
    <w:rsid w:val="000902CC"/>
    <w:rsid w:val="00090495"/>
    <w:rsid w:val="000907A3"/>
    <w:rsid w:val="000913E7"/>
    <w:rsid w:val="00091ADA"/>
    <w:rsid w:val="00091D48"/>
    <w:rsid w:val="00092B1D"/>
    <w:rsid w:val="00092BD5"/>
    <w:rsid w:val="000936A5"/>
    <w:rsid w:val="000937F9"/>
    <w:rsid w:val="00093D06"/>
    <w:rsid w:val="000941B4"/>
    <w:rsid w:val="00094628"/>
    <w:rsid w:val="00096D33"/>
    <w:rsid w:val="00097AE1"/>
    <w:rsid w:val="00097B03"/>
    <w:rsid w:val="00097FE2"/>
    <w:rsid w:val="000A01D2"/>
    <w:rsid w:val="000A0417"/>
    <w:rsid w:val="000A105C"/>
    <w:rsid w:val="000A14D2"/>
    <w:rsid w:val="000A1C38"/>
    <w:rsid w:val="000A1D76"/>
    <w:rsid w:val="000A1D87"/>
    <w:rsid w:val="000A23A9"/>
    <w:rsid w:val="000A3108"/>
    <w:rsid w:val="000A38C3"/>
    <w:rsid w:val="000A420F"/>
    <w:rsid w:val="000A433D"/>
    <w:rsid w:val="000A466F"/>
    <w:rsid w:val="000A497B"/>
    <w:rsid w:val="000A54FA"/>
    <w:rsid w:val="000A608B"/>
    <w:rsid w:val="000A667C"/>
    <w:rsid w:val="000A686B"/>
    <w:rsid w:val="000A6A0F"/>
    <w:rsid w:val="000A6BA1"/>
    <w:rsid w:val="000A76D3"/>
    <w:rsid w:val="000B0661"/>
    <w:rsid w:val="000B0869"/>
    <w:rsid w:val="000B1572"/>
    <w:rsid w:val="000B40E8"/>
    <w:rsid w:val="000B496A"/>
    <w:rsid w:val="000B4BE9"/>
    <w:rsid w:val="000B4C2E"/>
    <w:rsid w:val="000B51FE"/>
    <w:rsid w:val="000B5922"/>
    <w:rsid w:val="000B5F31"/>
    <w:rsid w:val="000B6163"/>
    <w:rsid w:val="000B61A8"/>
    <w:rsid w:val="000B6275"/>
    <w:rsid w:val="000B6767"/>
    <w:rsid w:val="000B69CB"/>
    <w:rsid w:val="000B6E32"/>
    <w:rsid w:val="000B74B3"/>
    <w:rsid w:val="000B7751"/>
    <w:rsid w:val="000B7E0C"/>
    <w:rsid w:val="000B7F91"/>
    <w:rsid w:val="000C1153"/>
    <w:rsid w:val="000C1AEE"/>
    <w:rsid w:val="000C1E5E"/>
    <w:rsid w:val="000C21FC"/>
    <w:rsid w:val="000C2B73"/>
    <w:rsid w:val="000C2ED6"/>
    <w:rsid w:val="000C2EFF"/>
    <w:rsid w:val="000C2F97"/>
    <w:rsid w:val="000C30BC"/>
    <w:rsid w:val="000C37BC"/>
    <w:rsid w:val="000C38E8"/>
    <w:rsid w:val="000C3D01"/>
    <w:rsid w:val="000C4148"/>
    <w:rsid w:val="000C4593"/>
    <w:rsid w:val="000C4668"/>
    <w:rsid w:val="000C4C6B"/>
    <w:rsid w:val="000C4FD0"/>
    <w:rsid w:val="000C519E"/>
    <w:rsid w:val="000C520D"/>
    <w:rsid w:val="000C66C9"/>
    <w:rsid w:val="000C6B91"/>
    <w:rsid w:val="000C6C6E"/>
    <w:rsid w:val="000C7C63"/>
    <w:rsid w:val="000C7CBA"/>
    <w:rsid w:val="000C7EEA"/>
    <w:rsid w:val="000D0504"/>
    <w:rsid w:val="000D064C"/>
    <w:rsid w:val="000D0A57"/>
    <w:rsid w:val="000D16DA"/>
    <w:rsid w:val="000D1C98"/>
    <w:rsid w:val="000D2A58"/>
    <w:rsid w:val="000D3266"/>
    <w:rsid w:val="000D4C1A"/>
    <w:rsid w:val="000D527C"/>
    <w:rsid w:val="000D5691"/>
    <w:rsid w:val="000D5C7A"/>
    <w:rsid w:val="000D5D65"/>
    <w:rsid w:val="000D671A"/>
    <w:rsid w:val="000D6FE0"/>
    <w:rsid w:val="000D7342"/>
    <w:rsid w:val="000D7B31"/>
    <w:rsid w:val="000E008F"/>
    <w:rsid w:val="000E090F"/>
    <w:rsid w:val="000E0C21"/>
    <w:rsid w:val="000E1692"/>
    <w:rsid w:val="000E1840"/>
    <w:rsid w:val="000E1A5D"/>
    <w:rsid w:val="000E1B03"/>
    <w:rsid w:val="000E1E90"/>
    <w:rsid w:val="000E2405"/>
    <w:rsid w:val="000E26A4"/>
    <w:rsid w:val="000E2B01"/>
    <w:rsid w:val="000E3389"/>
    <w:rsid w:val="000E3783"/>
    <w:rsid w:val="000E378D"/>
    <w:rsid w:val="000E3AB7"/>
    <w:rsid w:val="000E4575"/>
    <w:rsid w:val="000E46E8"/>
    <w:rsid w:val="000E4ADE"/>
    <w:rsid w:val="000E4BBB"/>
    <w:rsid w:val="000E4E96"/>
    <w:rsid w:val="000E50A6"/>
    <w:rsid w:val="000E529F"/>
    <w:rsid w:val="000E57BC"/>
    <w:rsid w:val="000E6D9F"/>
    <w:rsid w:val="000E71DC"/>
    <w:rsid w:val="000E759D"/>
    <w:rsid w:val="000E7CEF"/>
    <w:rsid w:val="000F0421"/>
    <w:rsid w:val="000F0A7E"/>
    <w:rsid w:val="000F0C4E"/>
    <w:rsid w:val="000F1488"/>
    <w:rsid w:val="000F156A"/>
    <w:rsid w:val="000F1EF9"/>
    <w:rsid w:val="000F21D7"/>
    <w:rsid w:val="000F23FD"/>
    <w:rsid w:val="000F27F5"/>
    <w:rsid w:val="000F27FF"/>
    <w:rsid w:val="000F38DA"/>
    <w:rsid w:val="000F3ADE"/>
    <w:rsid w:val="000F3EA8"/>
    <w:rsid w:val="000F4074"/>
    <w:rsid w:val="000F455D"/>
    <w:rsid w:val="000F4F03"/>
    <w:rsid w:val="000F55BE"/>
    <w:rsid w:val="000F5726"/>
    <w:rsid w:val="000F5ADB"/>
    <w:rsid w:val="000F69F0"/>
    <w:rsid w:val="000F6C98"/>
    <w:rsid w:val="000F7132"/>
    <w:rsid w:val="000F721C"/>
    <w:rsid w:val="000F732F"/>
    <w:rsid w:val="000F745F"/>
    <w:rsid w:val="000F75F2"/>
    <w:rsid w:val="000F7A78"/>
    <w:rsid w:val="0010054E"/>
    <w:rsid w:val="00100AA6"/>
    <w:rsid w:val="00100B2A"/>
    <w:rsid w:val="00100F16"/>
    <w:rsid w:val="0010115C"/>
    <w:rsid w:val="0010132D"/>
    <w:rsid w:val="00101714"/>
    <w:rsid w:val="00101DD6"/>
    <w:rsid w:val="001021DB"/>
    <w:rsid w:val="001022D7"/>
    <w:rsid w:val="001025D1"/>
    <w:rsid w:val="00102F1B"/>
    <w:rsid w:val="0010313D"/>
    <w:rsid w:val="00103AC6"/>
    <w:rsid w:val="00104516"/>
    <w:rsid w:val="001045A2"/>
    <w:rsid w:val="00104D7E"/>
    <w:rsid w:val="00105347"/>
    <w:rsid w:val="001053FB"/>
    <w:rsid w:val="00105736"/>
    <w:rsid w:val="001057EA"/>
    <w:rsid w:val="0010590C"/>
    <w:rsid w:val="00105A8A"/>
    <w:rsid w:val="00107C5E"/>
    <w:rsid w:val="00107D4B"/>
    <w:rsid w:val="00107F89"/>
    <w:rsid w:val="00110066"/>
    <w:rsid w:val="00110E1C"/>
    <w:rsid w:val="00110EBC"/>
    <w:rsid w:val="00110FA9"/>
    <w:rsid w:val="00111247"/>
    <w:rsid w:val="00111637"/>
    <w:rsid w:val="00111D5E"/>
    <w:rsid w:val="00111FD1"/>
    <w:rsid w:val="00112B0B"/>
    <w:rsid w:val="0011300C"/>
    <w:rsid w:val="001131A9"/>
    <w:rsid w:val="00113352"/>
    <w:rsid w:val="00114095"/>
    <w:rsid w:val="0011413A"/>
    <w:rsid w:val="00114866"/>
    <w:rsid w:val="00114F3C"/>
    <w:rsid w:val="001155B1"/>
    <w:rsid w:val="00115EB4"/>
    <w:rsid w:val="00116064"/>
    <w:rsid w:val="0011631A"/>
    <w:rsid w:val="001164F7"/>
    <w:rsid w:val="00116C1F"/>
    <w:rsid w:val="00116CFD"/>
    <w:rsid w:val="00116E9B"/>
    <w:rsid w:val="001173B3"/>
    <w:rsid w:val="0011784F"/>
    <w:rsid w:val="00120130"/>
    <w:rsid w:val="0012013E"/>
    <w:rsid w:val="001206FC"/>
    <w:rsid w:val="00120B5E"/>
    <w:rsid w:val="00120D31"/>
    <w:rsid w:val="00120DCD"/>
    <w:rsid w:val="00121E11"/>
    <w:rsid w:val="00121EBE"/>
    <w:rsid w:val="001223E6"/>
    <w:rsid w:val="00122C13"/>
    <w:rsid w:val="00122F99"/>
    <w:rsid w:val="0012307F"/>
    <w:rsid w:val="00123A89"/>
    <w:rsid w:val="00123C0A"/>
    <w:rsid w:val="0012455C"/>
    <w:rsid w:val="00124697"/>
    <w:rsid w:val="00124891"/>
    <w:rsid w:val="00125714"/>
    <w:rsid w:val="001259B0"/>
    <w:rsid w:val="001259F1"/>
    <w:rsid w:val="00125F16"/>
    <w:rsid w:val="00126021"/>
    <w:rsid w:val="001260D3"/>
    <w:rsid w:val="00126A6C"/>
    <w:rsid w:val="00127A4A"/>
    <w:rsid w:val="00127B32"/>
    <w:rsid w:val="00127BF8"/>
    <w:rsid w:val="00130433"/>
    <w:rsid w:val="00130491"/>
    <w:rsid w:val="0013056E"/>
    <w:rsid w:val="001305C0"/>
    <w:rsid w:val="00130885"/>
    <w:rsid w:val="00130FB0"/>
    <w:rsid w:val="00130FB1"/>
    <w:rsid w:val="00130FBE"/>
    <w:rsid w:val="001313CC"/>
    <w:rsid w:val="00131D11"/>
    <w:rsid w:val="001333C5"/>
    <w:rsid w:val="0013372E"/>
    <w:rsid w:val="00134124"/>
    <w:rsid w:val="0013535D"/>
    <w:rsid w:val="00135BD2"/>
    <w:rsid w:val="0013612B"/>
    <w:rsid w:val="00136A6C"/>
    <w:rsid w:val="00136FA6"/>
    <w:rsid w:val="0013719E"/>
    <w:rsid w:val="0013760E"/>
    <w:rsid w:val="00137685"/>
    <w:rsid w:val="00137CAF"/>
    <w:rsid w:val="001401E8"/>
    <w:rsid w:val="00140576"/>
    <w:rsid w:val="001418EC"/>
    <w:rsid w:val="00141BF7"/>
    <w:rsid w:val="00141CD4"/>
    <w:rsid w:val="00141FFF"/>
    <w:rsid w:val="00142384"/>
    <w:rsid w:val="0014274E"/>
    <w:rsid w:val="00142A03"/>
    <w:rsid w:val="00142BB6"/>
    <w:rsid w:val="00142DFA"/>
    <w:rsid w:val="001431AE"/>
    <w:rsid w:val="001431ED"/>
    <w:rsid w:val="00143313"/>
    <w:rsid w:val="00143E56"/>
    <w:rsid w:val="00144F2B"/>
    <w:rsid w:val="00144FCB"/>
    <w:rsid w:val="0014580C"/>
    <w:rsid w:val="0014599A"/>
    <w:rsid w:val="00146222"/>
    <w:rsid w:val="0014673F"/>
    <w:rsid w:val="00146D02"/>
    <w:rsid w:val="00146EF2"/>
    <w:rsid w:val="00147259"/>
    <w:rsid w:val="00147A64"/>
    <w:rsid w:val="00150494"/>
    <w:rsid w:val="00150501"/>
    <w:rsid w:val="001506C9"/>
    <w:rsid w:val="0015075B"/>
    <w:rsid w:val="00150804"/>
    <w:rsid w:val="00150A8D"/>
    <w:rsid w:val="00150ED5"/>
    <w:rsid w:val="00151C7A"/>
    <w:rsid w:val="001527FD"/>
    <w:rsid w:val="00153442"/>
    <w:rsid w:val="00154A00"/>
    <w:rsid w:val="00155535"/>
    <w:rsid w:val="001556A2"/>
    <w:rsid w:val="00155EE8"/>
    <w:rsid w:val="00156694"/>
    <w:rsid w:val="00156B7A"/>
    <w:rsid w:val="00157436"/>
    <w:rsid w:val="001574F0"/>
    <w:rsid w:val="00157B16"/>
    <w:rsid w:val="00157BA7"/>
    <w:rsid w:val="00160392"/>
    <w:rsid w:val="001607AD"/>
    <w:rsid w:val="00160C9B"/>
    <w:rsid w:val="00162605"/>
    <w:rsid w:val="0016261B"/>
    <w:rsid w:val="00162901"/>
    <w:rsid w:val="00163D17"/>
    <w:rsid w:val="00163FE6"/>
    <w:rsid w:val="0016430F"/>
    <w:rsid w:val="00164505"/>
    <w:rsid w:val="001647AC"/>
    <w:rsid w:val="00164953"/>
    <w:rsid w:val="001649E4"/>
    <w:rsid w:val="00164A59"/>
    <w:rsid w:val="00165151"/>
    <w:rsid w:val="00165535"/>
    <w:rsid w:val="00165796"/>
    <w:rsid w:val="00165D9E"/>
    <w:rsid w:val="00166536"/>
    <w:rsid w:val="0016685E"/>
    <w:rsid w:val="0016689B"/>
    <w:rsid w:val="00166DD5"/>
    <w:rsid w:val="001670B6"/>
    <w:rsid w:val="0016734B"/>
    <w:rsid w:val="00167475"/>
    <w:rsid w:val="001677B6"/>
    <w:rsid w:val="001679DE"/>
    <w:rsid w:val="00167C53"/>
    <w:rsid w:val="00167CE7"/>
    <w:rsid w:val="0017091D"/>
    <w:rsid w:val="00171726"/>
    <w:rsid w:val="00171C99"/>
    <w:rsid w:val="001736AD"/>
    <w:rsid w:val="00173BA0"/>
    <w:rsid w:val="001744DC"/>
    <w:rsid w:val="001748A3"/>
    <w:rsid w:val="00174F5B"/>
    <w:rsid w:val="00175C5E"/>
    <w:rsid w:val="00175C87"/>
    <w:rsid w:val="00175D53"/>
    <w:rsid w:val="001760F6"/>
    <w:rsid w:val="00176383"/>
    <w:rsid w:val="00176607"/>
    <w:rsid w:val="00176B7E"/>
    <w:rsid w:val="00176C5A"/>
    <w:rsid w:val="00177798"/>
    <w:rsid w:val="001779B6"/>
    <w:rsid w:val="001802D9"/>
    <w:rsid w:val="001807DC"/>
    <w:rsid w:val="001808E7"/>
    <w:rsid w:val="00180E19"/>
    <w:rsid w:val="00180E1F"/>
    <w:rsid w:val="0018150D"/>
    <w:rsid w:val="0018175F"/>
    <w:rsid w:val="00181DAB"/>
    <w:rsid w:val="001823C5"/>
    <w:rsid w:val="001824EC"/>
    <w:rsid w:val="00183C89"/>
    <w:rsid w:val="001842CC"/>
    <w:rsid w:val="00184367"/>
    <w:rsid w:val="001846E6"/>
    <w:rsid w:val="00184874"/>
    <w:rsid w:val="001849FA"/>
    <w:rsid w:val="00186B2E"/>
    <w:rsid w:val="00186DB1"/>
    <w:rsid w:val="001871EA"/>
    <w:rsid w:val="00190AF4"/>
    <w:rsid w:val="00190D84"/>
    <w:rsid w:val="00190E10"/>
    <w:rsid w:val="0019112C"/>
    <w:rsid w:val="00191815"/>
    <w:rsid w:val="001918C4"/>
    <w:rsid w:val="00191CE8"/>
    <w:rsid w:val="00191D0E"/>
    <w:rsid w:val="00192158"/>
    <w:rsid w:val="00193427"/>
    <w:rsid w:val="001937CF"/>
    <w:rsid w:val="001938C4"/>
    <w:rsid w:val="00194483"/>
    <w:rsid w:val="001949D3"/>
    <w:rsid w:val="00194E21"/>
    <w:rsid w:val="001952F2"/>
    <w:rsid w:val="0019648A"/>
    <w:rsid w:val="001964CD"/>
    <w:rsid w:val="00197173"/>
    <w:rsid w:val="001A0A32"/>
    <w:rsid w:val="001A0C71"/>
    <w:rsid w:val="001A12B3"/>
    <w:rsid w:val="001A147D"/>
    <w:rsid w:val="001A1986"/>
    <w:rsid w:val="001A1B60"/>
    <w:rsid w:val="001A1E77"/>
    <w:rsid w:val="001A2537"/>
    <w:rsid w:val="001A25E9"/>
    <w:rsid w:val="001A276A"/>
    <w:rsid w:val="001A2B3C"/>
    <w:rsid w:val="001A3456"/>
    <w:rsid w:val="001A35D1"/>
    <w:rsid w:val="001A491D"/>
    <w:rsid w:val="001A4988"/>
    <w:rsid w:val="001A4DC1"/>
    <w:rsid w:val="001A5093"/>
    <w:rsid w:val="001A56A0"/>
    <w:rsid w:val="001A5A9B"/>
    <w:rsid w:val="001A5AB6"/>
    <w:rsid w:val="001A5DE8"/>
    <w:rsid w:val="001A7456"/>
    <w:rsid w:val="001A7816"/>
    <w:rsid w:val="001B033B"/>
    <w:rsid w:val="001B06C3"/>
    <w:rsid w:val="001B0D19"/>
    <w:rsid w:val="001B1090"/>
    <w:rsid w:val="001B2518"/>
    <w:rsid w:val="001B25C3"/>
    <w:rsid w:val="001B35CE"/>
    <w:rsid w:val="001B3D4C"/>
    <w:rsid w:val="001B4636"/>
    <w:rsid w:val="001B48C5"/>
    <w:rsid w:val="001B49F7"/>
    <w:rsid w:val="001B5339"/>
    <w:rsid w:val="001B55B6"/>
    <w:rsid w:val="001B569E"/>
    <w:rsid w:val="001B5799"/>
    <w:rsid w:val="001B6434"/>
    <w:rsid w:val="001B649F"/>
    <w:rsid w:val="001B6B61"/>
    <w:rsid w:val="001B6D51"/>
    <w:rsid w:val="001B6DB5"/>
    <w:rsid w:val="001B70DF"/>
    <w:rsid w:val="001B72CE"/>
    <w:rsid w:val="001B74AC"/>
    <w:rsid w:val="001B7B31"/>
    <w:rsid w:val="001B7DA2"/>
    <w:rsid w:val="001BEC8C"/>
    <w:rsid w:val="001C0494"/>
    <w:rsid w:val="001C0A9A"/>
    <w:rsid w:val="001C0BE9"/>
    <w:rsid w:val="001C0CF5"/>
    <w:rsid w:val="001C1708"/>
    <w:rsid w:val="001C1F4E"/>
    <w:rsid w:val="001C203D"/>
    <w:rsid w:val="001C2996"/>
    <w:rsid w:val="001C29F5"/>
    <w:rsid w:val="001C2E93"/>
    <w:rsid w:val="001C3C3E"/>
    <w:rsid w:val="001C414C"/>
    <w:rsid w:val="001C43CF"/>
    <w:rsid w:val="001C4628"/>
    <w:rsid w:val="001C58A1"/>
    <w:rsid w:val="001C5AA6"/>
    <w:rsid w:val="001C5C1B"/>
    <w:rsid w:val="001C5CFA"/>
    <w:rsid w:val="001C5D61"/>
    <w:rsid w:val="001C6075"/>
    <w:rsid w:val="001C635C"/>
    <w:rsid w:val="001C6B72"/>
    <w:rsid w:val="001C6D47"/>
    <w:rsid w:val="001C7492"/>
    <w:rsid w:val="001C7E22"/>
    <w:rsid w:val="001D0575"/>
    <w:rsid w:val="001D0747"/>
    <w:rsid w:val="001D0772"/>
    <w:rsid w:val="001D163E"/>
    <w:rsid w:val="001D1A9A"/>
    <w:rsid w:val="001D1C8B"/>
    <w:rsid w:val="001D252E"/>
    <w:rsid w:val="001D3361"/>
    <w:rsid w:val="001D3D21"/>
    <w:rsid w:val="001D3E30"/>
    <w:rsid w:val="001D5325"/>
    <w:rsid w:val="001D54F9"/>
    <w:rsid w:val="001D566D"/>
    <w:rsid w:val="001D5AD6"/>
    <w:rsid w:val="001D5D30"/>
    <w:rsid w:val="001D5F14"/>
    <w:rsid w:val="001D6242"/>
    <w:rsid w:val="001D6C76"/>
    <w:rsid w:val="001D6EAC"/>
    <w:rsid w:val="001D6F65"/>
    <w:rsid w:val="001D703A"/>
    <w:rsid w:val="001D71A3"/>
    <w:rsid w:val="001D733B"/>
    <w:rsid w:val="001D7676"/>
    <w:rsid w:val="001D7E0B"/>
    <w:rsid w:val="001E0775"/>
    <w:rsid w:val="001E091C"/>
    <w:rsid w:val="001E0B94"/>
    <w:rsid w:val="001E186D"/>
    <w:rsid w:val="001E2293"/>
    <w:rsid w:val="001E2E87"/>
    <w:rsid w:val="001E3861"/>
    <w:rsid w:val="001E402B"/>
    <w:rsid w:val="001E475F"/>
    <w:rsid w:val="001E48A0"/>
    <w:rsid w:val="001E4BA5"/>
    <w:rsid w:val="001E5451"/>
    <w:rsid w:val="001E5CCC"/>
    <w:rsid w:val="001E62EF"/>
    <w:rsid w:val="001E6322"/>
    <w:rsid w:val="001E6506"/>
    <w:rsid w:val="001E68A2"/>
    <w:rsid w:val="001E6E51"/>
    <w:rsid w:val="001E75EE"/>
    <w:rsid w:val="001E7A33"/>
    <w:rsid w:val="001E7AB9"/>
    <w:rsid w:val="001F0267"/>
    <w:rsid w:val="001F0D03"/>
    <w:rsid w:val="001F0EAE"/>
    <w:rsid w:val="001F10A9"/>
    <w:rsid w:val="001F1102"/>
    <w:rsid w:val="001F133A"/>
    <w:rsid w:val="001F1714"/>
    <w:rsid w:val="001F1BDF"/>
    <w:rsid w:val="001F1D82"/>
    <w:rsid w:val="001F1DDF"/>
    <w:rsid w:val="001F29C1"/>
    <w:rsid w:val="001F2F3C"/>
    <w:rsid w:val="001F30F8"/>
    <w:rsid w:val="001F3406"/>
    <w:rsid w:val="001F3852"/>
    <w:rsid w:val="001F3BEC"/>
    <w:rsid w:val="001F3EE1"/>
    <w:rsid w:val="001F42D5"/>
    <w:rsid w:val="001F43AF"/>
    <w:rsid w:val="001F47E7"/>
    <w:rsid w:val="001F4E7E"/>
    <w:rsid w:val="001F4F42"/>
    <w:rsid w:val="001F50C9"/>
    <w:rsid w:val="001F5179"/>
    <w:rsid w:val="001F64D1"/>
    <w:rsid w:val="001F69E3"/>
    <w:rsid w:val="001F7194"/>
    <w:rsid w:val="001F7B39"/>
    <w:rsid w:val="0020059D"/>
    <w:rsid w:val="00200804"/>
    <w:rsid w:val="0020083B"/>
    <w:rsid w:val="002009A6"/>
    <w:rsid w:val="00200BAB"/>
    <w:rsid w:val="00200F86"/>
    <w:rsid w:val="00201A2F"/>
    <w:rsid w:val="00203F38"/>
    <w:rsid w:val="00203FB2"/>
    <w:rsid w:val="00204032"/>
    <w:rsid w:val="00204196"/>
    <w:rsid w:val="002047A2"/>
    <w:rsid w:val="00204CF3"/>
    <w:rsid w:val="00205291"/>
    <w:rsid w:val="00205E8F"/>
    <w:rsid w:val="00206D74"/>
    <w:rsid w:val="00206ED4"/>
    <w:rsid w:val="002078F2"/>
    <w:rsid w:val="00207B0C"/>
    <w:rsid w:val="00207CD9"/>
    <w:rsid w:val="002107F1"/>
    <w:rsid w:val="00210FE2"/>
    <w:rsid w:val="00210FE9"/>
    <w:rsid w:val="002113A0"/>
    <w:rsid w:val="002129B8"/>
    <w:rsid w:val="00212EC3"/>
    <w:rsid w:val="00213A34"/>
    <w:rsid w:val="002145DC"/>
    <w:rsid w:val="00214C53"/>
    <w:rsid w:val="00215763"/>
    <w:rsid w:val="0021593A"/>
    <w:rsid w:val="00215EAA"/>
    <w:rsid w:val="00215F0A"/>
    <w:rsid w:val="002168FD"/>
    <w:rsid w:val="00216904"/>
    <w:rsid w:val="00216AED"/>
    <w:rsid w:val="00216BD2"/>
    <w:rsid w:val="0021700D"/>
    <w:rsid w:val="002174CE"/>
    <w:rsid w:val="00220395"/>
    <w:rsid w:val="002207FF"/>
    <w:rsid w:val="002208DB"/>
    <w:rsid w:val="00221453"/>
    <w:rsid w:val="0022154E"/>
    <w:rsid w:val="00221F40"/>
    <w:rsid w:val="00222566"/>
    <w:rsid w:val="0022301A"/>
    <w:rsid w:val="00223031"/>
    <w:rsid w:val="00223690"/>
    <w:rsid w:val="0022397C"/>
    <w:rsid w:val="00223AAF"/>
    <w:rsid w:val="00224312"/>
    <w:rsid w:val="0022449C"/>
    <w:rsid w:val="00224787"/>
    <w:rsid w:val="00224EB3"/>
    <w:rsid w:val="002260C1"/>
    <w:rsid w:val="0022629A"/>
    <w:rsid w:val="00226409"/>
    <w:rsid w:val="00226667"/>
    <w:rsid w:val="0022666D"/>
    <w:rsid w:val="00226E7A"/>
    <w:rsid w:val="00227210"/>
    <w:rsid w:val="002279C4"/>
    <w:rsid w:val="00227A2D"/>
    <w:rsid w:val="002316F1"/>
    <w:rsid w:val="00231A95"/>
    <w:rsid w:val="0023232E"/>
    <w:rsid w:val="00233373"/>
    <w:rsid w:val="002334CE"/>
    <w:rsid w:val="0023454C"/>
    <w:rsid w:val="00234D0E"/>
    <w:rsid w:val="00235286"/>
    <w:rsid w:val="002356B8"/>
    <w:rsid w:val="00235AC9"/>
    <w:rsid w:val="00235F12"/>
    <w:rsid w:val="002362B6"/>
    <w:rsid w:val="00236374"/>
    <w:rsid w:val="0023649B"/>
    <w:rsid w:val="00236589"/>
    <w:rsid w:val="00236649"/>
    <w:rsid w:val="00236E90"/>
    <w:rsid w:val="002378F1"/>
    <w:rsid w:val="00237D8D"/>
    <w:rsid w:val="00241386"/>
    <w:rsid w:val="002417BC"/>
    <w:rsid w:val="00241E80"/>
    <w:rsid w:val="002424CD"/>
    <w:rsid w:val="0024272D"/>
    <w:rsid w:val="00242808"/>
    <w:rsid w:val="0024356E"/>
    <w:rsid w:val="002435F7"/>
    <w:rsid w:val="002438A7"/>
    <w:rsid w:val="00243B0E"/>
    <w:rsid w:val="00243BB9"/>
    <w:rsid w:val="002440E9"/>
    <w:rsid w:val="00244823"/>
    <w:rsid w:val="00244ADE"/>
    <w:rsid w:val="002451E3"/>
    <w:rsid w:val="002451EF"/>
    <w:rsid w:val="00245369"/>
    <w:rsid w:val="002455E2"/>
    <w:rsid w:val="002464F1"/>
    <w:rsid w:val="002474CD"/>
    <w:rsid w:val="00247794"/>
    <w:rsid w:val="00247831"/>
    <w:rsid w:val="0025028B"/>
    <w:rsid w:val="002504E7"/>
    <w:rsid w:val="00250BEE"/>
    <w:rsid w:val="00250F94"/>
    <w:rsid w:val="002512D1"/>
    <w:rsid w:val="0025197F"/>
    <w:rsid w:val="00252D29"/>
    <w:rsid w:val="0025386C"/>
    <w:rsid w:val="002539A2"/>
    <w:rsid w:val="00253A41"/>
    <w:rsid w:val="00253B3E"/>
    <w:rsid w:val="00253CFC"/>
    <w:rsid w:val="00254622"/>
    <w:rsid w:val="00254668"/>
    <w:rsid w:val="002567CB"/>
    <w:rsid w:val="00256BD6"/>
    <w:rsid w:val="00257368"/>
    <w:rsid w:val="002576F7"/>
    <w:rsid w:val="0025EE54"/>
    <w:rsid w:val="0026021A"/>
    <w:rsid w:val="00260DFA"/>
    <w:rsid w:val="002614C3"/>
    <w:rsid w:val="0026157B"/>
    <w:rsid w:val="002617D7"/>
    <w:rsid w:val="0026195A"/>
    <w:rsid w:val="00262465"/>
    <w:rsid w:val="00262CC0"/>
    <w:rsid w:val="0026308A"/>
    <w:rsid w:val="00263242"/>
    <w:rsid w:val="002635EC"/>
    <w:rsid w:val="002636FD"/>
    <w:rsid w:val="00263923"/>
    <w:rsid w:val="002643E2"/>
    <w:rsid w:val="00264D2C"/>
    <w:rsid w:val="00265E63"/>
    <w:rsid w:val="00266B6C"/>
    <w:rsid w:val="002671D9"/>
    <w:rsid w:val="0026747B"/>
    <w:rsid w:val="00267637"/>
    <w:rsid w:val="00270178"/>
    <w:rsid w:val="002705A0"/>
    <w:rsid w:val="002710EA"/>
    <w:rsid w:val="0027116F"/>
    <w:rsid w:val="00271276"/>
    <w:rsid w:val="002712CB"/>
    <w:rsid w:val="00271DCB"/>
    <w:rsid w:val="00271FD7"/>
    <w:rsid w:val="002724FD"/>
    <w:rsid w:val="00272B1B"/>
    <w:rsid w:val="002741A8"/>
    <w:rsid w:val="00274381"/>
    <w:rsid w:val="00274C48"/>
    <w:rsid w:val="002759E1"/>
    <w:rsid w:val="00276CD7"/>
    <w:rsid w:val="002803AA"/>
    <w:rsid w:val="002805D3"/>
    <w:rsid w:val="00280662"/>
    <w:rsid w:val="00280754"/>
    <w:rsid w:val="00280C82"/>
    <w:rsid w:val="002816BC"/>
    <w:rsid w:val="00281A13"/>
    <w:rsid w:val="002826BA"/>
    <w:rsid w:val="00282B57"/>
    <w:rsid w:val="00282D21"/>
    <w:rsid w:val="00282DFE"/>
    <w:rsid w:val="00282E42"/>
    <w:rsid w:val="002831EF"/>
    <w:rsid w:val="00284227"/>
    <w:rsid w:val="00284A90"/>
    <w:rsid w:val="00284A95"/>
    <w:rsid w:val="00284EB4"/>
    <w:rsid w:val="00285FFE"/>
    <w:rsid w:val="00286041"/>
    <w:rsid w:val="00286D2D"/>
    <w:rsid w:val="00286F2B"/>
    <w:rsid w:val="00287147"/>
    <w:rsid w:val="0028778B"/>
    <w:rsid w:val="00287963"/>
    <w:rsid w:val="0028B639"/>
    <w:rsid w:val="00290461"/>
    <w:rsid w:val="00290E90"/>
    <w:rsid w:val="00291072"/>
    <w:rsid w:val="00291D7D"/>
    <w:rsid w:val="00291EE0"/>
    <w:rsid w:val="002923BF"/>
    <w:rsid w:val="0029250F"/>
    <w:rsid w:val="002926E7"/>
    <w:rsid w:val="00292AFF"/>
    <w:rsid w:val="00293272"/>
    <w:rsid w:val="00293990"/>
    <w:rsid w:val="00293CF9"/>
    <w:rsid w:val="002943A9"/>
    <w:rsid w:val="002943E7"/>
    <w:rsid w:val="002947EE"/>
    <w:rsid w:val="002947F9"/>
    <w:rsid w:val="00294BCF"/>
    <w:rsid w:val="00295104"/>
    <w:rsid w:val="002968E7"/>
    <w:rsid w:val="0029754C"/>
    <w:rsid w:val="0029755B"/>
    <w:rsid w:val="002978B1"/>
    <w:rsid w:val="00297901"/>
    <w:rsid w:val="002A1089"/>
    <w:rsid w:val="002A10E7"/>
    <w:rsid w:val="002A1673"/>
    <w:rsid w:val="002A1931"/>
    <w:rsid w:val="002A1A10"/>
    <w:rsid w:val="002A1D71"/>
    <w:rsid w:val="002A1FC0"/>
    <w:rsid w:val="002A23BD"/>
    <w:rsid w:val="002A2D71"/>
    <w:rsid w:val="002A342F"/>
    <w:rsid w:val="002A3F4E"/>
    <w:rsid w:val="002A403D"/>
    <w:rsid w:val="002A4ED6"/>
    <w:rsid w:val="002A503E"/>
    <w:rsid w:val="002A5533"/>
    <w:rsid w:val="002A5C3B"/>
    <w:rsid w:val="002A5DEB"/>
    <w:rsid w:val="002A71C0"/>
    <w:rsid w:val="002A7C7E"/>
    <w:rsid w:val="002B08ED"/>
    <w:rsid w:val="002B0977"/>
    <w:rsid w:val="002B0A23"/>
    <w:rsid w:val="002B0B61"/>
    <w:rsid w:val="002B0CAF"/>
    <w:rsid w:val="002B17BE"/>
    <w:rsid w:val="002B1AAE"/>
    <w:rsid w:val="002B26DD"/>
    <w:rsid w:val="002B311A"/>
    <w:rsid w:val="002B31C8"/>
    <w:rsid w:val="002B378C"/>
    <w:rsid w:val="002B38D4"/>
    <w:rsid w:val="002B3CD6"/>
    <w:rsid w:val="002B3E90"/>
    <w:rsid w:val="002B4C2B"/>
    <w:rsid w:val="002B51C5"/>
    <w:rsid w:val="002B530C"/>
    <w:rsid w:val="002B58EB"/>
    <w:rsid w:val="002B5A06"/>
    <w:rsid w:val="002B5F9D"/>
    <w:rsid w:val="002B6059"/>
    <w:rsid w:val="002B67E8"/>
    <w:rsid w:val="002B693B"/>
    <w:rsid w:val="002B69DB"/>
    <w:rsid w:val="002B6AAC"/>
    <w:rsid w:val="002B73AA"/>
    <w:rsid w:val="002B7AD4"/>
    <w:rsid w:val="002C01B2"/>
    <w:rsid w:val="002C0633"/>
    <w:rsid w:val="002C0706"/>
    <w:rsid w:val="002C08F8"/>
    <w:rsid w:val="002C0A16"/>
    <w:rsid w:val="002C0C1C"/>
    <w:rsid w:val="002C0FA6"/>
    <w:rsid w:val="002C11A3"/>
    <w:rsid w:val="002C122C"/>
    <w:rsid w:val="002C1489"/>
    <w:rsid w:val="002C1698"/>
    <w:rsid w:val="002C174D"/>
    <w:rsid w:val="002C1ED2"/>
    <w:rsid w:val="002C2881"/>
    <w:rsid w:val="002C2BD0"/>
    <w:rsid w:val="002C381D"/>
    <w:rsid w:val="002C3C00"/>
    <w:rsid w:val="002C40E5"/>
    <w:rsid w:val="002C4AE0"/>
    <w:rsid w:val="002C5589"/>
    <w:rsid w:val="002C60E9"/>
    <w:rsid w:val="002C61B0"/>
    <w:rsid w:val="002C63EE"/>
    <w:rsid w:val="002C6EC5"/>
    <w:rsid w:val="002C7DF7"/>
    <w:rsid w:val="002D01AB"/>
    <w:rsid w:val="002D02D1"/>
    <w:rsid w:val="002D0917"/>
    <w:rsid w:val="002D0B58"/>
    <w:rsid w:val="002D10EB"/>
    <w:rsid w:val="002D15F7"/>
    <w:rsid w:val="002D1A5F"/>
    <w:rsid w:val="002D1C12"/>
    <w:rsid w:val="002D1D0A"/>
    <w:rsid w:val="002D1D47"/>
    <w:rsid w:val="002D290C"/>
    <w:rsid w:val="002D2A25"/>
    <w:rsid w:val="002D37D2"/>
    <w:rsid w:val="002D3B51"/>
    <w:rsid w:val="002D3C12"/>
    <w:rsid w:val="002D437D"/>
    <w:rsid w:val="002D465C"/>
    <w:rsid w:val="002D4D22"/>
    <w:rsid w:val="002D503D"/>
    <w:rsid w:val="002D52B9"/>
    <w:rsid w:val="002D53B7"/>
    <w:rsid w:val="002D5C64"/>
    <w:rsid w:val="002D7770"/>
    <w:rsid w:val="002D78F5"/>
    <w:rsid w:val="002E0293"/>
    <w:rsid w:val="002E0512"/>
    <w:rsid w:val="002E25F0"/>
    <w:rsid w:val="002E2E1A"/>
    <w:rsid w:val="002E2F82"/>
    <w:rsid w:val="002E2F92"/>
    <w:rsid w:val="002E2FFB"/>
    <w:rsid w:val="002E33E7"/>
    <w:rsid w:val="002E370A"/>
    <w:rsid w:val="002E3BDF"/>
    <w:rsid w:val="002E3D7A"/>
    <w:rsid w:val="002E4795"/>
    <w:rsid w:val="002E49BA"/>
    <w:rsid w:val="002E4EB2"/>
    <w:rsid w:val="002E561E"/>
    <w:rsid w:val="002E5CBD"/>
    <w:rsid w:val="002E60BE"/>
    <w:rsid w:val="002E6934"/>
    <w:rsid w:val="002E716C"/>
    <w:rsid w:val="002E7816"/>
    <w:rsid w:val="002E79F9"/>
    <w:rsid w:val="002E7D7B"/>
    <w:rsid w:val="002F01D7"/>
    <w:rsid w:val="002F035F"/>
    <w:rsid w:val="002F0BD3"/>
    <w:rsid w:val="002F224C"/>
    <w:rsid w:val="002F3CB1"/>
    <w:rsid w:val="002F3DC3"/>
    <w:rsid w:val="002F3FC3"/>
    <w:rsid w:val="002F4C6F"/>
    <w:rsid w:val="002F565C"/>
    <w:rsid w:val="002F5AA1"/>
    <w:rsid w:val="002F6050"/>
    <w:rsid w:val="002F60A2"/>
    <w:rsid w:val="002F6134"/>
    <w:rsid w:val="002F6228"/>
    <w:rsid w:val="002F62DC"/>
    <w:rsid w:val="002F645F"/>
    <w:rsid w:val="002F6A27"/>
    <w:rsid w:val="002F6B0B"/>
    <w:rsid w:val="002F70EF"/>
    <w:rsid w:val="0030108D"/>
    <w:rsid w:val="0030139A"/>
    <w:rsid w:val="003013FE"/>
    <w:rsid w:val="00301632"/>
    <w:rsid w:val="00301789"/>
    <w:rsid w:val="00301BE3"/>
    <w:rsid w:val="00302A3C"/>
    <w:rsid w:val="00302CE5"/>
    <w:rsid w:val="0030320B"/>
    <w:rsid w:val="0030378D"/>
    <w:rsid w:val="00303AE8"/>
    <w:rsid w:val="0030454F"/>
    <w:rsid w:val="00304D2D"/>
    <w:rsid w:val="00304F52"/>
    <w:rsid w:val="003050B3"/>
    <w:rsid w:val="003051C6"/>
    <w:rsid w:val="003052F1"/>
    <w:rsid w:val="0030573E"/>
    <w:rsid w:val="00305F45"/>
    <w:rsid w:val="00306047"/>
    <w:rsid w:val="00306319"/>
    <w:rsid w:val="00306465"/>
    <w:rsid w:val="00306613"/>
    <w:rsid w:val="00306C7A"/>
    <w:rsid w:val="00306C98"/>
    <w:rsid w:val="003073B6"/>
    <w:rsid w:val="00310562"/>
    <w:rsid w:val="0031139C"/>
    <w:rsid w:val="003116E6"/>
    <w:rsid w:val="003117E6"/>
    <w:rsid w:val="00311F77"/>
    <w:rsid w:val="0031331A"/>
    <w:rsid w:val="0031365F"/>
    <w:rsid w:val="00313B6E"/>
    <w:rsid w:val="003147F5"/>
    <w:rsid w:val="00314E01"/>
    <w:rsid w:val="00314E4E"/>
    <w:rsid w:val="00314F6F"/>
    <w:rsid w:val="0031516B"/>
    <w:rsid w:val="003151B3"/>
    <w:rsid w:val="003154B2"/>
    <w:rsid w:val="00315E55"/>
    <w:rsid w:val="003162BB"/>
    <w:rsid w:val="003167C7"/>
    <w:rsid w:val="0031687A"/>
    <w:rsid w:val="00316AFE"/>
    <w:rsid w:val="003179A5"/>
    <w:rsid w:val="00317DF7"/>
    <w:rsid w:val="00320335"/>
    <w:rsid w:val="00320835"/>
    <w:rsid w:val="00321D5C"/>
    <w:rsid w:val="0032205F"/>
    <w:rsid w:val="00322292"/>
    <w:rsid w:val="00322C6B"/>
    <w:rsid w:val="003236BD"/>
    <w:rsid w:val="00323E34"/>
    <w:rsid w:val="00324590"/>
    <w:rsid w:val="00324CA7"/>
    <w:rsid w:val="00324FE7"/>
    <w:rsid w:val="003251FF"/>
    <w:rsid w:val="003252C5"/>
    <w:rsid w:val="003254E4"/>
    <w:rsid w:val="00325C89"/>
    <w:rsid w:val="00326292"/>
    <w:rsid w:val="00326594"/>
    <w:rsid w:val="00326C22"/>
    <w:rsid w:val="00327153"/>
    <w:rsid w:val="003278BC"/>
    <w:rsid w:val="00327D28"/>
    <w:rsid w:val="00330015"/>
    <w:rsid w:val="0033006C"/>
    <w:rsid w:val="0033066A"/>
    <w:rsid w:val="00331176"/>
    <w:rsid w:val="003315E4"/>
    <w:rsid w:val="00331A16"/>
    <w:rsid w:val="00331EF5"/>
    <w:rsid w:val="0033284E"/>
    <w:rsid w:val="00333245"/>
    <w:rsid w:val="003333B0"/>
    <w:rsid w:val="003334BA"/>
    <w:rsid w:val="00333953"/>
    <w:rsid w:val="003343C1"/>
    <w:rsid w:val="0033484B"/>
    <w:rsid w:val="00334896"/>
    <w:rsid w:val="00334E97"/>
    <w:rsid w:val="00334EE1"/>
    <w:rsid w:val="003351B6"/>
    <w:rsid w:val="00335ADC"/>
    <w:rsid w:val="003361FD"/>
    <w:rsid w:val="0033679E"/>
    <w:rsid w:val="00336810"/>
    <w:rsid w:val="00336EE3"/>
    <w:rsid w:val="00337D3B"/>
    <w:rsid w:val="003409C9"/>
    <w:rsid w:val="00340FE5"/>
    <w:rsid w:val="00341320"/>
    <w:rsid w:val="00341801"/>
    <w:rsid w:val="0034197B"/>
    <w:rsid w:val="00341B76"/>
    <w:rsid w:val="00341CE4"/>
    <w:rsid w:val="003424AA"/>
    <w:rsid w:val="00342A48"/>
    <w:rsid w:val="00342D3A"/>
    <w:rsid w:val="0034313D"/>
    <w:rsid w:val="00343142"/>
    <w:rsid w:val="0034331C"/>
    <w:rsid w:val="0034371B"/>
    <w:rsid w:val="00343C9E"/>
    <w:rsid w:val="003442EA"/>
    <w:rsid w:val="00344597"/>
    <w:rsid w:val="00344C9F"/>
    <w:rsid w:val="003450F0"/>
    <w:rsid w:val="003457DF"/>
    <w:rsid w:val="00345A39"/>
    <w:rsid w:val="00346D0A"/>
    <w:rsid w:val="00346DEC"/>
    <w:rsid w:val="00347802"/>
    <w:rsid w:val="00347A9A"/>
    <w:rsid w:val="00347AB9"/>
    <w:rsid w:val="00347CD1"/>
    <w:rsid w:val="003507A1"/>
    <w:rsid w:val="003509BF"/>
    <w:rsid w:val="00351494"/>
    <w:rsid w:val="00351CB7"/>
    <w:rsid w:val="00351D22"/>
    <w:rsid w:val="00352910"/>
    <w:rsid w:val="00353987"/>
    <w:rsid w:val="0035486D"/>
    <w:rsid w:val="00354A1B"/>
    <w:rsid w:val="00354DBC"/>
    <w:rsid w:val="00354F92"/>
    <w:rsid w:val="003556C5"/>
    <w:rsid w:val="00355907"/>
    <w:rsid w:val="003560B4"/>
    <w:rsid w:val="00356307"/>
    <w:rsid w:val="0035753B"/>
    <w:rsid w:val="00360450"/>
    <w:rsid w:val="0036071F"/>
    <w:rsid w:val="00360747"/>
    <w:rsid w:val="00360A5E"/>
    <w:rsid w:val="00360D03"/>
    <w:rsid w:val="00361247"/>
    <w:rsid w:val="00361DB5"/>
    <w:rsid w:val="00361DB9"/>
    <w:rsid w:val="0036251E"/>
    <w:rsid w:val="00362E4F"/>
    <w:rsid w:val="00362FC3"/>
    <w:rsid w:val="00363234"/>
    <w:rsid w:val="0036344D"/>
    <w:rsid w:val="00363F1B"/>
    <w:rsid w:val="003640D1"/>
    <w:rsid w:val="003641B8"/>
    <w:rsid w:val="0036451D"/>
    <w:rsid w:val="0036453E"/>
    <w:rsid w:val="0036501A"/>
    <w:rsid w:val="0036565B"/>
    <w:rsid w:val="003656B2"/>
    <w:rsid w:val="00366220"/>
    <w:rsid w:val="00366579"/>
    <w:rsid w:val="003665BB"/>
    <w:rsid w:val="003665BE"/>
    <w:rsid w:val="003674A0"/>
    <w:rsid w:val="003674DB"/>
    <w:rsid w:val="003676EC"/>
    <w:rsid w:val="003677C4"/>
    <w:rsid w:val="00367F11"/>
    <w:rsid w:val="0037119A"/>
    <w:rsid w:val="003719FD"/>
    <w:rsid w:val="00371C67"/>
    <w:rsid w:val="00371E79"/>
    <w:rsid w:val="00373176"/>
    <w:rsid w:val="00373189"/>
    <w:rsid w:val="003731BB"/>
    <w:rsid w:val="00373536"/>
    <w:rsid w:val="00373E1F"/>
    <w:rsid w:val="0037468E"/>
    <w:rsid w:val="00374FB4"/>
    <w:rsid w:val="00375AC3"/>
    <w:rsid w:val="003766F1"/>
    <w:rsid w:val="00376ED7"/>
    <w:rsid w:val="0037720F"/>
    <w:rsid w:val="00377607"/>
    <w:rsid w:val="00380CBA"/>
    <w:rsid w:val="00380FFA"/>
    <w:rsid w:val="003816E2"/>
    <w:rsid w:val="003834F7"/>
    <w:rsid w:val="0038365C"/>
    <w:rsid w:val="0038390D"/>
    <w:rsid w:val="00383A58"/>
    <w:rsid w:val="00383AEC"/>
    <w:rsid w:val="00383F9E"/>
    <w:rsid w:val="0038435C"/>
    <w:rsid w:val="003855CC"/>
    <w:rsid w:val="00385BE5"/>
    <w:rsid w:val="00385DE2"/>
    <w:rsid w:val="0038633A"/>
    <w:rsid w:val="0038641C"/>
    <w:rsid w:val="003869DE"/>
    <w:rsid w:val="0038732C"/>
    <w:rsid w:val="0038799C"/>
    <w:rsid w:val="00387B68"/>
    <w:rsid w:val="003900EA"/>
    <w:rsid w:val="00390D97"/>
    <w:rsid w:val="00390FB3"/>
    <w:rsid w:val="00391444"/>
    <w:rsid w:val="00391EE0"/>
    <w:rsid w:val="003921F7"/>
    <w:rsid w:val="00392386"/>
    <w:rsid w:val="00392592"/>
    <w:rsid w:val="00392E7D"/>
    <w:rsid w:val="0039308C"/>
    <w:rsid w:val="00393289"/>
    <w:rsid w:val="00393A1B"/>
    <w:rsid w:val="00393D7B"/>
    <w:rsid w:val="00395D26"/>
    <w:rsid w:val="00395EB8"/>
    <w:rsid w:val="003961E7"/>
    <w:rsid w:val="00396523"/>
    <w:rsid w:val="00396638"/>
    <w:rsid w:val="00396887"/>
    <w:rsid w:val="00396DF7"/>
    <w:rsid w:val="003972BD"/>
    <w:rsid w:val="003975CB"/>
    <w:rsid w:val="00397A06"/>
    <w:rsid w:val="00397DAB"/>
    <w:rsid w:val="00397EA7"/>
    <w:rsid w:val="00397ED6"/>
    <w:rsid w:val="003A02D0"/>
    <w:rsid w:val="003A0325"/>
    <w:rsid w:val="003A0387"/>
    <w:rsid w:val="003A06FF"/>
    <w:rsid w:val="003A14C0"/>
    <w:rsid w:val="003A1686"/>
    <w:rsid w:val="003A1C14"/>
    <w:rsid w:val="003A29DC"/>
    <w:rsid w:val="003A2C4C"/>
    <w:rsid w:val="003A34E5"/>
    <w:rsid w:val="003A3AD4"/>
    <w:rsid w:val="003A3F2C"/>
    <w:rsid w:val="003A40A7"/>
    <w:rsid w:val="003A435C"/>
    <w:rsid w:val="003A466C"/>
    <w:rsid w:val="003A495F"/>
    <w:rsid w:val="003A58CE"/>
    <w:rsid w:val="003A5B19"/>
    <w:rsid w:val="003A6018"/>
    <w:rsid w:val="003A6211"/>
    <w:rsid w:val="003A67E6"/>
    <w:rsid w:val="003A68DF"/>
    <w:rsid w:val="003A6D6F"/>
    <w:rsid w:val="003A6D71"/>
    <w:rsid w:val="003A6ECC"/>
    <w:rsid w:val="003A6F13"/>
    <w:rsid w:val="003A7969"/>
    <w:rsid w:val="003B01FE"/>
    <w:rsid w:val="003B1958"/>
    <w:rsid w:val="003B1D5C"/>
    <w:rsid w:val="003B291F"/>
    <w:rsid w:val="003B2A8D"/>
    <w:rsid w:val="003B2AD8"/>
    <w:rsid w:val="003B30DF"/>
    <w:rsid w:val="003B3385"/>
    <w:rsid w:val="003B35B3"/>
    <w:rsid w:val="003B3932"/>
    <w:rsid w:val="003B3BB6"/>
    <w:rsid w:val="003B3E7E"/>
    <w:rsid w:val="003B3F1B"/>
    <w:rsid w:val="003B419C"/>
    <w:rsid w:val="003B4CD6"/>
    <w:rsid w:val="003B4F21"/>
    <w:rsid w:val="003B50C6"/>
    <w:rsid w:val="003B6081"/>
    <w:rsid w:val="003B627D"/>
    <w:rsid w:val="003B6392"/>
    <w:rsid w:val="003B6C00"/>
    <w:rsid w:val="003B6F19"/>
    <w:rsid w:val="003B70F5"/>
    <w:rsid w:val="003B74CB"/>
    <w:rsid w:val="003B773C"/>
    <w:rsid w:val="003B795D"/>
    <w:rsid w:val="003B7CDD"/>
    <w:rsid w:val="003C0732"/>
    <w:rsid w:val="003C122C"/>
    <w:rsid w:val="003C1B10"/>
    <w:rsid w:val="003C25B1"/>
    <w:rsid w:val="003C2815"/>
    <w:rsid w:val="003C287E"/>
    <w:rsid w:val="003C2BBC"/>
    <w:rsid w:val="003C308A"/>
    <w:rsid w:val="003C32ED"/>
    <w:rsid w:val="003C3D1C"/>
    <w:rsid w:val="003C3D44"/>
    <w:rsid w:val="003C4082"/>
    <w:rsid w:val="003C5576"/>
    <w:rsid w:val="003C5A8B"/>
    <w:rsid w:val="003C5FB9"/>
    <w:rsid w:val="003C736B"/>
    <w:rsid w:val="003C74A3"/>
    <w:rsid w:val="003C7AE6"/>
    <w:rsid w:val="003C7BD0"/>
    <w:rsid w:val="003D001E"/>
    <w:rsid w:val="003D05C8"/>
    <w:rsid w:val="003D0E9E"/>
    <w:rsid w:val="003D1151"/>
    <w:rsid w:val="003D1BDB"/>
    <w:rsid w:val="003D1D5A"/>
    <w:rsid w:val="003D2A79"/>
    <w:rsid w:val="003D2C52"/>
    <w:rsid w:val="003D3363"/>
    <w:rsid w:val="003D38F2"/>
    <w:rsid w:val="003D3D17"/>
    <w:rsid w:val="003D4418"/>
    <w:rsid w:val="003D47D9"/>
    <w:rsid w:val="003D4EEC"/>
    <w:rsid w:val="003D4FA2"/>
    <w:rsid w:val="003D521A"/>
    <w:rsid w:val="003D5304"/>
    <w:rsid w:val="003D57F5"/>
    <w:rsid w:val="003D6869"/>
    <w:rsid w:val="003D6D2C"/>
    <w:rsid w:val="003D77FF"/>
    <w:rsid w:val="003E002F"/>
    <w:rsid w:val="003E0335"/>
    <w:rsid w:val="003E045A"/>
    <w:rsid w:val="003E0FCC"/>
    <w:rsid w:val="003E1650"/>
    <w:rsid w:val="003E19BA"/>
    <w:rsid w:val="003E19F1"/>
    <w:rsid w:val="003E1B6C"/>
    <w:rsid w:val="003E1BB1"/>
    <w:rsid w:val="003E1DB3"/>
    <w:rsid w:val="003E21A1"/>
    <w:rsid w:val="003E2758"/>
    <w:rsid w:val="003E2CE0"/>
    <w:rsid w:val="003E33BF"/>
    <w:rsid w:val="003E3D4C"/>
    <w:rsid w:val="003E4487"/>
    <w:rsid w:val="003E4949"/>
    <w:rsid w:val="003E4976"/>
    <w:rsid w:val="003E5251"/>
    <w:rsid w:val="003E5A3F"/>
    <w:rsid w:val="003E5AB4"/>
    <w:rsid w:val="003E5DC4"/>
    <w:rsid w:val="003E66F1"/>
    <w:rsid w:val="003F017B"/>
    <w:rsid w:val="003F017F"/>
    <w:rsid w:val="003F0483"/>
    <w:rsid w:val="003F04DF"/>
    <w:rsid w:val="003F28F8"/>
    <w:rsid w:val="003F3086"/>
    <w:rsid w:val="003F312C"/>
    <w:rsid w:val="003F33A6"/>
    <w:rsid w:val="003F3919"/>
    <w:rsid w:val="003F3AD6"/>
    <w:rsid w:val="003F46FB"/>
    <w:rsid w:val="003F4B10"/>
    <w:rsid w:val="003F4B60"/>
    <w:rsid w:val="003F5062"/>
    <w:rsid w:val="003F5204"/>
    <w:rsid w:val="003F561C"/>
    <w:rsid w:val="003F58F3"/>
    <w:rsid w:val="003F5956"/>
    <w:rsid w:val="003F5BB0"/>
    <w:rsid w:val="003F6890"/>
    <w:rsid w:val="003F6D72"/>
    <w:rsid w:val="003F6F27"/>
    <w:rsid w:val="003F70AF"/>
    <w:rsid w:val="003F7CE3"/>
    <w:rsid w:val="003F7E95"/>
    <w:rsid w:val="003F7EDE"/>
    <w:rsid w:val="004001B0"/>
    <w:rsid w:val="00400261"/>
    <w:rsid w:val="00400927"/>
    <w:rsid w:val="00400A19"/>
    <w:rsid w:val="00400BF1"/>
    <w:rsid w:val="00401256"/>
    <w:rsid w:val="004019E5"/>
    <w:rsid w:val="00401B67"/>
    <w:rsid w:val="00402336"/>
    <w:rsid w:val="00403F64"/>
    <w:rsid w:val="00403FDC"/>
    <w:rsid w:val="004041AD"/>
    <w:rsid w:val="0040456E"/>
    <w:rsid w:val="004048E4"/>
    <w:rsid w:val="00405332"/>
    <w:rsid w:val="00405867"/>
    <w:rsid w:val="004065F8"/>
    <w:rsid w:val="00406A27"/>
    <w:rsid w:val="00406A90"/>
    <w:rsid w:val="00407037"/>
    <w:rsid w:val="0040738F"/>
    <w:rsid w:val="00407C38"/>
    <w:rsid w:val="00407ECB"/>
    <w:rsid w:val="00411650"/>
    <w:rsid w:val="00411D76"/>
    <w:rsid w:val="00411D79"/>
    <w:rsid w:val="004120D3"/>
    <w:rsid w:val="004121BA"/>
    <w:rsid w:val="00412A24"/>
    <w:rsid w:val="00412B1F"/>
    <w:rsid w:val="004132AD"/>
    <w:rsid w:val="00413712"/>
    <w:rsid w:val="00413804"/>
    <w:rsid w:val="00413DC7"/>
    <w:rsid w:val="004141B6"/>
    <w:rsid w:val="00415840"/>
    <w:rsid w:val="00415F1C"/>
    <w:rsid w:val="00416378"/>
    <w:rsid w:val="00416B76"/>
    <w:rsid w:val="00416D64"/>
    <w:rsid w:val="00416FBC"/>
    <w:rsid w:val="0041710A"/>
    <w:rsid w:val="00417927"/>
    <w:rsid w:val="00417952"/>
    <w:rsid w:val="00420503"/>
    <w:rsid w:val="004207F3"/>
    <w:rsid w:val="0042098C"/>
    <w:rsid w:val="00420B61"/>
    <w:rsid w:val="004211EE"/>
    <w:rsid w:val="004211F8"/>
    <w:rsid w:val="0042197A"/>
    <w:rsid w:val="00421D56"/>
    <w:rsid w:val="004225FE"/>
    <w:rsid w:val="004227EF"/>
    <w:rsid w:val="004235B6"/>
    <w:rsid w:val="00423600"/>
    <w:rsid w:val="00423ADA"/>
    <w:rsid w:val="00423B26"/>
    <w:rsid w:val="00423DB5"/>
    <w:rsid w:val="00424682"/>
    <w:rsid w:val="00425393"/>
    <w:rsid w:val="00425818"/>
    <w:rsid w:val="004260F2"/>
    <w:rsid w:val="0042646A"/>
    <w:rsid w:val="004267AC"/>
    <w:rsid w:val="00426C72"/>
    <w:rsid w:val="00426C8D"/>
    <w:rsid w:val="0042737C"/>
    <w:rsid w:val="0042775A"/>
    <w:rsid w:val="00430325"/>
    <w:rsid w:val="00430573"/>
    <w:rsid w:val="0043073D"/>
    <w:rsid w:val="00430AAC"/>
    <w:rsid w:val="00430BC7"/>
    <w:rsid w:val="00430BFD"/>
    <w:rsid w:val="004316A1"/>
    <w:rsid w:val="004317D4"/>
    <w:rsid w:val="00431959"/>
    <w:rsid w:val="00431ECC"/>
    <w:rsid w:val="00432300"/>
    <w:rsid w:val="00433100"/>
    <w:rsid w:val="004337F5"/>
    <w:rsid w:val="004340AB"/>
    <w:rsid w:val="00434ABC"/>
    <w:rsid w:val="00434FDA"/>
    <w:rsid w:val="00435278"/>
    <w:rsid w:val="0043577D"/>
    <w:rsid w:val="00435CF9"/>
    <w:rsid w:val="00435EFC"/>
    <w:rsid w:val="0043676E"/>
    <w:rsid w:val="00436A6F"/>
    <w:rsid w:val="00436E04"/>
    <w:rsid w:val="00436F96"/>
    <w:rsid w:val="004378B4"/>
    <w:rsid w:val="00437B94"/>
    <w:rsid w:val="00437C92"/>
    <w:rsid w:val="00437D4F"/>
    <w:rsid w:val="00441E6C"/>
    <w:rsid w:val="0044219A"/>
    <w:rsid w:val="00442BD1"/>
    <w:rsid w:val="00443894"/>
    <w:rsid w:val="00443D09"/>
    <w:rsid w:val="004443D4"/>
    <w:rsid w:val="00444C93"/>
    <w:rsid w:val="00444D68"/>
    <w:rsid w:val="00444F3A"/>
    <w:rsid w:val="00445742"/>
    <w:rsid w:val="00445A47"/>
    <w:rsid w:val="00445AED"/>
    <w:rsid w:val="004460E9"/>
    <w:rsid w:val="00446129"/>
    <w:rsid w:val="004464E1"/>
    <w:rsid w:val="00446902"/>
    <w:rsid w:val="00446C40"/>
    <w:rsid w:val="00446C5A"/>
    <w:rsid w:val="0044764A"/>
    <w:rsid w:val="00447BDD"/>
    <w:rsid w:val="00450B55"/>
    <w:rsid w:val="004514B3"/>
    <w:rsid w:val="004516A7"/>
    <w:rsid w:val="0045186D"/>
    <w:rsid w:val="00451B1E"/>
    <w:rsid w:val="00451C30"/>
    <w:rsid w:val="00451CC8"/>
    <w:rsid w:val="00451FF4"/>
    <w:rsid w:val="00452767"/>
    <w:rsid w:val="004527FF"/>
    <w:rsid w:val="00452B7F"/>
    <w:rsid w:val="00452BB6"/>
    <w:rsid w:val="00453474"/>
    <w:rsid w:val="00454467"/>
    <w:rsid w:val="00454C05"/>
    <w:rsid w:val="00454E3B"/>
    <w:rsid w:val="00454F53"/>
    <w:rsid w:val="004550A9"/>
    <w:rsid w:val="004556EE"/>
    <w:rsid w:val="00456D6A"/>
    <w:rsid w:val="0045717E"/>
    <w:rsid w:val="00457C36"/>
    <w:rsid w:val="00457CF5"/>
    <w:rsid w:val="0046032F"/>
    <w:rsid w:val="00460CC0"/>
    <w:rsid w:val="00461204"/>
    <w:rsid w:val="00461A38"/>
    <w:rsid w:val="0046213E"/>
    <w:rsid w:val="0046226C"/>
    <w:rsid w:val="0046235A"/>
    <w:rsid w:val="004629E1"/>
    <w:rsid w:val="00462DC7"/>
    <w:rsid w:val="00462F17"/>
    <w:rsid w:val="004633B9"/>
    <w:rsid w:val="00463607"/>
    <w:rsid w:val="004637ED"/>
    <w:rsid w:val="00463B3B"/>
    <w:rsid w:val="00464917"/>
    <w:rsid w:val="0046591D"/>
    <w:rsid w:val="00465995"/>
    <w:rsid w:val="00465C92"/>
    <w:rsid w:val="00465CE2"/>
    <w:rsid w:val="00465DDF"/>
    <w:rsid w:val="00465EBD"/>
    <w:rsid w:val="00466ACC"/>
    <w:rsid w:val="00467160"/>
    <w:rsid w:val="004679AA"/>
    <w:rsid w:val="00467A2B"/>
    <w:rsid w:val="00470091"/>
    <w:rsid w:val="00470238"/>
    <w:rsid w:val="00470E5F"/>
    <w:rsid w:val="00470F4E"/>
    <w:rsid w:val="004712B3"/>
    <w:rsid w:val="00471679"/>
    <w:rsid w:val="00471893"/>
    <w:rsid w:val="00471A4D"/>
    <w:rsid w:val="00471FAE"/>
    <w:rsid w:val="00472619"/>
    <w:rsid w:val="0047271D"/>
    <w:rsid w:val="00472B55"/>
    <w:rsid w:val="00472BF3"/>
    <w:rsid w:val="00472D82"/>
    <w:rsid w:val="00473164"/>
    <w:rsid w:val="00473307"/>
    <w:rsid w:val="00473666"/>
    <w:rsid w:val="00473F1D"/>
    <w:rsid w:val="004747AD"/>
    <w:rsid w:val="00474E82"/>
    <w:rsid w:val="00474F8B"/>
    <w:rsid w:val="00474FF6"/>
    <w:rsid w:val="00475589"/>
    <w:rsid w:val="004756AF"/>
    <w:rsid w:val="00475D1B"/>
    <w:rsid w:val="00476A43"/>
    <w:rsid w:val="00477B63"/>
    <w:rsid w:val="00477C68"/>
    <w:rsid w:val="00480525"/>
    <w:rsid w:val="004807B5"/>
    <w:rsid w:val="004815BA"/>
    <w:rsid w:val="004816C6"/>
    <w:rsid w:val="00481900"/>
    <w:rsid w:val="00481A2D"/>
    <w:rsid w:val="00481AD0"/>
    <w:rsid w:val="004825CA"/>
    <w:rsid w:val="004831FD"/>
    <w:rsid w:val="00484220"/>
    <w:rsid w:val="004843C6"/>
    <w:rsid w:val="004843EB"/>
    <w:rsid w:val="0048478E"/>
    <w:rsid w:val="004852A1"/>
    <w:rsid w:val="00485397"/>
    <w:rsid w:val="00485746"/>
    <w:rsid w:val="004860C2"/>
    <w:rsid w:val="0048672B"/>
    <w:rsid w:val="00486B5F"/>
    <w:rsid w:val="00486E8D"/>
    <w:rsid w:val="004871FE"/>
    <w:rsid w:val="00487641"/>
    <w:rsid w:val="00490610"/>
    <w:rsid w:val="00490626"/>
    <w:rsid w:val="00490C18"/>
    <w:rsid w:val="00490CD2"/>
    <w:rsid w:val="004915CB"/>
    <w:rsid w:val="00492223"/>
    <w:rsid w:val="004926D7"/>
    <w:rsid w:val="00492F36"/>
    <w:rsid w:val="00493E04"/>
    <w:rsid w:val="004941DD"/>
    <w:rsid w:val="00494210"/>
    <w:rsid w:val="004942F0"/>
    <w:rsid w:val="0049438B"/>
    <w:rsid w:val="00494D2B"/>
    <w:rsid w:val="004956E6"/>
    <w:rsid w:val="00495B00"/>
    <w:rsid w:val="00495F9A"/>
    <w:rsid w:val="00496482"/>
    <w:rsid w:val="00496650"/>
    <w:rsid w:val="00496B45"/>
    <w:rsid w:val="0049736E"/>
    <w:rsid w:val="0049753E"/>
    <w:rsid w:val="00497628"/>
    <w:rsid w:val="004A0046"/>
    <w:rsid w:val="004A0234"/>
    <w:rsid w:val="004A09B0"/>
    <w:rsid w:val="004A11DC"/>
    <w:rsid w:val="004A14DA"/>
    <w:rsid w:val="004A1880"/>
    <w:rsid w:val="004A1893"/>
    <w:rsid w:val="004A1946"/>
    <w:rsid w:val="004A1D03"/>
    <w:rsid w:val="004A1EBB"/>
    <w:rsid w:val="004A2298"/>
    <w:rsid w:val="004A2835"/>
    <w:rsid w:val="004A30DB"/>
    <w:rsid w:val="004A348B"/>
    <w:rsid w:val="004A35AF"/>
    <w:rsid w:val="004A462F"/>
    <w:rsid w:val="004A4C2C"/>
    <w:rsid w:val="004A53E9"/>
    <w:rsid w:val="004A57E0"/>
    <w:rsid w:val="004A5A6E"/>
    <w:rsid w:val="004A788A"/>
    <w:rsid w:val="004A78D7"/>
    <w:rsid w:val="004B16AA"/>
    <w:rsid w:val="004B17D0"/>
    <w:rsid w:val="004B29B0"/>
    <w:rsid w:val="004B29BA"/>
    <w:rsid w:val="004B3241"/>
    <w:rsid w:val="004B36F2"/>
    <w:rsid w:val="004B3AF3"/>
    <w:rsid w:val="004B3B56"/>
    <w:rsid w:val="004B4C22"/>
    <w:rsid w:val="004B503C"/>
    <w:rsid w:val="004B598E"/>
    <w:rsid w:val="004B5FFE"/>
    <w:rsid w:val="004B692C"/>
    <w:rsid w:val="004B7247"/>
    <w:rsid w:val="004B7A8E"/>
    <w:rsid w:val="004B7AA8"/>
    <w:rsid w:val="004B7B01"/>
    <w:rsid w:val="004B7C2F"/>
    <w:rsid w:val="004B7D45"/>
    <w:rsid w:val="004C004C"/>
    <w:rsid w:val="004C0806"/>
    <w:rsid w:val="004C081C"/>
    <w:rsid w:val="004C087E"/>
    <w:rsid w:val="004C0889"/>
    <w:rsid w:val="004C0BE7"/>
    <w:rsid w:val="004C0CC3"/>
    <w:rsid w:val="004C0D1C"/>
    <w:rsid w:val="004C0E24"/>
    <w:rsid w:val="004C0E8A"/>
    <w:rsid w:val="004C1492"/>
    <w:rsid w:val="004C154B"/>
    <w:rsid w:val="004C166F"/>
    <w:rsid w:val="004C1AB5"/>
    <w:rsid w:val="004C1B6F"/>
    <w:rsid w:val="004C23C4"/>
    <w:rsid w:val="004C27B5"/>
    <w:rsid w:val="004C3A99"/>
    <w:rsid w:val="004C3B74"/>
    <w:rsid w:val="004C4476"/>
    <w:rsid w:val="004C4705"/>
    <w:rsid w:val="004C4A94"/>
    <w:rsid w:val="004C546A"/>
    <w:rsid w:val="004C55DA"/>
    <w:rsid w:val="004C5E7D"/>
    <w:rsid w:val="004C6630"/>
    <w:rsid w:val="004C6CBD"/>
    <w:rsid w:val="004C74D3"/>
    <w:rsid w:val="004C77FE"/>
    <w:rsid w:val="004C7DF5"/>
    <w:rsid w:val="004C7E52"/>
    <w:rsid w:val="004C7F41"/>
    <w:rsid w:val="004D0083"/>
    <w:rsid w:val="004D0145"/>
    <w:rsid w:val="004D0193"/>
    <w:rsid w:val="004D044A"/>
    <w:rsid w:val="004D0CE5"/>
    <w:rsid w:val="004D10C4"/>
    <w:rsid w:val="004D145F"/>
    <w:rsid w:val="004D18E9"/>
    <w:rsid w:val="004D1A06"/>
    <w:rsid w:val="004D1A16"/>
    <w:rsid w:val="004D1ECE"/>
    <w:rsid w:val="004D2D60"/>
    <w:rsid w:val="004D3D05"/>
    <w:rsid w:val="004D4067"/>
    <w:rsid w:val="004D45DD"/>
    <w:rsid w:val="004D47F8"/>
    <w:rsid w:val="004D4937"/>
    <w:rsid w:val="004D4AB4"/>
    <w:rsid w:val="004D5669"/>
    <w:rsid w:val="004D56E0"/>
    <w:rsid w:val="004D5A06"/>
    <w:rsid w:val="004D5A54"/>
    <w:rsid w:val="004D5C48"/>
    <w:rsid w:val="004D6243"/>
    <w:rsid w:val="004D69EA"/>
    <w:rsid w:val="004D7157"/>
    <w:rsid w:val="004D735A"/>
    <w:rsid w:val="004D73AB"/>
    <w:rsid w:val="004E0E2C"/>
    <w:rsid w:val="004E129A"/>
    <w:rsid w:val="004E130C"/>
    <w:rsid w:val="004E1C0E"/>
    <w:rsid w:val="004E211E"/>
    <w:rsid w:val="004E2ECD"/>
    <w:rsid w:val="004E3CAE"/>
    <w:rsid w:val="004E44E0"/>
    <w:rsid w:val="004E4C49"/>
    <w:rsid w:val="004E5709"/>
    <w:rsid w:val="004E5B82"/>
    <w:rsid w:val="004E5D18"/>
    <w:rsid w:val="004E611E"/>
    <w:rsid w:val="004E6126"/>
    <w:rsid w:val="004E6CE4"/>
    <w:rsid w:val="004E6F4F"/>
    <w:rsid w:val="004E7169"/>
    <w:rsid w:val="004E774E"/>
    <w:rsid w:val="004E7F94"/>
    <w:rsid w:val="004EBEAA"/>
    <w:rsid w:val="004F09BE"/>
    <w:rsid w:val="004F1198"/>
    <w:rsid w:val="004F1746"/>
    <w:rsid w:val="004F1872"/>
    <w:rsid w:val="004F238C"/>
    <w:rsid w:val="004F2EF7"/>
    <w:rsid w:val="004F3395"/>
    <w:rsid w:val="004F3561"/>
    <w:rsid w:val="004F3CB1"/>
    <w:rsid w:val="004F4C4B"/>
    <w:rsid w:val="004F4E61"/>
    <w:rsid w:val="004F51B1"/>
    <w:rsid w:val="004F51F3"/>
    <w:rsid w:val="004F56F6"/>
    <w:rsid w:val="004F5ABA"/>
    <w:rsid w:val="004F6148"/>
    <w:rsid w:val="004F6830"/>
    <w:rsid w:val="004F6AA7"/>
    <w:rsid w:val="004F6CC6"/>
    <w:rsid w:val="004F6FE4"/>
    <w:rsid w:val="004F73DF"/>
    <w:rsid w:val="00500AD6"/>
    <w:rsid w:val="00500AE3"/>
    <w:rsid w:val="00500F3E"/>
    <w:rsid w:val="005012BF"/>
    <w:rsid w:val="005013D3"/>
    <w:rsid w:val="005017BA"/>
    <w:rsid w:val="00501C4B"/>
    <w:rsid w:val="00501D1F"/>
    <w:rsid w:val="0050226E"/>
    <w:rsid w:val="00502467"/>
    <w:rsid w:val="005024CF"/>
    <w:rsid w:val="00503038"/>
    <w:rsid w:val="005033CC"/>
    <w:rsid w:val="00503A77"/>
    <w:rsid w:val="00503B22"/>
    <w:rsid w:val="00503C55"/>
    <w:rsid w:val="00503ED0"/>
    <w:rsid w:val="005042B0"/>
    <w:rsid w:val="00504550"/>
    <w:rsid w:val="00504838"/>
    <w:rsid w:val="00505026"/>
    <w:rsid w:val="00505545"/>
    <w:rsid w:val="0050603C"/>
    <w:rsid w:val="0050631E"/>
    <w:rsid w:val="00506452"/>
    <w:rsid w:val="005066FD"/>
    <w:rsid w:val="005072AF"/>
    <w:rsid w:val="0050762B"/>
    <w:rsid w:val="00507980"/>
    <w:rsid w:val="00507A2F"/>
    <w:rsid w:val="0051082A"/>
    <w:rsid w:val="0051110B"/>
    <w:rsid w:val="00511743"/>
    <w:rsid w:val="00511865"/>
    <w:rsid w:val="00511DE7"/>
    <w:rsid w:val="00512557"/>
    <w:rsid w:val="0051269C"/>
    <w:rsid w:val="005128C9"/>
    <w:rsid w:val="005129A2"/>
    <w:rsid w:val="005140AF"/>
    <w:rsid w:val="005142D6"/>
    <w:rsid w:val="00514BCC"/>
    <w:rsid w:val="00514E0C"/>
    <w:rsid w:val="005153F6"/>
    <w:rsid w:val="00515C19"/>
    <w:rsid w:val="005162FD"/>
    <w:rsid w:val="0051631F"/>
    <w:rsid w:val="00516BB9"/>
    <w:rsid w:val="00516E69"/>
    <w:rsid w:val="00517971"/>
    <w:rsid w:val="0052054B"/>
    <w:rsid w:val="00520735"/>
    <w:rsid w:val="00520DFF"/>
    <w:rsid w:val="00520F77"/>
    <w:rsid w:val="0052119B"/>
    <w:rsid w:val="005214FC"/>
    <w:rsid w:val="00521A91"/>
    <w:rsid w:val="00521E75"/>
    <w:rsid w:val="00522518"/>
    <w:rsid w:val="0052279A"/>
    <w:rsid w:val="005228D5"/>
    <w:rsid w:val="00524196"/>
    <w:rsid w:val="0052424D"/>
    <w:rsid w:val="005242A6"/>
    <w:rsid w:val="00524554"/>
    <w:rsid w:val="005247F2"/>
    <w:rsid w:val="005248BA"/>
    <w:rsid w:val="00524E67"/>
    <w:rsid w:val="005250AB"/>
    <w:rsid w:val="00525666"/>
    <w:rsid w:val="005256FE"/>
    <w:rsid w:val="00525EF1"/>
    <w:rsid w:val="005275C8"/>
    <w:rsid w:val="005305F9"/>
    <w:rsid w:val="00530B6E"/>
    <w:rsid w:val="00530C0E"/>
    <w:rsid w:val="00530F34"/>
    <w:rsid w:val="00531683"/>
    <w:rsid w:val="00531935"/>
    <w:rsid w:val="00531D52"/>
    <w:rsid w:val="005325FB"/>
    <w:rsid w:val="0053274E"/>
    <w:rsid w:val="005327B3"/>
    <w:rsid w:val="00532915"/>
    <w:rsid w:val="00532D5F"/>
    <w:rsid w:val="005333B7"/>
    <w:rsid w:val="00533455"/>
    <w:rsid w:val="00533C2A"/>
    <w:rsid w:val="00533E5D"/>
    <w:rsid w:val="00535168"/>
    <w:rsid w:val="0053591E"/>
    <w:rsid w:val="00535ADC"/>
    <w:rsid w:val="00535BA4"/>
    <w:rsid w:val="00535C82"/>
    <w:rsid w:val="00536BE0"/>
    <w:rsid w:val="0053717F"/>
    <w:rsid w:val="00537558"/>
    <w:rsid w:val="00537ECE"/>
    <w:rsid w:val="005401D7"/>
    <w:rsid w:val="005407EE"/>
    <w:rsid w:val="00540884"/>
    <w:rsid w:val="00540AC6"/>
    <w:rsid w:val="00540F04"/>
    <w:rsid w:val="00541256"/>
    <w:rsid w:val="0054265A"/>
    <w:rsid w:val="00542872"/>
    <w:rsid w:val="0054292F"/>
    <w:rsid w:val="0054373C"/>
    <w:rsid w:val="005438D8"/>
    <w:rsid w:val="00543DE9"/>
    <w:rsid w:val="00543FA6"/>
    <w:rsid w:val="005446F7"/>
    <w:rsid w:val="00544A34"/>
    <w:rsid w:val="00544D6C"/>
    <w:rsid w:val="00544F9E"/>
    <w:rsid w:val="00545207"/>
    <w:rsid w:val="005454C9"/>
    <w:rsid w:val="00545F5D"/>
    <w:rsid w:val="005461D8"/>
    <w:rsid w:val="005464C8"/>
    <w:rsid w:val="00546704"/>
    <w:rsid w:val="005474CB"/>
    <w:rsid w:val="00547A99"/>
    <w:rsid w:val="005504B0"/>
    <w:rsid w:val="005505D6"/>
    <w:rsid w:val="005507BF"/>
    <w:rsid w:val="0055092C"/>
    <w:rsid w:val="005516E7"/>
    <w:rsid w:val="00551C21"/>
    <w:rsid w:val="00551C84"/>
    <w:rsid w:val="00551E1C"/>
    <w:rsid w:val="00552365"/>
    <w:rsid w:val="005524D8"/>
    <w:rsid w:val="00552BB2"/>
    <w:rsid w:val="00553010"/>
    <w:rsid w:val="0055333C"/>
    <w:rsid w:val="00553520"/>
    <w:rsid w:val="00553674"/>
    <w:rsid w:val="00554844"/>
    <w:rsid w:val="00554A77"/>
    <w:rsid w:val="00554EC5"/>
    <w:rsid w:val="00554F13"/>
    <w:rsid w:val="005559ED"/>
    <w:rsid w:val="00555AA6"/>
    <w:rsid w:val="00556025"/>
    <w:rsid w:val="00556F2C"/>
    <w:rsid w:val="00557166"/>
    <w:rsid w:val="005602D8"/>
    <w:rsid w:val="00560A59"/>
    <w:rsid w:val="00561116"/>
    <w:rsid w:val="005616AD"/>
    <w:rsid w:val="00561EE8"/>
    <w:rsid w:val="0056258C"/>
    <w:rsid w:val="00562AF4"/>
    <w:rsid w:val="005631B9"/>
    <w:rsid w:val="00563447"/>
    <w:rsid w:val="005634E8"/>
    <w:rsid w:val="0056351C"/>
    <w:rsid w:val="0056373F"/>
    <w:rsid w:val="005641C8"/>
    <w:rsid w:val="005643FF"/>
    <w:rsid w:val="0056448F"/>
    <w:rsid w:val="00564F86"/>
    <w:rsid w:val="005656A4"/>
    <w:rsid w:val="00565B12"/>
    <w:rsid w:val="00565EED"/>
    <w:rsid w:val="00565F53"/>
    <w:rsid w:val="005662DA"/>
    <w:rsid w:val="00566D76"/>
    <w:rsid w:val="0056796C"/>
    <w:rsid w:val="00567AEB"/>
    <w:rsid w:val="00567E1A"/>
    <w:rsid w:val="00567ECF"/>
    <w:rsid w:val="00570130"/>
    <w:rsid w:val="00570694"/>
    <w:rsid w:val="00571977"/>
    <w:rsid w:val="00571DAB"/>
    <w:rsid w:val="00571DB5"/>
    <w:rsid w:val="00571DC0"/>
    <w:rsid w:val="00571DC3"/>
    <w:rsid w:val="005721D4"/>
    <w:rsid w:val="0057223F"/>
    <w:rsid w:val="0057291E"/>
    <w:rsid w:val="00572C5C"/>
    <w:rsid w:val="00572C76"/>
    <w:rsid w:val="0057389B"/>
    <w:rsid w:val="00573F34"/>
    <w:rsid w:val="005740AE"/>
    <w:rsid w:val="0057435D"/>
    <w:rsid w:val="005748A7"/>
    <w:rsid w:val="005748E3"/>
    <w:rsid w:val="00574DAA"/>
    <w:rsid w:val="00575236"/>
    <w:rsid w:val="00575364"/>
    <w:rsid w:val="005758FB"/>
    <w:rsid w:val="00575BC6"/>
    <w:rsid w:val="005765EE"/>
    <w:rsid w:val="00576ABE"/>
    <w:rsid w:val="00576DC9"/>
    <w:rsid w:val="0057724B"/>
    <w:rsid w:val="005774F9"/>
    <w:rsid w:val="00577536"/>
    <w:rsid w:val="005779FA"/>
    <w:rsid w:val="0058029F"/>
    <w:rsid w:val="00580A25"/>
    <w:rsid w:val="0058137B"/>
    <w:rsid w:val="005816E7"/>
    <w:rsid w:val="005820AF"/>
    <w:rsid w:val="0058243C"/>
    <w:rsid w:val="00582A3A"/>
    <w:rsid w:val="00582AE7"/>
    <w:rsid w:val="00582BD3"/>
    <w:rsid w:val="0058520B"/>
    <w:rsid w:val="0058558A"/>
    <w:rsid w:val="00585A51"/>
    <w:rsid w:val="00585D73"/>
    <w:rsid w:val="00585E4A"/>
    <w:rsid w:val="00585ED6"/>
    <w:rsid w:val="00586AD0"/>
    <w:rsid w:val="00586B93"/>
    <w:rsid w:val="005873E1"/>
    <w:rsid w:val="005875E7"/>
    <w:rsid w:val="005876DF"/>
    <w:rsid w:val="005901A7"/>
    <w:rsid w:val="00590798"/>
    <w:rsid w:val="005910AB"/>
    <w:rsid w:val="005918C6"/>
    <w:rsid w:val="00592B43"/>
    <w:rsid w:val="00592C13"/>
    <w:rsid w:val="00592DB0"/>
    <w:rsid w:val="00592E20"/>
    <w:rsid w:val="005930C6"/>
    <w:rsid w:val="00594B5F"/>
    <w:rsid w:val="005959A0"/>
    <w:rsid w:val="0059688C"/>
    <w:rsid w:val="005970E2"/>
    <w:rsid w:val="0059730F"/>
    <w:rsid w:val="005975B3"/>
    <w:rsid w:val="00597735"/>
    <w:rsid w:val="005977D9"/>
    <w:rsid w:val="0059786D"/>
    <w:rsid w:val="005A015C"/>
    <w:rsid w:val="005A037A"/>
    <w:rsid w:val="005A094E"/>
    <w:rsid w:val="005A0CBC"/>
    <w:rsid w:val="005A0E8C"/>
    <w:rsid w:val="005A1197"/>
    <w:rsid w:val="005A1F1F"/>
    <w:rsid w:val="005A2003"/>
    <w:rsid w:val="005A2875"/>
    <w:rsid w:val="005A2ECF"/>
    <w:rsid w:val="005A3A6C"/>
    <w:rsid w:val="005A40AA"/>
    <w:rsid w:val="005A4797"/>
    <w:rsid w:val="005A4A34"/>
    <w:rsid w:val="005A4B84"/>
    <w:rsid w:val="005A6FF3"/>
    <w:rsid w:val="005B0A24"/>
    <w:rsid w:val="005B1446"/>
    <w:rsid w:val="005B1499"/>
    <w:rsid w:val="005B22BB"/>
    <w:rsid w:val="005B274B"/>
    <w:rsid w:val="005B2A69"/>
    <w:rsid w:val="005B2CD3"/>
    <w:rsid w:val="005B2FD2"/>
    <w:rsid w:val="005B30D1"/>
    <w:rsid w:val="005B389F"/>
    <w:rsid w:val="005B3F98"/>
    <w:rsid w:val="005B4B72"/>
    <w:rsid w:val="005B4F6A"/>
    <w:rsid w:val="005B52A6"/>
    <w:rsid w:val="005B542B"/>
    <w:rsid w:val="005B5BC5"/>
    <w:rsid w:val="005B5FF0"/>
    <w:rsid w:val="005B6650"/>
    <w:rsid w:val="005B6CB9"/>
    <w:rsid w:val="005B6F1D"/>
    <w:rsid w:val="005B70D1"/>
    <w:rsid w:val="005B715E"/>
    <w:rsid w:val="005B764A"/>
    <w:rsid w:val="005B7D93"/>
    <w:rsid w:val="005C0E88"/>
    <w:rsid w:val="005C125B"/>
    <w:rsid w:val="005C17E6"/>
    <w:rsid w:val="005C1F54"/>
    <w:rsid w:val="005C2102"/>
    <w:rsid w:val="005C227B"/>
    <w:rsid w:val="005C2A47"/>
    <w:rsid w:val="005C2F78"/>
    <w:rsid w:val="005C308E"/>
    <w:rsid w:val="005C377A"/>
    <w:rsid w:val="005C3CE1"/>
    <w:rsid w:val="005C4991"/>
    <w:rsid w:val="005C514A"/>
    <w:rsid w:val="005C5781"/>
    <w:rsid w:val="005C5AA6"/>
    <w:rsid w:val="005C5F04"/>
    <w:rsid w:val="005C6BF4"/>
    <w:rsid w:val="005C7269"/>
    <w:rsid w:val="005C7F4A"/>
    <w:rsid w:val="005D0177"/>
    <w:rsid w:val="005D05E5"/>
    <w:rsid w:val="005D0637"/>
    <w:rsid w:val="005D0CC3"/>
    <w:rsid w:val="005D0D59"/>
    <w:rsid w:val="005D0D5E"/>
    <w:rsid w:val="005D1051"/>
    <w:rsid w:val="005D22B6"/>
    <w:rsid w:val="005D2AC6"/>
    <w:rsid w:val="005D2BD1"/>
    <w:rsid w:val="005D2D6E"/>
    <w:rsid w:val="005D3422"/>
    <w:rsid w:val="005D3601"/>
    <w:rsid w:val="005D4397"/>
    <w:rsid w:val="005D48DC"/>
    <w:rsid w:val="005D49C6"/>
    <w:rsid w:val="005D599B"/>
    <w:rsid w:val="005D5F1F"/>
    <w:rsid w:val="005D60DC"/>
    <w:rsid w:val="005D62FE"/>
    <w:rsid w:val="005D6D3E"/>
    <w:rsid w:val="005D6F19"/>
    <w:rsid w:val="005D7300"/>
    <w:rsid w:val="005D7A2F"/>
    <w:rsid w:val="005D7D44"/>
    <w:rsid w:val="005E0071"/>
    <w:rsid w:val="005E0127"/>
    <w:rsid w:val="005E1511"/>
    <w:rsid w:val="005E16BE"/>
    <w:rsid w:val="005E1C22"/>
    <w:rsid w:val="005E1FEC"/>
    <w:rsid w:val="005E1FF5"/>
    <w:rsid w:val="005E22DE"/>
    <w:rsid w:val="005E24F8"/>
    <w:rsid w:val="005E2970"/>
    <w:rsid w:val="005E2AAB"/>
    <w:rsid w:val="005E2C68"/>
    <w:rsid w:val="005E36E2"/>
    <w:rsid w:val="005E39A3"/>
    <w:rsid w:val="005E42B4"/>
    <w:rsid w:val="005E557A"/>
    <w:rsid w:val="005E5878"/>
    <w:rsid w:val="005E58DF"/>
    <w:rsid w:val="005E5FC5"/>
    <w:rsid w:val="005E6334"/>
    <w:rsid w:val="005E6412"/>
    <w:rsid w:val="005E679B"/>
    <w:rsid w:val="005E7100"/>
    <w:rsid w:val="005E7A9D"/>
    <w:rsid w:val="005E7DD2"/>
    <w:rsid w:val="005EE5AE"/>
    <w:rsid w:val="005F0071"/>
    <w:rsid w:val="005F120D"/>
    <w:rsid w:val="005F1470"/>
    <w:rsid w:val="005F158E"/>
    <w:rsid w:val="005F2026"/>
    <w:rsid w:val="005F2B79"/>
    <w:rsid w:val="005F2D21"/>
    <w:rsid w:val="005F3B70"/>
    <w:rsid w:val="005F3E56"/>
    <w:rsid w:val="005F47C0"/>
    <w:rsid w:val="005F483B"/>
    <w:rsid w:val="005F4C3D"/>
    <w:rsid w:val="005F5572"/>
    <w:rsid w:val="005F55AE"/>
    <w:rsid w:val="005F6318"/>
    <w:rsid w:val="005F6925"/>
    <w:rsid w:val="005F6AAD"/>
    <w:rsid w:val="005F70AD"/>
    <w:rsid w:val="005F7397"/>
    <w:rsid w:val="005F73B9"/>
    <w:rsid w:val="005F7964"/>
    <w:rsid w:val="00600353"/>
    <w:rsid w:val="00600B8A"/>
    <w:rsid w:val="00600BC8"/>
    <w:rsid w:val="00600FE3"/>
    <w:rsid w:val="00601629"/>
    <w:rsid w:val="006016DF"/>
    <w:rsid w:val="00601AAF"/>
    <w:rsid w:val="00601AD5"/>
    <w:rsid w:val="00601B6D"/>
    <w:rsid w:val="00602065"/>
    <w:rsid w:val="006023F4"/>
    <w:rsid w:val="00602440"/>
    <w:rsid w:val="00602500"/>
    <w:rsid w:val="0060272B"/>
    <w:rsid w:val="0060290B"/>
    <w:rsid w:val="00602E04"/>
    <w:rsid w:val="0060379D"/>
    <w:rsid w:val="00603ECB"/>
    <w:rsid w:val="00604047"/>
    <w:rsid w:val="006042A9"/>
    <w:rsid w:val="00604B8B"/>
    <w:rsid w:val="00605371"/>
    <w:rsid w:val="006058BB"/>
    <w:rsid w:val="00605A29"/>
    <w:rsid w:val="00605E79"/>
    <w:rsid w:val="0060601F"/>
    <w:rsid w:val="006069A6"/>
    <w:rsid w:val="006076DB"/>
    <w:rsid w:val="00607776"/>
    <w:rsid w:val="00607A2E"/>
    <w:rsid w:val="00607B66"/>
    <w:rsid w:val="00607D01"/>
    <w:rsid w:val="0061001C"/>
    <w:rsid w:val="00610AAC"/>
    <w:rsid w:val="00611E86"/>
    <w:rsid w:val="006124BF"/>
    <w:rsid w:val="006125FB"/>
    <w:rsid w:val="006125FD"/>
    <w:rsid w:val="0061278E"/>
    <w:rsid w:val="00612C7E"/>
    <w:rsid w:val="00612F0D"/>
    <w:rsid w:val="00613381"/>
    <w:rsid w:val="0061388A"/>
    <w:rsid w:val="006140D8"/>
    <w:rsid w:val="00614C34"/>
    <w:rsid w:val="00615666"/>
    <w:rsid w:val="00616032"/>
    <w:rsid w:val="0061697F"/>
    <w:rsid w:val="00617C76"/>
    <w:rsid w:val="006201F5"/>
    <w:rsid w:val="00620251"/>
    <w:rsid w:val="00620332"/>
    <w:rsid w:val="00620D3A"/>
    <w:rsid w:val="006212D3"/>
    <w:rsid w:val="006212E8"/>
    <w:rsid w:val="006217FC"/>
    <w:rsid w:val="006218B8"/>
    <w:rsid w:val="0062223D"/>
    <w:rsid w:val="006223C8"/>
    <w:rsid w:val="006224C1"/>
    <w:rsid w:val="006224C5"/>
    <w:rsid w:val="00623755"/>
    <w:rsid w:val="00624101"/>
    <w:rsid w:val="00624119"/>
    <w:rsid w:val="00624B68"/>
    <w:rsid w:val="0062696D"/>
    <w:rsid w:val="006272E0"/>
    <w:rsid w:val="00627ADC"/>
    <w:rsid w:val="00627BAE"/>
    <w:rsid w:val="00627CBE"/>
    <w:rsid w:val="00630641"/>
    <w:rsid w:val="006310C0"/>
    <w:rsid w:val="00631370"/>
    <w:rsid w:val="0063138A"/>
    <w:rsid w:val="00631895"/>
    <w:rsid w:val="0063261D"/>
    <w:rsid w:val="0063275C"/>
    <w:rsid w:val="00633A6F"/>
    <w:rsid w:val="00633EBE"/>
    <w:rsid w:val="0063401E"/>
    <w:rsid w:val="006342BF"/>
    <w:rsid w:val="00634426"/>
    <w:rsid w:val="00634F94"/>
    <w:rsid w:val="006352EC"/>
    <w:rsid w:val="00635A40"/>
    <w:rsid w:val="00635F75"/>
    <w:rsid w:val="0063624F"/>
    <w:rsid w:val="006368CB"/>
    <w:rsid w:val="006374D7"/>
    <w:rsid w:val="00637979"/>
    <w:rsid w:val="00637FBC"/>
    <w:rsid w:val="006404A6"/>
    <w:rsid w:val="0064110B"/>
    <w:rsid w:val="006418AC"/>
    <w:rsid w:val="00641CC6"/>
    <w:rsid w:val="00641EB5"/>
    <w:rsid w:val="00641FD8"/>
    <w:rsid w:val="00642530"/>
    <w:rsid w:val="006426B9"/>
    <w:rsid w:val="00642783"/>
    <w:rsid w:val="006436AB"/>
    <w:rsid w:val="00643EA5"/>
    <w:rsid w:val="00644579"/>
    <w:rsid w:val="00644962"/>
    <w:rsid w:val="00644DB1"/>
    <w:rsid w:val="006457E5"/>
    <w:rsid w:val="0064584D"/>
    <w:rsid w:val="00645869"/>
    <w:rsid w:val="00645A69"/>
    <w:rsid w:val="00645D4A"/>
    <w:rsid w:val="0064657E"/>
    <w:rsid w:val="00646FC0"/>
    <w:rsid w:val="00647025"/>
    <w:rsid w:val="0065066A"/>
    <w:rsid w:val="00650C89"/>
    <w:rsid w:val="0065147D"/>
    <w:rsid w:val="0065170D"/>
    <w:rsid w:val="006523E2"/>
    <w:rsid w:val="00652B2A"/>
    <w:rsid w:val="00652C7E"/>
    <w:rsid w:val="0065332B"/>
    <w:rsid w:val="006536CC"/>
    <w:rsid w:val="00653CA4"/>
    <w:rsid w:val="00654094"/>
    <w:rsid w:val="006543F4"/>
    <w:rsid w:val="006545A9"/>
    <w:rsid w:val="006555A4"/>
    <w:rsid w:val="00655A62"/>
    <w:rsid w:val="00656106"/>
    <w:rsid w:val="00656356"/>
    <w:rsid w:val="006564DD"/>
    <w:rsid w:val="0065666E"/>
    <w:rsid w:val="00656D4C"/>
    <w:rsid w:val="00657B07"/>
    <w:rsid w:val="00657D75"/>
    <w:rsid w:val="006602E0"/>
    <w:rsid w:val="00660543"/>
    <w:rsid w:val="00660CC2"/>
    <w:rsid w:val="00660D07"/>
    <w:rsid w:val="00660D9E"/>
    <w:rsid w:val="00661521"/>
    <w:rsid w:val="00661A27"/>
    <w:rsid w:val="00662256"/>
    <w:rsid w:val="00662411"/>
    <w:rsid w:val="00662BD9"/>
    <w:rsid w:val="0066314E"/>
    <w:rsid w:val="00663C8D"/>
    <w:rsid w:val="006640C6"/>
    <w:rsid w:val="006641CA"/>
    <w:rsid w:val="0066495D"/>
    <w:rsid w:val="006649CB"/>
    <w:rsid w:val="006655F2"/>
    <w:rsid w:val="00665B14"/>
    <w:rsid w:val="00665C73"/>
    <w:rsid w:val="0066653F"/>
    <w:rsid w:val="00666A86"/>
    <w:rsid w:val="0066763C"/>
    <w:rsid w:val="00667860"/>
    <w:rsid w:val="00670145"/>
    <w:rsid w:val="00670746"/>
    <w:rsid w:val="006707EB"/>
    <w:rsid w:val="00670C36"/>
    <w:rsid w:val="00671A60"/>
    <w:rsid w:val="00671E2D"/>
    <w:rsid w:val="00672008"/>
    <w:rsid w:val="00672E8A"/>
    <w:rsid w:val="00673830"/>
    <w:rsid w:val="00673E79"/>
    <w:rsid w:val="00674192"/>
    <w:rsid w:val="0067430E"/>
    <w:rsid w:val="00674C5F"/>
    <w:rsid w:val="00675654"/>
    <w:rsid w:val="006757A6"/>
    <w:rsid w:val="00675FD6"/>
    <w:rsid w:val="0067647F"/>
    <w:rsid w:val="00676482"/>
    <w:rsid w:val="00676502"/>
    <w:rsid w:val="00676B0C"/>
    <w:rsid w:val="006776CA"/>
    <w:rsid w:val="006778E3"/>
    <w:rsid w:val="00677E2D"/>
    <w:rsid w:val="006801F4"/>
    <w:rsid w:val="00680D25"/>
    <w:rsid w:val="00682095"/>
    <w:rsid w:val="006824E2"/>
    <w:rsid w:val="00682681"/>
    <w:rsid w:val="00682B49"/>
    <w:rsid w:val="00683324"/>
    <w:rsid w:val="006839BA"/>
    <w:rsid w:val="00683C45"/>
    <w:rsid w:val="00683C6B"/>
    <w:rsid w:val="006841BC"/>
    <w:rsid w:val="006843DE"/>
    <w:rsid w:val="00684A27"/>
    <w:rsid w:val="00684E61"/>
    <w:rsid w:val="006855B5"/>
    <w:rsid w:val="00687178"/>
    <w:rsid w:val="00690169"/>
    <w:rsid w:val="00690353"/>
    <w:rsid w:val="00690C91"/>
    <w:rsid w:val="006910E2"/>
    <w:rsid w:val="006912AE"/>
    <w:rsid w:val="00691844"/>
    <w:rsid w:val="00691AE9"/>
    <w:rsid w:val="00692265"/>
    <w:rsid w:val="00692E4D"/>
    <w:rsid w:val="00692EF7"/>
    <w:rsid w:val="006938C8"/>
    <w:rsid w:val="00693966"/>
    <w:rsid w:val="00693B53"/>
    <w:rsid w:val="00693E72"/>
    <w:rsid w:val="00694612"/>
    <w:rsid w:val="00694EA8"/>
    <w:rsid w:val="006952E5"/>
    <w:rsid w:val="00695907"/>
    <w:rsid w:val="00695F82"/>
    <w:rsid w:val="00696067"/>
    <w:rsid w:val="0069691B"/>
    <w:rsid w:val="00696CF7"/>
    <w:rsid w:val="006971A5"/>
    <w:rsid w:val="0069720A"/>
    <w:rsid w:val="00697971"/>
    <w:rsid w:val="006979B0"/>
    <w:rsid w:val="00697BAA"/>
    <w:rsid w:val="00697BFB"/>
    <w:rsid w:val="00697FB2"/>
    <w:rsid w:val="006A0EDB"/>
    <w:rsid w:val="006A124C"/>
    <w:rsid w:val="006A271D"/>
    <w:rsid w:val="006A281C"/>
    <w:rsid w:val="006A2A59"/>
    <w:rsid w:val="006A3230"/>
    <w:rsid w:val="006A419B"/>
    <w:rsid w:val="006A44BA"/>
    <w:rsid w:val="006A47C8"/>
    <w:rsid w:val="006A480B"/>
    <w:rsid w:val="006A4B96"/>
    <w:rsid w:val="006A50E6"/>
    <w:rsid w:val="006A54D7"/>
    <w:rsid w:val="006A582E"/>
    <w:rsid w:val="006A5B35"/>
    <w:rsid w:val="006A6540"/>
    <w:rsid w:val="006A6717"/>
    <w:rsid w:val="006A677C"/>
    <w:rsid w:val="006A7045"/>
    <w:rsid w:val="006A7423"/>
    <w:rsid w:val="006A7428"/>
    <w:rsid w:val="006B0BA6"/>
    <w:rsid w:val="006B139A"/>
    <w:rsid w:val="006B1796"/>
    <w:rsid w:val="006B188A"/>
    <w:rsid w:val="006B2173"/>
    <w:rsid w:val="006B222E"/>
    <w:rsid w:val="006B27D5"/>
    <w:rsid w:val="006B297B"/>
    <w:rsid w:val="006B2BB3"/>
    <w:rsid w:val="006B2D7F"/>
    <w:rsid w:val="006B333F"/>
    <w:rsid w:val="006B367C"/>
    <w:rsid w:val="006B36B2"/>
    <w:rsid w:val="006B39A8"/>
    <w:rsid w:val="006B4633"/>
    <w:rsid w:val="006B4667"/>
    <w:rsid w:val="006B4BA0"/>
    <w:rsid w:val="006B4CA6"/>
    <w:rsid w:val="006B547D"/>
    <w:rsid w:val="006B5E37"/>
    <w:rsid w:val="006B64D0"/>
    <w:rsid w:val="006B65E1"/>
    <w:rsid w:val="006B69CF"/>
    <w:rsid w:val="006B77FD"/>
    <w:rsid w:val="006C0241"/>
    <w:rsid w:val="006C0613"/>
    <w:rsid w:val="006C0E5F"/>
    <w:rsid w:val="006C1697"/>
    <w:rsid w:val="006C1A9B"/>
    <w:rsid w:val="006C1DAF"/>
    <w:rsid w:val="006C2201"/>
    <w:rsid w:val="006C22A6"/>
    <w:rsid w:val="006C3407"/>
    <w:rsid w:val="006C407A"/>
    <w:rsid w:val="006C415F"/>
    <w:rsid w:val="006C4209"/>
    <w:rsid w:val="006C53F3"/>
    <w:rsid w:val="006C5413"/>
    <w:rsid w:val="006C5471"/>
    <w:rsid w:val="006C58AE"/>
    <w:rsid w:val="006C5BBF"/>
    <w:rsid w:val="006C5E13"/>
    <w:rsid w:val="006C5F8A"/>
    <w:rsid w:val="006C653A"/>
    <w:rsid w:val="006C6EB9"/>
    <w:rsid w:val="006D0320"/>
    <w:rsid w:val="006D1335"/>
    <w:rsid w:val="006D1A50"/>
    <w:rsid w:val="006D205D"/>
    <w:rsid w:val="006D2950"/>
    <w:rsid w:val="006D2A5C"/>
    <w:rsid w:val="006D2C35"/>
    <w:rsid w:val="006D2EB4"/>
    <w:rsid w:val="006D2ECA"/>
    <w:rsid w:val="006D3104"/>
    <w:rsid w:val="006D39D0"/>
    <w:rsid w:val="006D3E92"/>
    <w:rsid w:val="006D5394"/>
    <w:rsid w:val="006D5507"/>
    <w:rsid w:val="006D5CB2"/>
    <w:rsid w:val="006D5D0A"/>
    <w:rsid w:val="006D6295"/>
    <w:rsid w:val="006D6338"/>
    <w:rsid w:val="006D6AD9"/>
    <w:rsid w:val="006D731D"/>
    <w:rsid w:val="006D7A65"/>
    <w:rsid w:val="006E01B4"/>
    <w:rsid w:val="006E1E60"/>
    <w:rsid w:val="006E2986"/>
    <w:rsid w:val="006E2D35"/>
    <w:rsid w:val="006E2E21"/>
    <w:rsid w:val="006E2FDE"/>
    <w:rsid w:val="006E39EF"/>
    <w:rsid w:val="006E3C61"/>
    <w:rsid w:val="006E3FA6"/>
    <w:rsid w:val="006E4FD6"/>
    <w:rsid w:val="006E529F"/>
    <w:rsid w:val="006E54CC"/>
    <w:rsid w:val="006E56A1"/>
    <w:rsid w:val="006E5785"/>
    <w:rsid w:val="006E5954"/>
    <w:rsid w:val="006E5E49"/>
    <w:rsid w:val="006E6197"/>
    <w:rsid w:val="006E61AB"/>
    <w:rsid w:val="006E626A"/>
    <w:rsid w:val="006E6436"/>
    <w:rsid w:val="006E6499"/>
    <w:rsid w:val="006E6A4A"/>
    <w:rsid w:val="006E6A61"/>
    <w:rsid w:val="006E7297"/>
    <w:rsid w:val="006E7B36"/>
    <w:rsid w:val="006E7B94"/>
    <w:rsid w:val="006F0142"/>
    <w:rsid w:val="006F0553"/>
    <w:rsid w:val="006F0A23"/>
    <w:rsid w:val="006F0D7A"/>
    <w:rsid w:val="006F0E9F"/>
    <w:rsid w:val="006F1314"/>
    <w:rsid w:val="006F1362"/>
    <w:rsid w:val="006F1B87"/>
    <w:rsid w:val="006F1FCB"/>
    <w:rsid w:val="006F206E"/>
    <w:rsid w:val="006F2403"/>
    <w:rsid w:val="006F29F2"/>
    <w:rsid w:val="006F2B70"/>
    <w:rsid w:val="006F2CE1"/>
    <w:rsid w:val="006F398A"/>
    <w:rsid w:val="006F3AE7"/>
    <w:rsid w:val="006F3EDF"/>
    <w:rsid w:val="006F3FF7"/>
    <w:rsid w:val="006F433C"/>
    <w:rsid w:val="006F43E8"/>
    <w:rsid w:val="006F45A6"/>
    <w:rsid w:val="006F4762"/>
    <w:rsid w:val="006F5001"/>
    <w:rsid w:val="006F5728"/>
    <w:rsid w:val="006F5A1F"/>
    <w:rsid w:val="006F63D3"/>
    <w:rsid w:val="006F646C"/>
    <w:rsid w:val="006F6B48"/>
    <w:rsid w:val="006F6CFC"/>
    <w:rsid w:val="006F6D8A"/>
    <w:rsid w:val="006F72E0"/>
    <w:rsid w:val="006F73BB"/>
    <w:rsid w:val="0070079B"/>
    <w:rsid w:val="00700820"/>
    <w:rsid w:val="0070095E"/>
    <w:rsid w:val="00701513"/>
    <w:rsid w:val="00701982"/>
    <w:rsid w:val="00702135"/>
    <w:rsid w:val="007023B0"/>
    <w:rsid w:val="00702790"/>
    <w:rsid w:val="0070403C"/>
    <w:rsid w:val="007042C0"/>
    <w:rsid w:val="007046E3"/>
    <w:rsid w:val="00704BD3"/>
    <w:rsid w:val="00704CF6"/>
    <w:rsid w:val="00705039"/>
    <w:rsid w:val="00705E3E"/>
    <w:rsid w:val="00706BCF"/>
    <w:rsid w:val="007072E2"/>
    <w:rsid w:val="00707B63"/>
    <w:rsid w:val="00707C79"/>
    <w:rsid w:val="00707D6F"/>
    <w:rsid w:val="007100AA"/>
    <w:rsid w:val="00710231"/>
    <w:rsid w:val="00710CB1"/>
    <w:rsid w:val="007112A8"/>
    <w:rsid w:val="00711A88"/>
    <w:rsid w:val="00711C59"/>
    <w:rsid w:val="007126AA"/>
    <w:rsid w:val="007131A5"/>
    <w:rsid w:val="00713220"/>
    <w:rsid w:val="007137C1"/>
    <w:rsid w:val="00713E66"/>
    <w:rsid w:val="00714131"/>
    <w:rsid w:val="007141DA"/>
    <w:rsid w:val="00714483"/>
    <w:rsid w:val="00714663"/>
    <w:rsid w:val="00715117"/>
    <w:rsid w:val="007154B2"/>
    <w:rsid w:val="007157CF"/>
    <w:rsid w:val="007159D5"/>
    <w:rsid w:val="00715C4C"/>
    <w:rsid w:val="00715CA7"/>
    <w:rsid w:val="00715D04"/>
    <w:rsid w:val="00715FD6"/>
    <w:rsid w:val="007161A6"/>
    <w:rsid w:val="0071624D"/>
    <w:rsid w:val="007165FD"/>
    <w:rsid w:val="0071705B"/>
    <w:rsid w:val="0071706B"/>
    <w:rsid w:val="00717680"/>
    <w:rsid w:val="007176E9"/>
    <w:rsid w:val="007205FB"/>
    <w:rsid w:val="00720634"/>
    <w:rsid w:val="00720B97"/>
    <w:rsid w:val="00720DB5"/>
    <w:rsid w:val="00720E70"/>
    <w:rsid w:val="00721DDF"/>
    <w:rsid w:val="00722432"/>
    <w:rsid w:val="0072252B"/>
    <w:rsid w:val="0072259B"/>
    <w:rsid w:val="00722758"/>
    <w:rsid w:val="00722955"/>
    <w:rsid w:val="00722BB0"/>
    <w:rsid w:val="00722F84"/>
    <w:rsid w:val="00723117"/>
    <w:rsid w:val="00723363"/>
    <w:rsid w:val="007233FC"/>
    <w:rsid w:val="00723496"/>
    <w:rsid w:val="00723FFB"/>
    <w:rsid w:val="00724794"/>
    <w:rsid w:val="0072683C"/>
    <w:rsid w:val="0072692D"/>
    <w:rsid w:val="00726F79"/>
    <w:rsid w:val="00727270"/>
    <w:rsid w:val="00727704"/>
    <w:rsid w:val="00727C2B"/>
    <w:rsid w:val="00727DAC"/>
    <w:rsid w:val="0073078D"/>
    <w:rsid w:val="00730844"/>
    <w:rsid w:val="007311C8"/>
    <w:rsid w:val="00731755"/>
    <w:rsid w:val="00731FBB"/>
    <w:rsid w:val="007326DF"/>
    <w:rsid w:val="00733448"/>
    <w:rsid w:val="00733C07"/>
    <w:rsid w:val="00734DAE"/>
    <w:rsid w:val="007357A7"/>
    <w:rsid w:val="0073610A"/>
    <w:rsid w:val="007366DE"/>
    <w:rsid w:val="007368F4"/>
    <w:rsid w:val="00736CC2"/>
    <w:rsid w:val="00736CC9"/>
    <w:rsid w:val="0074017D"/>
    <w:rsid w:val="0074024E"/>
    <w:rsid w:val="00740D7D"/>
    <w:rsid w:val="0074106C"/>
    <w:rsid w:val="0074109A"/>
    <w:rsid w:val="00741694"/>
    <w:rsid w:val="007418B6"/>
    <w:rsid w:val="00741D84"/>
    <w:rsid w:val="00742149"/>
    <w:rsid w:val="007426DF"/>
    <w:rsid w:val="0074335B"/>
    <w:rsid w:val="0074376B"/>
    <w:rsid w:val="00743C99"/>
    <w:rsid w:val="00743D00"/>
    <w:rsid w:val="00744276"/>
    <w:rsid w:val="00744E7D"/>
    <w:rsid w:val="0074502B"/>
    <w:rsid w:val="00745948"/>
    <w:rsid w:val="00745A42"/>
    <w:rsid w:val="00745B0B"/>
    <w:rsid w:val="0074697B"/>
    <w:rsid w:val="00746D11"/>
    <w:rsid w:val="00746DB3"/>
    <w:rsid w:val="00746E0D"/>
    <w:rsid w:val="00746E6A"/>
    <w:rsid w:val="00747281"/>
    <w:rsid w:val="0074743F"/>
    <w:rsid w:val="00747862"/>
    <w:rsid w:val="007503B0"/>
    <w:rsid w:val="007507EB"/>
    <w:rsid w:val="00750BD2"/>
    <w:rsid w:val="00750F76"/>
    <w:rsid w:val="00751439"/>
    <w:rsid w:val="00751DEE"/>
    <w:rsid w:val="007522C9"/>
    <w:rsid w:val="00753500"/>
    <w:rsid w:val="00753B6D"/>
    <w:rsid w:val="007540DA"/>
    <w:rsid w:val="0075433C"/>
    <w:rsid w:val="00754560"/>
    <w:rsid w:val="0075462B"/>
    <w:rsid w:val="007549BF"/>
    <w:rsid w:val="00754BF3"/>
    <w:rsid w:val="00754E88"/>
    <w:rsid w:val="00755562"/>
    <w:rsid w:val="007557CB"/>
    <w:rsid w:val="00755DDA"/>
    <w:rsid w:val="00755E04"/>
    <w:rsid w:val="00755F1A"/>
    <w:rsid w:val="00755FB2"/>
    <w:rsid w:val="007567AD"/>
    <w:rsid w:val="00756CEF"/>
    <w:rsid w:val="007572A9"/>
    <w:rsid w:val="00757614"/>
    <w:rsid w:val="007579F0"/>
    <w:rsid w:val="00757D6D"/>
    <w:rsid w:val="00760565"/>
    <w:rsid w:val="007605C9"/>
    <w:rsid w:val="0076101D"/>
    <w:rsid w:val="00761140"/>
    <w:rsid w:val="00761F4A"/>
    <w:rsid w:val="00762B1D"/>
    <w:rsid w:val="007630E9"/>
    <w:rsid w:val="0076310A"/>
    <w:rsid w:val="0076316D"/>
    <w:rsid w:val="007631FD"/>
    <w:rsid w:val="00763930"/>
    <w:rsid w:val="00763A98"/>
    <w:rsid w:val="00763F69"/>
    <w:rsid w:val="00764022"/>
    <w:rsid w:val="00765B5E"/>
    <w:rsid w:val="00765F09"/>
    <w:rsid w:val="00766352"/>
    <w:rsid w:val="007665A1"/>
    <w:rsid w:val="0076676C"/>
    <w:rsid w:val="00766B37"/>
    <w:rsid w:val="00767154"/>
    <w:rsid w:val="007678C5"/>
    <w:rsid w:val="00770386"/>
    <w:rsid w:val="0077084F"/>
    <w:rsid w:val="00770C29"/>
    <w:rsid w:val="00770E92"/>
    <w:rsid w:val="00771CE3"/>
    <w:rsid w:val="0077292B"/>
    <w:rsid w:val="0077394A"/>
    <w:rsid w:val="00774448"/>
    <w:rsid w:val="007759FE"/>
    <w:rsid w:val="00776C36"/>
    <w:rsid w:val="00776F25"/>
    <w:rsid w:val="007779EE"/>
    <w:rsid w:val="007804E7"/>
    <w:rsid w:val="00780677"/>
    <w:rsid w:val="00780F17"/>
    <w:rsid w:val="007811C5"/>
    <w:rsid w:val="00781377"/>
    <w:rsid w:val="007818C0"/>
    <w:rsid w:val="007819C0"/>
    <w:rsid w:val="00781C63"/>
    <w:rsid w:val="00781C7C"/>
    <w:rsid w:val="00781E5B"/>
    <w:rsid w:val="007820BA"/>
    <w:rsid w:val="007821A6"/>
    <w:rsid w:val="00782452"/>
    <w:rsid w:val="007830DF"/>
    <w:rsid w:val="00783354"/>
    <w:rsid w:val="007838C7"/>
    <w:rsid w:val="0078405A"/>
    <w:rsid w:val="0078409D"/>
    <w:rsid w:val="00784140"/>
    <w:rsid w:val="00784362"/>
    <w:rsid w:val="007846D7"/>
    <w:rsid w:val="00784889"/>
    <w:rsid w:val="00784DB9"/>
    <w:rsid w:val="007850DC"/>
    <w:rsid w:val="00785A16"/>
    <w:rsid w:val="007877E2"/>
    <w:rsid w:val="0078794F"/>
    <w:rsid w:val="00787D75"/>
    <w:rsid w:val="00787F2B"/>
    <w:rsid w:val="007914A5"/>
    <w:rsid w:val="00791611"/>
    <w:rsid w:val="00791631"/>
    <w:rsid w:val="007918AF"/>
    <w:rsid w:val="007924CA"/>
    <w:rsid w:val="00792CE3"/>
    <w:rsid w:val="00792CE6"/>
    <w:rsid w:val="007933C2"/>
    <w:rsid w:val="007937EC"/>
    <w:rsid w:val="00793AC4"/>
    <w:rsid w:val="00794E29"/>
    <w:rsid w:val="00795318"/>
    <w:rsid w:val="007954D4"/>
    <w:rsid w:val="0079596B"/>
    <w:rsid w:val="00795A67"/>
    <w:rsid w:val="00795AAB"/>
    <w:rsid w:val="007968C1"/>
    <w:rsid w:val="00796D7A"/>
    <w:rsid w:val="00797042"/>
    <w:rsid w:val="007971AE"/>
    <w:rsid w:val="007A01B5"/>
    <w:rsid w:val="007A02C8"/>
    <w:rsid w:val="007A09AE"/>
    <w:rsid w:val="007A0CCD"/>
    <w:rsid w:val="007A0F97"/>
    <w:rsid w:val="007A121D"/>
    <w:rsid w:val="007A147A"/>
    <w:rsid w:val="007A1572"/>
    <w:rsid w:val="007A1896"/>
    <w:rsid w:val="007A1B16"/>
    <w:rsid w:val="007A25D5"/>
    <w:rsid w:val="007A2D9C"/>
    <w:rsid w:val="007A370A"/>
    <w:rsid w:val="007A3EAD"/>
    <w:rsid w:val="007A3F4B"/>
    <w:rsid w:val="007A40C4"/>
    <w:rsid w:val="007A4321"/>
    <w:rsid w:val="007A43F7"/>
    <w:rsid w:val="007A4F05"/>
    <w:rsid w:val="007A53AB"/>
    <w:rsid w:val="007A5E58"/>
    <w:rsid w:val="007A5E98"/>
    <w:rsid w:val="007A5F73"/>
    <w:rsid w:val="007A657C"/>
    <w:rsid w:val="007A73DB"/>
    <w:rsid w:val="007A7E46"/>
    <w:rsid w:val="007B0614"/>
    <w:rsid w:val="007B07AF"/>
    <w:rsid w:val="007B0CA8"/>
    <w:rsid w:val="007B151D"/>
    <w:rsid w:val="007B2748"/>
    <w:rsid w:val="007B2EB1"/>
    <w:rsid w:val="007B3759"/>
    <w:rsid w:val="007B3A02"/>
    <w:rsid w:val="007B3B1A"/>
    <w:rsid w:val="007B46C5"/>
    <w:rsid w:val="007B47A9"/>
    <w:rsid w:val="007B4DFC"/>
    <w:rsid w:val="007B53CC"/>
    <w:rsid w:val="007B5D4C"/>
    <w:rsid w:val="007B5EE5"/>
    <w:rsid w:val="007B6173"/>
    <w:rsid w:val="007B6DDF"/>
    <w:rsid w:val="007B774B"/>
    <w:rsid w:val="007C05A9"/>
    <w:rsid w:val="007C0B35"/>
    <w:rsid w:val="007C1CAD"/>
    <w:rsid w:val="007C228E"/>
    <w:rsid w:val="007C28D1"/>
    <w:rsid w:val="007C2BEB"/>
    <w:rsid w:val="007C2E3E"/>
    <w:rsid w:val="007C2F69"/>
    <w:rsid w:val="007C317A"/>
    <w:rsid w:val="007C3507"/>
    <w:rsid w:val="007C3ABB"/>
    <w:rsid w:val="007C3CF8"/>
    <w:rsid w:val="007C3FC2"/>
    <w:rsid w:val="007C4DE7"/>
    <w:rsid w:val="007C537D"/>
    <w:rsid w:val="007C53A6"/>
    <w:rsid w:val="007C5440"/>
    <w:rsid w:val="007C575A"/>
    <w:rsid w:val="007C58EC"/>
    <w:rsid w:val="007C5E10"/>
    <w:rsid w:val="007C6F64"/>
    <w:rsid w:val="007C6FAA"/>
    <w:rsid w:val="007C70B1"/>
    <w:rsid w:val="007C7C1C"/>
    <w:rsid w:val="007D0240"/>
    <w:rsid w:val="007D0BB2"/>
    <w:rsid w:val="007D1309"/>
    <w:rsid w:val="007D140D"/>
    <w:rsid w:val="007D1B60"/>
    <w:rsid w:val="007D26E4"/>
    <w:rsid w:val="007D2805"/>
    <w:rsid w:val="007D3D6D"/>
    <w:rsid w:val="007D43E8"/>
    <w:rsid w:val="007D45E5"/>
    <w:rsid w:val="007D46C5"/>
    <w:rsid w:val="007D47DE"/>
    <w:rsid w:val="007D49E8"/>
    <w:rsid w:val="007D5081"/>
    <w:rsid w:val="007D654B"/>
    <w:rsid w:val="007D752E"/>
    <w:rsid w:val="007D7823"/>
    <w:rsid w:val="007D7C2E"/>
    <w:rsid w:val="007D7F19"/>
    <w:rsid w:val="007D7F92"/>
    <w:rsid w:val="007E058B"/>
    <w:rsid w:val="007E1836"/>
    <w:rsid w:val="007E18F6"/>
    <w:rsid w:val="007E2F56"/>
    <w:rsid w:val="007E33DB"/>
    <w:rsid w:val="007E36FD"/>
    <w:rsid w:val="007E525F"/>
    <w:rsid w:val="007E5B29"/>
    <w:rsid w:val="007E5FAD"/>
    <w:rsid w:val="007E633F"/>
    <w:rsid w:val="007E678A"/>
    <w:rsid w:val="007E6984"/>
    <w:rsid w:val="007E6998"/>
    <w:rsid w:val="007E6BC6"/>
    <w:rsid w:val="007E6CD1"/>
    <w:rsid w:val="007E6F09"/>
    <w:rsid w:val="007F0773"/>
    <w:rsid w:val="007F0D97"/>
    <w:rsid w:val="007F0F9E"/>
    <w:rsid w:val="007F12DD"/>
    <w:rsid w:val="007F174A"/>
    <w:rsid w:val="007F17DF"/>
    <w:rsid w:val="007F268A"/>
    <w:rsid w:val="007F2AE9"/>
    <w:rsid w:val="007F2D7C"/>
    <w:rsid w:val="007F3DDF"/>
    <w:rsid w:val="007F3F58"/>
    <w:rsid w:val="007F41FA"/>
    <w:rsid w:val="007F432F"/>
    <w:rsid w:val="007F4AD3"/>
    <w:rsid w:val="007F4EF3"/>
    <w:rsid w:val="007F5DC2"/>
    <w:rsid w:val="007F605C"/>
    <w:rsid w:val="007F608D"/>
    <w:rsid w:val="007F6719"/>
    <w:rsid w:val="007F6A7D"/>
    <w:rsid w:val="007F7179"/>
    <w:rsid w:val="007F757E"/>
    <w:rsid w:val="007F777A"/>
    <w:rsid w:val="007F7A3C"/>
    <w:rsid w:val="0080055B"/>
    <w:rsid w:val="00800C6A"/>
    <w:rsid w:val="00800E91"/>
    <w:rsid w:val="008013C0"/>
    <w:rsid w:val="00801681"/>
    <w:rsid w:val="00801941"/>
    <w:rsid w:val="00801CA0"/>
    <w:rsid w:val="00801DA8"/>
    <w:rsid w:val="0080256E"/>
    <w:rsid w:val="00802B48"/>
    <w:rsid w:val="00802E03"/>
    <w:rsid w:val="008034D2"/>
    <w:rsid w:val="00803814"/>
    <w:rsid w:val="00803973"/>
    <w:rsid w:val="00804830"/>
    <w:rsid w:val="008049DA"/>
    <w:rsid w:val="00804FDF"/>
    <w:rsid w:val="008068F2"/>
    <w:rsid w:val="00806CE7"/>
    <w:rsid w:val="00806EB0"/>
    <w:rsid w:val="00806F32"/>
    <w:rsid w:val="0080725B"/>
    <w:rsid w:val="0081039B"/>
    <w:rsid w:val="008106DC"/>
    <w:rsid w:val="00810998"/>
    <w:rsid w:val="00810A15"/>
    <w:rsid w:val="00810D05"/>
    <w:rsid w:val="00810F94"/>
    <w:rsid w:val="0081125E"/>
    <w:rsid w:val="00811529"/>
    <w:rsid w:val="00811AD5"/>
    <w:rsid w:val="00811D8B"/>
    <w:rsid w:val="0081258A"/>
    <w:rsid w:val="00812868"/>
    <w:rsid w:val="00813AA2"/>
    <w:rsid w:val="008150E8"/>
    <w:rsid w:val="00815419"/>
    <w:rsid w:val="00815762"/>
    <w:rsid w:val="0081581D"/>
    <w:rsid w:val="00815F6F"/>
    <w:rsid w:val="008164C3"/>
    <w:rsid w:val="00816841"/>
    <w:rsid w:val="00816A6D"/>
    <w:rsid w:val="00816F25"/>
    <w:rsid w:val="008170A7"/>
    <w:rsid w:val="00817DE7"/>
    <w:rsid w:val="00820ADB"/>
    <w:rsid w:val="00820CD8"/>
    <w:rsid w:val="00820DDB"/>
    <w:rsid w:val="008210BE"/>
    <w:rsid w:val="00821532"/>
    <w:rsid w:val="008221F5"/>
    <w:rsid w:val="00822B64"/>
    <w:rsid w:val="008235E6"/>
    <w:rsid w:val="00823E35"/>
    <w:rsid w:val="00824140"/>
    <w:rsid w:val="00824286"/>
    <w:rsid w:val="008252BC"/>
    <w:rsid w:val="00825A6E"/>
    <w:rsid w:val="0082611A"/>
    <w:rsid w:val="0082656A"/>
    <w:rsid w:val="00826603"/>
    <w:rsid w:val="008268CF"/>
    <w:rsid w:val="00827615"/>
    <w:rsid w:val="00827E61"/>
    <w:rsid w:val="00830108"/>
    <w:rsid w:val="0083082C"/>
    <w:rsid w:val="00830D4B"/>
    <w:rsid w:val="008312A1"/>
    <w:rsid w:val="00832D6D"/>
    <w:rsid w:val="008338CD"/>
    <w:rsid w:val="00834DE7"/>
    <w:rsid w:val="00835586"/>
    <w:rsid w:val="00835F93"/>
    <w:rsid w:val="0083617D"/>
    <w:rsid w:val="008364E4"/>
    <w:rsid w:val="00836AE2"/>
    <w:rsid w:val="00836E74"/>
    <w:rsid w:val="00837E8A"/>
    <w:rsid w:val="0084019A"/>
    <w:rsid w:val="008416DB"/>
    <w:rsid w:val="00842031"/>
    <w:rsid w:val="008423F4"/>
    <w:rsid w:val="008428DE"/>
    <w:rsid w:val="00842A34"/>
    <w:rsid w:val="00843C92"/>
    <w:rsid w:val="00844951"/>
    <w:rsid w:val="0084514F"/>
    <w:rsid w:val="008456D4"/>
    <w:rsid w:val="0084581E"/>
    <w:rsid w:val="00845D32"/>
    <w:rsid w:val="00845DDD"/>
    <w:rsid w:val="008474A2"/>
    <w:rsid w:val="008475BA"/>
    <w:rsid w:val="0085010D"/>
    <w:rsid w:val="00850614"/>
    <w:rsid w:val="008506D0"/>
    <w:rsid w:val="00852114"/>
    <w:rsid w:val="00852D60"/>
    <w:rsid w:val="00853875"/>
    <w:rsid w:val="00853AE0"/>
    <w:rsid w:val="00853D37"/>
    <w:rsid w:val="00853D3D"/>
    <w:rsid w:val="00853FCE"/>
    <w:rsid w:val="008541D5"/>
    <w:rsid w:val="00854C29"/>
    <w:rsid w:val="00854C3A"/>
    <w:rsid w:val="00854DBD"/>
    <w:rsid w:val="00854E51"/>
    <w:rsid w:val="00855837"/>
    <w:rsid w:val="008558A3"/>
    <w:rsid w:val="008568A2"/>
    <w:rsid w:val="00856AC0"/>
    <w:rsid w:val="008570FA"/>
    <w:rsid w:val="00857D36"/>
    <w:rsid w:val="0086000F"/>
    <w:rsid w:val="008601FB"/>
    <w:rsid w:val="00860B09"/>
    <w:rsid w:val="00860D40"/>
    <w:rsid w:val="00860FE6"/>
    <w:rsid w:val="0086102E"/>
    <w:rsid w:val="008613AB"/>
    <w:rsid w:val="00861626"/>
    <w:rsid w:val="0086231A"/>
    <w:rsid w:val="008627FF"/>
    <w:rsid w:val="0086289E"/>
    <w:rsid w:val="00862D5A"/>
    <w:rsid w:val="0086331F"/>
    <w:rsid w:val="008634B0"/>
    <w:rsid w:val="008634C3"/>
    <w:rsid w:val="00863670"/>
    <w:rsid w:val="00863B5D"/>
    <w:rsid w:val="008640BA"/>
    <w:rsid w:val="00864889"/>
    <w:rsid w:val="008648C5"/>
    <w:rsid w:val="00866014"/>
    <w:rsid w:val="00866E19"/>
    <w:rsid w:val="00867631"/>
    <w:rsid w:val="00867B7C"/>
    <w:rsid w:val="00867E6A"/>
    <w:rsid w:val="00867F57"/>
    <w:rsid w:val="008701A2"/>
    <w:rsid w:val="008704FD"/>
    <w:rsid w:val="00870BE8"/>
    <w:rsid w:val="00870FA8"/>
    <w:rsid w:val="0087110F"/>
    <w:rsid w:val="00871283"/>
    <w:rsid w:val="00871570"/>
    <w:rsid w:val="00872151"/>
    <w:rsid w:val="00872285"/>
    <w:rsid w:val="00872B11"/>
    <w:rsid w:val="00873615"/>
    <w:rsid w:val="008739B7"/>
    <w:rsid w:val="00873E46"/>
    <w:rsid w:val="0087404B"/>
    <w:rsid w:val="008742A0"/>
    <w:rsid w:val="00874AA2"/>
    <w:rsid w:val="008755C4"/>
    <w:rsid w:val="00875B4C"/>
    <w:rsid w:val="00876498"/>
    <w:rsid w:val="008764DD"/>
    <w:rsid w:val="00876A3E"/>
    <w:rsid w:val="00876BA8"/>
    <w:rsid w:val="00877161"/>
    <w:rsid w:val="00877381"/>
    <w:rsid w:val="00877B77"/>
    <w:rsid w:val="00877D39"/>
    <w:rsid w:val="00877ECE"/>
    <w:rsid w:val="00880521"/>
    <w:rsid w:val="00880C4A"/>
    <w:rsid w:val="00880F1E"/>
    <w:rsid w:val="00880F24"/>
    <w:rsid w:val="00881537"/>
    <w:rsid w:val="00881623"/>
    <w:rsid w:val="0088189D"/>
    <w:rsid w:val="00881978"/>
    <w:rsid w:val="00881C2D"/>
    <w:rsid w:val="00881F09"/>
    <w:rsid w:val="00882442"/>
    <w:rsid w:val="0088261B"/>
    <w:rsid w:val="0088372C"/>
    <w:rsid w:val="0088397F"/>
    <w:rsid w:val="00883A35"/>
    <w:rsid w:val="00883F27"/>
    <w:rsid w:val="0088481D"/>
    <w:rsid w:val="00884855"/>
    <w:rsid w:val="00885048"/>
    <w:rsid w:val="00885246"/>
    <w:rsid w:val="00885491"/>
    <w:rsid w:val="0088569F"/>
    <w:rsid w:val="00885720"/>
    <w:rsid w:val="00885BCB"/>
    <w:rsid w:val="00885CC1"/>
    <w:rsid w:val="00885FB5"/>
    <w:rsid w:val="008860CB"/>
    <w:rsid w:val="008862DA"/>
    <w:rsid w:val="00886E47"/>
    <w:rsid w:val="00886F1A"/>
    <w:rsid w:val="00886F84"/>
    <w:rsid w:val="00886FA9"/>
    <w:rsid w:val="008871F3"/>
    <w:rsid w:val="0088735E"/>
    <w:rsid w:val="008873BB"/>
    <w:rsid w:val="008879B4"/>
    <w:rsid w:val="00887E64"/>
    <w:rsid w:val="00890128"/>
    <w:rsid w:val="00890189"/>
    <w:rsid w:val="00890874"/>
    <w:rsid w:val="00890D70"/>
    <w:rsid w:val="00890EA9"/>
    <w:rsid w:val="00890EEA"/>
    <w:rsid w:val="0089212E"/>
    <w:rsid w:val="0089359D"/>
    <w:rsid w:val="00893787"/>
    <w:rsid w:val="008937FF"/>
    <w:rsid w:val="00893D1C"/>
    <w:rsid w:val="00894500"/>
    <w:rsid w:val="00894840"/>
    <w:rsid w:val="00894DEA"/>
    <w:rsid w:val="008950C9"/>
    <w:rsid w:val="00896101"/>
    <w:rsid w:val="0089644D"/>
    <w:rsid w:val="008964DE"/>
    <w:rsid w:val="008966C6"/>
    <w:rsid w:val="00897B35"/>
    <w:rsid w:val="008A067D"/>
    <w:rsid w:val="008A06BE"/>
    <w:rsid w:val="008A0F0D"/>
    <w:rsid w:val="008A1A7E"/>
    <w:rsid w:val="008A1B13"/>
    <w:rsid w:val="008A1B94"/>
    <w:rsid w:val="008A27F3"/>
    <w:rsid w:val="008A32CD"/>
    <w:rsid w:val="008A330B"/>
    <w:rsid w:val="008A40A6"/>
    <w:rsid w:val="008A40C7"/>
    <w:rsid w:val="008A410C"/>
    <w:rsid w:val="008A426F"/>
    <w:rsid w:val="008A4BBA"/>
    <w:rsid w:val="008A4ED4"/>
    <w:rsid w:val="008A59A0"/>
    <w:rsid w:val="008A5DF1"/>
    <w:rsid w:val="008A5F01"/>
    <w:rsid w:val="008A69B2"/>
    <w:rsid w:val="008A6D76"/>
    <w:rsid w:val="008A702D"/>
    <w:rsid w:val="008A76FF"/>
    <w:rsid w:val="008A7C82"/>
    <w:rsid w:val="008A7DCE"/>
    <w:rsid w:val="008A7E16"/>
    <w:rsid w:val="008A7F58"/>
    <w:rsid w:val="008B131D"/>
    <w:rsid w:val="008B1C02"/>
    <w:rsid w:val="008B20BF"/>
    <w:rsid w:val="008B24B7"/>
    <w:rsid w:val="008B27CB"/>
    <w:rsid w:val="008B294E"/>
    <w:rsid w:val="008B2A45"/>
    <w:rsid w:val="008B360E"/>
    <w:rsid w:val="008B3880"/>
    <w:rsid w:val="008B45EA"/>
    <w:rsid w:val="008B4B3D"/>
    <w:rsid w:val="008B539B"/>
    <w:rsid w:val="008B552C"/>
    <w:rsid w:val="008B554C"/>
    <w:rsid w:val="008B55E5"/>
    <w:rsid w:val="008B6342"/>
    <w:rsid w:val="008B63E0"/>
    <w:rsid w:val="008B6631"/>
    <w:rsid w:val="008B674E"/>
    <w:rsid w:val="008B6B12"/>
    <w:rsid w:val="008B7136"/>
    <w:rsid w:val="008B713A"/>
    <w:rsid w:val="008B7624"/>
    <w:rsid w:val="008C0708"/>
    <w:rsid w:val="008C0D0C"/>
    <w:rsid w:val="008C1112"/>
    <w:rsid w:val="008C1177"/>
    <w:rsid w:val="008C1485"/>
    <w:rsid w:val="008C1A5E"/>
    <w:rsid w:val="008C1EF9"/>
    <w:rsid w:val="008C3524"/>
    <w:rsid w:val="008C3B2A"/>
    <w:rsid w:val="008C3E84"/>
    <w:rsid w:val="008C3FB0"/>
    <w:rsid w:val="008C4096"/>
    <w:rsid w:val="008C4836"/>
    <w:rsid w:val="008C48C5"/>
    <w:rsid w:val="008C4B53"/>
    <w:rsid w:val="008C4B94"/>
    <w:rsid w:val="008C4C73"/>
    <w:rsid w:val="008C4E9E"/>
    <w:rsid w:val="008C4FC5"/>
    <w:rsid w:val="008C5508"/>
    <w:rsid w:val="008C56A2"/>
    <w:rsid w:val="008C5B4D"/>
    <w:rsid w:val="008C6A92"/>
    <w:rsid w:val="008C705A"/>
    <w:rsid w:val="008C730A"/>
    <w:rsid w:val="008C745B"/>
    <w:rsid w:val="008C7C75"/>
    <w:rsid w:val="008C7F7F"/>
    <w:rsid w:val="008D0CBC"/>
    <w:rsid w:val="008D11AC"/>
    <w:rsid w:val="008D12F2"/>
    <w:rsid w:val="008D16BC"/>
    <w:rsid w:val="008D1D16"/>
    <w:rsid w:val="008D1FA8"/>
    <w:rsid w:val="008D24C0"/>
    <w:rsid w:val="008D25E5"/>
    <w:rsid w:val="008D2F58"/>
    <w:rsid w:val="008D3032"/>
    <w:rsid w:val="008D3320"/>
    <w:rsid w:val="008D3404"/>
    <w:rsid w:val="008D342B"/>
    <w:rsid w:val="008D3A27"/>
    <w:rsid w:val="008D5123"/>
    <w:rsid w:val="008D5909"/>
    <w:rsid w:val="008D62EB"/>
    <w:rsid w:val="008D6394"/>
    <w:rsid w:val="008D6593"/>
    <w:rsid w:val="008D6782"/>
    <w:rsid w:val="008D6BF3"/>
    <w:rsid w:val="008D6F84"/>
    <w:rsid w:val="008D72C1"/>
    <w:rsid w:val="008D72E0"/>
    <w:rsid w:val="008E001B"/>
    <w:rsid w:val="008E01DF"/>
    <w:rsid w:val="008E061F"/>
    <w:rsid w:val="008E1368"/>
    <w:rsid w:val="008E1518"/>
    <w:rsid w:val="008E1984"/>
    <w:rsid w:val="008E23DD"/>
    <w:rsid w:val="008E2F96"/>
    <w:rsid w:val="008E48C3"/>
    <w:rsid w:val="008E53A7"/>
    <w:rsid w:val="008E5A3B"/>
    <w:rsid w:val="008E5D99"/>
    <w:rsid w:val="008E6511"/>
    <w:rsid w:val="008E6B3D"/>
    <w:rsid w:val="008E707D"/>
    <w:rsid w:val="008E72F9"/>
    <w:rsid w:val="008E7AEB"/>
    <w:rsid w:val="008E7CF0"/>
    <w:rsid w:val="008F0617"/>
    <w:rsid w:val="008F0850"/>
    <w:rsid w:val="008F0A53"/>
    <w:rsid w:val="008F0ABB"/>
    <w:rsid w:val="008F115A"/>
    <w:rsid w:val="008F1746"/>
    <w:rsid w:val="008F1CD5"/>
    <w:rsid w:val="008F1E89"/>
    <w:rsid w:val="008F2143"/>
    <w:rsid w:val="008F254F"/>
    <w:rsid w:val="008F5471"/>
    <w:rsid w:val="008F579C"/>
    <w:rsid w:val="008F63CC"/>
    <w:rsid w:val="008F68C6"/>
    <w:rsid w:val="008F6EC1"/>
    <w:rsid w:val="008F6F76"/>
    <w:rsid w:val="008F70D8"/>
    <w:rsid w:val="008F7F56"/>
    <w:rsid w:val="00900A80"/>
    <w:rsid w:val="009010E8"/>
    <w:rsid w:val="00901134"/>
    <w:rsid w:val="00901879"/>
    <w:rsid w:val="00902062"/>
    <w:rsid w:val="00902110"/>
    <w:rsid w:val="009033F8"/>
    <w:rsid w:val="00903507"/>
    <w:rsid w:val="00903740"/>
    <w:rsid w:val="00903D36"/>
    <w:rsid w:val="00903FD9"/>
    <w:rsid w:val="00904485"/>
    <w:rsid w:val="009052A1"/>
    <w:rsid w:val="00906461"/>
    <w:rsid w:val="00906A30"/>
    <w:rsid w:val="00906AD3"/>
    <w:rsid w:val="00906C2D"/>
    <w:rsid w:val="009072B4"/>
    <w:rsid w:val="00907524"/>
    <w:rsid w:val="00907819"/>
    <w:rsid w:val="00907A7B"/>
    <w:rsid w:val="009104DB"/>
    <w:rsid w:val="00910CBF"/>
    <w:rsid w:val="00910CCB"/>
    <w:rsid w:val="00910FA5"/>
    <w:rsid w:val="009117BF"/>
    <w:rsid w:val="00911B49"/>
    <w:rsid w:val="0091295B"/>
    <w:rsid w:val="00912F57"/>
    <w:rsid w:val="00913C1A"/>
    <w:rsid w:val="00913C3F"/>
    <w:rsid w:val="00913ED2"/>
    <w:rsid w:val="00914C25"/>
    <w:rsid w:val="00914E63"/>
    <w:rsid w:val="009154FC"/>
    <w:rsid w:val="009158C8"/>
    <w:rsid w:val="00915B7F"/>
    <w:rsid w:val="00915D24"/>
    <w:rsid w:val="009168C9"/>
    <w:rsid w:val="00916DF1"/>
    <w:rsid w:val="0091724E"/>
    <w:rsid w:val="0091781A"/>
    <w:rsid w:val="00920D39"/>
    <w:rsid w:val="0092142D"/>
    <w:rsid w:val="00922026"/>
    <w:rsid w:val="00922A2D"/>
    <w:rsid w:val="00922D45"/>
    <w:rsid w:val="00922D6A"/>
    <w:rsid w:val="00922E7B"/>
    <w:rsid w:val="00923305"/>
    <w:rsid w:val="00923589"/>
    <w:rsid w:val="00923B71"/>
    <w:rsid w:val="00924051"/>
    <w:rsid w:val="009240DF"/>
    <w:rsid w:val="009241CB"/>
    <w:rsid w:val="0092441B"/>
    <w:rsid w:val="009249AB"/>
    <w:rsid w:val="00924EC1"/>
    <w:rsid w:val="009258C3"/>
    <w:rsid w:val="00925AC9"/>
    <w:rsid w:val="00925DAC"/>
    <w:rsid w:val="00926295"/>
    <w:rsid w:val="0092731E"/>
    <w:rsid w:val="00927483"/>
    <w:rsid w:val="00927EE3"/>
    <w:rsid w:val="0093012D"/>
    <w:rsid w:val="00930832"/>
    <w:rsid w:val="00930BFE"/>
    <w:rsid w:val="00931F87"/>
    <w:rsid w:val="009325C7"/>
    <w:rsid w:val="00932AB8"/>
    <w:rsid w:val="00932DE3"/>
    <w:rsid w:val="0093303C"/>
    <w:rsid w:val="0093344F"/>
    <w:rsid w:val="009334F2"/>
    <w:rsid w:val="00933E4C"/>
    <w:rsid w:val="00934138"/>
    <w:rsid w:val="009341C0"/>
    <w:rsid w:val="009344BB"/>
    <w:rsid w:val="0093480B"/>
    <w:rsid w:val="00934ADC"/>
    <w:rsid w:val="00934D14"/>
    <w:rsid w:val="00934F81"/>
    <w:rsid w:val="00935341"/>
    <w:rsid w:val="00935380"/>
    <w:rsid w:val="0093557A"/>
    <w:rsid w:val="00935C0F"/>
    <w:rsid w:val="00936EDF"/>
    <w:rsid w:val="00937798"/>
    <w:rsid w:val="00937B75"/>
    <w:rsid w:val="00937C3E"/>
    <w:rsid w:val="00937EF0"/>
    <w:rsid w:val="009402A5"/>
    <w:rsid w:val="009406D9"/>
    <w:rsid w:val="0094086C"/>
    <w:rsid w:val="00940A13"/>
    <w:rsid w:val="0094189C"/>
    <w:rsid w:val="009418C4"/>
    <w:rsid w:val="009418E2"/>
    <w:rsid w:val="00941AC1"/>
    <w:rsid w:val="00941CA8"/>
    <w:rsid w:val="00941CF5"/>
    <w:rsid w:val="00942367"/>
    <w:rsid w:val="0094311E"/>
    <w:rsid w:val="00943133"/>
    <w:rsid w:val="00943200"/>
    <w:rsid w:val="009435A0"/>
    <w:rsid w:val="0094394B"/>
    <w:rsid w:val="00943CF3"/>
    <w:rsid w:val="00943F06"/>
    <w:rsid w:val="00943FAE"/>
    <w:rsid w:val="00944024"/>
    <w:rsid w:val="00944D6C"/>
    <w:rsid w:val="00944DE7"/>
    <w:rsid w:val="00944F06"/>
    <w:rsid w:val="00945D2C"/>
    <w:rsid w:val="00945F5F"/>
    <w:rsid w:val="009466EA"/>
    <w:rsid w:val="009467AC"/>
    <w:rsid w:val="00946A2F"/>
    <w:rsid w:val="00946F74"/>
    <w:rsid w:val="009477BA"/>
    <w:rsid w:val="00947D4A"/>
    <w:rsid w:val="009507EC"/>
    <w:rsid w:val="0095096B"/>
    <w:rsid w:val="009509D7"/>
    <w:rsid w:val="00950BBF"/>
    <w:rsid w:val="00950C65"/>
    <w:rsid w:val="00950E24"/>
    <w:rsid w:val="009510E1"/>
    <w:rsid w:val="0095147B"/>
    <w:rsid w:val="00952896"/>
    <w:rsid w:val="00953C2C"/>
    <w:rsid w:val="00953DB5"/>
    <w:rsid w:val="00953FD3"/>
    <w:rsid w:val="009541E0"/>
    <w:rsid w:val="00955038"/>
    <w:rsid w:val="009551D0"/>
    <w:rsid w:val="009555E6"/>
    <w:rsid w:val="00955776"/>
    <w:rsid w:val="009559DE"/>
    <w:rsid w:val="00955C37"/>
    <w:rsid w:val="00956973"/>
    <w:rsid w:val="00956F89"/>
    <w:rsid w:val="009579EF"/>
    <w:rsid w:val="00957FE3"/>
    <w:rsid w:val="009603AB"/>
    <w:rsid w:val="0096093B"/>
    <w:rsid w:val="00960B78"/>
    <w:rsid w:val="00960EC0"/>
    <w:rsid w:val="0096150F"/>
    <w:rsid w:val="00961875"/>
    <w:rsid w:val="0096188D"/>
    <w:rsid w:val="0096193C"/>
    <w:rsid w:val="00962119"/>
    <w:rsid w:val="00962B4C"/>
    <w:rsid w:val="00963AC0"/>
    <w:rsid w:val="00963F2D"/>
    <w:rsid w:val="0096492B"/>
    <w:rsid w:val="009660EA"/>
    <w:rsid w:val="00966D7A"/>
    <w:rsid w:val="00967254"/>
    <w:rsid w:val="009679A9"/>
    <w:rsid w:val="00967E3B"/>
    <w:rsid w:val="00970515"/>
    <w:rsid w:val="00970924"/>
    <w:rsid w:val="00971622"/>
    <w:rsid w:val="00971F92"/>
    <w:rsid w:val="00972374"/>
    <w:rsid w:val="009723E0"/>
    <w:rsid w:val="009727A9"/>
    <w:rsid w:val="00972C99"/>
    <w:rsid w:val="00973790"/>
    <w:rsid w:val="00973B59"/>
    <w:rsid w:val="00973C8F"/>
    <w:rsid w:val="00974CFE"/>
    <w:rsid w:val="0097518E"/>
    <w:rsid w:val="00975691"/>
    <w:rsid w:val="009756BA"/>
    <w:rsid w:val="009759BD"/>
    <w:rsid w:val="00975BC7"/>
    <w:rsid w:val="00976056"/>
    <w:rsid w:val="00976176"/>
    <w:rsid w:val="0097636F"/>
    <w:rsid w:val="00976521"/>
    <w:rsid w:val="00976A2A"/>
    <w:rsid w:val="00976E6C"/>
    <w:rsid w:val="00977D07"/>
    <w:rsid w:val="00977EEB"/>
    <w:rsid w:val="00980F0A"/>
    <w:rsid w:val="009815D4"/>
    <w:rsid w:val="00982CCA"/>
    <w:rsid w:val="00982DD2"/>
    <w:rsid w:val="00982E5A"/>
    <w:rsid w:val="00983586"/>
    <w:rsid w:val="009836DC"/>
    <w:rsid w:val="00983C3B"/>
    <w:rsid w:val="00983EF3"/>
    <w:rsid w:val="009840DD"/>
    <w:rsid w:val="00984981"/>
    <w:rsid w:val="009849B8"/>
    <w:rsid w:val="009859DF"/>
    <w:rsid w:val="00985A1C"/>
    <w:rsid w:val="00985ABF"/>
    <w:rsid w:val="0098602B"/>
    <w:rsid w:val="00986404"/>
    <w:rsid w:val="009867D8"/>
    <w:rsid w:val="0098728A"/>
    <w:rsid w:val="009873F3"/>
    <w:rsid w:val="00987DD1"/>
    <w:rsid w:val="00987DDD"/>
    <w:rsid w:val="00990517"/>
    <w:rsid w:val="009906C7"/>
    <w:rsid w:val="00990C1D"/>
    <w:rsid w:val="0099165A"/>
    <w:rsid w:val="009916ED"/>
    <w:rsid w:val="0099224D"/>
    <w:rsid w:val="00992B68"/>
    <w:rsid w:val="00992C84"/>
    <w:rsid w:val="00992D46"/>
    <w:rsid w:val="00992D8F"/>
    <w:rsid w:val="00992E12"/>
    <w:rsid w:val="00993E73"/>
    <w:rsid w:val="00994EF5"/>
    <w:rsid w:val="0099574D"/>
    <w:rsid w:val="00995BCD"/>
    <w:rsid w:val="00995CF5"/>
    <w:rsid w:val="00995FCE"/>
    <w:rsid w:val="00996B55"/>
    <w:rsid w:val="00996BFF"/>
    <w:rsid w:val="00997098"/>
    <w:rsid w:val="009971FD"/>
    <w:rsid w:val="00997765"/>
    <w:rsid w:val="00997B81"/>
    <w:rsid w:val="00997C7E"/>
    <w:rsid w:val="00997FCD"/>
    <w:rsid w:val="009A07C5"/>
    <w:rsid w:val="009A09A5"/>
    <w:rsid w:val="009A0E21"/>
    <w:rsid w:val="009A14E0"/>
    <w:rsid w:val="009A1758"/>
    <w:rsid w:val="009A1FFC"/>
    <w:rsid w:val="009A270B"/>
    <w:rsid w:val="009A27C1"/>
    <w:rsid w:val="009A29AE"/>
    <w:rsid w:val="009A2B88"/>
    <w:rsid w:val="009A2D5B"/>
    <w:rsid w:val="009A3C15"/>
    <w:rsid w:val="009A3C97"/>
    <w:rsid w:val="009A46B6"/>
    <w:rsid w:val="009A4976"/>
    <w:rsid w:val="009A57FF"/>
    <w:rsid w:val="009A5BD9"/>
    <w:rsid w:val="009A5EAD"/>
    <w:rsid w:val="009A6899"/>
    <w:rsid w:val="009A70E0"/>
    <w:rsid w:val="009A79C5"/>
    <w:rsid w:val="009A7B89"/>
    <w:rsid w:val="009A7B9E"/>
    <w:rsid w:val="009A7C79"/>
    <w:rsid w:val="009A7F5E"/>
    <w:rsid w:val="009B0B2C"/>
    <w:rsid w:val="009B0FDC"/>
    <w:rsid w:val="009B21C5"/>
    <w:rsid w:val="009B231D"/>
    <w:rsid w:val="009B2576"/>
    <w:rsid w:val="009B2A3D"/>
    <w:rsid w:val="009B2B6D"/>
    <w:rsid w:val="009B30D2"/>
    <w:rsid w:val="009B35C1"/>
    <w:rsid w:val="009B3643"/>
    <w:rsid w:val="009B3945"/>
    <w:rsid w:val="009B4229"/>
    <w:rsid w:val="009B4253"/>
    <w:rsid w:val="009B4E8F"/>
    <w:rsid w:val="009B5055"/>
    <w:rsid w:val="009B60CF"/>
    <w:rsid w:val="009B6162"/>
    <w:rsid w:val="009B62A3"/>
    <w:rsid w:val="009B647A"/>
    <w:rsid w:val="009B647C"/>
    <w:rsid w:val="009B6D0E"/>
    <w:rsid w:val="009B74BC"/>
    <w:rsid w:val="009C003C"/>
    <w:rsid w:val="009C01F7"/>
    <w:rsid w:val="009C03AA"/>
    <w:rsid w:val="009C06C4"/>
    <w:rsid w:val="009C0A76"/>
    <w:rsid w:val="009C0D26"/>
    <w:rsid w:val="009C17ED"/>
    <w:rsid w:val="009C1891"/>
    <w:rsid w:val="009C1DF2"/>
    <w:rsid w:val="009C1EFF"/>
    <w:rsid w:val="009C2200"/>
    <w:rsid w:val="009C2399"/>
    <w:rsid w:val="009C27EC"/>
    <w:rsid w:val="009C28D9"/>
    <w:rsid w:val="009C384A"/>
    <w:rsid w:val="009C38C2"/>
    <w:rsid w:val="009C475B"/>
    <w:rsid w:val="009C51EA"/>
    <w:rsid w:val="009C610F"/>
    <w:rsid w:val="009C6733"/>
    <w:rsid w:val="009C6946"/>
    <w:rsid w:val="009C75DF"/>
    <w:rsid w:val="009C7DB7"/>
    <w:rsid w:val="009D0424"/>
    <w:rsid w:val="009D07A6"/>
    <w:rsid w:val="009D0A40"/>
    <w:rsid w:val="009D0A58"/>
    <w:rsid w:val="009D15A5"/>
    <w:rsid w:val="009D162D"/>
    <w:rsid w:val="009D1F5B"/>
    <w:rsid w:val="009D2519"/>
    <w:rsid w:val="009D2C70"/>
    <w:rsid w:val="009D3218"/>
    <w:rsid w:val="009D32F6"/>
    <w:rsid w:val="009D3664"/>
    <w:rsid w:val="009D3932"/>
    <w:rsid w:val="009D3B32"/>
    <w:rsid w:val="009D3C04"/>
    <w:rsid w:val="009D3CDB"/>
    <w:rsid w:val="009D3DDD"/>
    <w:rsid w:val="009D4538"/>
    <w:rsid w:val="009D531F"/>
    <w:rsid w:val="009D55FE"/>
    <w:rsid w:val="009D599C"/>
    <w:rsid w:val="009D5A2C"/>
    <w:rsid w:val="009D65F1"/>
    <w:rsid w:val="009D6ED9"/>
    <w:rsid w:val="009D78F1"/>
    <w:rsid w:val="009E044A"/>
    <w:rsid w:val="009E11C3"/>
    <w:rsid w:val="009E1645"/>
    <w:rsid w:val="009E18B1"/>
    <w:rsid w:val="009E19B1"/>
    <w:rsid w:val="009E1C6A"/>
    <w:rsid w:val="009E21E3"/>
    <w:rsid w:val="009E2712"/>
    <w:rsid w:val="009E2C1E"/>
    <w:rsid w:val="009E2E98"/>
    <w:rsid w:val="009E2F9D"/>
    <w:rsid w:val="009E36F0"/>
    <w:rsid w:val="009E37D4"/>
    <w:rsid w:val="009E3E4E"/>
    <w:rsid w:val="009E3EF6"/>
    <w:rsid w:val="009E4591"/>
    <w:rsid w:val="009E4997"/>
    <w:rsid w:val="009E49AC"/>
    <w:rsid w:val="009E51BC"/>
    <w:rsid w:val="009E526D"/>
    <w:rsid w:val="009E63E8"/>
    <w:rsid w:val="009E70BB"/>
    <w:rsid w:val="009E745D"/>
    <w:rsid w:val="009E74A2"/>
    <w:rsid w:val="009E7E20"/>
    <w:rsid w:val="009F02B0"/>
    <w:rsid w:val="009F07D1"/>
    <w:rsid w:val="009F1778"/>
    <w:rsid w:val="009F1A77"/>
    <w:rsid w:val="009F1ED4"/>
    <w:rsid w:val="009F2105"/>
    <w:rsid w:val="009F237C"/>
    <w:rsid w:val="009F253A"/>
    <w:rsid w:val="009F377A"/>
    <w:rsid w:val="009F40D6"/>
    <w:rsid w:val="009F4279"/>
    <w:rsid w:val="009F4A3E"/>
    <w:rsid w:val="009F4E50"/>
    <w:rsid w:val="009F4FF3"/>
    <w:rsid w:val="009F52B1"/>
    <w:rsid w:val="009F53E3"/>
    <w:rsid w:val="009F56D2"/>
    <w:rsid w:val="009F5713"/>
    <w:rsid w:val="009F61B9"/>
    <w:rsid w:val="009F6613"/>
    <w:rsid w:val="009F6BCF"/>
    <w:rsid w:val="009F6C88"/>
    <w:rsid w:val="009F7D94"/>
    <w:rsid w:val="009F7EB5"/>
    <w:rsid w:val="00A01362"/>
    <w:rsid w:val="00A013E7"/>
    <w:rsid w:val="00A017AB"/>
    <w:rsid w:val="00A02414"/>
    <w:rsid w:val="00A02F67"/>
    <w:rsid w:val="00A0386B"/>
    <w:rsid w:val="00A03B08"/>
    <w:rsid w:val="00A03F54"/>
    <w:rsid w:val="00A041A5"/>
    <w:rsid w:val="00A0474A"/>
    <w:rsid w:val="00A0481C"/>
    <w:rsid w:val="00A04BD2"/>
    <w:rsid w:val="00A04F0B"/>
    <w:rsid w:val="00A054B7"/>
    <w:rsid w:val="00A0649C"/>
    <w:rsid w:val="00A0666B"/>
    <w:rsid w:val="00A066F0"/>
    <w:rsid w:val="00A06FC7"/>
    <w:rsid w:val="00A07526"/>
    <w:rsid w:val="00A076EE"/>
    <w:rsid w:val="00A07E39"/>
    <w:rsid w:val="00A1006F"/>
    <w:rsid w:val="00A1055F"/>
    <w:rsid w:val="00A10CF8"/>
    <w:rsid w:val="00A10DA3"/>
    <w:rsid w:val="00A11343"/>
    <w:rsid w:val="00A115DE"/>
    <w:rsid w:val="00A115E3"/>
    <w:rsid w:val="00A1162F"/>
    <w:rsid w:val="00A12915"/>
    <w:rsid w:val="00A12E72"/>
    <w:rsid w:val="00A13BB4"/>
    <w:rsid w:val="00A13C0C"/>
    <w:rsid w:val="00A13D42"/>
    <w:rsid w:val="00A13ECB"/>
    <w:rsid w:val="00A15170"/>
    <w:rsid w:val="00A1644B"/>
    <w:rsid w:val="00A16956"/>
    <w:rsid w:val="00A16BD9"/>
    <w:rsid w:val="00A16BE6"/>
    <w:rsid w:val="00A17078"/>
    <w:rsid w:val="00A170CB"/>
    <w:rsid w:val="00A172C2"/>
    <w:rsid w:val="00A17387"/>
    <w:rsid w:val="00A17650"/>
    <w:rsid w:val="00A2013B"/>
    <w:rsid w:val="00A204F2"/>
    <w:rsid w:val="00A20583"/>
    <w:rsid w:val="00A20664"/>
    <w:rsid w:val="00A20A62"/>
    <w:rsid w:val="00A20D1E"/>
    <w:rsid w:val="00A21390"/>
    <w:rsid w:val="00A21446"/>
    <w:rsid w:val="00A21579"/>
    <w:rsid w:val="00A219B7"/>
    <w:rsid w:val="00A21B80"/>
    <w:rsid w:val="00A2221C"/>
    <w:rsid w:val="00A222C1"/>
    <w:rsid w:val="00A2352F"/>
    <w:rsid w:val="00A238CD"/>
    <w:rsid w:val="00A23B22"/>
    <w:rsid w:val="00A24BE9"/>
    <w:rsid w:val="00A25018"/>
    <w:rsid w:val="00A250D6"/>
    <w:rsid w:val="00A254CC"/>
    <w:rsid w:val="00A25870"/>
    <w:rsid w:val="00A25C5A"/>
    <w:rsid w:val="00A2601A"/>
    <w:rsid w:val="00A2601C"/>
    <w:rsid w:val="00A262B4"/>
    <w:rsid w:val="00A26365"/>
    <w:rsid w:val="00A26907"/>
    <w:rsid w:val="00A2693A"/>
    <w:rsid w:val="00A26E32"/>
    <w:rsid w:val="00A3028C"/>
    <w:rsid w:val="00A30601"/>
    <w:rsid w:val="00A30DFC"/>
    <w:rsid w:val="00A31226"/>
    <w:rsid w:val="00A3149B"/>
    <w:rsid w:val="00A31563"/>
    <w:rsid w:val="00A31580"/>
    <w:rsid w:val="00A31851"/>
    <w:rsid w:val="00A32AF6"/>
    <w:rsid w:val="00A32EC3"/>
    <w:rsid w:val="00A32F68"/>
    <w:rsid w:val="00A32F75"/>
    <w:rsid w:val="00A33AD3"/>
    <w:rsid w:val="00A33CDF"/>
    <w:rsid w:val="00A34B4B"/>
    <w:rsid w:val="00A34BA9"/>
    <w:rsid w:val="00A35F84"/>
    <w:rsid w:val="00A3609A"/>
    <w:rsid w:val="00A361C9"/>
    <w:rsid w:val="00A36D83"/>
    <w:rsid w:val="00A372FA"/>
    <w:rsid w:val="00A3731A"/>
    <w:rsid w:val="00A379D2"/>
    <w:rsid w:val="00A37A35"/>
    <w:rsid w:val="00A37FAD"/>
    <w:rsid w:val="00A40455"/>
    <w:rsid w:val="00A40474"/>
    <w:rsid w:val="00A407A0"/>
    <w:rsid w:val="00A40F47"/>
    <w:rsid w:val="00A4109E"/>
    <w:rsid w:val="00A414B4"/>
    <w:rsid w:val="00A4222D"/>
    <w:rsid w:val="00A4224C"/>
    <w:rsid w:val="00A42517"/>
    <w:rsid w:val="00A426C9"/>
    <w:rsid w:val="00A43722"/>
    <w:rsid w:val="00A43D1E"/>
    <w:rsid w:val="00A44B54"/>
    <w:rsid w:val="00A44E05"/>
    <w:rsid w:val="00A44E40"/>
    <w:rsid w:val="00A44FBF"/>
    <w:rsid w:val="00A45122"/>
    <w:rsid w:val="00A454B8"/>
    <w:rsid w:val="00A45537"/>
    <w:rsid w:val="00A45BE0"/>
    <w:rsid w:val="00A45BF4"/>
    <w:rsid w:val="00A46745"/>
    <w:rsid w:val="00A46770"/>
    <w:rsid w:val="00A46849"/>
    <w:rsid w:val="00A469E9"/>
    <w:rsid w:val="00A46C3C"/>
    <w:rsid w:val="00A47582"/>
    <w:rsid w:val="00A5041C"/>
    <w:rsid w:val="00A506A3"/>
    <w:rsid w:val="00A52DBF"/>
    <w:rsid w:val="00A52F16"/>
    <w:rsid w:val="00A5339C"/>
    <w:rsid w:val="00A53483"/>
    <w:rsid w:val="00A536B3"/>
    <w:rsid w:val="00A53823"/>
    <w:rsid w:val="00A53A0A"/>
    <w:rsid w:val="00A53D04"/>
    <w:rsid w:val="00A5422D"/>
    <w:rsid w:val="00A5471E"/>
    <w:rsid w:val="00A54821"/>
    <w:rsid w:val="00A54B18"/>
    <w:rsid w:val="00A54E02"/>
    <w:rsid w:val="00A55165"/>
    <w:rsid w:val="00A55A4D"/>
    <w:rsid w:val="00A55EFF"/>
    <w:rsid w:val="00A56256"/>
    <w:rsid w:val="00A563C0"/>
    <w:rsid w:val="00A56532"/>
    <w:rsid w:val="00A56533"/>
    <w:rsid w:val="00A56866"/>
    <w:rsid w:val="00A569A2"/>
    <w:rsid w:val="00A57A35"/>
    <w:rsid w:val="00A57AA9"/>
    <w:rsid w:val="00A57CA3"/>
    <w:rsid w:val="00A60678"/>
    <w:rsid w:val="00A60875"/>
    <w:rsid w:val="00A60DEF"/>
    <w:rsid w:val="00A610A8"/>
    <w:rsid w:val="00A61585"/>
    <w:rsid w:val="00A61772"/>
    <w:rsid w:val="00A61887"/>
    <w:rsid w:val="00A61A0E"/>
    <w:rsid w:val="00A61B6D"/>
    <w:rsid w:val="00A63306"/>
    <w:rsid w:val="00A63920"/>
    <w:rsid w:val="00A63B89"/>
    <w:rsid w:val="00A63E10"/>
    <w:rsid w:val="00A643B5"/>
    <w:rsid w:val="00A64A2C"/>
    <w:rsid w:val="00A64C1D"/>
    <w:rsid w:val="00A64D81"/>
    <w:rsid w:val="00A65477"/>
    <w:rsid w:val="00A65C91"/>
    <w:rsid w:val="00A66671"/>
    <w:rsid w:val="00A66A0E"/>
    <w:rsid w:val="00A66AC2"/>
    <w:rsid w:val="00A66EB5"/>
    <w:rsid w:val="00A67448"/>
    <w:rsid w:val="00A6757C"/>
    <w:rsid w:val="00A676B5"/>
    <w:rsid w:val="00A678E6"/>
    <w:rsid w:val="00A67C1D"/>
    <w:rsid w:val="00A707BA"/>
    <w:rsid w:val="00A70BB7"/>
    <w:rsid w:val="00A71748"/>
    <w:rsid w:val="00A71920"/>
    <w:rsid w:val="00A71CCC"/>
    <w:rsid w:val="00A71E4C"/>
    <w:rsid w:val="00A71FF0"/>
    <w:rsid w:val="00A72613"/>
    <w:rsid w:val="00A726CB"/>
    <w:rsid w:val="00A73538"/>
    <w:rsid w:val="00A7393C"/>
    <w:rsid w:val="00A73B10"/>
    <w:rsid w:val="00A73BA7"/>
    <w:rsid w:val="00A74550"/>
    <w:rsid w:val="00A74953"/>
    <w:rsid w:val="00A75870"/>
    <w:rsid w:val="00A75ED0"/>
    <w:rsid w:val="00A76B05"/>
    <w:rsid w:val="00A76D85"/>
    <w:rsid w:val="00A76E15"/>
    <w:rsid w:val="00A775EB"/>
    <w:rsid w:val="00A7783D"/>
    <w:rsid w:val="00A778C8"/>
    <w:rsid w:val="00A80131"/>
    <w:rsid w:val="00A805BC"/>
    <w:rsid w:val="00A80C47"/>
    <w:rsid w:val="00A80CA1"/>
    <w:rsid w:val="00A80CB1"/>
    <w:rsid w:val="00A81199"/>
    <w:rsid w:val="00A81B48"/>
    <w:rsid w:val="00A831A2"/>
    <w:rsid w:val="00A832A0"/>
    <w:rsid w:val="00A83B1A"/>
    <w:rsid w:val="00A84056"/>
    <w:rsid w:val="00A84463"/>
    <w:rsid w:val="00A84824"/>
    <w:rsid w:val="00A84E56"/>
    <w:rsid w:val="00A855D7"/>
    <w:rsid w:val="00A85785"/>
    <w:rsid w:val="00A86418"/>
    <w:rsid w:val="00A866EF"/>
    <w:rsid w:val="00A8694E"/>
    <w:rsid w:val="00A86DAD"/>
    <w:rsid w:val="00A87266"/>
    <w:rsid w:val="00A873ED"/>
    <w:rsid w:val="00A87748"/>
    <w:rsid w:val="00A87782"/>
    <w:rsid w:val="00A878EE"/>
    <w:rsid w:val="00A87B91"/>
    <w:rsid w:val="00A90A68"/>
    <w:rsid w:val="00A9218F"/>
    <w:rsid w:val="00A92431"/>
    <w:rsid w:val="00A92816"/>
    <w:rsid w:val="00A92A78"/>
    <w:rsid w:val="00A92BA1"/>
    <w:rsid w:val="00A9316B"/>
    <w:rsid w:val="00A93D0D"/>
    <w:rsid w:val="00A94F0B"/>
    <w:rsid w:val="00A9507E"/>
    <w:rsid w:val="00A95850"/>
    <w:rsid w:val="00A96A07"/>
    <w:rsid w:val="00A9742C"/>
    <w:rsid w:val="00A97BC1"/>
    <w:rsid w:val="00A97E42"/>
    <w:rsid w:val="00A97E68"/>
    <w:rsid w:val="00A97E93"/>
    <w:rsid w:val="00AA0729"/>
    <w:rsid w:val="00AA09E4"/>
    <w:rsid w:val="00AA0D56"/>
    <w:rsid w:val="00AA1166"/>
    <w:rsid w:val="00AA1562"/>
    <w:rsid w:val="00AA1957"/>
    <w:rsid w:val="00AA2071"/>
    <w:rsid w:val="00AA20EC"/>
    <w:rsid w:val="00AA2C6E"/>
    <w:rsid w:val="00AA2DA8"/>
    <w:rsid w:val="00AA440F"/>
    <w:rsid w:val="00AA4909"/>
    <w:rsid w:val="00AA4B0C"/>
    <w:rsid w:val="00AA4DE5"/>
    <w:rsid w:val="00AA5460"/>
    <w:rsid w:val="00AA5568"/>
    <w:rsid w:val="00AA59F7"/>
    <w:rsid w:val="00AA6FDA"/>
    <w:rsid w:val="00AA70BB"/>
    <w:rsid w:val="00AA7372"/>
    <w:rsid w:val="00AA77F8"/>
    <w:rsid w:val="00AA7B36"/>
    <w:rsid w:val="00AA7DAF"/>
    <w:rsid w:val="00AB0F19"/>
    <w:rsid w:val="00AB1257"/>
    <w:rsid w:val="00AB1452"/>
    <w:rsid w:val="00AB15B5"/>
    <w:rsid w:val="00AB16F7"/>
    <w:rsid w:val="00AB1CA2"/>
    <w:rsid w:val="00AB1D9F"/>
    <w:rsid w:val="00AB2148"/>
    <w:rsid w:val="00AB256D"/>
    <w:rsid w:val="00AB2E37"/>
    <w:rsid w:val="00AB3BB3"/>
    <w:rsid w:val="00AB3EEE"/>
    <w:rsid w:val="00AB51A0"/>
    <w:rsid w:val="00AB5329"/>
    <w:rsid w:val="00AB5487"/>
    <w:rsid w:val="00AB5761"/>
    <w:rsid w:val="00AB59AD"/>
    <w:rsid w:val="00AB5A14"/>
    <w:rsid w:val="00AB630A"/>
    <w:rsid w:val="00AB67B8"/>
    <w:rsid w:val="00AC0025"/>
    <w:rsid w:val="00AC0C09"/>
    <w:rsid w:val="00AC1807"/>
    <w:rsid w:val="00AC1A4A"/>
    <w:rsid w:val="00AC20BA"/>
    <w:rsid w:val="00AC230A"/>
    <w:rsid w:val="00AC2ED3"/>
    <w:rsid w:val="00AC2F75"/>
    <w:rsid w:val="00AC341E"/>
    <w:rsid w:val="00AC35E8"/>
    <w:rsid w:val="00AC37B8"/>
    <w:rsid w:val="00AC4674"/>
    <w:rsid w:val="00AC5849"/>
    <w:rsid w:val="00AC59C4"/>
    <w:rsid w:val="00AC5A45"/>
    <w:rsid w:val="00AC5EE3"/>
    <w:rsid w:val="00AC6474"/>
    <w:rsid w:val="00AC650C"/>
    <w:rsid w:val="00AC67C5"/>
    <w:rsid w:val="00AC6F0B"/>
    <w:rsid w:val="00AC72E1"/>
    <w:rsid w:val="00AC75EF"/>
    <w:rsid w:val="00AC7B1B"/>
    <w:rsid w:val="00AD0C12"/>
    <w:rsid w:val="00AD1763"/>
    <w:rsid w:val="00AD20A1"/>
    <w:rsid w:val="00AD2237"/>
    <w:rsid w:val="00AD2542"/>
    <w:rsid w:val="00AD2842"/>
    <w:rsid w:val="00AD2C62"/>
    <w:rsid w:val="00AD373D"/>
    <w:rsid w:val="00AD3BCE"/>
    <w:rsid w:val="00AD4461"/>
    <w:rsid w:val="00AD455A"/>
    <w:rsid w:val="00AD598D"/>
    <w:rsid w:val="00AD5FEB"/>
    <w:rsid w:val="00AD636B"/>
    <w:rsid w:val="00AD70E5"/>
    <w:rsid w:val="00AD7571"/>
    <w:rsid w:val="00AD7ADE"/>
    <w:rsid w:val="00AE0164"/>
    <w:rsid w:val="00AE044E"/>
    <w:rsid w:val="00AE045D"/>
    <w:rsid w:val="00AE0F57"/>
    <w:rsid w:val="00AE1839"/>
    <w:rsid w:val="00AE2C2F"/>
    <w:rsid w:val="00AE37CA"/>
    <w:rsid w:val="00AE38E5"/>
    <w:rsid w:val="00AE3E1D"/>
    <w:rsid w:val="00AE3F81"/>
    <w:rsid w:val="00AE4B01"/>
    <w:rsid w:val="00AE4D36"/>
    <w:rsid w:val="00AE53D2"/>
    <w:rsid w:val="00AE5868"/>
    <w:rsid w:val="00AE5872"/>
    <w:rsid w:val="00AE5945"/>
    <w:rsid w:val="00AE643E"/>
    <w:rsid w:val="00AE68C9"/>
    <w:rsid w:val="00AE69D0"/>
    <w:rsid w:val="00AE7076"/>
    <w:rsid w:val="00AE71D9"/>
    <w:rsid w:val="00AE7624"/>
    <w:rsid w:val="00AE7653"/>
    <w:rsid w:val="00AE7756"/>
    <w:rsid w:val="00AE7B6A"/>
    <w:rsid w:val="00AE859C"/>
    <w:rsid w:val="00AF079B"/>
    <w:rsid w:val="00AF0F5D"/>
    <w:rsid w:val="00AF15A6"/>
    <w:rsid w:val="00AF188E"/>
    <w:rsid w:val="00AF1D04"/>
    <w:rsid w:val="00AF21FA"/>
    <w:rsid w:val="00AF2DB9"/>
    <w:rsid w:val="00AF3DB0"/>
    <w:rsid w:val="00AF4151"/>
    <w:rsid w:val="00AF479C"/>
    <w:rsid w:val="00AF4A12"/>
    <w:rsid w:val="00AF532D"/>
    <w:rsid w:val="00AF6F81"/>
    <w:rsid w:val="00AF7291"/>
    <w:rsid w:val="00AF761F"/>
    <w:rsid w:val="00AF7913"/>
    <w:rsid w:val="00B000DB"/>
    <w:rsid w:val="00B00128"/>
    <w:rsid w:val="00B0039D"/>
    <w:rsid w:val="00B003E9"/>
    <w:rsid w:val="00B0046F"/>
    <w:rsid w:val="00B00870"/>
    <w:rsid w:val="00B00FCD"/>
    <w:rsid w:val="00B011C1"/>
    <w:rsid w:val="00B0132B"/>
    <w:rsid w:val="00B013B8"/>
    <w:rsid w:val="00B01897"/>
    <w:rsid w:val="00B01965"/>
    <w:rsid w:val="00B01B0C"/>
    <w:rsid w:val="00B0205B"/>
    <w:rsid w:val="00B04634"/>
    <w:rsid w:val="00B04766"/>
    <w:rsid w:val="00B04C1E"/>
    <w:rsid w:val="00B05076"/>
    <w:rsid w:val="00B061E0"/>
    <w:rsid w:val="00B063E9"/>
    <w:rsid w:val="00B068CA"/>
    <w:rsid w:val="00B06D54"/>
    <w:rsid w:val="00B07226"/>
    <w:rsid w:val="00B075A5"/>
    <w:rsid w:val="00B105A1"/>
    <w:rsid w:val="00B10E1B"/>
    <w:rsid w:val="00B1102D"/>
    <w:rsid w:val="00B111BD"/>
    <w:rsid w:val="00B112BB"/>
    <w:rsid w:val="00B117BF"/>
    <w:rsid w:val="00B11BE8"/>
    <w:rsid w:val="00B11E15"/>
    <w:rsid w:val="00B11F1E"/>
    <w:rsid w:val="00B1211C"/>
    <w:rsid w:val="00B12262"/>
    <w:rsid w:val="00B127A5"/>
    <w:rsid w:val="00B12A64"/>
    <w:rsid w:val="00B13403"/>
    <w:rsid w:val="00B13875"/>
    <w:rsid w:val="00B140EE"/>
    <w:rsid w:val="00B1457C"/>
    <w:rsid w:val="00B14D64"/>
    <w:rsid w:val="00B14DED"/>
    <w:rsid w:val="00B151D0"/>
    <w:rsid w:val="00B15448"/>
    <w:rsid w:val="00B162E9"/>
    <w:rsid w:val="00B16AE1"/>
    <w:rsid w:val="00B16FB6"/>
    <w:rsid w:val="00B17830"/>
    <w:rsid w:val="00B1792C"/>
    <w:rsid w:val="00B203FD"/>
    <w:rsid w:val="00B21964"/>
    <w:rsid w:val="00B21B90"/>
    <w:rsid w:val="00B22283"/>
    <w:rsid w:val="00B223C4"/>
    <w:rsid w:val="00B22511"/>
    <w:rsid w:val="00B225AE"/>
    <w:rsid w:val="00B227AD"/>
    <w:rsid w:val="00B23D5B"/>
    <w:rsid w:val="00B242C5"/>
    <w:rsid w:val="00B24615"/>
    <w:rsid w:val="00B24744"/>
    <w:rsid w:val="00B25C4A"/>
    <w:rsid w:val="00B26D38"/>
    <w:rsid w:val="00B279C1"/>
    <w:rsid w:val="00B27BBA"/>
    <w:rsid w:val="00B30230"/>
    <w:rsid w:val="00B302D0"/>
    <w:rsid w:val="00B30650"/>
    <w:rsid w:val="00B308C2"/>
    <w:rsid w:val="00B3101A"/>
    <w:rsid w:val="00B31289"/>
    <w:rsid w:val="00B318EF"/>
    <w:rsid w:val="00B31A1D"/>
    <w:rsid w:val="00B31C28"/>
    <w:rsid w:val="00B31FF5"/>
    <w:rsid w:val="00B323AE"/>
    <w:rsid w:val="00B32551"/>
    <w:rsid w:val="00B32845"/>
    <w:rsid w:val="00B32A2D"/>
    <w:rsid w:val="00B330A2"/>
    <w:rsid w:val="00B331EC"/>
    <w:rsid w:val="00B3355C"/>
    <w:rsid w:val="00B33A96"/>
    <w:rsid w:val="00B33EC5"/>
    <w:rsid w:val="00B34480"/>
    <w:rsid w:val="00B34619"/>
    <w:rsid w:val="00B34FB9"/>
    <w:rsid w:val="00B350EC"/>
    <w:rsid w:val="00B35353"/>
    <w:rsid w:val="00B35B3B"/>
    <w:rsid w:val="00B361B5"/>
    <w:rsid w:val="00B36999"/>
    <w:rsid w:val="00B36FE8"/>
    <w:rsid w:val="00B37500"/>
    <w:rsid w:val="00B37A18"/>
    <w:rsid w:val="00B37DEE"/>
    <w:rsid w:val="00B40468"/>
    <w:rsid w:val="00B404B6"/>
    <w:rsid w:val="00B4114E"/>
    <w:rsid w:val="00B41371"/>
    <w:rsid w:val="00B4231A"/>
    <w:rsid w:val="00B4235E"/>
    <w:rsid w:val="00B42558"/>
    <w:rsid w:val="00B42836"/>
    <w:rsid w:val="00B4287C"/>
    <w:rsid w:val="00B42EF2"/>
    <w:rsid w:val="00B433E1"/>
    <w:rsid w:val="00B43A56"/>
    <w:rsid w:val="00B43B69"/>
    <w:rsid w:val="00B4425B"/>
    <w:rsid w:val="00B44986"/>
    <w:rsid w:val="00B44A43"/>
    <w:rsid w:val="00B453F6"/>
    <w:rsid w:val="00B456D3"/>
    <w:rsid w:val="00B45838"/>
    <w:rsid w:val="00B46411"/>
    <w:rsid w:val="00B46539"/>
    <w:rsid w:val="00B469C2"/>
    <w:rsid w:val="00B469D0"/>
    <w:rsid w:val="00B47281"/>
    <w:rsid w:val="00B47814"/>
    <w:rsid w:val="00B47986"/>
    <w:rsid w:val="00B47A0E"/>
    <w:rsid w:val="00B5039A"/>
    <w:rsid w:val="00B50692"/>
    <w:rsid w:val="00B509FD"/>
    <w:rsid w:val="00B5102C"/>
    <w:rsid w:val="00B51710"/>
    <w:rsid w:val="00B52363"/>
    <w:rsid w:val="00B52D10"/>
    <w:rsid w:val="00B52EDB"/>
    <w:rsid w:val="00B52FB9"/>
    <w:rsid w:val="00B53083"/>
    <w:rsid w:val="00B53AF7"/>
    <w:rsid w:val="00B54DEB"/>
    <w:rsid w:val="00B5517F"/>
    <w:rsid w:val="00B556F1"/>
    <w:rsid w:val="00B55934"/>
    <w:rsid w:val="00B55FAC"/>
    <w:rsid w:val="00B56075"/>
    <w:rsid w:val="00B560F5"/>
    <w:rsid w:val="00B56606"/>
    <w:rsid w:val="00B5679B"/>
    <w:rsid w:val="00B56DAC"/>
    <w:rsid w:val="00B579FE"/>
    <w:rsid w:val="00B57AAB"/>
    <w:rsid w:val="00B57C51"/>
    <w:rsid w:val="00B60B56"/>
    <w:rsid w:val="00B60DC4"/>
    <w:rsid w:val="00B6136B"/>
    <w:rsid w:val="00B6153B"/>
    <w:rsid w:val="00B616E1"/>
    <w:rsid w:val="00B61D2B"/>
    <w:rsid w:val="00B62F53"/>
    <w:rsid w:val="00B63B72"/>
    <w:rsid w:val="00B63EC3"/>
    <w:rsid w:val="00B6598F"/>
    <w:rsid w:val="00B65ACC"/>
    <w:rsid w:val="00B67133"/>
    <w:rsid w:val="00B673B0"/>
    <w:rsid w:val="00B70230"/>
    <w:rsid w:val="00B70400"/>
    <w:rsid w:val="00B7066E"/>
    <w:rsid w:val="00B70DCF"/>
    <w:rsid w:val="00B7114A"/>
    <w:rsid w:val="00B71C93"/>
    <w:rsid w:val="00B7228A"/>
    <w:rsid w:val="00B7295D"/>
    <w:rsid w:val="00B72D6D"/>
    <w:rsid w:val="00B74136"/>
    <w:rsid w:val="00B75745"/>
    <w:rsid w:val="00B759C3"/>
    <w:rsid w:val="00B75CBE"/>
    <w:rsid w:val="00B769A5"/>
    <w:rsid w:val="00B773DF"/>
    <w:rsid w:val="00B77733"/>
    <w:rsid w:val="00B77D60"/>
    <w:rsid w:val="00B80371"/>
    <w:rsid w:val="00B80439"/>
    <w:rsid w:val="00B80599"/>
    <w:rsid w:val="00B809B9"/>
    <w:rsid w:val="00B80AB6"/>
    <w:rsid w:val="00B8158D"/>
    <w:rsid w:val="00B818C2"/>
    <w:rsid w:val="00B81DB0"/>
    <w:rsid w:val="00B821CB"/>
    <w:rsid w:val="00B82441"/>
    <w:rsid w:val="00B825A0"/>
    <w:rsid w:val="00B8261A"/>
    <w:rsid w:val="00B8265E"/>
    <w:rsid w:val="00B82B9B"/>
    <w:rsid w:val="00B82E7B"/>
    <w:rsid w:val="00B83458"/>
    <w:rsid w:val="00B8373E"/>
    <w:rsid w:val="00B838AE"/>
    <w:rsid w:val="00B83AC6"/>
    <w:rsid w:val="00B854BB"/>
    <w:rsid w:val="00B859CF"/>
    <w:rsid w:val="00B85FEA"/>
    <w:rsid w:val="00B862F0"/>
    <w:rsid w:val="00B8651D"/>
    <w:rsid w:val="00B86821"/>
    <w:rsid w:val="00B868FD"/>
    <w:rsid w:val="00B86C2E"/>
    <w:rsid w:val="00B86DB6"/>
    <w:rsid w:val="00B87184"/>
    <w:rsid w:val="00B87795"/>
    <w:rsid w:val="00B903AE"/>
    <w:rsid w:val="00B90EE6"/>
    <w:rsid w:val="00B91234"/>
    <w:rsid w:val="00B912FB"/>
    <w:rsid w:val="00B916D7"/>
    <w:rsid w:val="00B91C00"/>
    <w:rsid w:val="00B928B1"/>
    <w:rsid w:val="00B928E0"/>
    <w:rsid w:val="00B92F64"/>
    <w:rsid w:val="00B9306D"/>
    <w:rsid w:val="00B93310"/>
    <w:rsid w:val="00B9463C"/>
    <w:rsid w:val="00B94673"/>
    <w:rsid w:val="00B953F5"/>
    <w:rsid w:val="00B95D18"/>
    <w:rsid w:val="00B95DEC"/>
    <w:rsid w:val="00B96030"/>
    <w:rsid w:val="00B9623A"/>
    <w:rsid w:val="00B96414"/>
    <w:rsid w:val="00B96BD1"/>
    <w:rsid w:val="00B96D24"/>
    <w:rsid w:val="00B97D2F"/>
    <w:rsid w:val="00BA0979"/>
    <w:rsid w:val="00BA0B20"/>
    <w:rsid w:val="00BA1016"/>
    <w:rsid w:val="00BA11DC"/>
    <w:rsid w:val="00BA1511"/>
    <w:rsid w:val="00BA16D4"/>
    <w:rsid w:val="00BA1B53"/>
    <w:rsid w:val="00BA2002"/>
    <w:rsid w:val="00BA2407"/>
    <w:rsid w:val="00BA27A2"/>
    <w:rsid w:val="00BA28B5"/>
    <w:rsid w:val="00BA34E6"/>
    <w:rsid w:val="00BA3E05"/>
    <w:rsid w:val="00BA3E58"/>
    <w:rsid w:val="00BA4038"/>
    <w:rsid w:val="00BA4971"/>
    <w:rsid w:val="00BA5016"/>
    <w:rsid w:val="00BA515E"/>
    <w:rsid w:val="00BA516C"/>
    <w:rsid w:val="00BA5985"/>
    <w:rsid w:val="00BA5AEF"/>
    <w:rsid w:val="00BA5E69"/>
    <w:rsid w:val="00BA5F63"/>
    <w:rsid w:val="00BA62F4"/>
    <w:rsid w:val="00BA62F8"/>
    <w:rsid w:val="00BA6D2B"/>
    <w:rsid w:val="00BA6E11"/>
    <w:rsid w:val="00BA7656"/>
    <w:rsid w:val="00BA7C73"/>
    <w:rsid w:val="00BB0263"/>
    <w:rsid w:val="00BB12E5"/>
    <w:rsid w:val="00BB226A"/>
    <w:rsid w:val="00BB2697"/>
    <w:rsid w:val="00BB273D"/>
    <w:rsid w:val="00BB281C"/>
    <w:rsid w:val="00BB2BB6"/>
    <w:rsid w:val="00BB2C93"/>
    <w:rsid w:val="00BB2E63"/>
    <w:rsid w:val="00BB330F"/>
    <w:rsid w:val="00BB3B5E"/>
    <w:rsid w:val="00BB3B8B"/>
    <w:rsid w:val="00BB3C8B"/>
    <w:rsid w:val="00BB3EA8"/>
    <w:rsid w:val="00BB46D0"/>
    <w:rsid w:val="00BB49B1"/>
    <w:rsid w:val="00BB52EF"/>
    <w:rsid w:val="00BB58E2"/>
    <w:rsid w:val="00BB6604"/>
    <w:rsid w:val="00BC10FD"/>
    <w:rsid w:val="00BC1245"/>
    <w:rsid w:val="00BC13C2"/>
    <w:rsid w:val="00BC13F1"/>
    <w:rsid w:val="00BC1A0E"/>
    <w:rsid w:val="00BC28F4"/>
    <w:rsid w:val="00BC2F2B"/>
    <w:rsid w:val="00BC3712"/>
    <w:rsid w:val="00BC3D40"/>
    <w:rsid w:val="00BC408C"/>
    <w:rsid w:val="00BC4259"/>
    <w:rsid w:val="00BC4466"/>
    <w:rsid w:val="00BC4602"/>
    <w:rsid w:val="00BC4BD4"/>
    <w:rsid w:val="00BC5025"/>
    <w:rsid w:val="00BC55B4"/>
    <w:rsid w:val="00BC5647"/>
    <w:rsid w:val="00BC71E4"/>
    <w:rsid w:val="00BC7669"/>
    <w:rsid w:val="00BC7B2A"/>
    <w:rsid w:val="00BC7B56"/>
    <w:rsid w:val="00BD07FD"/>
    <w:rsid w:val="00BD1DAD"/>
    <w:rsid w:val="00BD33CD"/>
    <w:rsid w:val="00BD345C"/>
    <w:rsid w:val="00BD368A"/>
    <w:rsid w:val="00BD5425"/>
    <w:rsid w:val="00BD5989"/>
    <w:rsid w:val="00BD5A5E"/>
    <w:rsid w:val="00BD5AFD"/>
    <w:rsid w:val="00BD5C46"/>
    <w:rsid w:val="00BD66B3"/>
    <w:rsid w:val="00BD719A"/>
    <w:rsid w:val="00BD78AC"/>
    <w:rsid w:val="00BE038B"/>
    <w:rsid w:val="00BE1065"/>
    <w:rsid w:val="00BE10B0"/>
    <w:rsid w:val="00BE136A"/>
    <w:rsid w:val="00BE177E"/>
    <w:rsid w:val="00BE1988"/>
    <w:rsid w:val="00BE2398"/>
    <w:rsid w:val="00BE2870"/>
    <w:rsid w:val="00BE297F"/>
    <w:rsid w:val="00BE298F"/>
    <w:rsid w:val="00BE3343"/>
    <w:rsid w:val="00BE3767"/>
    <w:rsid w:val="00BE38EF"/>
    <w:rsid w:val="00BE3B19"/>
    <w:rsid w:val="00BE45FB"/>
    <w:rsid w:val="00BE4B01"/>
    <w:rsid w:val="00BE4DA5"/>
    <w:rsid w:val="00BE578B"/>
    <w:rsid w:val="00BE5BEF"/>
    <w:rsid w:val="00BE5EA0"/>
    <w:rsid w:val="00BE5FC4"/>
    <w:rsid w:val="00BE6341"/>
    <w:rsid w:val="00BE6417"/>
    <w:rsid w:val="00BE69E7"/>
    <w:rsid w:val="00BE6D8A"/>
    <w:rsid w:val="00BE7126"/>
    <w:rsid w:val="00BE7229"/>
    <w:rsid w:val="00BE750C"/>
    <w:rsid w:val="00BF0911"/>
    <w:rsid w:val="00BF1431"/>
    <w:rsid w:val="00BF1506"/>
    <w:rsid w:val="00BF153C"/>
    <w:rsid w:val="00BF1F9D"/>
    <w:rsid w:val="00BF23D1"/>
    <w:rsid w:val="00BF28DD"/>
    <w:rsid w:val="00BF2B82"/>
    <w:rsid w:val="00BF3702"/>
    <w:rsid w:val="00BF42C8"/>
    <w:rsid w:val="00BF4B79"/>
    <w:rsid w:val="00BF5F44"/>
    <w:rsid w:val="00BF64FA"/>
    <w:rsid w:val="00BF6CCC"/>
    <w:rsid w:val="00BF6E41"/>
    <w:rsid w:val="00BF7982"/>
    <w:rsid w:val="00BF79A2"/>
    <w:rsid w:val="00BF7A13"/>
    <w:rsid w:val="00BF7EBC"/>
    <w:rsid w:val="00BF7FC3"/>
    <w:rsid w:val="00C0035D"/>
    <w:rsid w:val="00C00634"/>
    <w:rsid w:val="00C0071F"/>
    <w:rsid w:val="00C00962"/>
    <w:rsid w:val="00C027F8"/>
    <w:rsid w:val="00C02D8F"/>
    <w:rsid w:val="00C03493"/>
    <w:rsid w:val="00C037C6"/>
    <w:rsid w:val="00C03A48"/>
    <w:rsid w:val="00C03F59"/>
    <w:rsid w:val="00C042CB"/>
    <w:rsid w:val="00C04918"/>
    <w:rsid w:val="00C04A4D"/>
    <w:rsid w:val="00C04B62"/>
    <w:rsid w:val="00C04B7D"/>
    <w:rsid w:val="00C04FA6"/>
    <w:rsid w:val="00C050C0"/>
    <w:rsid w:val="00C052CC"/>
    <w:rsid w:val="00C058D1"/>
    <w:rsid w:val="00C05BFB"/>
    <w:rsid w:val="00C05C6A"/>
    <w:rsid w:val="00C06279"/>
    <w:rsid w:val="00C0672D"/>
    <w:rsid w:val="00C06753"/>
    <w:rsid w:val="00C06965"/>
    <w:rsid w:val="00C10077"/>
    <w:rsid w:val="00C101A2"/>
    <w:rsid w:val="00C1071F"/>
    <w:rsid w:val="00C1074C"/>
    <w:rsid w:val="00C109B2"/>
    <w:rsid w:val="00C11461"/>
    <w:rsid w:val="00C11500"/>
    <w:rsid w:val="00C11946"/>
    <w:rsid w:val="00C11FAB"/>
    <w:rsid w:val="00C12211"/>
    <w:rsid w:val="00C122A3"/>
    <w:rsid w:val="00C126C9"/>
    <w:rsid w:val="00C12B2F"/>
    <w:rsid w:val="00C12BDA"/>
    <w:rsid w:val="00C13C38"/>
    <w:rsid w:val="00C140E2"/>
    <w:rsid w:val="00C1477F"/>
    <w:rsid w:val="00C1525D"/>
    <w:rsid w:val="00C15F95"/>
    <w:rsid w:val="00C16C2F"/>
    <w:rsid w:val="00C17076"/>
    <w:rsid w:val="00C1743F"/>
    <w:rsid w:val="00C177A3"/>
    <w:rsid w:val="00C20BA9"/>
    <w:rsid w:val="00C20FCE"/>
    <w:rsid w:val="00C21086"/>
    <w:rsid w:val="00C211A3"/>
    <w:rsid w:val="00C213E7"/>
    <w:rsid w:val="00C215C4"/>
    <w:rsid w:val="00C21E6D"/>
    <w:rsid w:val="00C220BB"/>
    <w:rsid w:val="00C2221A"/>
    <w:rsid w:val="00C22652"/>
    <w:rsid w:val="00C2296E"/>
    <w:rsid w:val="00C22BCC"/>
    <w:rsid w:val="00C22F2D"/>
    <w:rsid w:val="00C2343A"/>
    <w:rsid w:val="00C23494"/>
    <w:rsid w:val="00C23701"/>
    <w:rsid w:val="00C238F5"/>
    <w:rsid w:val="00C23F99"/>
    <w:rsid w:val="00C2428E"/>
    <w:rsid w:val="00C244F7"/>
    <w:rsid w:val="00C2466F"/>
    <w:rsid w:val="00C248D4"/>
    <w:rsid w:val="00C24C61"/>
    <w:rsid w:val="00C24E9B"/>
    <w:rsid w:val="00C26130"/>
    <w:rsid w:val="00C2659D"/>
    <w:rsid w:val="00C2744E"/>
    <w:rsid w:val="00C2758A"/>
    <w:rsid w:val="00C277C0"/>
    <w:rsid w:val="00C27B11"/>
    <w:rsid w:val="00C3039F"/>
    <w:rsid w:val="00C314E5"/>
    <w:rsid w:val="00C3185B"/>
    <w:rsid w:val="00C31D31"/>
    <w:rsid w:val="00C31EC1"/>
    <w:rsid w:val="00C32909"/>
    <w:rsid w:val="00C33033"/>
    <w:rsid w:val="00C3312B"/>
    <w:rsid w:val="00C33346"/>
    <w:rsid w:val="00C335E9"/>
    <w:rsid w:val="00C33A0F"/>
    <w:rsid w:val="00C33B02"/>
    <w:rsid w:val="00C34385"/>
    <w:rsid w:val="00C34C80"/>
    <w:rsid w:val="00C34D11"/>
    <w:rsid w:val="00C34FB1"/>
    <w:rsid w:val="00C353FD"/>
    <w:rsid w:val="00C3544C"/>
    <w:rsid w:val="00C3554B"/>
    <w:rsid w:val="00C358BB"/>
    <w:rsid w:val="00C358F7"/>
    <w:rsid w:val="00C35980"/>
    <w:rsid w:val="00C366E7"/>
    <w:rsid w:val="00C367EA"/>
    <w:rsid w:val="00C367FF"/>
    <w:rsid w:val="00C36A70"/>
    <w:rsid w:val="00C36B15"/>
    <w:rsid w:val="00C36EF1"/>
    <w:rsid w:val="00C37245"/>
    <w:rsid w:val="00C3734B"/>
    <w:rsid w:val="00C3740E"/>
    <w:rsid w:val="00C378F2"/>
    <w:rsid w:val="00C37D4C"/>
    <w:rsid w:val="00C37FC9"/>
    <w:rsid w:val="00C4038E"/>
    <w:rsid w:val="00C40F0D"/>
    <w:rsid w:val="00C40F39"/>
    <w:rsid w:val="00C40F8E"/>
    <w:rsid w:val="00C42447"/>
    <w:rsid w:val="00C427B8"/>
    <w:rsid w:val="00C42B26"/>
    <w:rsid w:val="00C42D3E"/>
    <w:rsid w:val="00C434EB"/>
    <w:rsid w:val="00C43998"/>
    <w:rsid w:val="00C444C4"/>
    <w:rsid w:val="00C4521F"/>
    <w:rsid w:val="00C46053"/>
    <w:rsid w:val="00C46B4A"/>
    <w:rsid w:val="00C46BC9"/>
    <w:rsid w:val="00C46C0A"/>
    <w:rsid w:val="00C46D17"/>
    <w:rsid w:val="00C46E80"/>
    <w:rsid w:val="00C46F99"/>
    <w:rsid w:val="00C472EE"/>
    <w:rsid w:val="00C47356"/>
    <w:rsid w:val="00C4757E"/>
    <w:rsid w:val="00C47B92"/>
    <w:rsid w:val="00C50E6F"/>
    <w:rsid w:val="00C5100E"/>
    <w:rsid w:val="00C51628"/>
    <w:rsid w:val="00C52256"/>
    <w:rsid w:val="00C52273"/>
    <w:rsid w:val="00C540AB"/>
    <w:rsid w:val="00C549C0"/>
    <w:rsid w:val="00C55238"/>
    <w:rsid w:val="00C565B3"/>
    <w:rsid w:val="00C56A5E"/>
    <w:rsid w:val="00C56C35"/>
    <w:rsid w:val="00C5724D"/>
    <w:rsid w:val="00C5782C"/>
    <w:rsid w:val="00C6079A"/>
    <w:rsid w:val="00C60A2E"/>
    <w:rsid w:val="00C60A57"/>
    <w:rsid w:val="00C60E83"/>
    <w:rsid w:val="00C61037"/>
    <w:rsid w:val="00C61179"/>
    <w:rsid w:val="00C61DFE"/>
    <w:rsid w:val="00C62567"/>
    <w:rsid w:val="00C62674"/>
    <w:rsid w:val="00C62FC7"/>
    <w:rsid w:val="00C63BAA"/>
    <w:rsid w:val="00C63D25"/>
    <w:rsid w:val="00C63E75"/>
    <w:rsid w:val="00C64730"/>
    <w:rsid w:val="00C648F1"/>
    <w:rsid w:val="00C64C6A"/>
    <w:rsid w:val="00C661F9"/>
    <w:rsid w:val="00C66566"/>
    <w:rsid w:val="00C66D19"/>
    <w:rsid w:val="00C67155"/>
    <w:rsid w:val="00C700BF"/>
    <w:rsid w:val="00C7059B"/>
    <w:rsid w:val="00C708C3"/>
    <w:rsid w:val="00C70A53"/>
    <w:rsid w:val="00C717FD"/>
    <w:rsid w:val="00C718DD"/>
    <w:rsid w:val="00C72643"/>
    <w:rsid w:val="00C72BDE"/>
    <w:rsid w:val="00C7319C"/>
    <w:rsid w:val="00C731BA"/>
    <w:rsid w:val="00C7344A"/>
    <w:rsid w:val="00C734F0"/>
    <w:rsid w:val="00C735C0"/>
    <w:rsid w:val="00C73702"/>
    <w:rsid w:val="00C75005"/>
    <w:rsid w:val="00C75459"/>
    <w:rsid w:val="00C75BBC"/>
    <w:rsid w:val="00C76191"/>
    <w:rsid w:val="00C76563"/>
    <w:rsid w:val="00C767B4"/>
    <w:rsid w:val="00C76853"/>
    <w:rsid w:val="00C771A3"/>
    <w:rsid w:val="00C771E7"/>
    <w:rsid w:val="00C77DB1"/>
    <w:rsid w:val="00C802E9"/>
    <w:rsid w:val="00C80FAC"/>
    <w:rsid w:val="00C814FB"/>
    <w:rsid w:val="00C81758"/>
    <w:rsid w:val="00C8185D"/>
    <w:rsid w:val="00C81C0B"/>
    <w:rsid w:val="00C81C73"/>
    <w:rsid w:val="00C81F7C"/>
    <w:rsid w:val="00C82002"/>
    <w:rsid w:val="00C8225E"/>
    <w:rsid w:val="00C82346"/>
    <w:rsid w:val="00C83079"/>
    <w:rsid w:val="00C83363"/>
    <w:rsid w:val="00C836D0"/>
    <w:rsid w:val="00C83E9D"/>
    <w:rsid w:val="00C84091"/>
    <w:rsid w:val="00C84299"/>
    <w:rsid w:val="00C84530"/>
    <w:rsid w:val="00C84810"/>
    <w:rsid w:val="00C84AFB"/>
    <w:rsid w:val="00C850E3"/>
    <w:rsid w:val="00C851BA"/>
    <w:rsid w:val="00C8562F"/>
    <w:rsid w:val="00C85B4C"/>
    <w:rsid w:val="00C860DD"/>
    <w:rsid w:val="00C86318"/>
    <w:rsid w:val="00C86562"/>
    <w:rsid w:val="00C8675B"/>
    <w:rsid w:val="00C86874"/>
    <w:rsid w:val="00C90317"/>
    <w:rsid w:val="00C9055A"/>
    <w:rsid w:val="00C9072C"/>
    <w:rsid w:val="00C9077B"/>
    <w:rsid w:val="00C90A14"/>
    <w:rsid w:val="00C90D94"/>
    <w:rsid w:val="00C90F68"/>
    <w:rsid w:val="00C91862"/>
    <w:rsid w:val="00C91B32"/>
    <w:rsid w:val="00C91DCE"/>
    <w:rsid w:val="00C92128"/>
    <w:rsid w:val="00C9218D"/>
    <w:rsid w:val="00C9238E"/>
    <w:rsid w:val="00C92F52"/>
    <w:rsid w:val="00C92FE8"/>
    <w:rsid w:val="00C93114"/>
    <w:rsid w:val="00C9370B"/>
    <w:rsid w:val="00C938BB"/>
    <w:rsid w:val="00C93DDA"/>
    <w:rsid w:val="00C9443B"/>
    <w:rsid w:val="00C94C5D"/>
    <w:rsid w:val="00C94C80"/>
    <w:rsid w:val="00C9574D"/>
    <w:rsid w:val="00C9648F"/>
    <w:rsid w:val="00C97149"/>
    <w:rsid w:val="00C971F9"/>
    <w:rsid w:val="00C9754A"/>
    <w:rsid w:val="00C9778E"/>
    <w:rsid w:val="00C977A8"/>
    <w:rsid w:val="00C97DA6"/>
    <w:rsid w:val="00CA0BC0"/>
    <w:rsid w:val="00CA0DF0"/>
    <w:rsid w:val="00CA112C"/>
    <w:rsid w:val="00CA1BCD"/>
    <w:rsid w:val="00CA2049"/>
    <w:rsid w:val="00CA28B0"/>
    <w:rsid w:val="00CA29D0"/>
    <w:rsid w:val="00CA2E2B"/>
    <w:rsid w:val="00CA2F0A"/>
    <w:rsid w:val="00CA3350"/>
    <w:rsid w:val="00CA36A3"/>
    <w:rsid w:val="00CA3822"/>
    <w:rsid w:val="00CA40EE"/>
    <w:rsid w:val="00CA532D"/>
    <w:rsid w:val="00CA5CB8"/>
    <w:rsid w:val="00CA5E54"/>
    <w:rsid w:val="00CA5E63"/>
    <w:rsid w:val="00CA606A"/>
    <w:rsid w:val="00CA60CB"/>
    <w:rsid w:val="00CA62C3"/>
    <w:rsid w:val="00CA65FF"/>
    <w:rsid w:val="00CA6722"/>
    <w:rsid w:val="00CA6751"/>
    <w:rsid w:val="00CA6D23"/>
    <w:rsid w:val="00CA7430"/>
    <w:rsid w:val="00CA7DD1"/>
    <w:rsid w:val="00CB0822"/>
    <w:rsid w:val="00CB1421"/>
    <w:rsid w:val="00CB1B60"/>
    <w:rsid w:val="00CB232F"/>
    <w:rsid w:val="00CB2BDA"/>
    <w:rsid w:val="00CB31F7"/>
    <w:rsid w:val="00CB49A0"/>
    <w:rsid w:val="00CB4A3C"/>
    <w:rsid w:val="00CB501B"/>
    <w:rsid w:val="00CB527B"/>
    <w:rsid w:val="00CB5551"/>
    <w:rsid w:val="00CB556D"/>
    <w:rsid w:val="00CB581B"/>
    <w:rsid w:val="00CB58BE"/>
    <w:rsid w:val="00CB5C23"/>
    <w:rsid w:val="00CB63A8"/>
    <w:rsid w:val="00CB67A9"/>
    <w:rsid w:val="00CB680B"/>
    <w:rsid w:val="00CB6D9D"/>
    <w:rsid w:val="00CB6F07"/>
    <w:rsid w:val="00CB7446"/>
    <w:rsid w:val="00CB76E3"/>
    <w:rsid w:val="00CB774C"/>
    <w:rsid w:val="00CB7C78"/>
    <w:rsid w:val="00CB7D37"/>
    <w:rsid w:val="00CC0095"/>
    <w:rsid w:val="00CC0132"/>
    <w:rsid w:val="00CC0178"/>
    <w:rsid w:val="00CC078B"/>
    <w:rsid w:val="00CC07EB"/>
    <w:rsid w:val="00CC0908"/>
    <w:rsid w:val="00CC0A3B"/>
    <w:rsid w:val="00CC0B64"/>
    <w:rsid w:val="00CC0C63"/>
    <w:rsid w:val="00CC0D04"/>
    <w:rsid w:val="00CC0F4F"/>
    <w:rsid w:val="00CC11FD"/>
    <w:rsid w:val="00CC1C19"/>
    <w:rsid w:val="00CC2109"/>
    <w:rsid w:val="00CC23B5"/>
    <w:rsid w:val="00CC23DF"/>
    <w:rsid w:val="00CC2621"/>
    <w:rsid w:val="00CC2AF0"/>
    <w:rsid w:val="00CC2F1C"/>
    <w:rsid w:val="00CC3169"/>
    <w:rsid w:val="00CC34BD"/>
    <w:rsid w:val="00CC3B9F"/>
    <w:rsid w:val="00CC4063"/>
    <w:rsid w:val="00CC4BC5"/>
    <w:rsid w:val="00CC4CD9"/>
    <w:rsid w:val="00CC5204"/>
    <w:rsid w:val="00CC5222"/>
    <w:rsid w:val="00CC5679"/>
    <w:rsid w:val="00CC5E06"/>
    <w:rsid w:val="00CC6489"/>
    <w:rsid w:val="00CC6BA5"/>
    <w:rsid w:val="00CC6BCC"/>
    <w:rsid w:val="00CC6E90"/>
    <w:rsid w:val="00CC706C"/>
    <w:rsid w:val="00CC7364"/>
    <w:rsid w:val="00CC73B7"/>
    <w:rsid w:val="00CC7D6F"/>
    <w:rsid w:val="00CD0063"/>
    <w:rsid w:val="00CD01BE"/>
    <w:rsid w:val="00CD0486"/>
    <w:rsid w:val="00CD0AD1"/>
    <w:rsid w:val="00CD1C87"/>
    <w:rsid w:val="00CD1F57"/>
    <w:rsid w:val="00CD2FC8"/>
    <w:rsid w:val="00CD3161"/>
    <w:rsid w:val="00CD32DA"/>
    <w:rsid w:val="00CD3C02"/>
    <w:rsid w:val="00CD3D5E"/>
    <w:rsid w:val="00CD406A"/>
    <w:rsid w:val="00CD40CB"/>
    <w:rsid w:val="00CD4F02"/>
    <w:rsid w:val="00CD53CE"/>
    <w:rsid w:val="00CD602C"/>
    <w:rsid w:val="00CD6DEF"/>
    <w:rsid w:val="00CD70EB"/>
    <w:rsid w:val="00CD7552"/>
    <w:rsid w:val="00CD7860"/>
    <w:rsid w:val="00CE00CF"/>
    <w:rsid w:val="00CE0167"/>
    <w:rsid w:val="00CE01AE"/>
    <w:rsid w:val="00CE0769"/>
    <w:rsid w:val="00CE2202"/>
    <w:rsid w:val="00CE286C"/>
    <w:rsid w:val="00CE2937"/>
    <w:rsid w:val="00CE2B41"/>
    <w:rsid w:val="00CE2BFC"/>
    <w:rsid w:val="00CE2C55"/>
    <w:rsid w:val="00CE3076"/>
    <w:rsid w:val="00CE3085"/>
    <w:rsid w:val="00CE3AC6"/>
    <w:rsid w:val="00CE3EFC"/>
    <w:rsid w:val="00CE4C5B"/>
    <w:rsid w:val="00CE5119"/>
    <w:rsid w:val="00CE514C"/>
    <w:rsid w:val="00CE57E8"/>
    <w:rsid w:val="00CE5E1B"/>
    <w:rsid w:val="00CE66CC"/>
    <w:rsid w:val="00CE67B0"/>
    <w:rsid w:val="00CE7422"/>
    <w:rsid w:val="00CE799C"/>
    <w:rsid w:val="00CF064E"/>
    <w:rsid w:val="00CF09C9"/>
    <w:rsid w:val="00CF0EEC"/>
    <w:rsid w:val="00CF146F"/>
    <w:rsid w:val="00CF1F00"/>
    <w:rsid w:val="00CF29AE"/>
    <w:rsid w:val="00CF2C39"/>
    <w:rsid w:val="00CF2C6B"/>
    <w:rsid w:val="00CF2D5A"/>
    <w:rsid w:val="00CF2E16"/>
    <w:rsid w:val="00CF39DA"/>
    <w:rsid w:val="00CF4245"/>
    <w:rsid w:val="00CF4753"/>
    <w:rsid w:val="00CF4CA9"/>
    <w:rsid w:val="00CF5292"/>
    <w:rsid w:val="00CF571F"/>
    <w:rsid w:val="00CF57C8"/>
    <w:rsid w:val="00CF5811"/>
    <w:rsid w:val="00CF5A6A"/>
    <w:rsid w:val="00CF5AD9"/>
    <w:rsid w:val="00CF6061"/>
    <w:rsid w:val="00CF60E6"/>
    <w:rsid w:val="00CF6278"/>
    <w:rsid w:val="00CF639D"/>
    <w:rsid w:val="00CF63DB"/>
    <w:rsid w:val="00CF7458"/>
    <w:rsid w:val="00CF7677"/>
    <w:rsid w:val="00CF7737"/>
    <w:rsid w:val="00CF7B7E"/>
    <w:rsid w:val="00CF7D6C"/>
    <w:rsid w:val="00D00520"/>
    <w:rsid w:val="00D0075F"/>
    <w:rsid w:val="00D0159D"/>
    <w:rsid w:val="00D0174A"/>
    <w:rsid w:val="00D01E4F"/>
    <w:rsid w:val="00D0209D"/>
    <w:rsid w:val="00D02641"/>
    <w:rsid w:val="00D028E2"/>
    <w:rsid w:val="00D02910"/>
    <w:rsid w:val="00D02AEA"/>
    <w:rsid w:val="00D03648"/>
    <w:rsid w:val="00D03864"/>
    <w:rsid w:val="00D03AAB"/>
    <w:rsid w:val="00D03FE6"/>
    <w:rsid w:val="00D04C5B"/>
    <w:rsid w:val="00D04F50"/>
    <w:rsid w:val="00D0536E"/>
    <w:rsid w:val="00D05ADB"/>
    <w:rsid w:val="00D05E92"/>
    <w:rsid w:val="00D06A08"/>
    <w:rsid w:val="00D1043F"/>
    <w:rsid w:val="00D10B46"/>
    <w:rsid w:val="00D10D69"/>
    <w:rsid w:val="00D1234D"/>
    <w:rsid w:val="00D13608"/>
    <w:rsid w:val="00D14810"/>
    <w:rsid w:val="00D1507D"/>
    <w:rsid w:val="00D1594A"/>
    <w:rsid w:val="00D1658A"/>
    <w:rsid w:val="00D16CC4"/>
    <w:rsid w:val="00D170ED"/>
    <w:rsid w:val="00D1712A"/>
    <w:rsid w:val="00D171BB"/>
    <w:rsid w:val="00D201CE"/>
    <w:rsid w:val="00D2068A"/>
    <w:rsid w:val="00D20BFF"/>
    <w:rsid w:val="00D214EC"/>
    <w:rsid w:val="00D215DB"/>
    <w:rsid w:val="00D21C49"/>
    <w:rsid w:val="00D21EA0"/>
    <w:rsid w:val="00D22CD7"/>
    <w:rsid w:val="00D231C4"/>
    <w:rsid w:val="00D236D9"/>
    <w:rsid w:val="00D23845"/>
    <w:rsid w:val="00D23A2A"/>
    <w:rsid w:val="00D2403D"/>
    <w:rsid w:val="00D253CF"/>
    <w:rsid w:val="00D2542F"/>
    <w:rsid w:val="00D25521"/>
    <w:rsid w:val="00D25D26"/>
    <w:rsid w:val="00D25E39"/>
    <w:rsid w:val="00D26A7F"/>
    <w:rsid w:val="00D275CD"/>
    <w:rsid w:val="00D27BD7"/>
    <w:rsid w:val="00D27CFD"/>
    <w:rsid w:val="00D300AD"/>
    <w:rsid w:val="00D301F2"/>
    <w:rsid w:val="00D305FE"/>
    <w:rsid w:val="00D30688"/>
    <w:rsid w:val="00D31141"/>
    <w:rsid w:val="00D3130A"/>
    <w:rsid w:val="00D313E7"/>
    <w:rsid w:val="00D3160B"/>
    <w:rsid w:val="00D31EA2"/>
    <w:rsid w:val="00D326B7"/>
    <w:rsid w:val="00D334BC"/>
    <w:rsid w:val="00D3353D"/>
    <w:rsid w:val="00D33AE5"/>
    <w:rsid w:val="00D35C6F"/>
    <w:rsid w:val="00D360FF"/>
    <w:rsid w:val="00D37310"/>
    <w:rsid w:val="00D37616"/>
    <w:rsid w:val="00D377BC"/>
    <w:rsid w:val="00D40D8A"/>
    <w:rsid w:val="00D4124D"/>
    <w:rsid w:val="00D412C7"/>
    <w:rsid w:val="00D412D9"/>
    <w:rsid w:val="00D4154A"/>
    <w:rsid w:val="00D418ED"/>
    <w:rsid w:val="00D41BB0"/>
    <w:rsid w:val="00D41EDF"/>
    <w:rsid w:val="00D422E0"/>
    <w:rsid w:val="00D4281C"/>
    <w:rsid w:val="00D42CF3"/>
    <w:rsid w:val="00D42DC0"/>
    <w:rsid w:val="00D431D9"/>
    <w:rsid w:val="00D4409C"/>
    <w:rsid w:val="00D447F2"/>
    <w:rsid w:val="00D44AC7"/>
    <w:rsid w:val="00D44CE3"/>
    <w:rsid w:val="00D45FB4"/>
    <w:rsid w:val="00D45FF6"/>
    <w:rsid w:val="00D46DF0"/>
    <w:rsid w:val="00D4744A"/>
    <w:rsid w:val="00D4748A"/>
    <w:rsid w:val="00D4750D"/>
    <w:rsid w:val="00D478E3"/>
    <w:rsid w:val="00D47907"/>
    <w:rsid w:val="00D500F6"/>
    <w:rsid w:val="00D5087E"/>
    <w:rsid w:val="00D50F47"/>
    <w:rsid w:val="00D511BB"/>
    <w:rsid w:val="00D51518"/>
    <w:rsid w:val="00D51880"/>
    <w:rsid w:val="00D51BC1"/>
    <w:rsid w:val="00D521A7"/>
    <w:rsid w:val="00D532D7"/>
    <w:rsid w:val="00D53533"/>
    <w:rsid w:val="00D5388B"/>
    <w:rsid w:val="00D5390A"/>
    <w:rsid w:val="00D53A11"/>
    <w:rsid w:val="00D54167"/>
    <w:rsid w:val="00D5452B"/>
    <w:rsid w:val="00D55150"/>
    <w:rsid w:val="00D55177"/>
    <w:rsid w:val="00D55472"/>
    <w:rsid w:val="00D55505"/>
    <w:rsid w:val="00D56573"/>
    <w:rsid w:val="00D5697C"/>
    <w:rsid w:val="00D577D2"/>
    <w:rsid w:val="00D57EAE"/>
    <w:rsid w:val="00D60D15"/>
    <w:rsid w:val="00D614C0"/>
    <w:rsid w:val="00D614FC"/>
    <w:rsid w:val="00D61DDD"/>
    <w:rsid w:val="00D61E83"/>
    <w:rsid w:val="00D623B0"/>
    <w:rsid w:val="00D624B3"/>
    <w:rsid w:val="00D62E9B"/>
    <w:rsid w:val="00D6315B"/>
    <w:rsid w:val="00D63CE3"/>
    <w:rsid w:val="00D6406A"/>
    <w:rsid w:val="00D6417F"/>
    <w:rsid w:val="00D64329"/>
    <w:rsid w:val="00D64AC5"/>
    <w:rsid w:val="00D64DF3"/>
    <w:rsid w:val="00D65AA4"/>
    <w:rsid w:val="00D6603C"/>
    <w:rsid w:val="00D662AC"/>
    <w:rsid w:val="00D662B2"/>
    <w:rsid w:val="00D66375"/>
    <w:rsid w:val="00D667C4"/>
    <w:rsid w:val="00D66CF8"/>
    <w:rsid w:val="00D676FA"/>
    <w:rsid w:val="00D7063C"/>
    <w:rsid w:val="00D7075F"/>
    <w:rsid w:val="00D70A64"/>
    <w:rsid w:val="00D70B07"/>
    <w:rsid w:val="00D70DB6"/>
    <w:rsid w:val="00D70F17"/>
    <w:rsid w:val="00D710AB"/>
    <w:rsid w:val="00D71D67"/>
    <w:rsid w:val="00D73178"/>
    <w:rsid w:val="00D732AF"/>
    <w:rsid w:val="00D732B0"/>
    <w:rsid w:val="00D736BC"/>
    <w:rsid w:val="00D73A20"/>
    <w:rsid w:val="00D74127"/>
    <w:rsid w:val="00D74E20"/>
    <w:rsid w:val="00D75540"/>
    <w:rsid w:val="00D755B6"/>
    <w:rsid w:val="00D76B1B"/>
    <w:rsid w:val="00D76F1C"/>
    <w:rsid w:val="00D77874"/>
    <w:rsid w:val="00D778F3"/>
    <w:rsid w:val="00D77F02"/>
    <w:rsid w:val="00D8054D"/>
    <w:rsid w:val="00D80739"/>
    <w:rsid w:val="00D80ECF"/>
    <w:rsid w:val="00D814C2"/>
    <w:rsid w:val="00D81CB5"/>
    <w:rsid w:val="00D8224F"/>
    <w:rsid w:val="00D83CC3"/>
    <w:rsid w:val="00D83EA3"/>
    <w:rsid w:val="00D84229"/>
    <w:rsid w:val="00D84924"/>
    <w:rsid w:val="00D849E3"/>
    <w:rsid w:val="00D85891"/>
    <w:rsid w:val="00D85BD6"/>
    <w:rsid w:val="00D85E74"/>
    <w:rsid w:val="00D86402"/>
    <w:rsid w:val="00D8648D"/>
    <w:rsid w:val="00D86F3B"/>
    <w:rsid w:val="00D87A00"/>
    <w:rsid w:val="00D87D7B"/>
    <w:rsid w:val="00D90094"/>
    <w:rsid w:val="00D900F7"/>
    <w:rsid w:val="00D90CFE"/>
    <w:rsid w:val="00D91C7C"/>
    <w:rsid w:val="00D924BF"/>
    <w:rsid w:val="00D938BE"/>
    <w:rsid w:val="00D93AF0"/>
    <w:rsid w:val="00D93B8C"/>
    <w:rsid w:val="00D94108"/>
    <w:rsid w:val="00D94460"/>
    <w:rsid w:val="00D949C4"/>
    <w:rsid w:val="00D94F7E"/>
    <w:rsid w:val="00D959D8"/>
    <w:rsid w:val="00D95BEC"/>
    <w:rsid w:val="00D96B84"/>
    <w:rsid w:val="00D96D5E"/>
    <w:rsid w:val="00DA02F0"/>
    <w:rsid w:val="00DA05F9"/>
    <w:rsid w:val="00DA0ADD"/>
    <w:rsid w:val="00DA1213"/>
    <w:rsid w:val="00DA1B90"/>
    <w:rsid w:val="00DA1E20"/>
    <w:rsid w:val="00DA1ED6"/>
    <w:rsid w:val="00DA208F"/>
    <w:rsid w:val="00DA2E8F"/>
    <w:rsid w:val="00DA37DC"/>
    <w:rsid w:val="00DA46D9"/>
    <w:rsid w:val="00DA4A52"/>
    <w:rsid w:val="00DA63A5"/>
    <w:rsid w:val="00DA6658"/>
    <w:rsid w:val="00DA6685"/>
    <w:rsid w:val="00DA674C"/>
    <w:rsid w:val="00DA6A87"/>
    <w:rsid w:val="00DA6F7A"/>
    <w:rsid w:val="00DA7275"/>
    <w:rsid w:val="00DA7751"/>
    <w:rsid w:val="00DB07AC"/>
    <w:rsid w:val="00DB11C3"/>
    <w:rsid w:val="00DB133E"/>
    <w:rsid w:val="00DB13DF"/>
    <w:rsid w:val="00DB143E"/>
    <w:rsid w:val="00DB14BA"/>
    <w:rsid w:val="00DB15F6"/>
    <w:rsid w:val="00DB17C2"/>
    <w:rsid w:val="00DB1A7B"/>
    <w:rsid w:val="00DB1AAF"/>
    <w:rsid w:val="00DB1F87"/>
    <w:rsid w:val="00DB25A8"/>
    <w:rsid w:val="00DB2FA6"/>
    <w:rsid w:val="00DB36BB"/>
    <w:rsid w:val="00DB3B76"/>
    <w:rsid w:val="00DB3BA8"/>
    <w:rsid w:val="00DB3C52"/>
    <w:rsid w:val="00DB3D41"/>
    <w:rsid w:val="00DB3ECF"/>
    <w:rsid w:val="00DB459F"/>
    <w:rsid w:val="00DB45EA"/>
    <w:rsid w:val="00DB4877"/>
    <w:rsid w:val="00DB5988"/>
    <w:rsid w:val="00DB5FF0"/>
    <w:rsid w:val="00DB7124"/>
    <w:rsid w:val="00DB7E62"/>
    <w:rsid w:val="00DC1583"/>
    <w:rsid w:val="00DC1681"/>
    <w:rsid w:val="00DC1AD9"/>
    <w:rsid w:val="00DC22A2"/>
    <w:rsid w:val="00DC2AD0"/>
    <w:rsid w:val="00DC2C9E"/>
    <w:rsid w:val="00DC495D"/>
    <w:rsid w:val="00DC4E92"/>
    <w:rsid w:val="00DC5317"/>
    <w:rsid w:val="00DC628B"/>
    <w:rsid w:val="00DC6402"/>
    <w:rsid w:val="00DC74DA"/>
    <w:rsid w:val="00DC7CD2"/>
    <w:rsid w:val="00DC7DE2"/>
    <w:rsid w:val="00DD0493"/>
    <w:rsid w:val="00DD04F6"/>
    <w:rsid w:val="00DD0531"/>
    <w:rsid w:val="00DD08F8"/>
    <w:rsid w:val="00DD0969"/>
    <w:rsid w:val="00DD099B"/>
    <w:rsid w:val="00DD0C7D"/>
    <w:rsid w:val="00DD0E22"/>
    <w:rsid w:val="00DD1045"/>
    <w:rsid w:val="00DD13AB"/>
    <w:rsid w:val="00DD1A72"/>
    <w:rsid w:val="00DD1C37"/>
    <w:rsid w:val="00DD3D5A"/>
    <w:rsid w:val="00DD4045"/>
    <w:rsid w:val="00DD424C"/>
    <w:rsid w:val="00DD434D"/>
    <w:rsid w:val="00DD504E"/>
    <w:rsid w:val="00DD5330"/>
    <w:rsid w:val="00DD5609"/>
    <w:rsid w:val="00DD5CE7"/>
    <w:rsid w:val="00DD627B"/>
    <w:rsid w:val="00DD6924"/>
    <w:rsid w:val="00DD6F19"/>
    <w:rsid w:val="00DD71BF"/>
    <w:rsid w:val="00DD79E3"/>
    <w:rsid w:val="00DE09FC"/>
    <w:rsid w:val="00DE137C"/>
    <w:rsid w:val="00DE2CF5"/>
    <w:rsid w:val="00DE2E83"/>
    <w:rsid w:val="00DE36BE"/>
    <w:rsid w:val="00DE3AA5"/>
    <w:rsid w:val="00DE3CB5"/>
    <w:rsid w:val="00DE3D44"/>
    <w:rsid w:val="00DE533D"/>
    <w:rsid w:val="00DE53AE"/>
    <w:rsid w:val="00DE5628"/>
    <w:rsid w:val="00DE571C"/>
    <w:rsid w:val="00DE5D9E"/>
    <w:rsid w:val="00DE6BFA"/>
    <w:rsid w:val="00DE6CED"/>
    <w:rsid w:val="00DE7021"/>
    <w:rsid w:val="00DE7D51"/>
    <w:rsid w:val="00DF0AB1"/>
    <w:rsid w:val="00DF14E7"/>
    <w:rsid w:val="00DF172E"/>
    <w:rsid w:val="00DF1BF7"/>
    <w:rsid w:val="00DF2855"/>
    <w:rsid w:val="00DF2951"/>
    <w:rsid w:val="00DF2A38"/>
    <w:rsid w:val="00DF3B27"/>
    <w:rsid w:val="00DF4F92"/>
    <w:rsid w:val="00DF5D3C"/>
    <w:rsid w:val="00DF6635"/>
    <w:rsid w:val="00DF66B7"/>
    <w:rsid w:val="00DF66D7"/>
    <w:rsid w:val="00DF6A20"/>
    <w:rsid w:val="00DF7355"/>
    <w:rsid w:val="00E0032A"/>
    <w:rsid w:val="00E0084E"/>
    <w:rsid w:val="00E00964"/>
    <w:rsid w:val="00E00A88"/>
    <w:rsid w:val="00E00B63"/>
    <w:rsid w:val="00E00C19"/>
    <w:rsid w:val="00E00CB6"/>
    <w:rsid w:val="00E014A6"/>
    <w:rsid w:val="00E01500"/>
    <w:rsid w:val="00E019CF"/>
    <w:rsid w:val="00E01E65"/>
    <w:rsid w:val="00E02491"/>
    <w:rsid w:val="00E0252B"/>
    <w:rsid w:val="00E02A67"/>
    <w:rsid w:val="00E02EB6"/>
    <w:rsid w:val="00E0385E"/>
    <w:rsid w:val="00E0424E"/>
    <w:rsid w:val="00E0455A"/>
    <w:rsid w:val="00E047BB"/>
    <w:rsid w:val="00E04A11"/>
    <w:rsid w:val="00E05095"/>
    <w:rsid w:val="00E05228"/>
    <w:rsid w:val="00E05623"/>
    <w:rsid w:val="00E05997"/>
    <w:rsid w:val="00E05B89"/>
    <w:rsid w:val="00E0628B"/>
    <w:rsid w:val="00E062EC"/>
    <w:rsid w:val="00E06638"/>
    <w:rsid w:val="00E06783"/>
    <w:rsid w:val="00E0726E"/>
    <w:rsid w:val="00E0733A"/>
    <w:rsid w:val="00E07CA6"/>
    <w:rsid w:val="00E07E18"/>
    <w:rsid w:val="00E07E8D"/>
    <w:rsid w:val="00E105FC"/>
    <w:rsid w:val="00E10CD7"/>
    <w:rsid w:val="00E10D9D"/>
    <w:rsid w:val="00E1125B"/>
    <w:rsid w:val="00E112AE"/>
    <w:rsid w:val="00E116DA"/>
    <w:rsid w:val="00E119E1"/>
    <w:rsid w:val="00E11C89"/>
    <w:rsid w:val="00E12A2C"/>
    <w:rsid w:val="00E12A49"/>
    <w:rsid w:val="00E12E5C"/>
    <w:rsid w:val="00E12F32"/>
    <w:rsid w:val="00E13738"/>
    <w:rsid w:val="00E13869"/>
    <w:rsid w:val="00E13C3E"/>
    <w:rsid w:val="00E14955"/>
    <w:rsid w:val="00E14E22"/>
    <w:rsid w:val="00E15263"/>
    <w:rsid w:val="00E15527"/>
    <w:rsid w:val="00E15890"/>
    <w:rsid w:val="00E15E1C"/>
    <w:rsid w:val="00E15FA1"/>
    <w:rsid w:val="00E1623B"/>
    <w:rsid w:val="00E1628D"/>
    <w:rsid w:val="00E16414"/>
    <w:rsid w:val="00E17976"/>
    <w:rsid w:val="00E17C41"/>
    <w:rsid w:val="00E17C8F"/>
    <w:rsid w:val="00E17CDB"/>
    <w:rsid w:val="00E17F74"/>
    <w:rsid w:val="00E17FC9"/>
    <w:rsid w:val="00E209B8"/>
    <w:rsid w:val="00E2143D"/>
    <w:rsid w:val="00E21831"/>
    <w:rsid w:val="00E21B3D"/>
    <w:rsid w:val="00E21C1E"/>
    <w:rsid w:val="00E21FD2"/>
    <w:rsid w:val="00E2336E"/>
    <w:rsid w:val="00E233BC"/>
    <w:rsid w:val="00E23853"/>
    <w:rsid w:val="00E23A7C"/>
    <w:rsid w:val="00E23C43"/>
    <w:rsid w:val="00E23FA6"/>
    <w:rsid w:val="00E24446"/>
    <w:rsid w:val="00E244B2"/>
    <w:rsid w:val="00E247F5"/>
    <w:rsid w:val="00E25506"/>
    <w:rsid w:val="00E258D2"/>
    <w:rsid w:val="00E259D3"/>
    <w:rsid w:val="00E26C90"/>
    <w:rsid w:val="00E279DF"/>
    <w:rsid w:val="00E30313"/>
    <w:rsid w:val="00E306D2"/>
    <w:rsid w:val="00E30941"/>
    <w:rsid w:val="00E30BFD"/>
    <w:rsid w:val="00E30CB6"/>
    <w:rsid w:val="00E31203"/>
    <w:rsid w:val="00E3147A"/>
    <w:rsid w:val="00E31C60"/>
    <w:rsid w:val="00E3215E"/>
    <w:rsid w:val="00E32BEA"/>
    <w:rsid w:val="00E32CD8"/>
    <w:rsid w:val="00E3322B"/>
    <w:rsid w:val="00E33329"/>
    <w:rsid w:val="00E33563"/>
    <w:rsid w:val="00E338CF"/>
    <w:rsid w:val="00E33AD1"/>
    <w:rsid w:val="00E33B35"/>
    <w:rsid w:val="00E34A15"/>
    <w:rsid w:val="00E34E0D"/>
    <w:rsid w:val="00E362C0"/>
    <w:rsid w:val="00E363AD"/>
    <w:rsid w:val="00E36D01"/>
    <w:rsid w:val="00E370B1"/>
    <w:rsid w:val="00E37400"/>
    <w:rsid w:val="00E37E01"/>
    <w:rsid w:val="00E37FD0"/>
    <w:rsid w:val="00E407E0"/>
    <w:rsid w:val="00E408D7"/>
    <w:rsid w:val="00E40EE3"/>
    <w:rsid w:val="00E410C7"/>
    <w:rsid w:val="00E41AF2"/>
    <w:rsid w:val="00E41E14"/>
    <w:rsid w:val="00E41E3C"/>
    <w:rsid w:val="00E41EE7"/>
    <w:rsid w:val="00E41FEB"/>
    <w:rsid w:val="00E42C03"/>
    <w:rsid w:val="00E436B8"/>
    <w:rsid w:val="00E43972"/>
    <w:rsid w:val="00E441BD"/>
    <w:rsid w:val="00E44797"/>
    <w:rsid w:val="00E44DF9"/>
    <w:rsid w:val="00E44DFE"/>
    <w:rsid w:val="00E45177"/>
    <w:rsid w:val="00E4593D"/>
    <w:rsid w:val="00E45DE1"/>
    <w:rsid w:val="00E477C4"/>
    <w:rsid w:val="00E47BAA"/>
    <w:rsid w:val="00E47FCB"/>
    <w:rsid w:val="00E503AB"/>
    <w:rsid w:val="00E5052F"/>
    <w:rsid w:val="00E50B91"/>
    <w:rsid w:val="00E50C09"/>
    <w:rsid w:val="00E50E7D"/>
    <w:rsid w:val="00E5147B"/>
    <w:rsid w:val="00E5190C"/>
    <w:rsid w:val="00E51B25"/>
    <w:rsid w:val="00E5399D"/>
    <w:rsid w:val="00E54489"/>
    <w:rsid w:val="00E54633"/>
    <w:rsid w:val="00E54892"/>
    <w:rsid w:val="00E54FDB"/>
    <w:rsid w:val="00E55096"/>
    <w:rsid w:val="00E55C86"/>
    <w:rsid w:val="00E567F6"/>
    <w:rsid w:val="00E56F67"/>
    <w:rsid w:val="00E572A9"/>
    <w:rsid w:val="00E57656"/>
    <w:rsid w:val="00E57CED"/>
    <w:rsid w:val="00E57E1D"/>
    <w:rsid w:val="00E604C0"/>
    <w:rsid w:val="00E60633"/>
    <w:rsid w:val="00E6095F"/>
    <w:rsid w:val="00E60B18"/>
    <w:rsid w:val="00E61067"/>
    <w:rsid w:val="00E622D0"/>
    <w:rsid w:val="00E6253E"/>
    <w:rsid w:val="00E628E0"/>
    <w:rsid w:val="00E631EA"/>
    <w:rsid w:val="00E63376"/>
    <w:rsid w:val="00E63CE4"/>
    <w:rsid w:val="00E64224"/>
    <w:rsid w:val="00E648F1"/>
    <w:rsid w:val="00E65860"/>
    <w:rsid w:val="00E65B7B"/>
    <w:rsid w:val="00E66177"/>
    <w:rsid w:val="00E66200"/>
    <w:rsid w:val="00E66385"/>
    <w:rsid w:val="00E66C8C"/>
    <w:rsid w:val="00E6702B"/>
    <w:rsid w:val="00E6721D"/>
    <w:rsid w:val="00E6722F"/>
    <w:rsid w:val="00E6736B"/>
    <w:rsid w:val="00E673BB"/>
    <w:rsid w:val="00E67495"/>
    <w:rsid w:val="00E67B05"/>
    <w:rsid w:val="00E67D8F"/>
    <w:rsid w:val="00E67F25"/>
    <w:rsid w:val="00E701E9"/>
    <w:rsid w:val="00E70346"/>
    <w:rsid w:val="00E708DC"/>
    <w:rsid w:val="00E712D0"/>
    <w:rsid w:val="00E71C62"/>
    <w:rsid w:val="00E71DB9"/>
    <w:rsid w:val="00E7207D"/>
    <w:rsid w:val="00E7210D"/>
    <w:rsid w:val="00E7215F"/>
    <w:rsid w:val="00E7290A"/>
    <w:rsid w:val="00E72992"/>
    <w:rsid w:val="00E72E06"/>
    <w:rsid w:val="00E7359F"/>
    <w:rsid w:val="00E73606"/>
    <w:rsid w:val="00E7363B"/>
    <w:rsid w:val="00E74A34"/>
    <w:rsid w:val="00E75069"/>
    <w:rsid w:val="00E753E4"/>
    <w:rsid w:val="00E75614"/>
    <w:rsid w:val="00E75CDF"/>
    <w:rsid w:val="00E76929"/>
    <w:rsid w:val="00E80BB1"/>
    <w:rsid w:val="00E81578"/>
    <w:rsid w:val="00E8175D"/>
    <w:rsid w:val="00E818D2"/>
    <w:rsid w:val="00E81965"/>
    <w:rsid w:val="00E81A9A"/>
    <w:rsid w:val="00E822D9"/>
    <w:rsid w:val="00E82316"/>
    <w:rsid w:val="00E824D2"/>
    <w:rsid w:val="00E826BD"/>
    <w:rsid w:val="00E828F9"/>
    <w:rsid w:val="00E82A6E"/>
    <w:rsid w:val="00E82C67"/>
    <w:rsid w:val="00E82D5C"/>
    <w:rsid w:val="00E82EFB"/>
    <w:rsid w:val="00E8333C"/>
    <w:rsid w:val="00E83493"/>
    <w:rsid w:val="00E838FD"/>
    <w:rsid w:val="00E856BA"/>
    <w:rsid w:val="00E85BCF"/>
    <w:rsid w:val="00E85E0F"/>
    <w:rsid w:val="00E86ABE"/>
    <w:rsid w:val="00E875C0"/>
    <w:rsid w:val="00E876FD"/>
    <w:rsid w:val="00E87AAA"/>
    <w:rsid w:val="00E87B07"/>
    <w:rsid w:val="00E90A05"/>
    <w:rsid w:val="00E90BA8"/>
    <w:rsid w:val="00E911D3"/>
    <w:rsid w:val="00E91213"/>
    <w:rsid w:val="00E91517"/>
    <w:rsid w:val="00E9185E"/>
    <w:rsid w:val="00E91B2E"/>
    <w:rsid w:val="00E92399"/>
    <w:rsid w:val="00E92CAB"/>
    <w:rsid w:val="00E9462C"/>
    <w:rsid w:val="00E948B8"/>
    <w:rsid w:val="00E94DBC"/>
    <w:rsid w:val="00E9518A"/>
    <w:rsid w:val="00E95203"/>
    <w:rsid w:val="00E95CF3"/>
    <w:rsid w:val="00E96C18"/>
    <w:rsid w:val="00E96D3F"/>
    <w:rsid w:val="00E97247"/>
    <w:rsid w:val="00E97D1B"/>
    <w:rsid w:val="00EA0F06"/>
    <w:rsid w:val="00EA2A05"/>
    <w:rsid w:val="00EA2E37"/>
    <w:rsid w:val="00EA30BC"/>
    <w:rsid w:val="00EA3CA9"/>
    <w:rsid w:val="00EA438F"/>
    <w:rsid w:val="00EA44A7"/>
    <w:rsid w:val="00EA48F4"/>
    <w:rsid w:val="00EA49B8"/>
    <w:rsid w:val="00EA4E63"/>
    <w:rsid w:val="00EA4ED9"/>
    <w:rsid w:val="00EA573E"/>
    <w:rsid w:val="00EA5C6D"/>
    <w:rsid w:val="00EA5E53"/>
    <w:rsid w:val="00EA5FD0"/>
    <w:rsid w:val="00EA60E6"/>
    <w:rsid w:val="00EA64A8"/>
    <w:rsid w:val="00EA6950"/>
    <w:rsid w:val="00EA721E"/>
    <w:rsid w:val="00EA7384"/>
    <w:rsid w:val="00EA77BE"/>
    <w:rsid w:val="00EB056F"/>
    <w:rsid w:val="00EB0B15"/>
    <w:rsid w:val="00EB17DB"/>
    <w:rsid w:val="00EB1833"/>
    <w:rsid w:val="00EB1A46"/>
    <w:rsid w:val="00EB1C50"/>
    <w:rsid w:val="00EB1FBD"/>
    <w:rsid w:val="00EB2240"/>
    <w:rsid w:val="00EB2CA2"/>
    <w:rsid w:val="00EB33A9"/>
    <w:rsid w:val="00EB3A85"/>
    <w:rsid w:val="00EB3CD8"/>
    <w:rsid w:val="00EB3CE4"/>
    <w:rsid w:val="00EB4080"/>
    <w:rsid w:val="00EB43E8"/>
    <w:rsid w:val="00EB4954"/>
    <w:rsid w:val="00EB54E5"/>
    <w:rsid w:val="00EB592E"/>
    <w:rsid w:val="00EB5B18"/>
    <w:rsid w:val="00EB5C0B"/>
    <w:rsid w:val="00EB698B"/>
    <w:rsid w:val="00EB6CC4"/>
    <w:rsid w:val="00EB72C9"/>
    <w:rsid w:val="00EB7491"/>
    <w:rsid w:val="00EB7D5E"/>
    <w:rsid w:val="00EB7E8D"/>
    <w:rsid w:val="00EC025A"/>
    <w:rsid w:val="00EC0B1F"/>
    <w:rsid w:val="00EC0B3A"/>
    <w:rsid w:val="00EC0C58"/>
    <w:rsid w:val="00EC1599"/>
    <w:rsid w:val="00EC18D8"/>
    <w:rsid w:val="00EC1F20"/>
    <w:rsid w:val="00EC2881"/>
    <w:rsid w:val="00EC28E1"/>
    <w:rsid w:val="00EC2ED1"/>
    <w:rsid w:val="00EC3141"/>
    <w:rsid w:val="00EC3510"/>
    <w:rsid w:val="00EC38EF"/>
    <w:rsid w:val="00EC399F"/>
    <w:rsid w:val="00EC3A72"/>
    <w:rsid w:val="00EC3DE9"/>
    <w:rsid w:val="00EC3EE4"/>
    <w:rsid w:val="00EC43C4"/>
    <w:rsid w:val="00EC4576"/>
    <w:rsid w:val="00EC49E5"/>
    <w:rsid w:val="00EC5245"/>
    <w:rsid w:val="00EC594D"/>
    <w:rsid w:val="00EC5C0E"/>
    <w:rsid w:val="00EC5EF2"/>
    <w:rsid w:val="00EC5F77"/>
    <w:rsid w:val="00EC6297"/>
    <w:rsid w:val="00EC6307"/>
    <w:rsid w:val="00EC76BB"/>
    <w:rsid w:val="00EC7BF0"/>
    <w:rsid w:val="00ED03A2"/>
    <w:rsid w:val="00ED074C"/>
    <w:rsid w:val="00ED0965"/>
    <w:rsid w:val="00ED10D2"/>
    <w:rsid w:val="00ED1DA1"/>
    <w:rsid w:val="00ED200D"/>
    <w:rsid w:val="00ED2181"/>
    <w:rsid w:val="00ED23C8"/>
    <w:rsid w:val="00ED2412"/>
    <w:rsid w:val="00ED2857"/>
    <w:rsid w:val="00ED462A"/>
    <w:rsid w:val="00ED4C1C"/>
    <w:rsid w:val="00ED4D24"/>
    <w:rsid w:val="00ED5506"/>
    <w:rsid w:val="00ED5D24"/>
    <w:rsid w:val="00ED753D"/>
    <w:rsid w:val="00ED754A"/>
    <w:rsid w:val="00ED762B"/>
    <w:rsid w:val="00ED7A55"/>
    <w:rsid w:val="00EE06F2"/>
    <w:rsid w:val="00EE0C6B"/>
    <w:rsid w:val="00EE0F0A"/>
    <w:rsid w:val="00EE0FE4"/>
    <w:rsid w:val="00EE13F0"/>
    <w:rsid w:val="00EE1E12"/>
    <w:rsid w:val="00EE2B01"/>
    <w:rsid w:val="00EE31B5"/>
    <w:rsid w:val="00EE3263"/>
    <w:rsid w:val="00EE43D7"/>
    <w:rsid w:val="00EE44C1"/>
    <w:rsid w:val="00EE4972"/>
    <w:rsid w:val="00EE5387"/>
    <w:rsid w:val="00EE5591"/>
    <w:rsid w:val="00EE5E9E"/>
    <w:rsid w:val="00EE5F55"/>
    <w:rsid w:val="00EE6512"/>
    <w:rsid w:val="00EE6553"/>
    <w:rsid w:val="00EE69E3"/>
    <w:rsid w:val="00EE6D66"/>
    <w:rsid w:val="00EE6DB8"/>
    <w:rsid w:val="00EE7435"/>
    <w:rsid w:val="00EE7517"/>
    <w:rsid w:val="00EF0818"/>
    <w:rsid w:val="00EF08CB"/>
    <w:rsid w:val="00EF0FBC"/>
    <w:rsid w:val="00EF1411"/>
    <w:rsid w:val="00EF15A6"/>
    <w:rsid w:val="00EF1680"/>
    <w:rsid w:val="00EF188F"/>
    <w:rsid w:val="00EF1E17"/>
    <w:rsid w:val="00EF22D8"/>
    <w:rsid w:val="00EF2578"/>
    <w:rsid w:val="00EF2ECD"/>
    <w:rsid w:val="00EF354A"/>
    <w:rsid w:val="00EF364D"/>
    <w:rsid w:val="00EF37E3"/>
    <w:rsid w:val="00EF3E70"/>
    <w:rsid w:val="00EF41FD"/>
    <w:rsid w:val="00EF47F2"/>
    <w:rsid w:val="00EF4F49"/>
    <w:rsid w:val="00EF5098"/>
    <w:rsid w:val="00EF53DC"/>
    <w:rsid w:val="00EF55CB"/>
    <w:rsid w:val="00EF588B"/>
    <w:rsid w:val="00EF595C"/>
    <w:rsid w:val="00EF6D0D"/>
    <w:rsid w:val="00EF6D31"/>
    <w:rsid w:val="00EF7C89"/>
    <w:rsid w:val="00EF7E2B"/>
    <w:rsid w:val="00EF7EB6"/>
    <w:rsid w:val="00F000DF"/>
    <w:rsid w:val="00F008CF"/>
    <w:rsid w:val="00F00D54"/>
    <w:rsid w:val="00F01208"/>
    <w:rsid w:val="00F012C0"/>
    <w:rsid w:val="00F02040"/>
    <w:rsid w:val="00F02365"/>
    <w:rsid w:val="00F0295F"/>
    <w:rsid w:val="00F02DBA"/>
    <w:rsid w:val="00F03830"/>
    <w:rsid w:val="00F038EF"/>
    <w:rsid w:val="00F03E39"/>
    <w:rsid w:val="00F03FA4"/>
    <w:rsid w:val="00F04664"/>
    <w:rsid w:val="00F04C2A"/>
    <w:rsid w:val="00F04EE1"/>
    <w:rsid w:val="00F054C9"/>
    <w:rsid w:val="00F05662"/>
    <w:rsid w:val="00F05794"/>
    <w:rsid w:val="00F05880"/>
    <w:rsid w:val="00F05A53"/>
    <w:rsid w:val="00F05D64"/>
    <w:rsid w:val="00F060A7"/>
    <w:rsid w:val="00F06E18"/>
    <w:rsid w:val="00F0770C"/>
    <w:rsid w:val="00F077BD"/>
    <w:rsid w:val="00F07DC3"/>
    <w:rsid w:val="00F07F07"/>
    <w:rsid w:val="00F10757"/>
    <w:rsid w:val="00F10914"/>
    <w:rsid w:val="00F10AC3"/>
    <w:rsid w:val="00F11E23"/>
    <w:rsid w:val="00F12150"/>
    <w:rsid w:val="00F12226"/>
    <w:rsid w:val="00F12BB9"/>
    <w:rsid w:val="00F13001"/>
    <w:rsid w:val="00F1319F"/>
    <w:rsid w:val="00F13624"/>
    <w:rsid w:val="00F13E09"/>
    <w:rsid w:val="00F13F96"/>
    <w:rsid w:val="00F141DA"/>
    <w:rsid w:val="00F15986"/>
    <w:rsid w:val="00F15D5B"/>
    <w:rsid w:val="00F16DBC"/>
    <w:rsid w:val="00F17348"/>
    <w:rsid w:val="00F17471"/>
    <w:rsid w:val="00F17719"/>
    <w:rsid w:val="00F200BB"/>
    <w:rsid w:val="00F200D5"/>
    <w:rsid w:val="00F202D5"/>
    <w:rsid w:val="00F205C9"/>
    <w:rsid w:val="00F20775"/>
    <w:rsid w:val="00F207C4"/>
    <w:rsid w:val="00F20A87"/>
    <w:rsid w:val="00F20AF3"/>
    <w:rsid w:val="00F21E10"/>
    <w:rsid w:val="00F224D6"/>
    <w:rsid w:val="00F2336A"/>
    <w:rsid w:val="00F23EE8"/>
    <w:rsid w:val="00F24CBB"/>
    <w:rsid w:val="00F252A5"/>
    <w:rsid w:val="00F2593A"/>
    <w:rsid w:val="00F25BC2"/>
    <w:rsid w:val="00F25C48"/>
    <w:rsid w:val="00F25D16"/>
    <w:rsid w:val="00F25D81"/>
    <w:rsid w:val="00F26148"/>
    <w:rsid w:val="00F2632F"/>
    <w:rsid w:val="00F264F7"/>
    <w:rsid w:val="00F26871"/>
    <w:rsid w:val="00F26F18"/>
    <w:rsid w:val="00F26F7F"/>
    <w:rsid w:val="00F27012"/>
    <w:rsid w:val="00F27424"/>
    <w:rsid w:val="00F27C69"/>
    <w:rsid w:val="00F27EA9"/>
    <w:rsid w:val="00F306AE"/>
    <w:rsid w:val="00F30861"/>
    <w:rsid w:val="00F30AC4"/>
    <w:rsid w:val="00F315B0"/>
    <w:rsid w:val="00F3176C"/>
    <w:rsid w:val="00F32AE1"/>
    <w:rsid w:val="00F3336F"/>
    <w:rsid w:val="00F33792"/>
    <w:rsid w:val="00F33DE7"/>
    <w:rsid w:val="00F33E4E"/>
    <w:rsid w:val="00F33F47"/>
    <w:rsid w:val="00F342D9"/>
    <w:rsid w:val="00F346B6"/>
    <w:rsid w:val="00F34877"/>
    <w:rsid w:val="00F34EC8"/>
    <w:rsid w:val="00F3592F"/>
    <w:rsid w:val="00F35E55"/>
    <w:rsid w:val="00F35FFD"/>
    <w:rsid w:val="00F362CA"/>
    <w:rsid w:val="00F36337"/>
    <w:rsid w:val="00F36708"/>
    <w:rsid w:val="00F36B9F"/>
    <w:rsid w:val="00F37127"/>
    <w:rsid w:val="00F37685"/>
    <w:rsid w:val="00F40382"/>
    <w:rsid w:val="00F40860"/>
    <w:rsid w:val="00F40BA1"/>
    <w:rsid w:val="00F4134D"/>
    <w:rsid w:val="00F41B22"/>
    <w:rsid w:val="00F41BDB"/>
    <w:rsid w:val="00F42075"/>
    <w:rsid w:val="00F42718"/>
    <w:rsid w:val="00F439CB"/>
    <w:rsid w:val="00F43FF9"/>
    <w:rsid w:val="00F4431F"/>
    <w:rsid w:val="00F44A63"/>
    <w:rsid w:val="00F45458"/>
    <w:rsid w:val="00F4566B"/>
    <w:rsid w:val="00F4603F"/>
    <w:rsid w:val="00F462F4"/>
    <w:rsid w:val="00F4683E"/>
    <w:rsid w:val="00F4688D"/>
    <w:rsid w:val="00F46937"/>
    <w:rsid w:val="00F476F8"/>
    <w:rsid w:val="00F47716"/>
    <w:rsid w:val="00F479C7"/>
    <w:rsid w:val="00F47D45"/>
    <w:rsid w:val="00F47E06"/>
    <w:rsid w:val="00F47E79"/>
    <w:rsid w:val="00F50158"/>
    <w:rsid w:val="00F50ECB"/>
    <w:rsid w:val="00F50F5D"/>
    <w:rsid w:val="00F510FF"/>
    <w:rsid w:val="00F51C49"/>
    <w:rsid w:val="00F51D9C"/>
    <w:rsid w:val="00F51DB9"/>
    <w:rsid w:val="00F51E2A"/>
    <w:rsid w:val="00F529E9"/>
    <w:rsid w:val="00F52CA9"/>
    <w:rsid w:val="00F52DCF"/>
    <w:rsid w:val="00F53236"/>
    <w:rsid w:val="00F53352"/>
    <w:rsid w:val="00F53E94"/>
    <w:rsid w:val="00F5425C"/>
    <w:rsid w:val="00F5471F"/>
    <w:rsid w:val="00F557D2"/>
    <w:rsid w:val="00F55A9F"/>
    <w:rsid w:val="00F55AA3"/>
    <w:rsid w:val="00F55FB1"/>
    <w:rsid w:val="00F56089"/>
    <w:rsid w:val="00F5619F"/>
    <w:rsid w:val="00F562A7"/>
    <w:rsid w:val="00F562D7"/>
    <w:rsid w:val="00F5672B"/>
    <w:rsid w:val="00F56A47"/>
    <w:rsid w:val="00F56BAB"/>
    <w:rsid w:val="00F56C03"/>
    <w:rsid w:val="00F5788E"/>
    <w:rsid w:val="00F57B9B"/>
    <w:rsid w:val="00F605C2"/>
    <w:rsid w:val="00F60CA4"/>
    <w:rsid w:val="00F612A9"/>
    <w:rsid w:val="00F61740"/>
    <w:rsid w:val="00F6233A"/>
    <w:rsid w:val="00F62A5B"/>
    <w:rsid w:val="00F6368E"/>
    <w:rsid w:val="00F6391E"/>
    <w:rsid w:val="00F639B8"/>
    <w:rsid w:val="00F648D4"/>
    <w:rsid w:val="00F64B64"/>
    <w:rsid w:val="00F6522A"/>
    <w:rsid w:val="00F654B8"/>
    <w:rsid w:val="00F65CB7"/>
    <w:rsid w:val="00F65CCA"/>
    <w:rsid w:val="00F65F25"/>
    <w:rsid w:val="00F663F4"/>
    <w:rsid w:val="00F66624"/>
    <w:rsid w:val="00F6664E"/>
    <w:rsid w:val="00F6681C"/>
    <w:rsid w:val="00F66B25"/>
    <w:rsid w:val="00F66B70"/>
    <w:rsid w:val="00F677B2"/>
    <w:rsid w:val="00F67863"/>
    <w:rsid w:val="00F6796E"/>
    <w:rsid w:val="00F7080A"/>
    <w:rsid w:val="00F708E9"/>
    <w:rsid w:val="00F71786"/>
    <w:rsid w:val="00F71825"/>
    <w:rsid w:val="00F72198"/>
    <w:rsid w:val="00F72258"/>
    <w:rsid w:val="00F723A4"/>
    <w:rsid w:val="00F7283F"/>
    <w:rsid w:val="00F73391"/>
    <w:rsid w:val="00F7454F"/>
    <w:rsid w:val="00F74B9D"/>
    <w:rsid w:val="00F74BCF"/>
    <w:rsid w:val="00F74D25"/>
    <w:rsid w:val="00F74DD7"/>
    <w:rsid w:val="00F7522A"/>
    <w:rsid w:val="00F754B2"/>
    <w:rsid w:val="00F759E3"/>
    <w:rsid w:val="00F76241"/>
    <w:rsid w:val="00F773DD"/>
    <w:rsid w:val="00F7748E"/>
    <w:rsid w:val="00F77B62"/>
    <w:rsid w:val="00F77E7E"/>
    <w:rsid w:val="00F800B2"/>
    <w:rsid w:val="00F80321"/>
    <w:rsid w:val="00F808DA"/>
    <w:rsid w:val="00F80E77"/>
    <w:rsid w:val="00F823C4"/>
    <w:rsid w:val="00F823D3"/>
    <w:rsid w:val="00F8293D"/>
    <w:rsid w:val="00F82C63"/>
    <w:rsid w:val="00F832A9"/>
    <w:rsid w:val="00F839F2"/>
    <w:rsid w:val="00F83CEA"/>
    <w:rsid w:val="00F83D8E"/>
    <w:rsid w:val="00F84134"/>
    <w:rsid w:val="00F844B9"/>
    <w:rsid w:val="00F8488B"/>
    <w:rsid w:val="00F8493F"/>
    <w:rsid w:val="00F84B6D"/>
    <w:rsid w:val="00F84DAD"/>
    <w:rsid w:val="00F84EE2"/>
    <w:rsid w:val="00F85CD1"/>
    <w:rsid w:val="00F86059"/>
    <w:rsid w:val="00F86903"/>
    <w:rsid w:val="00F86CBA"/>
    <w:rsid w:val="00F87518"/>
    <w:rsid w:val="00F87970"/>
    <w:rsid w:val="00F90EFC"/>
    <w:rsid w:val="00F9139F"/>
    <w:rsid w:val="00F91F34"/>
    <w:rsid w:val="00F925D5"/>
    <w:rsid w:val="00F9289C"/>
    <w:rsid w:val="00F930CD"/>
    <w:rsid w:val="00F93110"/>
    <w:rsid w:val="00F93495"/>
    <w:rsid w:val="00F93B83"/>
    <w:rsid w:val="00F94E07"/>
    <w:rsid w:val="00F94EAE"/>
    <w:rsid w:val="00F95588"/>
    <w:rsid w:val="00F95887"/>
    <w:rsid w:val="00F9610C"/>
    <w:rsid w:val="00F96316"/>
    <w:rsid w:val="00F9694E"/>
    <w:rsid w:val="00F96BFA"/>
    <w:rsid w:val="00F97BDE"/>
    <w:rsid w:val="00F97D3E"/>
    <w:rsid w:val="00F97E2C"/>
    <w:rsid w:val="00FA0051"/>
    <w:rsid w:val="00FA0A71"/>
    <w:rsid w:val="00FA0C57"/>
    <w:rsid w:val="00FA0C8B"/>
    <w:rsid w:val="00FA0D8D"/>
    <w:rsid w:val="00FA12E6"/>
    <w:rsid w:val="00FA1379"/>
    <w:rsid w:val="00FA1495"/>
    <w:rsid w:val="00FA1855"/>
    <w:rsid w:val="00FA1B5F"/>
    <w:rsid w:val="00FA2011"/>
    <w:rsid w:val="00FA2076"/>
    <w:rsid w:val="00FA213D"/>
    <w:rsid w:val="00FA2649"/>
    <w:rsid w:val="00FA2908"/>
    <w:rsid w:val="00FA2C18"/>
    <w:rsid w:val="00FA2FAD"/>
    <w:rsid w:val="00FA31D0"/>
    <w:rsid w:val="00FA3393"/>
    <w:rsid w:val="00FA3428"/>
    <w:rsid w:val="00FA37F0"/>
    <w:rsid w:val="00FA3AEC"/>
    <w:rsid w:val="00FA3EEE"/>
    <w:rsid w:val="00FA4428"/>
    <w:rsid w:val="00FA4480"/>
    <w:rsid w:val="00FA4535"/>
    <w:rsid w:val="00FA4BD8"/>
    <w:rsid w:val="00FA5081"/>
    <w:rsid w:val="00FA536D"/>
    <w:rsid w:val="00FA5D65"/>
    <w:rsid w:val="00FA6148"/>
    <w:rsid w:val="00FA6663"/>
    <w:rsid w:val="00FA6737"/>
    <w:rsid w:val="00FA6979"/>
    <w:rsid w:val="00FA6A08"/>
    <w:rsid w:val="00FA6F7F"/>
    <w:rsid w:val="00FA7D5E"/>
    <w:rsid w:val="00FB0348"/>
    <w:rsid w:val="00FB0B58"/>
    <w:rsid w:val="00FB0D34"/>
    <w:rsid w:val="00FB1A47"/>
    <w:rsid w:val="00FB1A61"/>
    <w:rsid w:val="00FB1AB9"/>
    <w:rsid w:val="00FB2A72"/>
    <w:rsid w:val="00FB2CFB"/>
    <w:rsid w:val="00FB3503"/>
    <w:rsid w:val="00FB3C21"/>
    <w:rsid w:val="00FB439D"/>
    <w:rsid w:val="00FB468C"/>
    <w:rsid w:val="00FB510C"/>
    <w:rsid w:val="00FB520D"/>
    <w:rsid w:val="00FB52F8"/>
    <w:rsid w:val="00FB53D5"/>
    <w:rsid w:val="00FB5984"/>
    <w:rsid w:val="00FB6293"/>
    <w:rsid w:val="00FB6448"/>
    <w:rsid w:val="00FB644F"/>
    <w:rsid w:val="00FB65BA"/>
    <w:rsid w:val="00FB6B05"/>
    <w:rsid w:val="00FB6E17"/>
    <w:rsid w:val="00FB7493"/>
    <w:rsid w:val="00FB74C7"/>
    <w:rsid w:val="00FB7648"/>
    <w:rsid w:val="00FB78EC"/>
    <w:rsid w:val="00FB7B4B"/>
    <w:rsid w:val="00FC02F7"/>
    <w:rsid w:val="00FC0C04"/>
    <w:rsid w:val="00FC0C95"/>
    <w:rsid w:val="00FC0ED1"/>
    <w:rsid w:val="00FC2300"/>
    <w:rsid w:val="00FC2536"/>
    <w:rsid w:val="00FC30BD"/>
    <w:rsid w:val="00FC3A15"/>
    <w:rsid w:val="00FC3CC9"/>
    <w:rsid w:val="00FC4494"/>
    <w:rsid w:val="00FC49C7"/>
    <w:rsid w:val="00FC4E65"/>
    <w:rsid w:val="00FC5252"/>
    <w:rsid w:val="00FC64D9"/>
    <w:rsid w:val="00FC79E4"/>
    <w:rsid w:val="00FC7AE0"/>
    <w:rsid w:val="00FC7D5F"/>
    <w:rsid w:val="00FD0076"/>
    <w:rsid w:val="00FD0748"/>
    <w:rsid w:val="00FD0A1C"/>
    <w:rsid w:val="00FD0E2B"/>
    <w:rsid w:val="00FD1E0E"/>
    <w:rsid w:val="00FD2038"/>
    <w:rsid w:val="00FD237D"/>
    <w:rsid w:val="00FD244D"/>
    <w:rsid w:val="00FD26D1"/>
    <w:rsid w:val="00FD2AB2"/>
    <w:rsid w:val="00FD2C8F"/>
    <w:rsid w:val="00FD2C97"/>
    <w:rsid w:val="00FD2E33"/>
    <w:rsid w:val="00FD2F74"/>
    <w:rsid w:val="00FD2F88"/>
    <w:rsid w:val="00FD3321"/>
    <w:rsid w:val="00FD3522"/>
    <w:rsid w:val="00FD3533"/>
    <w:rsid w:val="00FD38FD"/>
    <w:rsid w:val="00FD3B6E"/>
    <w:rsid w:val="00FD3E5C"/>
    <w:rsid w:val="00FD530A"/>
    <w:rsid w:val="00FD58FB"/>
    <w:rsid w:val="00FD5B98"/>
    <w:rsid w:val="00FD5F4E"/>
    <w:rsid w:val="00FD6043"/>
    <w:rsid w:val="00FD61C4"/>
    <w:rsid w:val="00FD6297"/>
    <w:rsid w:val="00FD6452"/>
    <w:rsid w:val="00FD654F"/>
    <w:rsid w:val="00FD6812"/>
    <w:rsid w:val="00FD6C5E"/>
    <w:rsid w:val="00FD6CB8"/>
    <w:rsid w:val="00FD7F99"/>
    <w:rsid w:val="00FE0A89"/>
    <w:rsid w:val="00FE0CE0"/>
    <w:rsid w:val="00FE1248"/>
    <w:rsid w:val="00FE18CF"/>
    <w:rsid w:val="00FE192D"/>
    <w:rsid w:val="00FE2818"/>
    <w:rsid w:val="00FE2D69"/>
    <w:rsid w:val="00FE386E"/>
    <w:rsid w:val="00FE4718"/>
    <w:rsid w:val="00FE4D39"/>
    <w:rsid w:val="00FE4F4A"/>
    <w:rsid w:val="00FE573F"/>
    <w:rsid w:val="00FE5A4D"/>
    <w:rsid w:val="00FE5FEB"/>
    <w:rsid w:val="00FE6663"/>
    <w:rsid w:val="00FE6A79"/>
    <w:rsid w:val="00FE6B17"/>
    <w:rsid w:val="00FE6BFB"/>
    <w:rsid w:val="00FE6F8D"/>
    <w:rsid w:val="00FE70B2"/>
    <w:rsid w:val="00FE7989"/>
    <w:rsid w:val="00FF0559"/>
    <w:rsid w:val="00FF0B7A"/>
    <w:rsid w:val="00FF0BE4"/>
    <w:rsid w:val="00FF13BD"/>
    <w:rsid w:val="00FF2129"/>
    <w:rsid w:val="00FF2509"/>
    <w:rsid w:val="00FF28D1"/>
    <w:rsid w:val="00FF2967"/>
    <w:rsid w:val="00FF2ED8"/>
    <w:rsid w:val="00FF3444"/>
    <w:rsid w:val="00FF37B8"/>
    <w:rsid w:val="00FF394B"/>
    <w:rsid w:val="00FF3EEA"/>
    <w:rsid w:val="00FF4203"/>
    <w:rsid w:val="00FF4571"/>
    <w:rsid w:val="00FF4E39"/>
    <w:rsid w:val="00FF6020"/>
    <w:rsid w:val="00FF623A"/>
    <w:rsid w:val="00FF62DF"/>
    <w:rsid w:val="00FF64DD"/>
    <w:rsid w:val="00FF6C68"/>
    <w:rsid w:val="00FF70FF"/>
    <w:rsid w:val="00FF7105"/>
    <w:rsid w:val="00FF7569"/>
    <w:rsid w:val="00FF7F78"/>
    <w:rsid w:val="011B5A69"/>
    <w:rsid w:val="0138A5DE"/>
    <w:rsid w:val="0178C2ED"/>
    <w:rsid w:val="01918661"/>
    <w:rsid w:val="01AC7287"/>
    <w:rsid w:val="01DF1443"/>
    <w:rsid w:val="01E0C60C"/>
    <w:rsid w:val="01E7F10B"/>
    <w:rsid w:val="0230C859"/>
    <w:rsid w:val="023FA7EF"/>
    <w:rsid w:val="024F1C48"/>
    <w:rsid w:val="025D76A2"/>
    <w:rsid w:val="0263868F"/>
    <w:rsid w:val="027233DB"/>
    <w:rsid w:val="027269B7"/>
    <w:rsid w:val="02740911"/>
    <w:rsid w:val="027AC081"/>
    <w:rsid w:val="027FE51F"/>
    <w:rsid w:val="0297F395"/>
    <w:rsid w:val="02A22B74"/>
    <w:rsid w:val="02BF77B1"/>
    <w:rsid w:val="02E12922"/>
    <w:rsid w:val="02EA455E"/>
    <w:rsid w:val="0317B66A"/>
    <w:rsid w:val="031BFAFB"/>
    <w:rsid w:val="03294961"/>
    <w:rsid w:val="032A1F90"/>
    <w:rsid w:val="032C74EA"/>
    <w:rsid w:val="033FCD60"/>
    <w:rsid w:val="0348EE29"/>
    <w:rsid w:val="034D8DCE"/>
    <w:rsid w:val="03511868"/>
    <w:rsid w:val="03B904A1"/>
    <w:rsid w:val="03BF13E0"/>
    <w:rsid w:val="03C80CDE"/>
    <w:rsid w:val="03F5BAFD"/>
    <w:rsid w:val="04029812"/>
    <w:rsid w:val="04124FA6"/>
    <w:rsid w:val="0423A306"/>
    <w:rsid w:val="0424F452"/>
    <w:rsid w:val="0435D3A3"/>
    <w:rsid w:val="04473D57"/>
    <w:rsid w:val="044FE1C0"/>
    <w:rsid w:val="046979C5"/>
    <w:rsid w:val="0477FA56"/>
    <w:rsid w:val="047CF983"/>
    <w:rsid w:val="0484D9FC"/>
    <w:rsid w:val="049404BD"/>
    <w:rsid w:val="04A08D8F"/>
    <w:rsid w:val="04B68426"/>
    <w:rsid w:val="04D4FCC7"/>
    <w:rsid w:val="04DDC3D7"/>
    <w:rsid w:val="04E66337"/>
    <w:rsid w:val="04E685CE"/>
    <w:rsid w:val="04E8E93B"/>
    <w:rsid w:val="04EEF42C"/>
    <w:rsid w:val="051EFF6C"/>
    <w:rsid w:val="052C1AF0"/>
    <w:rsid w:val="054AD6E1"/>
    <w:rsid w:val="0553DC6C"/>
    <w:rsid w:val="05566326"/>
    <w:rsid w:val="056DC2ED"/>
    <w:rsid w:val="05753761"/>
    <w:rsid w:val="0578F025"/>
    <w:rsid w:val="05A2F650"/>
    <w:rsid w:val="05AF9CDB"/>
    <w:rsid w:val="05BB4886"/>
    <w:rsid w:val="0605D327"/>
    <w:rsid w:val="06272872"/>
    <w:rsid w:val="062BE4ED"/>
    <w:rsid w:val="062CD26D"/>
    <w:rsid w:val="06358EE6"/>
    <w:rsid w:val="06496CD6"/>
    <w:rsid w:val="06502E95"/>
    <w:rsid w:val="0653E242"/>
    <w:rsid w:val="06599BCE"/>
    <w:rsid w:val="06749530"/>
    <w:rsid w:val="068AC965"/>
    <w:rsid w:val="069B441E"/>
    <w:rsid w:val="06C7AA3B"/>
    <w:rsid w:val="06ECDC6E"/>
    <w:rsid w:val="06F94A24"/>
    <w:rsid w:val="06FB76B8"/>
    <w:rsid w:val="070C5634"/>
    <w:rsid w:val="073D0670"/>
    <w:rsid w:val="073D85A2"/>
    <w:rsid w:val="074CD6ED"/>
    <w:rsid w:val="07563A01"/>
    <w:rsid w:val="075A72F5"/>
    <w:rsid w:val="07674297"/>
    <w:rsid w:val="077B3F42"/>
    <w:rsid w:val="079BF828"/>
    <w:rsid w:val="07D46EFD"/>
    <w:rsid w:val="07E0C146"/>
    <w:rsid w:val="07FC4C9B"/>
    <w:rsid w:val="08038726"/>
    <w:rsid w:val="080A10A9"/>
    <w:rsid w:val="082068A6"/>
    <w:rsid w:val="082935B2"/>
    <w:rsid w:val="08379D32"/>
    <w:rsid w:val="08593EBF"/>
    <w:rsid w:val="088E442B"/>
    <w:rsid w:val="089E1FDC"/>
    <w:rsid w:val="08C42D98"/>
    <w:rsid w:val="08D975E4"/>
    <w:rsid w:val="091684F3"/>
    <w:rsid w:val="0934523B"/>
    <w:rsid w:val="09596D20"/>
    <w:rsid w:val="096B50AB"/>
    <w:rsid w:val="096B8201"/>
    <w:rsid w:val="0971F31C"/>
    <w:rsid w:val="09781525"/>
    <w:rsid w:val="097F6F4D"/>
    <w:rsid w:val="09AA3986"/>
    <w:rsid w:val="09D012D4"/>
    <w:rsid w:val="09EA46D5"/>
    <w:rsid w:val="09F156E3"/>
    <w:rsid w:val="0A09F3B1"/>
    <w:rsid w:val="0A114612"/>
    <w:rsid w:val="0A1264F2"/>
    <w:rsid w:val="0A91ABFB"/>
    <w:rsid w:val="0A9BDAA2"/>
    <w:rsid w:val="0AD1C15A"/>
    <w:rsid w:val="0AD3E96E"/>
    <w:rsid w:val="0ADD3216"/>
    <w:rsid w:val="0AFC6640"/>
    <w:rsid w:val="0B1279F8"/>
    <w:rsid w:val="0B202E57"/>
    <w:rsid w:val="0B5CDCF2"/>
    <w:rsid w:val="0B7686D1"/>
    <w:rsid w:val="0B7CEEEC"/>
    <w:rsid w:val="0B88416D"/>
    <w:rsid w:val="0B8FF28C"/>
    <w:rsid w:val="0BA06143"/>
    <w:rsid w:val="0BD57605"/>
    <w:rsid w:val="0BDD5B95"/>
    <w:rsid w:val="0BEDCD70"/>
    <w:rsid w:val="0C05FEB7"/>
    <w:rsid w:val="0C08C672"/>
    <w:rsid w:val="0C09812D"/>
    <w:rsid w:val="0C0F08C8"/>
    <w:rsid w:val="0C13D154"/>
    <w:rsid w:val="0C148C76"/>
    <w:rsid w:val="0C1607C6"/>
    <w:rsid w:val="0C17AC5C"/>
    <w:rsid w:val="0C1E1D5A"/>
    <w:rsid w:val="0C209D8C"/>
    <w:rsid w:val="0C2EB4EB"/>
    <w:rsid w:val="0C30AF01"/>
    <w:rsid w:val="0C3DF7C4"/>
    <w:rsid w:val="0C6041ED"/>
    <w:rsid w:val="0C748C62"/>
    <w:rsid w:val="0C7C2E79"/>
    <w:rsid w:val="0C8874F9"/>
    <w:rsid w:val="0C92D682"/>
    <w:rsid w:val="0C931E3E"/>
    <w:rsid w:val="0C9FAF56"/>
    <w:rsid w:val="0CB968DA"/>
    <w:rsid w:val="0CBADABF"/>
    <w:rsid w:val="0CBAE4AC"/>
    <w:rsid w:val="0CF7A823"/>
    <w:rsid w:val="0CFAB090"/>
    <w:rsid w:val="0CFBDDCF"/>
    <w:rsid w:val="0D0625D6"/>
    <w:rsid w:val="0D284415"/>
    <w:rsid w:val="0D311865"/>
    <w:rsid w:val="0D38E9F9"/>
    <w:rsid w:val="0D494133"/>
    <w:rsid w:val="0D5210A7"/>
    <w:rsid w:val="0D7AF47B"/>
    <w:rsid w:val="0D8A87B7"/>
    <w:rsid w:val="0DC297C6"/>
    <w:rsid w:val="0DCA854C"/>
    <w:rsid w:val="0DCDC256"/>
    <w:rsid w:val="0DD8BD1E"/>
    <w:rsid w:val="0DDA7807"/>
    <w:rsid w:val="0DE63F04"/>
    <w:rsid w:val="0DE9D280"/>
    <w:rsid w:val="0DF5B488"/>
    <w:rsid w:val="0E13DDCE"/>
    <w:rsid w:val="0E1E8F87"/>
    <w:rsid w:val="0E50EDF7"/>
    <w:rsid w:val="0E51D47A"/>
    <w:rsid w:val="0E5D883B"/>
    <w:rsid w:val="0E891172"/>
    <w:rsid w:val="0EB63014"/>
    <w:rsid w:val="0EB65AB9"/>
    <w:rsid w:val="0EBFF40E"/>
    <w:rsid w:val="0EC53E65"/>
    <w:rsid w:val="0EC6BC4F"/>
    <w:rsid w:val="0EDDCAB6"/>
    <w:rsid w:val="0EE7A318"/>
    <w:rsid w:val="0F0FB5A3"/>
    <w:rsid w:val="0F13E0B4"/>
    <w:rsid w:val="0F1FE4AE"/>
    <w:rsid w:val="0F21C53D"/>
    <w:rsid w:val="0F3B376D"/>
    <w:rsid w:val="0F503C11"/>
    <w:rsid w:val="0F65DAF4"/>
    <w:rsid w:val="0F764052"/>
    <w:rsid w:val="0F837848"/>
    <w:rsid w:val="0FA8217E"/>
    <w:rsid w:val="0FB5FFFF"/>
    <w:rsid w:val="0FC4B247"/>
    <w:rsid w:val="0FD2AE46"/>
    <w:rsid w:val="0FEF7A3B"/>
    <w:rsid w:val="101797FF"/>
    <w:rsid w:val="1022CED8"/>
    <w:rsid w:val="1029AEFB"/>
    <w:rsid w:val="103AE7F2"/>
    <w:rsid w:val="10446832"/>
    <w:rsid w:val="1047EC2C"/>
    <w:rsid w:val="10642AA1"/>
    <w:rsid w:val="1082022B"/>
    <w:rsid w:val="10897D9F"/>
    <w:rsid w:val="1096D7C2"/>
    <w:rsid w:val="10A3B38D"/>
    <w:rsid w:val="10AB2E35"/>
    <w:rsid w:val="10B0FA9B"/>
    <w:rsid w:val="10C994F7"/>
    <w:rsid w:val="10D741D4"/>
    <w:rsid w:val="10D89773"/>
    <w:rsid w:val="10E9296E"/>
    <w:rsid w:val="10F11EE5"/>
    <w:rsid w:val="10F4DE3A"/>
    <w:rsid w:val="11007C79"/>
    <w:rsid w:val="11376709"/>
    <w:rsid w:val="11852F11"/>
    <w:rsid w:val="118A230A"/>
    <w:rsid w:val="11A15BB7"/>
    <w:rsid w:val="11B86B22"/>
    <w:rsid w:val="11F6DD6C"/>
    <w:rsid w:val="120C8285"/>
    <w:rsid w:val="1222F214"/>
    <w:rsid w:val="1266B5B3"/>
    <w:rsid w:val="12680212"/>
    <w:rsid w:val="12715272"/>
    <w:rsid w:val="1276A3E6"/>
    <w:rsid w:val="129389E3"/>
    <w:rsid w:val="1294602F"/>
    <w:rsid w:val="12A4B81F"/>
    <w:rsid w:val="12E7922A"/>
    <w:rsid w:val="1309F2D9"/>
    <w:rsid w:val="131F5F89"/>
    <w:rsid w:val="1320FF72"/>
    <w:rsid w:val="133AAF22"/>
    <w:rsid w:val="134969EC"/>
    <w:rsid w:val="1366F280"/>
    <w:rsid w:val="13DE5CFC"/>
    <w:rsid w:val="13F40576"/>
    <w:rsid w:val="13FD121B"/>
    <w:rsid w:val="140593BF"/>
    <w:rsid w:val="140C616A"/>
    <w:rsid w:val="14156A84"/>
    <w:rsid w:val="1436B2C1"/>
    <w:rsid w:val="1439C6D0"/>
    <w:rsid w:val="146AEBFF"/>
    <w:rsid w:val="14755F29"/>
    <w:rsid w:val="14931D4D"/>
    <w:rsid w:val="14D36C5B"/>
    <w:rsid w:val="14EC9A18"/>
    <w:rsid w:val="14EEC123"/>
    <w:rsid w:val="14FCFADC"/>
    <w:rsid w:val="15264D05"/>
    <w:rsid w:val="152BD4C9"/>
    <w:rsid w:val="155213D7"/>
    <w:rsid w:val="15627A0C"/>
    <w:rsid w:val="15704565"/>
    <w:rsid w:val="157C01FB"/>
    <w:rsid w:val="158DF3E6"/>
    <w:rsid w:val="15975FB5"/>
    <w:rsid w:val="15E909C6"/>
    <w:rsid w:val="15FA1C35"/>
    <w:rsid w:val="15FD9BAD"/>
    <w:rsid w:val="1604E3F3"/>
    <w:rsid w:val="160A1DA6"/>
    <w:rsid w:val="16143623"/>
    <w:rsid w:val="161C0229"/>
    <w:rsid w:val="16381FB0"/>
    <w:rsid w:val="1650C884"/>
    <w:rsid w:val="1656C201"/>
    <w:rsid w:val="1682F9ED"/>
    <w:rsid w:val="16A7C1C7"/>
    <w:rsid w:val="16B71240"/>
    <w:rsid w:val="16C7C76A"/>
    <w:rsid w:val="16E104C4"/>
    <w:rsid w:val="16E8BA55"/>
    <w:rsid w:val="16EB8296"/>
    <w:rsid w:val="16FE5EC0"/>
    <w:rsid w:val="171A6FB9"/>
    <w:rsid w:val="1755714A"/>
    <w:rsid w:val="17636EF5"/>
    <w:rsid w:val="17736388"/>
    <w:rsid w:val="1773F2D3"/>
    <w:rsid w:val="177795E1"/>
    <w:rsid w:val="17834572"/>
    <w:rsid w:val="179DCFE7"/>
    <w:rsid w:val="17A351F5"/>
    <w:rsid w:val="17C916B6"/>
    <w:rsid w:val="17CF300A"/>
    <w:rsid w:val="182FA117"/>
    <w:rsid w:val="1832C7AE"/>
    <w:rsid w:val="184F56CC"/>
    <w:rsid w:val="1854FE42"/>
    <w:rsid w:val="18BA555B"/>
    <w:rsid w:val="18BAB358"/>
    <w:rsid w:val="18C7BC98"/>
    <w:rsid w:val="18C9D15E"/>
    <w:rsid w:val="18D7C380"/>
    <w:rsid w:val="18DB4604"/>
    <w:rsid w:val="18E8D1D6"/>
    <w:rsid w:val="190804DC"/>
    <w:rsid w:val="192BCE2E"/>
    <w:rsid w:val="193E8638"/>
    <w:rsid w:val="196B50FF"/>
    <w:rsid w:val="1973478B"/>
    <w:rsid w:val="198B40F8"/>
    <w:rsid w:val="19A372B6"/>
    <w:rsid w:val="19C271F4"/>
    <w:rsid w:val="19CE4BD8"/>
    <w:rsid w:val="19D9249B"/>
    <w:rsid w:val="19DC042E"/>
    <w:rsid w:val="19E21733"/>
    <w:rsid w:val="19ECD76D"/>
    <w:rsid w:val="19EEB302"/>
    <w:rsid w:val="19F0E8AD"/>
    <w:rsid w:val="1A0ED21F"/>
    <w:rsid w:val="1A11A564"/>
    <w:rsid w:val="1A14DFD3"/>
    <w:rsid w:val="1A2A7089"/>
    <w:rsid w:val="1A305FE5"/>
    <w:rsid w:val="1A3668E0"/>
    <w:rsid w:val="1A3BDBE3"/>
    <w:rsid w:val="1A3C41E7"/>
    <w:rsid w:val="1A46E943"/>
    <w:rsid w:val="1A4E86B3"/>
    <w:rsid w:val="1A57D6AA"/>
    <w:rsid w:val="1A5ED8D9"/>
    <w:rsid w:val="1A7E0A82"/>
    <w:rsid w:val="1A811DC6"/>
    <w:rsid w:val="1A878D2C"/>
    <w:rsid w:val="1A922063"/>
    <w:rsid w:val="1AA90854"/>
    <w:rsid w:val="1AAB1C36"/>
    <w:rsid w:val="1AB3B966"/>
    <w:rsid w:val="1AD46E71"/>
    <w:rsid w:val="1ADA7AD9"/>
    <w:rsid w:val="1ADCA1D3"/>
    <w:rsid w:val="1AF0BABD"/>
    <w:rsid w:val="1B0A4C57"/>
    <w:rsid w:val="1B3B6FD9"/>
    <w:rsid w:val="1B3DD597"/>
    <w:rsid w:val="1B3E442E"/>
    <w:rsid w:val="1B49CA86"/>
    <w:rsid w:val="1B5F281F"/>
    <w:rsid w:val="1B60D66B"/>
    <w:rsid w:val="1B686662"/>
    <w:rsid w:val="1B850BDC"/>
    <w:rsid w:val="1B89496B"/>
    <w:rsid w:val="1B8C16FA"/>
    <w:rsid w:val="1B8ED670"/>
    <w:rsid w:val="1BCC3046"/>
    <w:rsid w:val="1BD1D8E2"/>
    <w:rsid w:val="1BDE8F09"/>
    <w:rsid w:val="1C114AF2"/>
    <w:rsid w:val="1C192DCB"/>
    <w:rsid w:val="1C4AB338"/>
    <w:rsid w:val="1C62B17A"/>
    <w:rsid w:val="1C6A6A94"/>
    <w:rsid w:val="1C82C206"/>
    <w:rsid w:val="1CACBCBD"/>
    <w:rsid w:val="1CE0A72B"/>
    <w:rsid w:val="1CEE2400"/>
    <w:rsid w:val="1D0E6883"/>
    <w:rsid w:val="1D16C3A8"/>
    <w:rsid w:val="1D2653C4"/>
    <w:rsid w:val="1D2EE254"/>
    <w:rsid w:val="1D366388"/>
    <w:rsid w:val="1D42A655"/>
    <w:rsid w:val="1D4D9C95"/>
    <w:rsid w:val="1D7353CF"/>
    <w:rsid w:val="1D79AD9C"/>
    <w:rsid w:val="1DA4C2F4"/>
    <w:rsid w:val="1DC065A8"/>
    <w:rsid w:val="1DD5DC82"/>
    <w:rsid w:val="1E0FC1FA"/>
    <w:rsid w:val="1E192C58"/>
    <w:rsid w:val="1E21E890"/>
    <w:rsid w:val="1E390340"/>
    <w:rsid w:val="1E41ED19"/>
    <w:rsid w:val="1E485544"/>
    <w:rsid w:val="1E554FB0"/>
    <w:rsid w:val="1E5DD449"/>
    <w:rsid w:val="1E70DC1D"/>
    <w:rsid w:val="1E713D78"/>
    <w:rsid w:val="1EA0A83C"/>
    <w:rsid w:val="1ED869D6"/>
    <w:rsid w:val="1EF1250E"/>
    <w:rsid w:val="1F03896C"/>
    <w:rsid w:val="1F2E74F6"/>
    <w:rsid w:val="1F387A53"/>
    <w:rsid w:val="1F4305D5"/>
    <w:rsid w:val="1F4908CE"/>
    <w:rsid w:val="1F594EE3"/>
    <w:rsid w:val="1F6E098E"/>
    <w:rsid w:val="1F761DA0"/>
    <w:rsid w:val="1F7E7EA6"/>
    <w:rsid w:val="1F841F0A"/>
    <w:rsid w:val="1F8F5C4E"/>
    <w:rsid w:val="1F9ECF18"/>
    <w:rsid w:val="1FAE4D84"/>
    <w:rsid w:val="1FC419FC"/>
    <w:rsid w:val="1FD0A30C"/>
    <w:rsid w:val="1FFF470C"/>
    <w:rsid w:val="2003C8A5"/>
    <w:rsid w:val="2007198E"/>
    <w:rsid w:val="2023EA77"/>
    <w:rsid w:val="20359264"/>
    <w:rsid w:val="20438FB1"/>
    <w:rsid w:val="2045069A"/>
    <w:rsid w:val="20644DF4"/>
    <w:rsid w:val="206AE9E6"/>
    <w:rsid w:val="209D24A4"/>
    <w:rsid w:val="20A1A524"/>
    <w:rsid w:val="20A3BA6E"/>
    <w:rsid w:val="20D0A68D"/>
    <w:rsid w:val="20D44ECF"/>
    <w:rsid w:val="20DE1542"/>
    <w:rsid w:val="20EB82E8"/>
    <w:rsid w:val="20ED7F24"/>
    <w:rsid w:val="20F7CDAB"/>
    <w:rsid w:val="2102F272"/>
    <w:rsid w:val="210DD9AD"/>
    <w:rsid w:val="21280143"/>
    <w:rsid w:val="2132F03D"/>
    <w:rsid w:val="2135113D"/>
    <w:rsid w:val="213D6706"/>
    <w:rsid w:val="2140B488"/>
    <w:rsid w:val="2156BA00"/>
    <w:rsid w:val="2171A055"/>
    <w:rsid w:val="218F99E3"/>
    <w:rsid w:val="21A3DB3E"/>
    <w:rsid w:val="21ADF64D"/>
    <w:rsid w:val="21B9E5E1"/>
    <w:rsid w:val="21BFF660"/>
    <w:rsid w:val="21C37267"/>
    <w:rsid w:val="21D5641C"/>
    <w:rsid w:val="21D5DF98"/>
    <w:rsid w:val="21DE7896"/>
    <w:rsid w:val="21E3158F"/>
    <w:rsid w:val="21F67455"/>
    <w:rsid w:val="220DF351"/>
    <w:rsid w:val="220F7DD2"/>
    <w:rsid w:val="2248226F"/>
    <w:rsid w:val="22584FE7"/>
    <w:rsid w:val="227556C2"/>
    <w:rsid w:val="227B6E70"/>
    <w:rsid w:val="229A5EC4"/>
    <w:rsid w:val="22F47962"/>
    <w:rsid w:val="22F7043F"/>
    <w:rsid w:val="22F9B62D"/>
    <w:rsid w:val="230895CE"/>
    <w:rsid w:val="230D70B6"/>
    <w:rsid w:val="23151AB2"/>
    <w:rsid w:val="23176C12"/>
    <w:rsid w:val="232CCAF9"/>
    <w:rsid w:val="2330CB80"/>
    <w:rsid w:val="23424D99"/>
    <w:rsid w:val="2342D89B"/>
    <w:rsid w:val="23589440"/>
    <w:rsid w:val="235EFBD6"/>
    <w:rsid w:val="235FE910"/>
    <w:rsid w:val="2361D42A"/>
    <w:rsid w:val="237F14D3"/>
    <w:rsid w:val="238F0BF7"/>
    <w:rsid w:val="23C032D6"/>
    <w:rsid w:val="23C31667"/>
    <w:rsid w:val="23EB3B29"/>
    <w:rsid w:val="23EC965E"/>
    <w:rsid w:val="2405A5A4"/>
    <w:rsid w:val="2410738B"/>
    <w:rsid w:val="241E2364"/>
    <w:rsid w:val="242D7C1D"/>
    <w:rsid w:val="24485B5C"/>
    <w:rsid w:val="245AB074"/>
    <w:rsid w:val="247F909D"/>
    <w:rsid w:val="248FB09F"/>
    <w:rsid w:val="24A52CBC"/>
    <w:rsid w:val="24A94117"/>
    <w:rsid w:val="24BFDD0D"/>
    <w:rsid w:val="24C8A932"/>
    <w:rsid w:val="24CDA873"/>
    <w:rsid w:val="24F30731"/>
    <w:rsid w:val="24FA8969"/>
    <w:rsid w:val="252DFF92"/>
    <w:rsid w:val="253C7704"/>
    <w:rsid w:val="2549D264"/>
    <w:rsid w:val="256E228A"/>
    <w:rsid w:val="257B56E4"/>
    <w:rsid w:val="257B9DEF"/>
    <w:rsid w:val="25813F97"/>
    <w:rsid w:val="2581962D"/>
    <w:rsid w:val="258344EE"/>
    <w:rsid w:val="258BFA43"/>
    <w:rsid w:val="259F9A13"/>
    <w:rsid w:val="25A2FB47"/>
    <w:rsid w:val="25A4027E"/>
    <w:rsid w:val="25AD8E33"/>
    <w:rsid w:val="25F70251"/>
    <w:rsid w:val="26008332"/>
    <w:rsid w:val="261D0940"/>
    <w:rsid w:val="26454017"/>
    <w:rsid w:val="2651A5CA"/>
    <w:rsid w:val="26554595"/>
    <w:rsid w:val="2666B0D9"/>
    <w:rsid w:val="267FE509"/>
    <w:rsid w:val="26A3C38E"/>
    <w:rsid w:val="26B9D242"/>
    <w:rsid w:val="26EAFC73"/>
    <w:rsid w:val="2716D073"/>
    <w:rsid w:val="2722E452"/>
    <w:rsid w:val="272537A4"/>
    <w:rsid w:val="2763E9A8"/>
    <w:rsid w:val="276523F5"/>
    <w:rsid w:val="2766CD1C"/>
    <w:rsid w:val="277A00CA"/>
    <w:rsid w:val="277E08F3"/>
    <w:rsid w:val="2781B873"/>
    <w:rsid w:val="2789222E"/>
    <w:rsid w:val="27B99C53"/>
    <w:rsid w:val="27C291A8"/>
    <w:rsid w:val="27E8CF5F"/>
    <w:rsid w:val="27FEB1FD"/>
    <w:rsid w:val="280530AD"/>
    <w:rsid w:val="285A386C"/>
    <w:rsid w:val="286034E5"/>
    <w:rsid w:val="286225F2"/>
    <w:rsid w:val="2870739D"/>
    <w:rsid w:val="2871BFE8"/>
    <w:rsid w:val="28868C94"/>
    <w:rsid w:val="28AE9917"/>
    <w:rsid w:val="28B44AAD"/>
    <w:rsid w:val="28B6C530"/>
    <w:rsid w:val="28BCBA46"/>
    <w:rsid w:val="28D8C6A8"/>
    <w:rsid w:val="28DBD129"/>
    <w:rsid w:val="29027270"/>
    <w:rsid w:val="29248770"/>
    <w:rsid w:val="2929A84B"/>
    <w:rsid w:val="292EE6E1"/>
    <w:rsid w:val="294DFD37"/>
    <w:rsid w:val="295E62B1"/>
    <w:rsid w:val="296EB17B"/>
    <w:rsid w:val="29A28C7F"/>
    <w:rsid w:val="29CCFCB5"/>
    <w:rsid w:val="2A075A28"/>
    <w:rsid w:val="2A0DC0F9"/>
    <w:rsid w:val="2A1D9A31"/>
    <w:rsid w:val="2A24FA85"/>
    <w:rsid w:val="2A565325"/>
    <w:rsid w:val="2A592C54"/>
    <w:rsid w:val="2A8F9BA9"/>
    <w:rsid w:val="2ABE4508"/>
    <w:rsid w:val="2AC657E9"/>
    <w:rsid w:val="2B441CE5"/>
    <w:rsid w:val="2B7D6F1B"/>
    <w:rsid w:val="2B7DFA53"/>
    <w:rsid w:val="2B94C3DB"/>
    <w:rsid w:val="2BCEF645"/>
    <w:rsid w:val="2BDB9285"/>
    <w:rsid w:val="2BEA4196"/>
    <w:rsid w:val="2BF4AC59"/>
    <w:rsid w:val="2C05545C"/>
    <w:rsid w:val="2C078031"/>
    <w:rsid w:val="2C20F93C"/>
    <w:rsid w:val="2C38326A"/>
    <w:rsid w:val="2C67F641"/>
    <w:rsid w:val="2C74FE86"/>
    <w:rsid w:val="2C90157D"/>
    <w:rsid w:val="2CB7593A"/>
    <w:rsid w:val="2CC1E0B2"/>
    <w:rsid w:val="2CD18554"/>
    <w:rsid w:val="2CDAB1A0"/>
    <w:rsid w:val="2CDB39A8"/>
    <w:rsid w:val="2CEDF3CA"/>
    <w:rsid w:val="2CFBC6C3"/>
    <w:rsid w:val="2CFBE430"/>
    <w:rsid w:val="2D0E6FE8"/>
    <w:rsid w:val="2D1EDD43"/>
    <w:rsid w:val="2D3C5CDC"/>
    <w:rsid w:val="2D446514"/>
    <w:rsid w:val="2D610861"/>
    <w:rsid w:val="2D63E6EE"/>
    <w:rsid w:val="2D7B83A8"/>
    <w:rsid w:val="2D840018"/>
    <w:rsid w:val="2DC381FB"/>
    <w:rsid w:val="2DDD9D29"/>
    <w:rsid w:val="2DFA9CD6"/>
    <w:rsid w:val="2DFD7E79"/>
    <w:rsid w:val="2E216C2A"/>
    <w:rsid w:val="2E299919"/>
    <w:rsid w:val="2E5C5308"/>
    <w:rsid w:val="2E5D451C"/>
    <w:rsid w:val="2E69F230"/>
    <w:rsid w:val="2E78AC79"/>
    <w:rsid w:val="2E835C50"/>
    <w:rsid w:val="2E932F31"/>
    <w:rsid w:val="2EA24C71"/>
    <w:rsid w:val="2EAE2CFA"/>
    <w:rsid w:val="2EB15BEA"/>
    <w:rsid w:val="2ED78C4D"/>
    <w:rsid w:val="2EDB25D4"/>
    <w:rsid w:val="2EE66EDC"/>
    <w:rsid w:val="2F0E467B"/>
    <w:rsid w:val="2F196544"/>
    <w:rsid w:val="2F2E11B2"/>
    <w:rsid w:val="2F377010"/>
    <w:rsid w:val="2F6E307A"/>
    <w:rsid w:val="2F793FD1"/>
    <w:rsid w:val="2F8F2A73"/>
    <w:rsid w:val="2FAEE699"/>
    <w:rsid w:val="2FF79F39"/>
    <w:rsid w:val="30361899"/>
    <w:rsid w:val="3041A9E9"/>
    <w:rsid w:val="3051A281"/>
    <w:rsid w:val="30706C9C"/>
    <w:rsid w:val="30A15022"/>
    <w:rsid w:val="30B34164"/>
    <w:rsid w:val="30B3DCB8"/>
    <w:rsid w:val="30C8CDA7"/>
    <w:rsid w:val="30D1DB42"/>
    <w:rsid w:val="30D3476F"/>
    <w:rsid w:val="30DCA3C3"/>
    <w:rsid w:val="30E1FA60"/>
    <w:rsid w:val="30FB2B08"/>
    <w:rsid w:val="31089020"/>
    <w:rsid w:val="310960EE"/>
    <w:rsid w:val="310CCFDF"/>
    <w:rsid w:val="31111DC5"/>
    <w:rsid w:val="312B72A8"/>
    <w:rsid w:val="31362DC1"/>
    <w:rsid w:val="31398083"/>
    <w:rsid w:val="31481BF5"/>
    <w:rsid w:val="315C677D"/>
    <w:rsid w:val="3167A96D"/>
    <w:rsid w:val="318F6302"/>
    <w:rsid w:val="318FB1A5"/>
    <w:rsid w:val="319776A5"/>
    <w:rsid w:val="31A841F6"/>
    <w:rsid w:val="31D45C84"/>
    <w:rsid w:val="31D4D5B8"/>
    <w:rsid w:val="31FC2042"/>
    <w:rsid w:val="321A791B"/>
    <w:rsid w:val="321C5DB8"/>
    <w:rsid w:val="3234D79F"/>
    <w:rsid w:val="324A6479"/>
    <w:rsid w:val="324EE91E"/>
    <w:rsid w:val="325F1C97"/>
    <w:rsid w:val="3269E4B0"/>
    <w:rsid w:val="32767312"/>
    <w:rsid w:val="32B14F96"/>
    <w:rsid w:val="32BCE807"/>
    <w:rsid w:val="32C4B128"/>
    <w:rsid w:val="32C4E226"/>
    <w:rsid w:val="32D8E342"/>
    <w:rsid w:val="33065DC9"/>
    <w:rsid w:val="330F7765"/>
    <w:rsid w:val="331925A2"/>
    <w:rsid w:val="33208192"/>
    <w:rsid w:val="332B8206"/>
    <w:rsid w:val="3348A983"/>
    <w:rsid w:val="335DE539"/>
    <w:rsid w:val="3364603E"/>
    <w:rsid w:val="3384E704"/>
    <w:rsid w:val="338D9A0B"/>
    <w:rsid w:val="338E1304"/>
    <w:rsid w:val="33C5B660"/>
    <w:rsid w:val="33CA2392"/>
    <w:rsid w:val="33D2C645"/>
    <w:rsid w:val="33FE2F16"/>
    <w:rsid w:val="3405B1A2"/>
    <w:rsid w:val="341B7488"/>
    <w:rsid w:val="341F28AE"/>
    <w:rsid w:val="34316472"/>
    <w:rsid w:val="34342F8A"/>
    <w:rsid w:val="3440BAEA"/>
    <w:rsid w:val="344893AE"/>
    <w:rsid w:val="34999680"/>
    <w:rsid w:val="349D681A"/>
    <w:rsid w:val="34A3AD2A"/>
    <w:rsid w:val="34B7D286"/>
    <w:rsid w:val="34C667E4"/>
    <w:rsid w:val="34FEBCDD"/>
    <w:rsid w:val="3507EA27"/>
    <w:rsid w:val="35151B0C"/>
    <w:rsid w:val="3540A8FA"/>
    <w:rsid w:val="3542A3F9"/>
    <w:rsid w:val="355219DD"/>
    <w:rsid w:val="355C43C0"/>
    <w:rsid w:val="355CD697"/>
    <w:rsid w:val="356B9409"/>
    <w:rsid w:val="3599AC15"/>
    <w:rsid w:val="35A1ECFD"/>
    <w:rsid w:val="35B826D8"/>
    <w:rsid w:val="35D6F9C5"/>
    <w:rsid w:val="35ECC8A2"/>
    <w:rsid w:val="3607BE2A"/>
    <w:rsid w:val="360E8F6E"/>
    <w:rsid w:val="36173C8F"/>
    <w:rsid w:val="361B12B3"/>
    <w:rsid w:val="3649EC6E"/>
    <w:rsid w:val="364EECC5"/>
    <w:rsid w:val="368EC196"/>
    <w:rsid w:val="3693280B"/>
    <w:rsid w:val="36A611AC"/>
    <w:rsid w:val="36A95515"/>
    <w:rsid w:val="36E49A90"/>
    <w:rsid w:val="36E9C041"/>
    <w:rsid w:val="37199045"/>
    <w:rsid w:val="37237A64"/>
    <w:rsid w:val="372CA291"/>
    <w:rsid w:val="374DF737"/>
    <w:rsid w:val="37569E23"/>
    <w:rsid w:val="3776BDCB"/>
    <w:rsid w:val="3794019B"/>
    <w:rsid w:val="37BE97FC"/>
    <w:rsid w:val="37D05965"/>
    <w:rsid w:val="37E8507D"/>
    <w:rsid w:val="381DBAD0"/>
    <w:rsid w:val="38284579"/>
    <w:rsid w:val="3830A671"/>
    <w:rsid w:val="383DBB68"/>
    <w:rsid w:val="3842C0DD"/>
    <w:rsid w:val="38555728"/>
    <w:rsid w:val="38806CE1"/>
    <w:rsid w:val="38810108"/>
    <w:rsid w:val="3893B3D8"/>
    <w:rsid w:val="389AB638"/>
    <w:rsid w:val="38D1A039"/>
    <w:rsid w:val="38DDCD0F"/>
    <w:rsid w:val="38F31E20"/>
    <w:rsid w:val="3910B59C"/>
    <w:rsid w:val="391EC1A6"/>
    <w:rsid w:val="391ED89C"/>
    <w:rsid w:val="392E4AE4"/>
    <w:rsid w:val="3944F1EE"/>
    <w:rsid w:val="3964660F"/>
    <w:rsid w:val="396A8A39"/>
    <w:rsid w:val="396B4CFE"/>
    <w:rsid w:val="397B8D69"/>
    <w:rsid w:val="397DF606"/>
    <w:rsid w:val="39C7EEEF"/>
    <w:rsid w:val="39D5CC5A"/>
    <w:rsid w:val="39FA8AC3"/>
    <w:rsid w:val="3A147C82"/>
    <w:rsid w:val="3A275F77"/>
    <w:rsid w:val="3A456862"/>
    <w:rsid w:val="3A5C35C3"/>
    <w:rsid w:val="3A922322"/>
    <w:rsid w:val="3AC250AD"/>
    <w:rsid w:val="3ACC0EA4"/>
    <w:rsid w:val="3ACCA4A5"/>
    <w:rsid w:val="3B0888F2"/>
    <w:rsid w:val="3B14B3F4"/>
    <w:rsid w:val="3B19C596"/>
    <w:rsid w:val="3B1E2F12"/>
    <w:rsid w:val="3B2E325D"/>
    <w:rsid w:val="3B37011C"/>
    <w:rsid w:val="3B3EC4AE"/>
    <w:rsid w:val="3B8C5D92"/>
    <w:rsid w:val="3BBEC969"/>
    <w:rsid w:val="3BD262EC"/>
    <w:rsid w:val="3BE138C3"/>
    <w:rsid w:val="3BF4E596"/>
    <w:rsid w:val="3C091219"/>
    <w:rsid w:val="3C44162F"/>
    <w:rsid w:val="3C52C148"/>
    <w:rsid w:val="3C70F8A7"/>
    <w:rsid w:val="3CB10CAB"/>
    <w:rsid w:val="3CCC4440"/>
    <w:rsid w:val="3CCC50E5"/>
    <w:rsid w:val="3CD34C85"/>
    <w:rsid w:val="3CD8F717"/>
    <w:rsid w:val="3D017BAD"/>
    <w:rsid w:val="3D160706"/>
    <w:rsid w:val="3D1CABB1"/>
    <w:rsid w:val="3D21BE46"/>
    <w:rsid w:val="3D2A4881"/>
    <w:rsid w:val="3D31333F"/>
    <w:rsid w:val="3D379609"/>
    <w:rsid w:val="3D7455BC"/>
    <w:rsid w:val="3D76C754"/>
    <w:rsid w:val="3D8D4A2D"/>
    <w:rsid w:val="3D8F2C93"/>
    <w:rsid w:val="3D9516FA"/>
    <w:rsid w:val="3DA3ADD8"/>
    <w:rsid w:val="3DD87B52"/>
    <w:rsid w:val="3DD90EA2"/>
    <w:rsid w:val="3DFD1216"/>
    <w:rsid w:val="3E011C25"/>
    <w:rsid w:val="3E04304F"/>
    <w:rsid w:val="3E20485B"/>
    <w:rsid w:val="3E245958"/>
    <w:rsid w:val="3E264B7D"/>
    <w:rsid w:val="3E4AC18A"/>
    <w:rsid w:val="3E4E0146"/>
    <w:rsid w:val="3E5E4E40"/>
    <w:rsid w:val="3E625C7A"/>
    <w:rsid w:val="3E6502F7"/>
    <w:rsid w:val="3E682146"/>
    <w:rsid w:val="3E7C62FF"/>
    <w:rsid w:val="3EBB8AD6"/>
    <w:rsid w:val="3EC6CBD8"/>
    <w:rsid w:val="3EE45B3D"/>
    <w:rsid w:val="3EF345C3"/>
    <w:rsid w:val="3F031E50"/>
    <w:rsid w:val="3F326521"/>
    <w:rsid w:val="3F35E8A1"/>
    <w:rsid w:val="3F4AA501"/>
    <w:rsid w:val="3F557E4B"/>
    <w:rsid w:val="3F56AEF7"/>
    <w:rsid w:val="3F67C0F1"/>
    <w:rsid w:val="3F6E4B50"/>
    <w:rsid w:val="3FAEDB27"/>
    <w:rsid w:val="3FC03F8C"/>
    <w:rsid w:val="3FD0ACF1"/>
    <w:rsid w:val="3FEA67F7"/>
    <w:rsid w:val="40054B1B"/>
    <w:rsid w:val="40144A91"/>
    <w:rsid w:val="4016C514"/>
    <w:rsid w:val="401EC791"/>
    <w:rsid w:val="402C0B9C"/>
    <w:rsid w:val="40354896"/>
    <w:rsid w:val="403F32BC"/>
    <w:rsid w:val="404B96F6"/>
    <w:rsid w:val="405010BC"/>
    <w:rsid w:val="406DC0A7"/>
    <w:rsid w:val="408050F1"/>
    <w:rsid w:val="408E217B"/>
    <w:rsid w:val="4092D08A"/>
    <w:rsid w:val="40A9AA61"/>
    <w:rsid w:val="40C14333"/>
    <w:rsid w:val="40ED8696"/>
    <w:rsid w:val="41292133"/>
    <w:rsid w:val="4139A563"/>
    <w:rsid w:val="4144AEEA"/>
    <w:rsid w:val="41546DC5"/>
    <w:rsid w:val="4155C311"/>
    <w:rsid w:val="4155FFA6"/>
    <w:rsid w:val="4170B8BB"/>
    <w:rsid w:val="417880A7"/>
    <w:rsid w:val="41820E66"/>
    <w:rsid w:val="41A72D81"/>
    <w:rsid w:val="41AE7119"/>
    <w:rsid w:val="41E5B1CD"/>
    <w:rsid w:val="41F32B98"/>
    <w:rsid w:val="41F65415"/>
    <w:rsid w:val="421B5CCB"/>
    <w:rsid w:val="42771544"/>
    <w:rsid w:val="42892041"/>
    <w:rsid w:val="42983579"/>
    <w:rsid w:val="42B74D59"/>
    <w:rsid w:val="42CB4BAA"/>
    <w:rsid w:val="42EA8B5F"/>
    <w:rsid w:val="42F6B03C"/>
    <w:rsid w:val="43461AC6"/>
    <w:rsid w:val="43534108"/>
    <w:rsid w:val="43658190"/>
    <w:rsid w:val="436A9296"/>
    <w:rsid w:val="436F1A78"/>
    <w:rsid w:val="4377D537"/>
    <w:rsid w:val="437C9FDC"/>
    <w:rsid w:val="43A61015"/>
    <w:rsid w:val="43ACC265"/>
    <w:rsid w:val="44171E7C"/>
    <w:rsid w:val="444DF3AE"/>
    <w:rsid w:val="445353CC"/>
    <w:rsid w:val="4463B674"/>
    <w:rsid w:val="449172ED"/>
    <w:rsid w:val="44AAB858"/>
    <w:rsid w:val="44AC3F1D"/>
    <w:rsid w:val="44B8F8E3"/>
    <w:rsid w:val="44C12607"/>
    <w:rsid w:val="44C288E6"/>
    <w:rsid w:val="44DC9CB7"/>
    <w:rsid w:val="44E6D285"/>
    <w:rsid w:val="44E7269A"/>
    <w:rsid w:val="44E7CDC2"/>
    <w:rsid w:val="44F7716C"/>
    <w:rsid w:val="45063D37"/>
    <w:rsid w:val="4548B1E7"/>
    <w:rsid w:val="455FEEE7"/>
    <w:rsid w:val="456A91DC"/>
    <w:rsid w:val="459EE86A"/>
    <w:rsid w:val="45B5F8A2"/>
    <w:rsid w:val="45B810C7"/>
    <w:rsid w:val="45B86F56"/>
    <w:rsid w:val="45C9CCE6"/>
    <w:rsid w:val="45D51EB5"/>
    <w:rsid w:val="45F32F78"/>
    <w:rsid w:val="45F7E488"/>
    <w:rsid w:val="46081AE0"/>
    <w:rsid w:val="462FFF66"/>
    <w:rsid w:val="4663887E"/>
    <w:rsid w:val="466730B9"/>
    <w:rsid w:val="46922E94"/>
    <w:rsid w:val="46A0C9C3"/>
    <w:rsid w:val="46CA9E58"/>
    <w:rsid w:val="46EB4709"/>
    <w:rsid w:val="470B5F01"/>
    <w:rsid w:val="472597AE"/>
    <w:rsid w:val="472D3AB6"/>
    <w:rsid w:val="475CBA76"/>
    <w:rsid w:val="4760EDF5"/>
    <w:rsid w:val="47663CF4"/>
    <w:rsid w:val="476E2BE5"/>
    <w:rsid w:val="47712A54"/>
    <w:rsid w:val="4774725A"/>
    <w:rsid w:val="477697AF"/>
    <w:rsid w:val="477902E7"/>
    <w:rsid w:val="4786445B"/>
    <w:rsid w:val="4787F724"/>
    <w:rsid w:val="478EA26C"/>
    <w:rsid w:val="4799C975"/>
    <w:rsid w:val="479B300F"/>
    <w:rsid w:val="47CE3AEA"/>
    <w:rsid w:val="47DB7CE2"/>
    <w:rsid w:val="47F77CBA"/>
    <w:rsid w:val="4801CA7B"/>
    <w:rsid w:val="480BD4CA"/>
    <w:rsid w:val="480DD75F"/>
    <w:rsid w:val="4832B1BF"/>
    <w:rsid w:val="4848F9E6"/>
    <w:rsid w:val="487386ED"/>
    <w:rsid w:val="48839E1D"/>
    <w:rsid w:val="48842414"/>
    <w:rsid w:val="488B806D"/>
    <w:rsid w:val="48CBF2CC"/>
    <w:rsid w:val="48DD2294"/>
    <w:rsid w:val="48DE8807"/>
    <w:rsid w:val="48FC6AA4"/>
    <w:rsid w:val="48FF07B5"/>
    <w:rsid w:val="4905C0D2"/>
    <w:rsid w:val="4929ED4F"/>
    <w:rsid w:val="4943D2FC"/>
    <w:rsid w:val="495F1B11"/>
    <w:rsid w:val="497EEC2C"/>
    <w:rsid w:val="49ABA41C"/>
    <w:rsid w:val="49AC863E"/>
    <w:rsid w:val="4A221B4E"/>
    <w:rsid w:val="4A430369"/>
    <w:rsid w:val="4A4D5DD1"/>
    <w:rsid w:val="4A5C287D"/>
    <w:rsid w:val="4A72598D"/>
    <w:rsid w:val="4A925455"/>
    <w:rsid w:val="4A94C3DA"/>
    <w:rsid w:val="4AA3B8DF"/>
    <w:rsid w:val="4AB21520"/>
    <w:rsid w:val="4AB3EDF9"/>
    <w:rsid w:val="4AC823C8"/>
    <w:rsid w:val="4AD9D5AE"/>
    <w:rsid w:val="4B04D87D"/>
    <w:rsid w:val="4B07CA2E"/>
    <w:rsid w:val="4B207083"/>
    <w:rsid w:val="4B2FF2ED"/>
    <w:rsid w:val="4B309EF2"/>
    <w:rsid w:val="4B327655"/>
    <w:rsid w:val="4B4BF7C6"/>
    <w:rsid w:val="4B59699D"/>
    <w:rsid w:val="4B6B39D8"/>
    <w:rsid w:val="4B6D53FD"/>
    <w:rsid w:val="4B804CBC"/>
    <w:rsid w:val="4B83AB6F"/>
    <w:rsid w:val="4BB24AEC"/>
    <w:rsid w:val="4BC289A4"/>
    <w:rsid w:val="4BD2A488"/>
    <w:rsid w:val="4C094ACD"/>
    <w:rsid w:val="4C2903C7"/>
    <w:rsid w:val="4C4DA01E"/>
    <w:rsid w:val="4C543563"/>
    <w:rsid w:val="4C62154C"/>
    <w:rsid w:val="4C784FE1"/>
    <w:rsid w:val="4C87DE51"/>
    <w:rsid w:val="4CB10A74"/>
    <w:rsid w:val="4CE27FD0"/>
    <w:rsid w:val="4CF9ABF9"/>
    <w:rsid w:val="4D079606"/>
    <w:rsid w:val="4D0EA356"/>
    <w:rsid w:val="4D1207AF"/>
    <w:rsid w:val="4D25FDAB"/>
    <w:rsid w:val="4D344D14"/>
    <w:rsid w:val="4D3F702C"/>
    <w:rsid w:val="4D555F77"/>
    <w:rsid w:val="4D55C1E0"/>
    <w:rsid w:val="4D5EE631"/>
    <w:rsid w:val="4D670321"/>
    <w:rsid w:val="4D71A2C4"/>
    <w:rsid w:val="4DA60135"/>
    <w:rsid w:val="4DCE39D2"/>
    <w:rsid w:val="4DDA81E4"/>
    <w:rsid w:val="4DDD7778"/>
    <w:rsid w:val="4DE8061E"/>
    <w:rsid w:val="4E07EA3A"/>
    <w:rsid w:val="4E158062"/>
    <w:rsid w:val="4E170FC7"/>
    <w:rsid w:val="4E1894BE"/>
    <w:rsid w:val="4E2217D1"/>
    <w:rsid w:val="4E29B7DD"/>
    <w:rsid w:val="4E40BC36"/>
    <w:rsid w:val="4E5F4579"/>
    <w:rsid w:val="4E5F6658"/>
    <w:rsid w:val="4E7C1D66"/>
    <w:rsid w:val="4E8E60BD"/>
    <w:rsid w:val="4ED15A6C"/>
    <w:rsid w:val="4ED1CD2E"/>
    <w:rsid w:val="4ED2F5E0"/>
    <w:rsid w:val="4EEA142A"/>
    <w:rsid w:val="4F014DA3"/>
    <w:rsid w:val="4F24643B"/>
    <w:rsid w:val="4F3B4DD0"/>
    <w:rsid w:val="4F3FB279"/>
    <w:rsid w:val="4F45CAB0"/>
    <w:rsid w:val="4F4C9D99"/>
    <w:rsid w:val="4F513749"/>
    <w:rsid w:val="4F68B851"/>
    <w:rsid w:val="4F8EE10F"/>
    <w:rsid w:val="4F99C36B"/>
    <w:rsid w:val="4FA02A0D"/>
    <w:rsid w:val="4FAA5FC3"/>
    <w:rsid w:val="4FD849A0"/>
    <w:rsid w:val="4FDEFE97"/>
    <w:rsid w:val="4FEB5959"/>
    <w:rsid w:val="4FF8CA83"/>
    <w:rsid w:val="50066625"/>
    <w:rsid w:val="501383FD"/>
    <w:rsid w:val="50345190"/>
    <w:rsid w:val="506A542B"/>
    <w:rsid w:val="506E72D4"/>
    <w:rsid w:val="507D0FBA"/>
    <w:rsid w:val="50874A93"/>
    <w:rsid w:val="508B32C4"/>
    <w:rsid w:val="50B7F9F8"/>
    <w:rsid w:val="50D32FD6"/>
    <w:rsid w:val="50E70105"/>
    <w:rsid w:val="50F0C5A0"/>
    <w:rsid w:val="51150849"/>
    <w:rsid w:val="5123133A"/>
    <w:rsid w:val="5123A45D"/>
    <w:rsid w:val="512D67FE"/>
    <w:rsid w:val="5140CC87"/>
    <w:rsid w:val="514C7B2C"/>
    <w:rsid w:val="516C7E1D"/>
    <w:rsid w:val="51751F28"/>
    <w:rsid w:val="51966481"/>
    <w:rsid w:val="519EBF50"/>
    <w:rsid w:val="519F88C0"/>
    <w:rsid w:val="51A6AE5A"/>
    <w:rsid w:val="51DCC923"/>
    <w:rsid w:val="520173BA"/>
    <w:rsid w:val="5205F6E5"/>
    <w:rsid w:val="5225C9BC"/>
    <w:rsid w:val="52466347"/>
    <w:rsid w:val="5254C880"/>
    <w:rsid w:val="527DB782"/>
    <w:rsid w:val="52A216FC"/>
    <w:rsid w:val="52AF585C"/>
    <w:rsid w:val="52B34C25"/>
    <w:rsid w:val="52C9CCAF"/>
    <w:rsid w:val="52D3F221"/>
    <w:rsid w:val="52DFC9EE"/>
    <w:rsid w:val="52ED08DA"/>
    <w:rsid w:val="5323C285"/>
    <w:rsid w:val="5328FDBD"/>
    <w:rsid w:val="532DC6E3"/>
    <w:rsid w:val="533E2FDB"/>
    <w:rsid w:val="538332BF"/>
    <w:rsid w:val="5387A227"/>
    <w:rsid w:val="5388A8FA"/>
    <w:rsid w:val="539C2D24"/>
    <w:rsid w:val="53A3D252"/>
    <w:rsid w:val="53FAE529"/>
    <w:rsid w:val="540EF16B"/>
    <w:rsid w:val="54583E75"/>
    <w:rsid w:val="546C04FE"/>
    <w:rsid w:val="548B3BF9"/>
    <w:rsid w:val="54AD1A75"/>
    <w:rsid w:val="54B809DC"/>
    <w:rsid w:val="54C2EA19"/>
    <w:rsid w:val="54D4207D"/>
    <w:rsid w:val="54F8E763"/>
    <w:rsid w:val="550AF542"/>
    <w:rsid w:val="550CFEC6"/>
    <w:rsid w:val="5529C3C8"/>
    <w:rsid w:val="5535E382"/>
    <w:rsid w:val="554467BB"/>
    <w:rsid w:val="55658DF9"/>
    <w:rsid w:val="55817DA2"/>
    <w:rsid w:val="55A3837A"/>
    <w:rsid w:val="55A62C59"/>
    <w:rsid w:val="55C14D7C"/>
    <w:rsid w:val="55E4DE4F"/>
    <w:rsid w:val="55F6845D"/>
    <w:rsid w:val="560D747E"/>
    <w:rsid w:val="5632E87E"/>
    <w:rsid w:val="5657670D"/>
    <w:rsid w:val="566E2C4B"/>
    <w:rsid w:val="567A524E"/>
    <w:rsid w:val="569DD74B"/>
    <w:rsid w:val="56BF493D"/>
    <w:rsid w:val="56CCD8E2"/>
    <w:rsid w:val="56D281AD"/>
    <w:rsid w:val="56E6E822"/>
    <w:rsid w:val="56F1444E"/>
    <w:rsid w:val="56FC085F"/>
    <w:rsid w:val="571BC798"/>
    <w:rsid w:val="5722559F"/>
    <w:rsid w:val="5723C716"/>
    <w:rsid w:val="5724D659"/>
    <w:rsid w:val="572C99E2"/>
    <w:rsid w:val="5743D546"/>
    <w:rsid w:val="57682772"/>
    <w:rsid w:val="57883A12"/>
    <w:rsid w:val="57BF9C4D"/>
    <w:rsid w:val="57D5B90F"/>
    <w:rsid w:val="57DE2E44"/>
    <w:rsid w:val="582E15C8"/>
    <w:rsid w:val="5839A7AC"/>
    <w:rsid w:val="583C2FC5"/>
    <w:rsid w:val="5853FE99"/>
    <w:rsid w:val="58597DE6"/>
    <w:rsid w:val="58902B18"/>
    <w:rsid w:val="58A86CBA"/>
    <w:rsid w:val="58B3516F"/>
    <w:rsid w:val="58D69E4A"/>
    <w:rsid w:val="58D74F02"/>
    <w:rsid w:val="58DA66C5"/>
    <w:rsid w:val="58E15841"/>
    <w:rsid w:val="58E59268"/>
    <w:rsid w:val="58EDEF59"/>
    <w:rsid w:val="58FAA309"/>
    <w:rsid w:val="5903CD92"/>
    <w:rsid w:val="59048279"/>
    <w:rsid w:val="590E2944"/>
    <w:rsid w:val="5926DBCE"/>
    <w:rsid w:val="59302193"/>
    <w:rsid w:val="593C58DD"/>
    <w:rsid w:val="594A64B7"/>
    <w:rsid w:val="594FD870"/>
    <w:rsid w:val="59624B62"/>
    <w:rsid w:val="59734A2F"/>
    <w:rsid w:val="59857AF9"/>
    <w:rsid w:val="599FD51E"/>
    <w:rsid w:val="59A1B718"/>
    <w:rsid w:val="59AFFD00"/>
    <w:rsid w:val="59B2D27A"/>
    <w:rsid w:val="59E1BE33"/>
    <w:rsid w:val="59EA51A6"/>
    <w:rsid w:val="59FA40C1"/>
    <w:rsid w:val="5A1002D0"/>
    <w:rsid w:val="5A1C54F9"/>
    <w:rsid w:val="5A258D6C"/>
    <w:rsid w:val="5A2F26DA"/>
    <w:rsid w:val="5A3B4976"/>
    <w:rsid w:val="5A3D815F"/>
    <w:rsid w:val="5A9C7C16"/>
    <w:rsid w:val="5AC369BB"/>
    <w:rsid w:val="5AC9885D"/>
    <w:rsid w:val="5AEFDFF8"/>
    <w:rsid w:val="5B095785"/>
    <w:rsid w:val="5B0AA35E"/>
    <w:rsid w:val="5B20CC2F"/>
    <w:rsid w:val="5B2A3C5D"/>
    <w:rsid w:val="5B5E8486"/>
    <w:rsid w:val="5B5EFAD9"/>
    <w:rsid w:val="5B621ECC"/>
    <w:rsid w:val="5B65B8F3"/>
    <w:rsid w:val="5B83A43A"/>
    <w:rsid w:val="5B8A12E5"/>
    <w:rsid w:val="5B8F2DA3"/>
    <w:rsid w:val="5B94E7C4"/>
    <w:rsid w:val="5BABD88D"/>
    <w:rsid w:val="5BBB3C31"/>
    <w:rsid w:val="5BED63B7"/>
    <w:rsid w:val="5BF6878E"/>
    <w:rsid w:val="5C2F549B"/>
    <w:rsid w:val="5C40398E"/>
    <w:rsid w:val="5C43B5D3"/>
    <w:rsid w:val="5C63505A"/>
    <w:rsid w:val="5C730DA2"/>
    <w:rsid w:val="5C8B645E"/>
    <w:rsid w:val="5C946F30"/>
    <w:rsid w:val="5C96C609"/>
    <w:rsid w:val="5C99A5DA"/>
    <w:rsid w:val="5CB1B2AF"/>
    <w:rsid w:val="5CE24E73"/>
    <w:rsid w:val="5CEBE2D8"/>
    <w:rsid w:val="5D0C30BF"/>
    <w:rsid w:val="5D19255E"/>
    <w:rsid w:val="5D1C197E"/>
    <w:rsid w:val="5D40C380"/>
    <w:rsid w:val="5D84016F"/>
    <w:rsid w:val="5D86A9DD"/>
    <w:rsid w:val="5DA1E648"/>
    <w:rsid w:val="5DA9AA80"/>
    <w:rsid w:val="5DAF6B1F"/>
    <w:rsid w:val="5DC38862"/>
    <w:rsid w:val="5DDBDDE0"/>
    <w:rsid w:val="5DDD7116"/>
    <w:rsid w:val="5DDDE8E0"/>
    <w:rsid w:val="5DE1D60C"/>
    <w:rsid w:val="5DF1A8E6"/>
    <w:rsid w:val="5E01E506"/>
    <w:rsid w:val="5E1C524A"/>
    <w:rsid w:val="5E1DD5DA"/>
    <w:rsid w:val="5E1EAD76"/>
    <w:rsid w:val="5E2BA3C3"/>
    <w:rsid w:val="5E33C9E5"/>
    <w:rsid w:val="5E39BEBA"/>
    <w:rsid w:val="5E7190FE"/>
    <w:rsid w:val="5EA916C7"/>
    <w:rsid w:val="5EBB0425"/>
    <w:rsid w:val="5EBD0EB4"/>
    <w:rsid w:val="5ECAB7EF"/>
    <w:rsid w:val="5EEF0677"/>
    <w:rsid w:val="5EFF9180"/>
    <w:rsid w:val="5F201DD3"/>
    <w:rsid w:val="5F4D0448"/>
    <w:rsid w:val="5F684292"/>
    <w:rsid w:val="5F72FE8A"/>
    <w:rsid w:val="5F750A7E"/>
    <w:rsid w:val="5F77AE41"/>
    <w:rsid w:val="5F971BE2"/>
    <w:rsid w:val="5FA0048C"/>
    <w:rsid w:val="602AAC08"/>
    <w:rsid w:val="6034E29B"/>
    <w:rsid w:val="604FB16D"/>
    <w:rsid w:val="605E08E9"/>
    <w:rsid w:val="607231A3"/>
    <w:rsid w:val="60857097"/>
    <w:rsid w:val="608D6FA8"/>
    <w:rsid w:val="60A27DD6"/>
    <w:rsid w:val="60B89229"/>
    <w:rsid w:val="60C31111"/>
    <w:rsid w:val="60F270ED"/>
    <w:rsid w:val="612F4AF4"/>
    <w:rsid w:val="612F7A72"/>
    <w:rsid w:val="61528FDE"/>
    <w:rsid w:val="616A66F8"/>
    <w:rsid w:val="61AFCA77"/>
    <w:rsid w:val="61C37996"/>
    <w:rsid w:val="61C93A43"/>
    <w:rsid w:val="61D52080"/>
    <w:rsid w:val="61D8746B"/>
    <w:rsid w:val="61F75450"/>
    <w:rsid w:val="61FA43B5"/>
    <w:rsid w:val="62333E00"/>
    <w:rsid w:val="624009EB"/>
    <w:rsid w:val="6273A660"/>
    <w:rsid w:val="6280EF46"/>
    <w:rsid w:val="6291142E"/>
    <w:rsid w:val="62AF270C"/>
    <w:rsid w:val="62CEE3D3"/>
    <w:rsid w:val="62DEDEF8"/>
    <w:rsid w:val="62E1CE9B"/>
    <w:rsid w:val="632A710E"/>
    <w:rsid w:val="63409BAF"/>
    <w:rsid w:val="63569F26"/>
    <w:rsid w:val="638BBF33"/>
    <w:rsid w:val="63B11B26"/>
    <w:rsid w:val="63B54AE0"/>
    <w:rsid w:val="63BC2DDB"/>
    <w:rsid w:val="63DC51D7"/>
    <w:rsid w:val="63E638E3"/>
    <w:rsid w:val="649E3E25"/>
    <w:rsid w:val="64A0AADB"/>
    <w:rsid w:val="64ACC86A"/>
    <w:rsid w:val="64B7FAA1"/>
    <w:rsid w:val="64BA6B74"/>
    <w:rsid w:val="64C6149E"/>
    <w:rsid w:val="64CBE9D0"/>
    <w:rsid w:val="64D10422"/>
    <w:rsid w:val="64DBF822"/>
    <w:rsid w:val="65256AA6"/>
    <w:rsid w:val="652906AB"/>
    <w:rsid w:val="65294FB5"/>
    <w:rsid w:val="656E48B0"/>
    <w:rsid w:val="657AAFDD"/>
    <w:rsid w:val="6589350E"/>
    <w:rsid w:val="65979391"/>
    <w:rsid w:val="659A8E09"/>
    <w:rsid w:val="659E65C8"/>
    <w:rsid w:val="65B16BCC"/>
    <w:rsid w:val="65B1FD3A"/>
    <w:rsid w:val="65B67A95"/>
    <w:rsid w:val="65D24172"/>
    <w:rsid w:val="65D7EF6C"/>
    <w:rsid w:val="66236B47"/>
    <w:rsid w:val="663E617D"/>
    <w:rsid w:val="665C83BE"/>
    <w:rsid w:val="66919A9A"/>
    <w:rsid w:val="66ADB81A"/>
    <w:rsid w:val="66CF7334"/>
    <w:rsid w:val="66D207E7"/>
    <w:rsid w:val="66D598A5"/>
    <w:rsid w:val="66E742BD"/>
    <w:rsid w:val="66F8C3B6"/>
    <w:rsid w:val="67020870"/>
    <w:rsid w:val="6706E386"/>
    <w:rsid w:val="6716F62A"/>
    <w:rsid w:val="6722C47F"/>
    <w:rsid w:val="67267465"/>
    <w:rsid w:val="672A12AB"/>
    <w:rsid w:val="675E34FE"/>
    <w:rsid w:val="67610946"/>
    <w:rsid w:val="676B675B"/>
    <w:rsid w:val="6789A2EE"/>
    <w:rsid w:val="679E433D"/>
    <w:rsid w:val="67A05987"/>
    <w:rsid w:val="67AB8FC3"/>
    <w:rsid w:val="67B16892"/>
    <w:rsid w:val="67BF80C3"/>
    <w:rsid w:val="67D166EC"/>
    <w:rsid w:val="67F48155"/>
    <w:rsid w:val="67F56333"/>
    <w:rsid w:val="6805BC0B"/>
    <w:rsid w:val="68073029"/>
    <w:rsid w:val="68141163"/>
    <w:rsid w:val="6814F392"/>
    <w:rsid w:val="682FC4F7"/>
    <w:rsid w:val="68316884"/>
    <w:rsid w:val="68354CBB"/>
    <w:rsid w:val="686B4D7B"/>
    <w:rsid w:val="68818E87"/>
    <w:rsid w:val="68A6E505"/>
    <w:rsid w:val="69250E29"/>
    <w:rsid w:val="692F77E5"/>
    <w:rsid w:val="695C1368"/>
    <w:rsid w:val="695ED389"/>
    <w:rsid w:val="697BB51A"/>
    <w:rsid w:val="698C49C7"/>
    <w:rsid w:val="69B212B3"/>
    <w:rsid w:val="69C50CFE"/>
    <w:rsid w:val="69EADB6D"/>
    <w:rsid w:val="6A02CAE5"/>
    <w:rsid w:val="6A2AF60B"/>
    <w:rsid w:val="6A4975E0"/>
    <w:rsid w:val="6A698D28"/>
    <w:rsid w:val="6A6B2375"/>
    <w:rsid w:val="6A77D7CC"/>
    <w:rsid w:val="6A8D8862"/>
    <w:rsid w:val="6AA0563C"/>
    <w:rsid w:val="6AAA3954"/>
    <w:rsid w:val="6AD11FC4"/>
    <w:rsid w:val="6AD7CF1C"/>
    <w:rsid w:val="6AD841EF"/>
    <w:rsid w:val="6AEAFF74"/>
    <w:rsid w:val="6AEF9E63"/>
    <w:rsid w:val="6B0BC2E2"/>
    <w:rsid w:val="6B1A2F7F"/>
    <w:rsid w:val="6B49CB7E"/>
    <w:rsid w:val="6B5A5D99"/>
    <w:rsid w:val="6B6A5BDC"/>
    <w:rsid w:val="6B7341F3"/>
    <w:rsid w:val="6B9F734A"/>
    <w:rsid w:val="6BADDD06"/>
    <w:rsid w:val="6BC81E1F"/>
    <w:rsid w:val="6BEBACE8"/>
    <w:rsid w:val="6BF4D313"/>
    <w:rsid w:val="6BFA796E"/>
    <w:rsid w:val="6BFE3B37"/>
    <w:rsid w:val="6C14D025"/>
    <w:rsid w:val="6C22D6A4"/>
    <w:rsid w:val="6C44E990"/>
    <w:rsid w:val="6C540CC8"/>
    <w:rsid w:val="6C54B8D5"/>
    <w:rsid w:val="6C7C5583"/>
    <w:rsid w:val="6C9027AD"/>
    <w:rsid w:val="6CC0FD87"/>
    <w:rsid w:val="6CCD267E"/>
    <w:rsid w:val="6CFBD328"/>
    <w:rsid w:val="6D24FB0B"/>
    <w:rsid w:val="6D25F783"/>
    <w:rsid w:val="6D2A8A0F"/>
    <w:rsid w:val="6D36D6C6"/>
    <w:rsid w:val="6D568441"/>
    <w:rsid w:val="6D6F80FE"/>
    <w:rsid w:val="6D79B87D"/>
    <w:rsid w:val="6D7BBB2A"/>
    <w:rsid w:val="6D7E57C9"/>
    <w:rsid w:val="6DD73775"/>
    <w:rsid w:val="6DE4FB4A"/>
    <w:rsid w:val="6DF93C0B"/>
    <w:rsid w:val="6E144DED"/>
    <w:rsid w:val="6E633AD5"/>
    <w:rsid w:val="6E63C01B"/>
    <w:rsid w:val="6E72448E"/>
    <w:rsid w:val="6E8D8D59"/>
    <w:rsid w:val="6E9350FD"/>
    <w:rsid w:val="6E94B2C1"/>
    <w:rsid w:val="6E9BC673"/>
    <w:rsid w:val="6E9C4BF2"/>
    <w:rsid w:val="6EBCCF3C"/>
    <w:rsid w:val="6EE704F0"/>
    <w:rsid w:val="6F00BE7F"/>
    <w:rsid w:val="6F019897"/>
    <w:rsid w:val="6F0460F3"/>
    <w:rsid w:val="6F481309"/>
    <w:rsid w:val="6F5691A9"/>
    <w:rsid w:val="6F61514F"/>
    <w:rsid w:val="6F6CCBE3"/>
    <w:rsid w:val="6F718F3E"/>
    <w:rsid w:val="6FABB312"/>
    <w:rsid w:val="6FB208C5"/>
    <w:rsid w:val="6FC52BC3"/>
    <w:rsid w:val="6FCAF2C7"/>
    <w:rsid w:val="6FD6437D"/>
    <w:rsid w:val="6FEBA8B5"/>
    <w:rsid w:val="70255351"/>
    <w:rsid w:val="7044C41F"/>
    <w:rsid w:val="706A8C6C"/>
    <w:rsid w:val="70715F62"/>
    <w:rsid w:val="709F7605"/>
    <w:rsid w:val="70B546E0"/>
    <w:rsid w:val="70D9F6F6"/>
    <w:rsid w:val="70DC0069"/>
    <w:rsid w:val="70DE37D7"/>
    <w:rsid w:val="70E5B7D1"/>
    <w:rsid w:val="7134E833"/>
    <w:rsid w:val="71379432"/>
    <w:rsid w:val="713809D0"/>
    <w:rsid w:val="71393E0B"/>
    <w:rsid w:val="714A7507"/>
    <w:rsid w:val="71627116"/>
    <w:rsid w:val="71703346"/>
    <w:rsid w:val="71822354"/>
    <w:rsid w:val="71849367"/>
    <w:rsid w:val="718F26BE"/>
    <w:rsid w:val="719CAB1B"/>
    <w:rsid w:val="71C295B0"/>
    <w:rsid w:val="71C3C50A"/>
    <w:rsid w:val="71F06AC1"/>
    <w:rsid w:val="71F9C2DF"/>
    <w:rsid w:val="722AC1AE"/>
    <w:rsid w:val="7232A90E"/>
    <w:rsid w:val="724549AD"/>
    <w:rsid w:val="724778B2"/>
    <w:rsid w:val="724FE56F"/>
    <w:rsid w:val="7269C154"/>
    <w:rsid w:val="727F25E7"/>
    <w:rsid w:val="7282E9B1"/>
    <w:rsid w:val="7315272A"/>
    <w:rsid w:val="732E4084"/>
    <w:rsid w:val="7356421C"/>
    <w:rsid w:val="7378C3F2"/>
    <w:rsid w:val="73858357"/>
    <w:rsid w:val="73A5E94C"/>
    <w:rsid w:val="73D59DFD"/>
    <w:rsid w:val="740591B5"/>
    <w:rsid w:val="740C5481"/>
    <w:rsid w:val="7418F438"/>
    <w:rsid w:val="741F66B2"/>
    <w:rsid w:val="7461F864"/>
    <w:rsid w:val="7491E80B"/>
    <w:rsid w:val="74B961B7"/>
    <w:rsid w:val="74EDC94A"/>
    <w:rsid w:val="74F584A5"/>
    <w:rsid w:val="750AAA1B"/>
    <w:rsid w:val="75251687"/>
    <w:rsid w:val="75315ED3"/>
    <w:rsid w:val="75615FD5"/>
    <w:rsid w:val="757F5208"/>
    <w:rsid w:val="75824744"/>
    <w:rsid w:val="758710E7"/>
    <w:rsid w:val="75B7BF40"/>
    <w:rsid w:val="75E85C60"/>
    <w:rsid w:val="75EECFE3"/>
    <w:rsid w:val="762986A5"/>
    <w:rsid w:val="762BD48F"/>
    <w:rsid w:val="764137BB"/>
    <w:rsid w:val="76606FEA"/>
    <w:rsid w:val="76B841CF"/>
    <w:rsid w:val="76C3DBE4"/>
    <w:rsid w:val="76C6BA6A"/>
    <w:rsid w:val="76D29B45"/>
    <w:rsid w:val="76E58560"/>
    <w:rsid w:val="76F27744"/>
    <w:rsid w:val="76F62A97"/>
    <w:rsid w:val="770EB789"/>
    <w:rsid w:val="770F6774"/>
    <w:rsid w:val="771F4CE9"/>
    <w:rsid w:val="772354F4"/>
    <w:rsid w:val="7748FBCF"/>
    <w:rsid w:val="775A30CB"/>
    <w:rsid w:val="77707196"/>
    <w:rsid w:val="77898C16"/>
    <w:rsid w:val="77910E89"/>
    <w:rsid w:val="77B3275C"/>
    <w:rsid w:val="77B84A49"/>
    <w:rsid w:val="77C612C1"/>
    <w:rsid w:val="77CB8744"/>
    <w:rsid w:val="77D52DC6"/>
    <w:rsid w:val="77DDAA02"/>
    <w:rsid w:val="77E03C2E"/>
    <w:rsid w:val="77E52132"/>
    <w:rsid w:val="77E9B9CB"/>
    <w:rsid w:val="77F29171"/>
    <w:rsid w:val="78035B67"/>
    <w:rsid w:val="7803CC77"/>
    <w:rsid w:val="781934AC"/>
    <w:rsid w:val="78195705"/>
    <w:rsid w:val="784AE626"/>
    <w:rsid w:val="7874C11A"/>
    <w:rsid w:val="78767655"/>
    <w:rsid w:val="787695E5"/>
    <w:rsid w:val="787720AC"/>
    <w:rsid w:val="789C3371"/>
    <w:rsid w:val="78B3D672"/>
    <w:rsid w:val="78D6D8EC"/>
    <w:rsid w:val="78DB6071"/>
    <w:rsid w:val="78DC17B3"/>
    <w:rsid w:val="78F59BBE"/>
    <w:rsid w:val="7906B1B8"/>
    <w:rsid w:val="790DF511"/>
    <w:rsid w:val="79270A2A"/>
    <w:rsid w:val="7942A617"/>
    <w:rsid w:val="79512365"/>
    <w:rsid w:val="795C0BDB"/>
    <w:rsid w:val="7965DE4A"/>
    <w:rsid w:val="796CA06C"/>
    <w:rsid w:val="79DE95F6"/>
    <w:rsid w:val="79F0FFC6"/>
    <w:rsid w:val="79F22295"/>
    <w:rsid w:val="79FA447F"/>
    <w:rsid w:val="7A1B7D30"/>
    <w:rsid w:val="7A295C69"/>
    <w:rsid w:val="7A46584B"/>
    <w:rsid w:val="7A486F07"/>
    <w:rsid w:val="7A491369"/>
    <w:rsid w:val="7A594C70"/>
    <w:rsid w:val="7A6E4FA0"/>
    <w:rsid w:val="7AA59F21"/>
    <w:rsid w:val="7AA9763B"/>
    <w:rsid w:val="7AE75C5B"/>
    <w:rsid w:val="7AF5E683"/>
    <w:rsid w:val="7B08956B"/>
    <w:rsid w:val="7B0E375E"/>
    <w:rsid w:val="7B13E870"/>
    <w:rsid w:val="7B27B1AC"/>
    <w:rsid w:val="7B2AFCA7"/>
    <w:rsid w:val="7B2D2137"/>
    <w:rsid w:val="7B3367D3"/>
    <w:rsid w:val="7B47A9FB"/>
    <w:rsid w:val="7B4BF354"/>
    <w:rsid w:val="7B50A4EB"/>
    <w:rsid w:val="7B5B0631"/>
    <w:rsid w:val="7B620B98"/>
    <w:rsid w:val="7B7D563D"/>
    <w:rsid w:val="7BA9D8BD"/>
    <w:rsid w:val="7BBEECC1"/>
    <w:rsid w:val="7BC71770"/>
    <w:rsid w:val="7BD540AA"/>
    <w:rsid w:val="7BE2A583"/>
    <w:rsid w:val="7BE2D897"/>
    <w:rsid w:val="7BEDD71B"/>
    <w:rsid w:val="7BF25C10"/>
    <w:rsid w:val="7C00076C"/>
    <w:rsid w:val="7C0AEB71"/>
    <w:rsid w:val="7C10A39A"/>
    <w:rsid w:val="7C603376"/>
    <w:rsid w:val="7C6542D8"/>
    <w:rsid w:val="7C8D6A83"/>
    <w:rsid w:val="7CD7749C"/>
    <w:rsid w:val="7CDF2FDE"/>
    <w:rsid w:val="7CEBF35A"/>
    <w:rsid w:val="7CFEBF4A"/>
    <w:rsid w:val="7D1CDE43"/>
    <w:rsid w:val="7D2FAEB4"/>
    <w:rsid w:val="7D384450"/>
    <w:rsid w:val="7D560C09"/>
    <w:rsid w:val="7D67299E"/>
    <w:rsid w:val="7D6B2AE6"/>
    <w:rsid w:val="7D7EA8F8"/>
    <w:rsid w:val="7D98D568"/>
    <w:rsid w:val="7DE00D67"/>
    <w:rsid w:val="7DE3235A"/>
    <w:rsid w:val="7DE58BEB"/>
    <w:rsid w:val="7E0928C9"/>
    <w:rsid w:val="7E15F3B9"/>
    <w:rsid w:val="7E3A5EE1"/>
    <w:rsid w:val="7E530910"/>
    <w:rsid w:val="7E7BA0A2"/>
    <w:rsid w:val="7E92B6E4"/>
    <w:rsid w:val="7EA036EE"/>
    <w:rsid w:val="7EAFE006"/>
    <w:rsid w:val="7EB8627C"/>
    <w:rsid w:val="7EE4D72A"/>
    <w:rsid w:val="7F0066AF"/>
    <w:rsid w:val="7F0C0882"/>
    <w:rsid w:val="7F2D963E"/>
    <w:rsid w:val="7F3ECB6B"/>
    <w:rsid w:val="7F490B68"/>
    <w:rsid w:val="7F544ACB"/>
    <w:rsid w:val="7F6BCEDA"/>
    <w:rsid w:val="7F8CDB32"/>
    <w:rsid w:val="7F98BF3E"/>
    <w:rsid w:val="7FC050F7"/>
    <w:rsid w:val="7FC0920D"/>
    <w:rsid w:val="7FCD422B"/>
    <w:rsid w:val="7FD33D69"/>
    <w:rsid w:val="7FE5D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ADA"/>
  <w15:chartTrackingRefBased/>
  <w15:docId w15:val="{64A36284-2513-4755-BF6F-580906B8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90C"/>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6F3AE7"/>
    <w:pPr>
      <w:spacing w:before="240"/>
      <w:outlineLvl w:val="1"/>
    </w:pPr>
    <w:rPr>
      <w:b/>
      <w:i/>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0C"/>
    <w:rPr>
      <w:rFonts w:ascii="Segoe UI" w:eastAsia="Times New Roman" w:hAnsi="Segoe UI" w:cs="Segoe UI"/>
      <w:sz w:val="18"/>
      <w:szCs w:val="1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10590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10590C"/>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6F3AE7"/>
    <w:rPr>
      <w:rFonts w:ascii="Arial" w:eastAsia="Times New Roman" w:hAnsi="Arial" w:cs="Times New Roman"/>
      <w:b/>
      <w:i/>
      <w:kern w:val="28"/>
      <w:sz w:val="28"/>
      <w:szCs w:val="28"/>
    </w:rPr>
  </w:style>
  <w:style w:type="table" w:styleId="TableGrid">
    <w:name w:val="Table Grid"/>
    <w:basedOn w:val="TableNormal"/>
    <w:rsid w:val="006F3A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AE7"/>
    <w:rPr>
      <w:color w:val="0563C1" w:themeColor="hyperlink"/>
      <w:u w:val="single"/>
    </w:rPr>
  </w:style>
  <w:style w:type="paragraph" w:styleId="Header">
    <w:name w:val="header"/>
    <w:basedOn w:val="Normal"/>
    <w:link w:val="HeaderChar"/>
    <w:uiPriority w:val="99"/>
    <w:unhideWhenUsed/>
    <w:rsid w:val="006E5785"/>
    <w:pPr>
      <w:tabs>
        <w:tab w:val="center" w:pos="4513"/>
        <w:tab w:val="right" w:pos="9026"/>
      </w:tabs>
    </w:pPr>
  </w:style>
  <w:style w:type="character" w:customStyle="1" w:styleId="HeaderChar">
    <w:name w:val="Header Char"/>
    <w:basedOn w:val="DefaultParagraphFont"/>
    <w:link w:val="Header"/>
    <w:uiPriority w:val="99"/>
    <w:rsid w:val="006E5785"/>
    <w:rPr>
      <w:rFonts w:ascii="Arial" w:eastAsia="Times New Roman" w:hAnsi="Arial" w:cs="Times New Roman"/>
      <w:sz w:val="24"/>
      <w:szCs w:val="24"/>
    </w:rPr>
  </w:style>
  <w:style w:type="paragraph" w:styleId="Footer">
    <w:name w:val="footer"/>
    <w:basedOn w:val="Normal"/>
    <w:link w:val="FooterChar"/>
    <w:uiPriority w:val="99"/>
    <w:unhideWhenUsed/>
    <w:rsid w:val="006E5785"/>
    <w:pPr>
      <w:tabs>
        <w:tab w:val="center" w:pos="4513"/>
        <w:tab w:val="right" w:pos="9026"/>
      </w:tabs>
    </w:pPr>
  </w:style>
  <w:style w:type="character" w:customStyle="1" w:styleId="FooterChar">
    <w:name w:val="Footer Char"/>
    <w:basedOn w:val="DefaultParagraphFont"/>
    <w:link w:val="Footer"/>
    <w:uiPriority w:val="99"/>
    <w:rsid w:val="006E5785"/>
    <w:rPr>
      <w:rFonts w:ascii="Arial" w:eastAsia="Times New Roman" w:hAnsi="Arial" w:cs="Times New Roman"/>
      <w:sz w:val="24"/>
      <w:szCs w:val="24"/>
    </w:rPr>
  </w:style>
  <w:style w:type="character" w:styleId="UnresolvedMention">
    <w:name w:val="Unresolved Mention"/>
    <w:basedOn w:val="DefaultParagraphFont"/>
    <w:uiPriority w:val="99"/>
    <w:unhideWhenUsed/>
    <w:rsid w:val="00B308C2"/>
    <w:rPr>
      <w:color w:val="605E5C"/>
      <w:shd w:val="clear" w:color="auto" w:fill="E1DFDD"/>
    </w:rPr>
  </w:style>
  <w:style w:type="character" w:styleId="CommentReference">
    <w:name w:val="annotation reference"/>
    <w:basedOn w:val="DefaultParagraphFont"/>
    <w:uiPriority w:val="99"/>
    <w:unhideWhenUsed/>
    <w:rsid w:val="000F5ADB"/>
    <w:rPr>
      <w:sz w:val="16"/>
      <w:szCs w:val="16"/>
    </w:rPr>
  </w:style>
  <w:style w:type="paragraph" w:styleId="CommentText">
    <w:name w:val="annotation text"/>
    <w:basedOn w:val="Normal"/>
    <w:link w:val="CommentTextChar"/>
    <w:uiPriority w:val="99"/>
    <w:unhideWhenUsed/>
    <w:rsid w:val="000F5ADB"/>
    <w:rPr>
      <w:sz w:val="20"/>
      <w:szCs w:val="20"/>
    </w:rPr>
  </w:style>
  <w:style w:type="character" w:customStyle="1" w:styleId="CommentTextChar">
    <w:name w:val="Comment Text Char"/>
    <w:basedOn w:val="DefaultParagraphFont"/>
    <w:link w:val="CommentText"/>
    <w:uiPriority w:val="99"/>
    <w:rsid w:val="000F5A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ADB"/>
    <w:rPr>
      <w:b/>
      <w:bCs/>
    </w:rPr>
  </w:style>
  <w:style w:type="character" w:customStyle="1" w:styleId="CommentSubjectChar">
    <w:name w:val="Comment Subject Char"/>
    <w:basedOn w:val="CommentTextChar"/>
    <w:link w:val="CommentSubject"/>
    <w:uiPriority w:val="99"/>
    <w:semiHidden/>
    <w:rsid w:val="000F5ADB"/>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1525D"/>
    <w:rPr>
      <w:color w:val="954F72" w:themeColor="followedHyperlink"/>
      <w:u w:val="single"/>
    </w:rPr>
  </w:style>
  <w:style w:type="character" w:customStyle="1" w:styleId="normaltextrun">
    <w:name w:val="normaltextrun"/>
    <w:basedOn w:val="DefaultParagraphFont"/>
    <w:uiPriority w:val="1"/>
    <w:rsid w:val="50E70105"/>
  </w:style>
  <w:style w:type="paragraph" w:customStyle="1" w:styleId="Normal1">
    <w:name w:val="Normal1"/>
    <w:basedOn w:val="Normal"/>
    <w:uiPriority w:val="1"/>
    <w:rsid w:val="0D311865"/>
    <w:rPr>
      <w:rFonts w:eastAsia="Arial" w:cs="Arial"/>
      <w:color w:val="000000" w:themeColor="text1"/>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op">
    <w:name w:val="eop"/>
    <w:basedOn w:val="DefaultParagraphFont"/>
    <w:rsid w:val="00641CC6"/>
  </w:style>
  <w:style w:type="paragraph" w:customStyle="1" w:styleId="paragraph">
    <w:name w:val="paragraph"/>
    <w:basedOn w:val="Normal"/>
    <w:rsid w:val="001B6434"/>
    <w:pPr>
      <w:spacing w:before="100" w:beforeAutospacing="1" w:after="100" w:afterAutospacing="1"/>
    </w:pPr>
    <w:rPr>
      <w:rFonts w:ascii="Times New Roman" w:hAnsi="Times New Roman"/>
      <w:lang w:eastAsia="en-GB"/>
    </w:rPr>
  </w:style>
  <w:style w:type="character" w:styleId="Mention">
    <w:name w:val="Mention"/>
    <w:basedOn w:val="DefaultParagraphFont"/>
    <w:uiPriority w:val="99"/>
    <w:unhideWhenUsed/>
    <w:rPr>
      <w:color w:val="2B579A"/>
      <w:shd w:val="clear" w:color="auto" w:fill="E6E6E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E05228"/>
    <w:pPr>
      <w:spacing w:after="0" w:line="240" w:lineRule="auto"/>
    </w:pPr>
    <w:rPr>
      <w:rFonts w:ascii="Arial" w:eastAsia="Times New Roman" w:hAnsi="Arial" w:cs="Times New Roman"/>
      <w:sz w:val="24"/>
      <w:szCs w:val="24"/>
    </w:rPr>
  </w:style>
  <w:style w:type="character" w:customStyle="1" w:styleId="cf01">
    <w:name w:val="cf01"/>
    <w:basedOn w:val="DefaultParagraphFont"/>
    <w:rsid w:val="00742149"/>
    <w:rPr>
      <w:rFonts w:ascii="Segoe UI" w:hAnsi="Segoe UI" w:cs="Segoe UI" w:hint="default"/>
      <w:sz w:val="18"/>
      <w:szCs w:val="18"/>
    </w:rPr>
  </w:style>
  <w:style w:type="paragraph" w:styleId="FootnoteText">
    <w:name w:val="footnote text"/>
    <w:basedOn w:val="Normal"/>
    <w:link w:val="FootnoteTextChar"/>
    <w:uiPriority w:val="99"/>
    <w:semiHidden/>
    <w:unhideWhenUsed/>
    <w:rsid w:val="00CB581B"/>
    <w:rPr>
      <w:sz w:val="20"/>
      <w:szCs w:val="20"/>
    </w:rPr>
  </w:style>
  <w:style w:type="character" w:customStyle="1" w:styleId="FootnoteTextChar">
    <w:name w:val="Footnote Text Char"/>
    <w:basedOn w:val="DefaultParagraphFont"/>
    <w:link w:val="FootnoteText"/>
    <w:uiPriority w:val="99"/>
    <w:semiHidden/>
    <w:rsid w:val="00CB581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B581B"/>
    <w:rPr>
      <w:vertAlign w:val="superscript"/>
    </w:rPr>
  </w:style>
  <w:style w:type="paragraph" w:customStyle="1" w:styleId="Default">
    <w:name w:val="Default"/>
    <w:rsid w:val="005017BA"/>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CD2FC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49188">
      <w:bodyDiv w:val="1"/>
      <w:marLeft w:val="0"/>
      <w:marRight w:val="0"/>
      <w:marTop w:val="0"/>
      <w:marBottom w:val="0"/>
      <w:divBdr>
        <w:top w:val="none" w:sz="0" w:space="0" w:color="auto"/>
        <w:left w:val="none" w:sz="0" w:space="0" w:color="auto"/>
        <w:bottom w:val="none" w:sz="0" w:space="0" w:color="auto"/>
        <w:right w:val="none" w:sz="0" w:space="0" w:color="auto"/>
      </w:divBdr>
    </w:div>
    <w:div w:id="718170730">
      <w:bodyDiv w:val="1"/>
      <w:marLeft w:val="0"/>
      <w:marRight w:val="0"/>
      <w:marTop w:val="0"/>
      <w:marBottom w:val="0"/>
      <w:divBdr>
        <w:top w:val="none" w:sz="0" w:space="0" w:color="auto"/>
        <w:left w:val="none" w:sz="0" w:space="0" w:color="auto"/>
        <w:bottom w:val="none" w:sz="0" w:space="0" w:color="auto"/>
        <w:right w:val="none" w:sz="0" w:space="0" w:color="auto"/>
      </w:divBdr>
      <w:divsChild>
        <w:div w:id="2363440">
          <w:marLeft w:val="0"/>
          <w:marRight w:val="0"/>
          <w:marTop w:val="0"/>
          <w:marBottom w:val="0"/>
          <w:divBdr>
            <w:top w:val="none" w:sz="0" w:space="0" w:color="auto"/>
            <w:left w:val="none" w:sz="0" w:space="0" w:color="auto"/>
            <w:bottom w:val="none" w:sz="0" w:space="0" w:color="auto"/>
            <w:right w:val="none" w:sz="0" w:space="0" w:color="auto"/>
          </w:divBdr>
          <w:divsChild>
            <w:div w:id="894126675">
              <w:marLeft w:val="0"/>
              <w:marRight w:val="0"/>
              <w:marTop w:val="0"/>
              <w:marBottom w:val="0"/>
              <w:divBdr>
                <w:top w:val="none" w:sz="0" w:space="0" w:color="auto"/>
                <w:left w:val="none" w:sz="0" w:space="0" w:color="auto"/>
                <w:bottom w:val="none" w:sz="0" w:space="0" w:color="auto"/>
                <w:right w:val="none" w:sz="0" w:space="0" w:color="auto"/>
              </w:divBdr>
            </w:div>
          </w:divsChild>
        </w:div>
        <w:div w:id="316610133">
          <w:marLeft w:val="0"/>
          <w:marRight w:val="0"/>
          <w:marTop w:val="0"/>
          <w:marBottom w:val="0"/>
          <w:divBdr>
            <w:top w:val="none" w:sz="0" w:space="0" w:color="auto"/>
            <w:left w:val="none" w:sz="0" w:space="0" w:color="auto"/>
            <w:bottom w:val="none" w:sz="0" w:space="0" w:color="auto"/>
            <w:right w:val="none" w:sz="0" w:space="0" w:color="auto"/>
          </w:divBdr>
          <w:divsChild>
            <w:div w:id="346643940">
              <w:marLeft w:val="0"/>
              <w:marRight w:val="0"/>
              <w:marTop w:val="0"/>
              <w:marBottom w:val="0"/>
              <w:divBdr>
                <w:top w:val="none" w:sz="0" w:space="0" w:color="auto"/>
                <w:left w:val="none" w:sz="0" w:space="0" w:color="auto"/>
                <w:bottom w:val="none" w:sz="0" w:space="0" w:color="auto"/>
                <w:right w:val="none" w:sz="0" w:space="0" w:color="auto"/>
              </w:divBdr>
            </w:div>
          </w:divsChild>
        </w:div>
        <w:div w:id="351231015">
          <w:marLeft w:val="0"/>
          <w:marRight w:val="0"/>
          <w:marTop w:val="0"/>
          <w:marBottom w:val="0"/>
          <w:divBdr>
            <w:top w:val="none" w:sz="0" w:space="0" w:color="auto"/>
            <w:left w:val="none" w:sz="0" w:space="0" w:color="auto"/>
            <w:bottom w:val="none" w:sz="0" w:space="0" w:color="auto"/>
            <w:right w:val="none" w:sz="0" w:space="0" w:color="auto"/>
          </w:divBdr>
          <w:divsChild>
            <w:div w:id="951666503">
              <w:marLeft w:val="0"/>
              <w:marRight w:val="0"/>
              <w:marTop w:val="0"/>
              <w:marBottom w:val="0"/>
              <w:divBdr>
                <w:top w:val="none" w:sz="0" w:space="0" w:color="auto"/>
                <w:left w:val="none" w:sz="0" w:space="0" w:color="auto"/>
                <w:bottom w:val="none" w:sz="0" w:space="0" w:color="auto"/>
                <w:right w:val="none" w:sz="0" w:space="0" w:color="auto"/>
              </w:divBdr>
            </w:div>
          </w:divsChild>
        </w:div>
        <w:div w:id="377358473">
          <w:marLeft w:val="0"/>
          <w:marRight w:val="0"/>
          <w:marTop w:val="0"/>
          <w:marBottom w:val="0"/>
          <w:divBdr>
            <w:top w:val="none" w:sz="0" w:space="0" w:color="auto"/>
            <w:left w:val="none" w:sz="0" w:space="0" w:color="auto"/>
            <w:bottom w:val="none" w:sz="0" w:space="0" w:color="auto"/>
            <w:right w:val="none" w:sz="0" w:space="0" w:color="auto"/>
          </w:divBdr>
          <w:divsChild>
            <w:div w:id="1631134119">
              <w:marLeft w:val="0"/>
              <w:marRight w:val="0"/>
              <w:marTop w:val="0"/>
              <w:marBottom w:val="0"/>
              <w:divBdr>
                <w:top w:val="none" w:sz="0" w:space="0" w:color="auto"/>
                <w:left w:val="none" w:sz="0" w:space="0" w:color="auto"/>
                <w:bottom w:val="none" w:sz="0" w:space="0" w:color="auto"/>
                <w:right w:val="none" w:sz="0" w:space="0" w:color="auto"/>
              </w:divBdr>
            </w:div>
          </w:divsChild>
        </w:div>
        <w:div w:id="530067457">
          <w:marLeft w:val="0"/>
          <w:marRight w:val="0"/>
          <w:marTop w:val="0"/>
          <w:marBottom w:val="0"/>
          <w:divBdr>
            <w:top w:val="none" w:sz="0" w:space="0" w:color="auto"/>
            <w:left w:val="none" w:sz="0" w:space="0" w:color="auto"/>
            <w:bottom w:val="none" w:sz="0" w:space="0" w:color="auto"/>
            <w:right w:val="none" w:sz="0" w:space="0" w:color="auto"/>
          </w:divBdr>
          <w:divsChild>
            <w:div w:id="530071701">
              <w:marLeft w:val="0"/>
              <w:marRight w:val="0"/>
              <w:marTop w:val="0"/>
              <w:marBottom w:val="0"/>
              <w:divBdr>
                <w:top w:val="none" w:sz="0" w:space="0" w:color="auto"/>
                <w:left w:val="none" w:sz="0" w:space="0" w:color="auto"/>
                <w:bottom w:val="none" w:sz="0" w:space="0" w:color="auto"/>
                <w:right w:val="none" w:sz="0" w:space="0" w:color="auto"/>
              </w:divBdr>
            </w:div>
          </w:divsChild>
        </w:div>
        <w:div w:id="573123524">
          <w:marLeft w:val="0"/>
          <w:marRight w:val="0"/>
          <w:marTop w:val="0"/>
          <w:marBottom w:val="0"/>
          <w:divBdr>
            <w:top w:val="none" w:sz="0" w:space="0" w:color="auto"/>
            <w:left w:val="none" w:sz="0" w:space="0" w:color="auto"/>
            <w:bottom w:val="none" w:sz="0" w:space="0" w:color="auto"/>
            <w:right w:val="none" w:sz="0" w:space="0" w:color="auto"/>
          </w:divBdr>
          <w:divsChild>
            <w:div w:id="488400303">
              <w:marLeft w:val="0"/>
              <w:marRight w:val="0"/>
              <w:marTop w:val="0"/>
              <w:marBottom w:val="0"/>
              <w:divBdr>
                <w:top w:val="none" w:sz="0" w:space="0" w:color="auto"/>
                <w:left w:val="none" w:sz="0" w:space="0" w:color="auto"/>
                <w:bottom w:val="none" w:sz="0" w:space="0" w:color="auto"/>
                <w:right w:val="none" w:sz="0" w:space="0" w:color="auto"/>
              </w:divBdr>
            </w:div>
          </w:divsChild>
        </w:div>
        <w:div w:id="616645052">
          <w:marLeft w:val="0"/>
          <w:marRight w:val="0"/>
          <w:marTop w:val="0"/>
          <w:marBottom w:val="0"/>
          <w:divBdr>
            <w:top w:val="none" w:sz="0" w:space="0" w:color="auto"/>
            <w:left w:val="none" w:sz="0" w:space="0" w:color="auto"/>
            <w:bottom w:val="none" w:sz="0" w:space="0" w:color="auto"/>
            <w:right w:val="none" w:sz="0" w:space="0" w:color="auto"/>
          </w:divBdr>
          <w:divsChild>
            <w:div w:id="1523779625">
              <w:marLeft w:val="0"/>
              <w:marRight w:val="0"/>
              <w:marTop w:val="0"/>
              <w:marBottom w:val="0"/>
              <w:divBdr>
                <w:top w:val="none" w:sz="0" w:space="0" w:color="auto"/>
                <w:left w:val="none" w:sz="0" w:space="0" w:color="auto"/>
                <w:bottom w:val="none" w:sz="0" w:space="0" w:color="auto"/>
                <w:right w:val="none" w:sz="0" w:space="0" w:color="auto"/>
              </w:divBdr>
            </w:div>
          </w:divsChild>
        </w:div>
        <w:div w:id="791483946">
          <w:marLeft w:val="0"/>
          <w:marRight w:val="0"/>
          <w:marTop w:val="0"/>
          <w:marBottom w:val="0"/>
          <w:divBdr>
            <w:top w:val="none" w:sz="0" w:space="0" w:color="auto"/>
            <w:left w:val="none" w:sz="0" w:space="0" w:color="auto"/>
            <w:bottom w:val="none" w:sz="0" w:space="0" w:color="auto"/>
            <w:right w:val="none" w:sz="0" w:space="0" w:color="auto"/>
          </w:divBdr>
          <w:divsChild>
            <w:div w:id="487669602">
              <w:marLeft w:val="0"/>
              <w:marRight w:val="0"/>
              <w:marTop w:val="0"/>
              <w:marBottom w:val="0"/>
              <w:divBdr>
                <w:top w:val="none" w:sz="0" w:space="0" w:color="auto"/>
                <w:left w:val="none" w:sz="0" w:space="0" w:color="auto"/>
                <w:bottom w:val="none" w:sz="0" w:space="0" w:color="auto"/>
                <w:right w:val="none" w:sz="0" w:space="0" w:color="auto"/>
              </w:divBdr>
            </w:div>
          </w:divsChild>
        </w:div>
        <w:div w:id="967011546">
          <w:marLeft w:val="0"/>
          <w:marRight w:val="0"/>
          <w:marTop w:val="0"/>
          <w:marBottom w:val="0"/>
          <w:divBdr>
            <w:top w:val="none" w:sz="0" w:space="0" w:color="auto"/>
            <w:left w:val="none" w:sz="0" w:space="0" w:color="auto"/>
            <w:bottom w:val="none" w:sz="0" w:space="0" w:color="auto"/>
            <w:right w:val="none" w:sz="0" w:space="0" w:color="auto"/>
          </w:divBdr>
          <w:divsChild>
            <w:div w:id="634724399">
              <w:marLeft w:val="0"/>
              <w:marRight w:val="0"/>
              <w:marTop w:val="0"/>
              <w:marBottom w:val="0"/>
              <w:divBdr>
                <w:top w:val="none" w:sz="0" w:space="0" w:color="auto"/>
                <w:left w:val="none" w:sz="0" w:space="0" w:color="auto"/>
                <w:bottom w:val="none" w:sz="0" w:space="0" w:color="auto"/>
                <w:right w:val="none" w:sz="0" w:space="0" w:color="auto"/>
              </w:divBdr>
            </w:div>
          </w:divsChild>
        </w:div>
        <w:div w:id="1005939139">
          <w:marLeft w:val="0"/>
          <w:marRight w:val="0"/>
          <w:marTop w:val="0"/>
          <w:marBottom w:val="0"/>
          <w:divBdr>
            <w:top w:val="none" w:sz="0" w:space="0" w:color="auto"/>
            <w:left w:val="none" w:sz="0" w:space="0" w:color="auto"/>
            <w:bottom w:val="none" w:sz="0" w:space="0" w:color="auto"/>
            <w:right w:val="none" w:sz="0" w:space="0" w:color="auto"/>
          </w:divBdr>
          <w:divsChild>
            <w:div w:id="24140688">
              <w:marLeft w:val="0"/>
              <w:marRight w:val="0"/>
              <w:marTop w:val="0"/>
              <w:marBottom w:val="0"/>
              <w:divBdr>
                <w:top w:val="none" w:sz="0" w:space="0" w:color="auto"/>
                <w:left w:val="none" w:sz="0" w:space="0" w:color="auto"/>
                <w:bottom w:val="none" w:sz="0" w:space="0" w:color="auto"/>
                <w:right w:val="none" w:sz="0" w:space="0" w:color="auto"/>
              </w:divBdr>
            </w:div>
          </w:divsChild>
        </w:div>
        <w:div w:id="1029069267">
          <w:marLeft w:val="0"/>
          <w:marRight w:val="0"/>
          <w:marTop w:val="0"/>
          <w:marBottom w:val="0"/>
          <w:divBdr>
            <w:top w:val="none" w:sz="0" w:space="0" w:color="auto"/>
            <w:left w:val="none" w:sz="0" w:space="0" w:color="auto"/>
            <w:bottom w:val="none" w:sz="0" w:space="0" w:color="auto"/>
            <w:right w:val="none" w:sz="0" w:space="0" w:color="auto"/>
          </w:divBdr>
          <w:divsChild>
            <w:div w:id="1854493783">
              <w:marLeft w:val="0"/>
              <w:marRight w:val="0"/>
              <w:marTop w:val="0"/>
              <w:marBottom w:val="0"/>
              <w:divBdr>
                <w:top w:val="none" w:sz="0" w:space="0" w:color="auto"/>
                <w:left w:val="none" w:sz="0" w:space="0" w:color="auto"/>
                <w:bottom w:val="none" w:sz="0" w:space="0" w:color="auto"/>
                <w:right w:val="none" w:sz="0" w:space="0" w:color="auto"/>
              </w:divBdr>
            </w:div>
          </w:divsChild>
        </w:div>
        <w:div w:id="1293630402">
          <w:marLeft w:val="0"/>
          <w:marRight w:val="0"/>
          <w:marTop w:val="0"/>
          <w:marBottom w:val="0"/>
          <w:divBdr>
            <w:top w:val="none" w:sz="0" w:space="0" w:color="auto"/>
            <w:left w:val="none" w:sz="0" w:space="0" w:color="auto"/>
            <w:bottom w:val="none" w:sz="0" w:space="0" w:color="auto"/>
            <w:right w:val="none" w:sz="0" w:space="0" w:color="auto"/>
          </w:divBdr>
          <w:divsChild>
            <w:div w:id="147330465">
              <w:marLeft w:val="0"/>
              <w:marRight w:val="0"/>
              <w:marTop w:val="0"/>
              <w:marBottom w:val="0"/>
              <w:divBdr>
                <w:top w:val="none" w:sz="0" w:space="0" w:color="auto"/>
                <w:left w:val="none" w:sz="0" w:space="0" w:color="auto"/>
                <w:bottom w:val="none" w:sz="0" w:space="0" w:color="auto"/>
                <w:right w:val="none" w:sz="0" w:space="0" w:color="auto"/>
              </w:divBdr>
            </w:div>
          </w:divsChild>
        </w:div>
        <w:div w:id="1353845241">
          <w:marLeft w:val="0"/>
          <w:marRight w:val="0"/>
          <w:marTop w:val="0"/>
          <w:marBottom w:val="0"/>
          <w:divBdr>
            <w:top w:val="none" w:sz="0" w:space="0" w:color="auto"/>
            <w:left w:val="none" w:sz="0" w:space="0" w:color="auto"/>
            <w:bottom w:val="none" w:sz="0" w:space="0" w:color="auto"/>
            <w:right w:val="none" w:sz="0" w:space="0" w:color="auto"/>
          </w:divBdr>
          <w:divsChild>
            <w:div w:id="517082612">
              <w:marLeft w:val="0"/>
              <w:marRight w:val="0"/>
              <w:marTop w:val="0"/>
              <w:marBottom w:val="0"/>
              <w:divBdr>
                <w:top w:val="none" w:sz="0" w:space="0" w:color="auto"/>
                <w:left w:val="none" w:sz="0" w:space="0" w:color="auto"/>
                <w:bottom w:val="none" w:sz="0" w:space="0" w:color="auto"/>
                <w:right w:val="none" w:sz="0" w:space="0" w:color="auto"/>
              </w:divBdr>
            </w:div>
          </w:divsChild>
        </w:div>
        <w:div w:id="1551578288">
          <w:marLeft w:val="0"/>
          <w:marRight w:val="0"/>
          <w:marTop w:val="0"/>
          <w:marBottom w:val="0"/>
          <w:divBdr>
            <w:top w:val="none" w:sz="0" w:space="0" w:color="auto"/>
            <w:left w:val="none" w:sz="0" w:space="0" w:color="auto"/>
            <w:bottom w:val="none" w:sz="0" w:space="0" w:color="auto"/>
            <w:right w:val="none" w:sz="0" w:space="0" w:color="auto"/>
          </w:divBdr>
          <w:divsChild>
            <w:div w:id="2130852790">
              <w:marLeft w:val="0"/>
              <w:marRight w:val="0"/>
              <w:marTop w:val="0"/>
              <w:marBottom w:val="0"/>
              <w:divBdr>
                <w:top w:val="none" w:sz="0" w:space="0" w:color="auto"/>
                <w:left w:val="none" w:sz="0" w:space="0" w:color="auto"/>
                <w:bottom w:val="none" w:sz="0" w:space="0" w:color="auto"/>
                <w:right w:val="none" w:sz="0" w:space="0" w:color="auto"/>
              </w:divBdr>
            </w:div>
          </w:divsChild>
        </w:div>
        <w:div w:id="1962958543">
          <w:marLeft w:val="0"/>
          <w:marRight w:val="0"/>
          <w:marTop w:val="0"/>
          <w:marBottom w:val="0"/>
          <w:divBdr>
            <w:top w:val="none" w:sz="0" w:space="0" w:color="auto"/>
            <w:left w:val="none" w:sz="0" w:space="0" w:color="auto"/>
            <w:bottom w:val="none" w:sz="0" w:space="0" w:color="auto"/>
            <w:right w:val="none" w:sz="0" w:space="0" w:color="auto"/>
          </w:divBdr>
          <w:divsChild>
            <w:div w:id="1503082339">
              <w:marLeft w:val="0"/>
              <w:marRight w:val="0"/>
              <w:marTop w:val="0"/>
              <w:marBottom w:val="0"/>
              <w:divBdr>
                <w:top w:val="none" w:sz="0" w:space="0" w:color="auto"/>
                <w:left w:val="none" w:sz="0" w:space="0" w:color="auto"/>
                <w:bottom w:val="none" w:sz="0" w:space="0" w:color="auto"/>
                <w:right w:val="none" w:sz="0" w:space="0" w:color="auto"/>
              </w:divBdr>
            </w:div>
            <w:div w:id="1739935025">
              <w:marLeft w:val="0"/>
              <w:marRight w:val="0"/>
              <w:marTop w:val="0"/>
              <w:marBottom w:val="0"/>
              <w:divBdr>
                <w:top w:val="none" w:sz="0" w:space="0" w:color="auto"/>
                <w:left w:val="none" w:sz="0" w:space="0" w:color="auto"/>
                <w:bottom w:val="none" w:sz="0" w:space="0" w:color="auto"/>
                <w:right w:val="none" w:sz="0" w:space="0" w:color="auto"/>
              </w:divBdr>
            </w:div>
          </w:divsChild>
        </w:div>
        <w:div w:id="2051034630">
          <w:marLeft w:val="0"/>
          <w:marRight w:val="0"/>
          <w:marTop w:val="0"/>
          <w:marBottom w:val="0"/>
          <w:divBdr>
            <w:top w:val="none" w:sz="0" w:space="0" w:color="auto"/>
            <w:left w:val="none" w:sz="0" w:space="0" w:color="auto"/>
            <w:bottom w:val="none" w:sz="0" w:space="0" w:color="auto"/>
            <w:right w:val="none" w:sz="0" w:space="0" w:color="auto"/>
          </w:divBdr>
          <w:divsChild>
            <w:div w:id="15299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1019">
      <w:bodyDiv w:val="1"/>
      <w:marLeft w:val="0"/>
      <w:marRight w:val="0"/>
      <w:marTop w:val="0"/>
      <w:marBottom w:val="0"/>
      <w:divBdr>
        <w:top w:val="none" w:sz="0" w:space="0" w:color="auto"/>
        <w:left w:val="none" w:sz="0" w:space="0" w:color="auto"/>
        <w:bottom w:val="none" w:sz="0" w:space="0" w:color="auto"/>
        <w:right w:val="none" w:sz="0" w:space="0" w:color="auto"/>
      </w:divBdr>
    </w:div>
    <w:div w:id="1425146945">
      <w:bodyDiv w:val="1"/>
      <w:marLeft w:val="0"/>
      <w:marRight w:val="0"/>
      <w:marTop w:val="0"/>
      <w:marBottom w:val="0"/>
      <w:divBdr>
        <w:top w:val="none" w:sz="0" w:space="0" w:color="auto"/>
        <w:left w:val="none" w:sz="0" w:space="0" w:color="auto"/>
        <w:bottom w:val="none" w:sz="0" w:space="0" w:color="auto"/>
        <w:right w:val="none" w:sz="0" w:space="0" w:color="auto"/>
      </w:divBdr>
    </w:div>
    <w:div w:id="1604873946">
      <w:bodyDiv w:val="1"/>
      <w:marLeft w:val="0"/>
      <w:marRight w:val="0"/>
      <w:marTop w:val="0"/>
      <w:marBottom w:val="0"/>
      <w:divBdr>
        <w:top w:val="none" w:sz="0" w:space="0" w:color="auto"/>
        <w:left w:val="none" w:sz="0" w:space="0" w:color="auto"/>
        <w:bottom w:val="none" w:sz="0" w:space="0" w:color="auto"/>
        <w:right w:val="none" w:sz="0" w:space="0" w:color="auto"/>
      </w:divBdr>
    </w:div>
    <w:div w:id="1700741916">
      <w:bodyDiv w:val="1"/>
      <w:marLeft w:val="0"/>
      <w:marRight w:val="0"/>
      <w:marTop w:val="0"/>
      <w:marBottom w:val="0"/>
      <w:divBdr>
        <w:top w:val="none" w:sz="0" w:space="0" w:color="auto"/>
        <w:left w:val="none" w:sz="0" w:space="0" w:color="auto"/>
        <w:bottom w:val="none" w:sz="0" w:space="0" w:color="auto"/>
        <w:right w:val="none" w:sz="0" w:space="0" w:color="auto"/>
      </w:divBdr>
    </w:div>
    <w:div w:id="1789468215">
      <w:bodyDiv w:val="1"/>
      <w:marLeft w:val="0"/>
      <w:marRight w:val="0"/>
      <w:marTop w:val="0"/>
      <w:marBottom w:val="0"/>
      <w:divBdr>
        <w:top w:val="none" w:sz="0" w:space="0" w:color="auto"/>
        <w:left w:val="none" w:sz="0" w:space="0" w:color="auto"/>
        <w:bottom w:val="none" w:sz="0" w:space="0" w:color="auto"/>
        <w:right w:val="none" w:sz="0" w:space="0" w:color="auto"/>
      </w:divBdr>
    </w:div>
    <w:div w:id="1844469840">
      <w:bodyDiv w:val="1"/>
      <w:marLeft w:val="0"/>
      <w:marRight w:val="0"/>
      <w:marTop w:val="0"/>
      <w:marBottom w:val="0"/>
      <w:divBdr>
        <w:top w:val="none" w:sz="0" w:space="0" w:color="auto"/>
        <w:left w:val="none" w:sz="0" w:space="0" w:color="auto"/>
        <w:bottom w:val="none" w:sz="0" w:space="0" w:color="auto"/>
        <w:right w:val="none" w:sz="0" w:space="0" w:color="auto"/>
      </w:divBdr>
    </w:div>
    <w:div w:id="210279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pactprinciples.org/" TargetMode="Externa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tyles" Target="styles.xml"/><Relationship Id="rId12" Type="http://schemas.openxmlformats.org/officeDocument/2006/relationships/hyperlink" Target="https://www.ecobusiness.fund/insights/media/pioneering-biodiversity-metric-guide-sustainable-investments" TargetMode="External"/><Relationship Id="rId17" Type="http://schemas.openxmlformats.org/officeDocument/2006/relationships/hyperlink" Target="https://ecobusiness.fund/impact-report-202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mpactfrontiers.org/norms/five-dimensions-of-impact/"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cobusiness.fund/insights/media/impact-framework" TargetMode="External"/><Relationship Id="rId23" Type="http://schemas.openxmlformats.org/officeDocument/2006/relationships/hyperlink" Target="https://bluemark.co/" TargetMode="Externa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business.fund/insights/media/theory-change" TargetMode="External"/><Relationship Id="rId22" Type="http://schemas.openxmlformats.org/officeDocument/2006/relationships/hyperlink" Target="https://www.ecobusiness.fund/insights/media/pioneering-biodiversity-metric-guide-sustainable-investments"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3%20-%20Eco%20Business%20Fund/EBF%20quick%20investment%20facts%20and%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3%20-%20Eco%20Business%20Fund/EBF%20quick%20investment%20facts%20and%20fig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3%20-%20Eco%20Business%20Fund/EBF%20quick%20investment%20facts%20and%20fig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3%20-%20Eco%20Business%20Fund/EBF%20quick%20investment%20facts%20and%20figur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Land supported </a:t>
            </a:r>
          </a:p>
          <a:p>
            <a:pPr>
              <a:defRPr sz="1100"/>
            </a:pPr>
            <a:r>
              <a:rPr lang="en-GB" sz="1100"/>
              <a:t>under sustainable management (ha)</a:t>
            </a:r>
          </a:p>
        </c:rich>
      </c:tx>
      <c:layout>
        <c:manualLayout>
          <c:xMode val="edge"/>
          <c:yMode val="edge"/>
          <c:x val="0.17630057803468208"/>
          <c:y val="1.025641025641025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034007556037015"/>
          <c:y val="0.17171296296296296"/>
          <c:w val="0.81499134990056432"/>
          <c:h val="0.72088764946048411"/>
        </c:manualLayout>
      </c:layout>
      <c:lineChart>
        <c:grouping val="standard"/>
        <c:varyColors val="0"/>
        <c:ser>
          <c:idx val="0"/>
          <c:order val="0"/>
          <c:tx>
            <c:v>Results</c:v>
          </c:tx>
          <c:spPr>
            <a:ln w="28575" cap="rnd">
              <a:solidFill>
                <a:schemeClr val="accent1"/>
              </a:solidFill>
              <a:round/>
            </a:ln>
            <a:effectLst/>
          </c:spPr>
          <c:marker>
            <c:symbol val="none"/>
          </c:marker>
          <c:cat>
            <c:numRef>
              <c:f>'Indicator progress'!$C$2:$J$2</c:f>
              <c:numCache>
                <c:formatCode>General</c:formatCode>
                <c:ptCount val="8"/>
                <c:pt idx="0">
                  <c:v>2017</c:v>
                </c:pt>
                <c:pt idx="1">
                  <c:v>2018</c:v>
                </c:pt>
                <c:pt idx="2">
                  <c:v>2019</c:v>
                </c:pt>
                <c:pt idx="3">
                  <c:v>2020</c:v>
                </c:pt>
                <c:pt idx="4">
                  <c:v>2021</c:v>
                </c:pt>
                <c:pt idx="5">
                  <c:v>2022</c:v>
                </c:pt>
                <c:pt idx="6">
                  <c:v>2023</c:v>
                </c:pt>
                <c:pt idx="7">
                  <c:v>2024</c:v>
                </c:pt>
              </c:numCache>
            </c:numRef>
          </c:cat>
          <c:val>
            <c:numRef>
              <c:f>'Indicator progress'!$C$5:$J$5</c:f>
              <c:numCache>
                <c:formatCode>#,##0</c:formatCode>
                <c:ptCount val="8"/>
                <c:pt idx="0">
                  <c:v>55789</c:v>
                </c:pt>
                <c:pt idx="1">
                  <c:v>140000</c:v>
                </c:pt>
                <c:pt idx="2">
                  <c:v>261000</c:v>
                </c:pt>
                <c:pt idx="3">
                  <c:v>430000</c:v>
                </c:pt>
                <c:pt idx="4">
                  <c:v>856000</c:v>
                </c:pt>
                <c:pt idx="5">
                  <c:v>971000</c:v>
                </c:pt>
                <c:pt idx="6">
                  <c:v>1050000</c:v>
                </c:pt>
                <c:pt idx="7">
                  <c:v>1157000</c:v>
                </c:pt>
              </c:numCache>
            </c:numRef>
          </c:val>
          <c:smooth val="0"/>
          <c:extLst>
            <c:ext xmlns:c16="http://schemas.microsoft.com/office/drawing/2014/chart" uri="{C3380CC4-5D6E-409C-BE32-E72D297353CC}">
              <c16:uniqueId val="{00000000-0AA5-4E95-B503-36855C06DD6C}"/>
            </c:ext>
          </c:extLst>
        </c:ser>
        <c:ser>
          <c:idx val="1"/>
          <c:order val="1"/>
          <c:tx>
            <c:v>Milestones</c:v>
          </c:tx>
          <c:spPr>
            <a:ln w="28575" cap="rnd">
              <a:solidFill>
                <a:schemeClr val="accent2"/>
              </a:solidFill>
              <a:round/>
            </a:ln>
            <a:effectLst/>
          </c:spPr>
          <c:marker>
            <c:symbol val="none"/>
          </c:marker>
          <c:cat>
            <c:numRef>
              <c:f>'Indicator progress'!$C$2:$J$2</c:f>
              <c:numCache>
                <c:formatCode>General</c:formatCode>
                <c:ptCount val="8"/>
                <c:pt idx="0">
                  <c:v>2017</c:v>
                </c:pt>
                <c:pt idx="1">
                  <c:v>2018</c:v>
                </c:pt>
                <c:pt idx="2">
                  <c:v>2019</c:v>
                </c:pt>
                <c:pt idx="3">
                  <c:v>2020</c:v>
                </c:pt>
                <c:pt idx="4">
                  <c:v>2021</c:v>
                </c:pt>
                <c:pt idx="5">
                  <c:v>2022</c:v>
                </c:pt>
                <c:pt idx="6">
                  <c:v>2023</c:v>
                </c:pt>
                <c:pt idx="7">
                  <c:v>2024</c:v>
                </c:pt>
              </c:numCache>
            </c:numRef>
          </c:cat>
          <c:val>
            <c:numRef>
              <c:f>'Indicator progress'!$C$15:$J$15</c:f>
              <c:numCache>
                <c:formatCode>#,##0</c:formatCode>
                <c:ptCount val="8"/>
                <c:pt idx="0">
                  <c:v>58000</c:v>
                </c:pt>
                <c:pt idx="1">
                  <c:v>120000</c:v>
                </c:pt>
                <c:pt idx="2">
                  <c:v>200000</c:v>
                </c:pt>
                <c:pt idx="3">
                  <c:v>250000</c:v>
                </c:pt>
                <c:pt idx="4">
                  <c:v>310000</c:v>
                </c:pt>
                <c:pt idx="5">
                  <c:v>350000</c:v>
                </c:pt>
                <c:pt idx="6">
                  <c:v>1015000</c:v>
                </c:pt>
                <c:pt idx="7">
                  <c:v>1093000</c:v>
                </c:pt>
              </c:numCache>
            </c:numRef>
          </c:val>
          <c:smooth val="0"/>
          <c:extLst>
            <c:ext xmlns:c16="http://schemas.microsoft.com/office/drawing/2014/chart" uri="{C3380CC4-5D6E-409C-BE32-E72D297353CC}">
              <c16:uniqueId val="{00000001-0AA5-4E95-B503-36855C06DD6C}"/>
            </c:ext>
          </c:extLst>
        </c:ser>
        <c:dLbls>
          <c:showLegendKey val="0"/>
          <c:showVal val="0"/>
          <c:showCatName val="0"/>
          <c:showSerName val="0"/>
          <c:showPercent val="0"/>
          <c:showBubbleSize val="0"/>
        </c:dLbls>
        <c:smooth val="0"/>
        <c:axId val="820774048"/>
        <c:axId val="1042119536"/>
      </c:lineChart>
      <c:catAx>
        <c:axId val="82077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119536"/>
        <c:crosses val="autoZero"/>
        <c:auto val="1"/>
        <c:lblAlgn val="ctr"/>
        <c:lblOffset val="100"/>
        <c:noMultiLvlLbl val="0"/>
      </c:catAx>
      <c:valAx>
        <c:axId val="1042119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0774048"/>
        <c:crosses val="autoZero"/>
        <c:crossBetween val="between"/>
      </c:valAx>
      <c:spPr>
        <a:noFill/>
        <a:ln>
          <a:noFill/>
        </a:ln>
        <a:effectLst/>
      </c:spPr>
    </c:plotArea>
    <c:legend>
      <c:legendPos val="r"/>
      <c:layout>
        <c:manualLayout>
          <c:xMode val="edge"/>
          <c:yMode val="edge"/>
          <c:x val="0.73816493990882714"/>
          <c:y val="0.72491558721301341"/>
          <c:w val="0.25519942955107489"/>
          <c:h val="0.1465275162002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Jobs supported</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948858291036293"/>
          <c:y val="0.14111922141119221"/>
          <c:w val="0.81582391651042208"/>
          <c:h val="0.74599383106308792"/>
        </c:manualLayout>
      </c:layout>
      <c:lineChart>
        <c:grouping val="standard"/>
        <c:varyColors val="0"/>
        <c:ser>
          <c:idx val="0"/>
          <c:order val="0"/>
          <c:tx>
            <c:v>Results</c:v>
          </c:tx>
          <c:spPr>
            <a:ln w="28575" cap="rnd">
              <a:solidFill>
                <a:schemeClr val="accent1"/>
              </a:solidFill>
              <a:round/>
            </a:ln>
            <a:effectLst/>
          </c:spPr>
          <c:marker>
            <c:symbol val="none"/>
          </c:marker>
          <c:cat>
            <c:numRef>
              <c:f>'Indicator progress'!$D$2:$J$2</c:f>
              <c:numCache>
                <c:formatCode>General</c:formatCode>
                <c:ptCount val="7"/>
                <c:pt idx="0">
                  <c:v>2018</c:v>
                </c:pt>
                <c:pt idx="1">
                  <c:v>2019</c:v>
                </c:pt>
                <c:pt idx="2">
                  <c:v>2020</c:v>
                </c:pt>
                <c:pt idx="3">
                  <c:v>2021</c:v>
                </c:pt>
                <c:pt idx="4">
                  <c:v>2022</c:v>
                </c:pt>
                <c:pt idx="5">
                  <c:v>2023</c:v>
                </c:pt>
                <c:pt idx="6">
                  <c:v>2024</c:v>
                </c:pt>
              </c:numCache>
            </c:numRef>
          </c:cat>
          <c:val>
            <c:numRef>
              <c:f>'Indicator progress'!$D$9:$J$9</c:f>
              <c:numCache>
                <c:formatCode>#,##0</c:formatCode>
                <c:ptCount val="7"/>
                <c:pt idx="0">
                  <c:v>250000</c:v>
                </c:pt>
                <c:pt idx="1">
                  <c:v>361000</c:v>
                </c:pt>
                <c:pt idx="2">
                  <c:v>452000</c:v>
                </c:pt>
                <c:pt idx="3">
                  <c:v>625000</c:v>
                </c:pt>
                <c:pt idx="4">
                  <c:v>660000</c:v>
                </c:pt>
                <c:pt idx="5">
                  <c:v>721000</c:v>
                </c:pt>
                <c:pt idx="6">
                  <c:v>750000</c:v>
                </c:pt>
              </c:numCache>
            </c:numRef>
          </c:val>
          <c:smooth val="0"/>
          <c:extLst>
            <c:ext xmlns:c16="http://schemas.microsoft.com/office/drawing/2014/chart" uri="{C3380CC4-5D6E-409C-BE32-E72D297353CC}">
              <c16:uniqueId val="{00000000-0ECC-4C38-BFF6-0874E68A3180}"/>
            </c:ext>
          </c:extLst>
        </c:ser>
        <c:ser>
          <c:idx val="1"/>
          <c:order val="1"/>
          <c:tx>
            <c:v>Milestones</c:v>
          </c:tx>
          <c:spPr>
            <a:ln w="28575" cap="rnd">
              <a:solidFill>
                <a:schemeClr val="accent2"/>
              </a:solidFill>
              <a:round/>
            </a:ln>
            <a:effectLst/>
          </c:spPr>
          <c:marker>
            <c:symbol val="none"/>
          </c:marker>
          <c:cat>
            <c:numRef>
              <c:f>'Indicator progress'!$D$2:$J$2</c:f>
              <c:numCache>
                <c:formatCode>General</c:formatCode>
                <c:ptCount val="7"/>
                <c:pt idx="0">
                  <c:v>2018</c:v>
                </c:pt>
                <c:pt idx="1">
                  <c:v>2019</c:v>
                </c:pt>
                <c:pt idx="2">
                  <c:v>2020</c:v>
                </c:pt>
                <c:pt idx="3">
                  <c:v>2021</c:v>
                </c:pt>
                <c:pt idx="4">
                  <c:v>2022</c:v>
                </c:pt>
                <c:pt idx="5">
                  <c:v>2023</c:v>
                </c:pt>
                <c:pt idx="6">
                  <c:v>2024</c:v>
                </c:pt>
              </c:numCache>
            </c:numRef>
          </c:cat>
          <c:val>
            <c:numRef>
              <c:f>'Indicator progress'!$D$19:$J$19</c:f>
              <c:numCache>
                <c:formatCode>#,##0</c:formatCode>
                <c:ptCount val="7"/>
                <c:pt idx="1">
                  <c:v>350000</c:v>
                </c:pt>
                <c:pt idx="2">
                  <c:v>400000</c:v>
                </c:pt>
                <c:pt idx="3">
                  <c:v>450000</c:v>
                </c:pt>
                <c:pt idx="4">
                  <c:v>500000</c:v>
                </c:pt>
                <c:pt idx="5">
                  <c:v>665000</c:v>
                </c:pt>
                <c:pt idx="6">
                  <c:v>687000</c:v>
                </c:pt>
              </c:numCache>
            </c:numRef>
          </c:val>
          <c:smooth val="0"/>
          <c:extLst>
            <c:ext xmlns:c16="http://schemas.microsoft.com/office/drawing/2014/chart" uri="{C3380CC4-5D6E-409C-BE32-E72D297353CC}">
              <c16:uniqueId val="{00000001-0ECC-4C38-BFF6-0874E68A3180}"/>
            </c:ext>
          </c:extLst>
        </c:ser>
        <c:dLbls>
          <c:showLegendKey val="0"/>
          <c:showVal val="0"/>
          <c:showCatName val="0"/>
          <c:showSerName val="0"/>
          <c:showPercent val="0"/>
          <c:showBubbleSize val="0"/>
        </c:dLbls>
        <c:smooth val="0"/>
        <c:axId val="885989456"/>
        <c:axId val="546824752"/>
      </c:lineChart>
      <c:catAx>
        <c:axId val="88598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824752"/>
        <c:crosses val="autoZero"/>
        <c:auto val="1"/>
        <c:lblAlgn val="ctr"/>
        <c:lblOffset val="100"/>
        <c:noMultiLvlLbl val="0"/>
      </c:catAx>
      <c:valAx>
        <c:axId val="546824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989456"/>
        <c:crosses val="autoZero"/>
        <c:crossBetween val="between"/>
      </c:valAx>
      <c:spPr>
        <a:noFill/>
        <a:ln>
          <a:noFill/>
        </a:ln>
        <a:effectLst/>
      </c:spPr>
    </c:plotArea>
    <c:legend>
      <c:legendPos val="r"/>
      <c:layout>
        <c:manualLayout>
          <c:xMode val="edge"/>
          <c:yMode val="edge"/>
          <c:x val="0.66725396349677746"/>
          <c:y val="0.72800567385853121"/>
          <c:w val="0.31401516638675014"/>
          <c:h val="0.13200565313951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Finance leveraged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108511590055343E-2"/>
          <c:y val="0.15476851851851853"/>
          <c:w val="0.85805795836095422"/>
          <c:h val="0.73783209390492854"/>
        </c:manualLayout>
      </c:layout>
      <c:lineChart>
        <c:grouping val="standard"/>
        <c:varyColors val="0"/>
        <c:ser>
          <c:idx val="0"/>
          <c:order val="0"/>
          <c:tx>
            <c:v>Results</c:v>
          </c:tx>
          <c:spPr>
            <a:ln w="28575" cap="rnd">
              <a:solidFill>
                <a:schemeClr val="accent1"/>
              </a:solidFill>
              <a:round/>
            </a:ln>
            <a:effectLst/>
          </c:spPr>
          <c:marker>
            <c:symbol val="none"/>
          </c:marker>
          <c:cat>
            <c:numRef>
              <c:f>'Indicator progress'!$C$2:$J$2</c:f>
              <c:numCache>
                <c:formatCode>General</c:formatCode>
                <c:ptCount val="8"/>
                <c:pt idx="0">
                  <c:v>2017</c:v>
                </c:pt>
                <c:pt idx="1">
                  <c:v>2018</c:v>
                </c:pt>
                <c:pt idx="2">
                  <c:v>2019</c:v>
                </c:pt>
                <c:pt idx="3">
                  <c:v>2020</c:v>
                </c:pt>
                <c:pt idx="4">
                  <c:v>2021</c:v>
                </c:pt>
                <c:pt idx="5">
                  <c:v>2022</c:v>
                </c:pt>
                <c:pt idx="6">
                  <c:v>2023</c:v>
                </c:pt>
                <c:pt idx="7">
                  <c:v>2024</c:v>
                </c:pt>
              </c:numCache>
            </c:numRef>
          </c:cat>
          <c:val>
            <c:numRef>
              <c:f>'Indicator progress'!$C$8:$J$8</c:f>
              <c:numCache>
                <c:formatCode>#,##0</c:formatCode>
                <c:ptCount val="8"/>
                <c:pt idx="0">
                  <c:v>57.3</c:v>
                </c:pt>
                <c:pt idx="1">
                  <c:v>65.099999999999994</c:v>
                </c:pt>
                <c:pt idx="2">
                  <c:v>78.099999999999994</c:v>
                </c:pt>
                <c:pt idx="3">
                  <c:v>94.3</c:v>
                </c:pt>
                <c:pt idx="4">
                  <c:v>102.5</c:v>
                </c:pt>
                <c:pt idx="5">
                  <c:v>106.1</c:v>
                </c:pt>
                <c:pt idx="6">
                  <c:v>113.8</c:v>
                </c:pt>
                <c:pt idx="7">
                  <c:v>125.4</c:v>
                </c:pt>
              </c:numCache>
            </c:numRef>
          </c:val>
          <c:smooth val="0"/>
          <c:extLst>
            <c:ext xmlns:c16="http://schemas.microsoft.com/office/drawing/2014/chart" uri="{C3380CC4-5D6E-409C-BE32-E72D297353CC}">
              <c16:uniqueId val="{00000000-7862-4A6A-8328-B08A18F705BE}"/>
            </c:ext>
          </c:extLst>
        </c:ser>
        <c:ser>
          <c:idx val="1"/>
          <c:order val="1"/>
          <c:tx>
            <c:v>Milestones</c:v>
          </c:tx>
          <c:spPr>
            <a:ln w="28575" cap="rnd">
              <a:solidFill>
                <a:schemeClr val="accent2"/>
              </a:solidFill>
              <a:round/>
            </a:ln>
            <a:effectLst/>
          </c:spPr>
          <c:marker>
            <c:symbol val="none"/>
          </c:marker>
          <c:cat>
            <c:numRef>
              <c:f>'Indicator progress'!$C$2:$J$2</c:f>
              <c:numCache>
                <c:formatCode>General</c:formatCode>
                <c:ptCount val="8"/>
                <c:pt idx="0">
                  <c:v>2017</c:v>
                </c:pt>
                <c:pt idx="1">
                  <c:v>2018</c:v>
                </c:pt>
                <c:pt idx="2">
                  <c:v>2019</c:v>
                </c:pt>
                <c:pt idx="3">
                  <c:v>2020</c:v>
                </c:pt>
                <c:pt idx="4">
                  <c:v>2021</c:v>
                </c:pt>
                <c:pt idx="5">
                  <c:v>2022</c:v>
                </c:pt>
                <c:pt idx="6">
                  <c:v>2023</c:v>
                </c:pt>
                <c:pt idx="7">
                  <c:v>2024</c:v>
                </c:pt>
              </c:numCache>
            </c:numRef>
          </c:cat>
          <c:val>
            <c:numRef>
              <c:f>'Indicator progress'!$C$18:$J$18</c:f>
              <c:numCache>
                <c:formatCode>#,##0</c:formatCode>
                <c:ptCount val="8"/>
                <c:pt idx="0">
                  <c:v>11</c:v>
                </c:pt>
                <c:pt idx="1">
                  <c:v>15.703433920468893</c:v>
                </c:pt>
                <c:pt idx="2">
                  <c:v>29.994106067031232</c:v>
                </c:pt>
                <c:pt idx="3">
                  <c:v>34.941732527755583</c:v>
                </c:pt>
                <c:pt idx="4">
                  <c:v>40.262190339532879</c:v>
                </c:pt>
                <c:pt idx="5">
                  <c:v>44.857607571811464</c:v>
                </c:pt>
                <c:pt idx="6">
                  <c:v>107</c:v>
                </c:pt>
                <c:pt idx="7">
                  <c:v>127.4</c:v>
                </c:pt>
              </c:numCache>
            </c:numRef>
          </c:val>
          <c:smooth val="0"/>
          <c:extLst>
            <c:ext xmlns:c16="http://schemas.microsoft.com/office/drawing/2014/chart" uri="{C3380CC4-5D6E-409C-BE32-E72D297353CC}">
              <c16:uniqueId val="{00000001-7862-4A6A-8328-B08A18F705BE}"/>
            </c:ext>
          </c:extLst>
        </c:ser>
        <c:dLbls>
          <c:showLegendKey val="0"/>
          <c:showVal val="0"/>
          <c:showCatName val="0"/>
          <c:showSerName val="0"/>
          <c:showPercent val="0"/>
          <c:showBubbleSize val="0"/>
        </c:dLbls>
        <c:smooth val="0"/>
        <c:axId val="795395728"/>
        <c:axId val="789062736"/>
      </c:lineChart>
      <c:catAx>
        <c:axId val="7953957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062736"/>
        <c:crosses val="autoZero"/>
        <c:auto val="1"/>
        <c:lblAlgn val="ctr"/>
        <c:lblOffset val="100"/>
        <c:noMultiLvlLbl val="0"/>
      </c:catAx>
      <c:valAx>
        <c:axId val="789062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395728"/>
        <c:crosses val="autoZero"/>
        <c:crossBetween val="between"/>
        <c:majorUnit val="50"/>
      </c:valAx>
      <c:spPr>
        <a:noFill/>
        <a:ln>
          <a:noFill/>
        </a:ln>
        <a:effectLst/>
      </c:spPr>
    </c:plotArea>
    <c:legend>
      <c:legendPos val="r"/>
      <c:layout>
        <c:manualLayout>
          <c:xMode val="edge"/>
          <c:yMode val="edge"/>
          <c:x val="0.68678360419926709"/>
          <c:y val="0.72149659204133632"/>
          <c:w val="0.26518786399966304"/>
          <c:h val="0.133901032527708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CO2 sequestration</a:t>
            </a:r>
            <a:r>
              <a:rPr lang="en-GB" sz="1100" baseline="0"/>
              <a:t> (t)</a:t>
            </a:r>
          </a:p>
        </c:rich>
      </c:tx>
      <c:layout>
        <c:manualLayout>
          <c:xMode val="edge"/>
          <c:yMode val="edge"/>
          <c:x val="0.35522580243242358"/>
          <c:y val="1.259842311390694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313216604062981"/>
          <c:y val="0.12292280258860772"/>
          <c:w val="0.80014128703562815"/>
          <c:h val="0.77125763859670216"/>
        </c:manualLayout>
      </c:layout>
      <c:lineChart>
        <c:grouping val="standard"/>
        <c:varyColors val="0"/>
        <c:ser>
          <c:idx val="0"/>
          <c:order val="0"/>
          <c:tx>
            <c:v>Results</c:v>
          </c:tx>
          <c:spPr>
            <a:ln w="28575" cap="rnd">
              <a:solidFill>
                <a:schemeClr val="accent1"/>
              </a:solidFill>
              <a:round/>
            </a:ln>
            <a:effectLst/>
          </c:spPr>
          <c:marker>
            <c:symbol val="none"/>
          </c:marker>
          <c:cat>
            <c:numRef>
              <c:f>'Indicator progress'!$D$2:$J$2</c:f>
              <c:numCache>
                <c:formatCode>General</c:formatCode>
                <c:ptCount val="7"/>
                <c:pt idx="0">
                  <c:v>2018</c:v>
                </c:pt>
                <c:pt idx="1">
                  <c:v>2019</c:v>
                </c:pt>
                <c:pt idx="2">
                  <c:v>2020</c:v>
                </c:pt>
                <c:pt idx="3">
                  <c:v>2021</c:v>
                </c:pt>
                <c:pt idx="4">
                  <c:v>2022</c:v>
                </c:pt>
                <c:pt idx="5">
                  <c:v>2023</c:v>
                </c:pt>
                <c:pt idx="6">
                  <c:v>2024</c:v>
                </c:pt>
              </c:numCache>
              <c:extLst/>
            </c:numRef>
          </c:cat>
          <c:val>
            <c:numRef>
              <c:f>'Indicator progress'!$D$10:$J$10</c:f>
              <c:numCache>
                <c:formatCode>#,##0</c:formatCode>
                <c:ptCount val="7"/>
                <c:pt idx="0">
                  <c:v>600000</c:v>
                </c:pt>
                <c:pt idx="1">
                  <c:v>1050000</c:v>
                </c:pt>
                <c:pt idx="2">
                  <c:v>1000000</c:v>
                </c:pt>
                <c:pt idx="3">
                  <c:v>3400000</c:v>
                </c:pt>
                <c:pt idx="4">
                  <c:v>3644000</c:v>
                </c:pt>
                <c:pt idx="5">
                  <c:v>3704000</c:v>
                </c:pt>
                <c:pt idx="6">
                  <c:v>3770000</c:v>
                </c:pt>
              </c:numCache>
              <c:extLst/>
            </c:numRef>
          </c:val>
          <c:smooth val="0"/>
          <c:extLst>
            <c:ext xmlns:c16="http://schemas.microsoft.com/office/drawing/2014/chart" uri="{C3380CC4-5D6E-409C-BE32-E72D297353CC}">
              <c16:uniqueId val="{00000000-29AD-4DD3-941C-A92FD117D9E0}"/>
            </c:ext>
          </c:extLst>
        </c:ser>
        <c:ser>
          <c:idx val="1"/>
          <c:order val="1"/>
          <c:tx>
            <c:v>Milestones</c:v>
          </c:tx>
          <c:spPr>
            <a:ln w="28575" cap="rnd">
              <a:solidFill>
                <a:schemeClr val="accent2"/>
              </a:solidFill>
              <a:round/>
            </a:ln>
            <a:effectLst/>
          </c:spPr>
          <c:marker>
            <c:symbol val="none"/>
          </c:marker>
          <c:cat>
            <c:numRef>
              <c:f>'Indicator progress'!$D$2:$J$2</c:f>
              <c:numCache>
                <c:formatCode>General</c:formatCode>
                <c:ptCount val="7"/>
                <c:pt idx="0">
                  <c:v>2018</c:v>
                </c:pt>
                <c:pt idx="1">
                  <c:v>2019</c:v>
                </c:pt>
                <c:pt idx="2">
                  <c:v>2020</c:v>
                </c:pt>
                <c:pt idx="3">
                  <c:v>2021</c:v>
                </c:pt>
                <c:pt idx="4">
                  <c:v>2022</c:v>
                </c:pt>
                <c:pt idx="5">
                  <c:v>2023</c:v>
                </c:pt>
                <c:pt idx="6">
                  <c:v>2024</c:v>
                </c:pt>
              </c:numCache>
              <c:extLst/>
            </c:numRef>
          </c:cat>
          <c:val>
            <c:numRef>
              <c:f>'Indicator progress'!$D$20:$J$20</c:f>
              <c:numCache>
                <c:formatCode>#,##0</c:formatCode>
                <c:ptCount val="7"/>
                <c:pt idx="0">
                  <c:v>600000</c:v>
                </c:pt>
                <c:pt idx="1">
                  <c:v>800000</c:v>
                </c:pt>
                <c:pt idx="2">
                  <c:v>1000000</c:v>
                </c:pt>
                <c:pt idx="3">
                  <c:v>1300000</c:v>
                </c:pt>
                <c:pt idx="4">
                  <c:v>1500000</c:v>
                </c:pt>
                <c:pt idx="5">
                  <c:v>3650000</c:v>
                </c:pt>
                <c:pt idx="6" formatCode="_-* #,##0_-;\-* #,##0_-;_-* &quot;-&quot;??_-;_-@_-">
                  <c:v>3808000</c:v>
                </c:pt>
              </c:numCache>
              <c:extLst/>
            </c:numRef>
          </c:val>
          <c:smooth val="0"/>
          <c:extLst>
            <c:ext xmlns:c16="http://schemas.microsoft.com/office/drawing/2014/chart" uri="{C3380CC4-5D6E-409C-BE32-E72D297353CC}">
              <c16:uniqueId val="{00000001-29AD-4DD3-941C-A92FD117D9E0}"/>
            </c:ext>
          </c:extLst>
        </c:ser>
        <c:dLbls>
          <c:showLegendKey val="0"/>
          <c:showVal val="0"/>
          <c:showCatName val="0"/>
          <c:showSerName val="0"/>
          <c:showPercent val="0"/>
          <c:showBubbleSize val="0"/>
        </c:dLbls>
        <c:smooth val="0"/>
        <c:axId val="545736560"/>
        <c:axId val="1043910928"/>
      </c:lineChart>
      <c:catAx>
        <c:axId val="54573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910928"/>
        <c:crosses val="autoZero"/>
        <c:auto val="1"/>
        <c:lblAlgn val="ctr"/>
        <c:lblOffset val="100"/>
        <c:noMultiLvlLbl val="0"/>
      </c:catAx>
      <c:valAx>
        <c:axId val="1043910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736560"/>
        <c:crosses val="autoZero"/>
        <c:crossBetween val="between"/>
      </c:valAx>
      <c:spPr>
        <a:noFill/>
        <a:ln>
          <a:noFill/>
        </a:ln>
        <a:effectLst/>
      </c:spPr>
    </c:plotArea>
    <c:legend>
      <c:legendPos val="r"/>
      <c:layout>
        <c:manualLayout>
          <c:xMode val="edge"/>
          <c:yMode val="edge"/>
          <c:x val="0.68821358731024751"/>
          <c:y val="0.72604267788444254"/>
          <c:w val="0.2973625594098035"/>
          <c:h val="0.141494085499586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F88C51DAF897B458237A9C1200953D8" ma:contentTypeVersion="31" ma:contentTypeDescription="Create a new document." ma:contentTypeScope="" ma:versionID="88db633f2c5435912398831657b9b088">
  <xsd:schema xmlns:xsd="http://www.w3.org/2001/XMLSchema" xmlns:xs="http://www.w3.org/2001/XMLSchema" xmlns:p="http://schemas.microsoft.com/office/2006/metadata/properties" xmlns:ns1="http://schemas.microsoft.com/sharepoint/v3" xmlns:ns2="662745e8-e224-48e8-a2e3-254862b8c2f5" xmlns:ns3="cd3c523b-aa8f-4804-a23e-31cb3efad401" xmlns:ns4="c2a29bdd-637a-4f4b-b2b1-1338f72c8a40" targetNamespace="http://schemas.microsoft.com/office/2006/metadata/properties" ma:root="true" ma:fieldsID="01905616d968994fa6b72a3c55c8a0fd" ns1:_="" ns2:_="" ns3:_="" ns4:_="">
    <xsd:import namespace="http://schemas.microsoft.com/sharepoint/v3"/>
    <xsd:import namespace="662745e8-e224-48e8-a2e3-254862b8c2f5"/>
    <xsd:import namespace="cd3c523b-aa8f-4804-a23e-31cb3efad401"/>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OCR" minOccurs="0"/>
                <xsd:element ref="ns3:MediaServiceGeneration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dc0afb-fb50-45c9-b93d-3cf984feeaef}"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dc0afb-fb50-45c9-b93d-3cf984feeaef}"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nternational Nature Climate and Development Division INCD" ma:internalName="Team" ma:readOnly="false">
      <xsd:simpleType>
        <xsd:restriction base="dms:Text"/>
      </xsd:simpleType>
    </xsd:element>
    <xsd:element name="Topic" ma:index="20" nillable="true" ma:displayName="Topic" ma:default="Integrating Natur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3c523b-aa8f-4804-a23e-31cb3efad401"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11</Value>
      <Value>10</Value>
      <Value>8</Value>
      <Value>7</Value>
    </TaxCatchAll>
    <lcf76f155ced4ddcb4097134ff3c332f xmlns="cd3c523b-aa8f-4804-a23e-31cb3efad401">
      <Terms xmlns="http://schemas.microsoft.com/office/infopath/2007/PartnerControls"/>
    </lcf76f155ced4ddcb4097134ff3c332f>
    <MediaLengthInSeconds xmlns="cd3c523b-aa8f-4804-a23e-31cb3efad401" xsi:nil="true"/>
    <SharedWithUsers xmlns="c2a29bdd-637a-4f4b-b2b1-1338f72c8a40">
      <UserInfo>
        <DisplayName>Haque, Masroora</DisplayName>
        <AccountId>269</AccountId>
        <AccountType/>
      </UserInfo>
      <UserInfo>
        <DisplayName>Hill, David</DisplayName>
        <AccountId>191</AccountId>
        <AccountType/>
      </UserInfo>
      <UserInfo>
        <DisplayName>SharingLinks.abbf56e0-c160-4f03-a2ee-d71ae6bee4ed.Flexible.d75516a3-51b7-4598-b8a2-2ced27b92df3</DisplayName>
        <AccountId>300</AccountId>
        <AccountType/>
      </UserInfo>
      <UserInfo>
        <DisplayName>Kara, Zilan</DisplayName>
        <AccountId>914</AccountId>
        <AccountType/>
      </UserInfo>
      <UserInfo>
        <DisplayName>Donnelly, Emma</DisplayName>
        <AccountId>84</AccountId>
        <AccountType/>
      </UserInfo>
      <UserInfo>
        <DisplayName>Bolhoven, Caroline</DisplayName>
        <AccountId>3164</AccountId>
        <AccountType/>
      </UserInfo>
      <UserInfo>
        <DisplayName>Sales-Dupont, Jake</DisplayName>
        <AccountId>913</AccountId>
        <AccountType/>
      </UserInfo>
      <UserInfo>
        <DisplayName>Robinson, Emily</DisplayName>
        <AccountId>588</AccountId>
        <AccountType/>
      </UserInfo>
      <UserInfo>
        <DisplayName>Norman, William</DisplayName>
        <AccountId>1185</AccountId>
        <AccountType/>
      </UserInfo>
      <UserInfo>
        <DisplayName>Leach, Siriol</DisplayName>
        <AccountId>75</AccountId>
        <AccountType/>
      </UserInfo>
    </SharedWithUsers>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Integrating Nature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International Nature Climate and Development Division INCD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9C371-736D-473C-88F6-3A7732D0D387}">
  <ds:schemaRefs>
    <ds:schemaRef ds:uri="Microsoft.SharePoint.Taxonomy.ContentTypeSync"/>
  </ds:schemaRefs>
</ds:datastoreItem>
</file>

<file path=customXml/itemProps2.xml><?xml version="1.0" encoding="utf-8"?>
<ds:datastoreItem xmlns:ds="http://schemas.openxmlformats.org/officeDocument/2006/customXml" ds:itemID="{16E2ED95-7302-431C-832F-59BEC5E23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cd3c523b-aa8f-4804-a23e-31cb3efad401"/>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E4CF3-84AA-4B72-84CD-D888B2E21F4E}">
  <ds:schemaRefs>
    <ds:schemaRef ds:uri="http://schemas.microsoft.com/office/2006/metadata/properties"/>
    <ds:schemaRef ds:uri="http://schemas.microsoft.com/office/infopath/2007/PartnerControls"/>
    <ds:schemaRef ds:uri="662745e8-e224-48e8-a2e3-254862b8c2f5"/>
    <ds:schemaRef ds:uri="cd3c523b-aa8f-4804-a23e-31cb3efad401"/>
    <ds:schemaRef ds:uri="c2a29bdd-637a-4f4b-b2b1-1338f72c8a40"/>
    <ds:schemaRef ds:uri="http://schemas.microsoft.com/sharepoint/v3"/>
  </ds:schemaRefs>
</ds:datastoreItem>
</file>

<file path=customXml/itemProps4.xml><?xml version="1.0" encoding="utf-8"?>
<ds:datastoreItem xmlns:ds="http://schemas.openxmlformats.org/officeDocument/2006/customXml" ds:itemID="{354436A1-A674-417F-A714-4D0DA381B915}">
  <ds:schemaRefs>
    <ds:schemaRef ds:uri="http://schemas.openxmlformats.org/officeDocument/2006/bibliography"/>
  </ds:schemaRefs>
</ds:datastoreItem>
</file>

<file path=customXml/itemProps5.xml><?xml version="1.0" encoding="utf-8"?>
<ds:datastoreItem xmlns:ds="http://schemas.openxmlformats.org/officeDocument/2006/customXml" ds:itemID="{D6C31793-AE3E-4B42-9F05-5A619E9D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6917</Words>
  <Characters>39429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Annual Review Template</vt:lpstr>
    </vt:vector>
  </TitlesOfParts>
  <Company/>
  <LinksUpToDate>false</LinksUpToDate>
  <CharactersWithSpaces>46254</CharactersWithSpaces>
  <SharedDoc>false</SharedDoc>
  <HLinks>
    <vt:vector size="48" baseType="variant">
      <vt:variant>
        <vt:i4>6160393</vt:i4>
      </vt:variant>
      <vt:variant>
        <vt:i4>21</vt:i4>
      </vt:variant>
      <vt:variant>
        <vt:i4>0</vt:i4>
      </vt:variant>
      <vt:variant>
        <vt:i4>5</vt:i4>
      </vt:variant>
      <vt:variant>
        <vt:lpwstr>https://bluemark.co/</vt:lpwstr>
      </vt:variant>
      <vt:variant>
        <vt:lpwstr/>
      </vt:variant>
      <vt:variant>
        <vt:i4>5308422</vt:i4>
      </vt:variant>
      <vt:variant>
        <vt:i4>18</vt:i4>
      </vt:variant>
      <vt:variant>
        <vt:i4>0</vt:i4>
      </vt:variant>
      <vt:variant>
        <vt:i4>5</vt:i4>
      </vt:variant>
      <vt:variant>
        <vt:lpwstr>https://www.ecobusiness.fund/insights/media/pioneering-biodiversity-metric-guide-sustainable-investments</vt:lpwstr>
      </vt:variant>
      <vt:variant>
        <vt:lpwstr/>
      </vt:variant>
      <vt:variant>
        <vt:i4>6815858</vt:i4>
      </vt:variant>
      <vt:variant>
        <vt:i4>15</vt:i4>
      </vt:variant>
      <vt:variant>
        <vt:i4>0</vt:i4>
      </vt:variant>
      <vt:variant>
        <vt:i4>5</vt:i4>
      </vt:variant>
      <vt:variant>
        <vt:lpwstr>https://ecobusiness.fund/impact-report-2024</vt:lpwstr>
      </vt:variant>
      <vt:variant>
        <vt:lpwstr/>
      </vt:variant>
      <vt:variant>
        <vt:i4>4325458</vt:i4>
      </vt:variant>
      <vt:variant>
        <vt:i4>12</vt:i4>
      </vt:variant>
      <vt:variant>
        <vt:i4>0</vt:i4>
      </vt:variant>
      <vt:variant>
        <vt:i4>5</vt:i4>
      </vt:variant>
      <vt:variant>
        <vt:lpwstr>https://impactfrontiers.org/norms/five-dimensions-of-impact/</vt:lpwstr>
      </vt:variant>
      <vt:variant>
        <vt:lpwstr/>
      </vt:variant>
      <vt:variant>
        <vt:i4>5898334</vt:i4>
      </vt:variant>
      <vt:variant>
        <vt:i4>9</vt:i4>
      </vt:variant>
      <vt:variant>
        <vt:i4>0</vt:i4>
      </vt:variant>
      <vt:variant>
        <vt:i4>5</vt:i4>
      </vt:variant>
      <vt:variant>
        <vt:lpwstr>https://ecobusiness.fund/insights/media/impact-framework</vt:lpwstr>
      </vt:variant>
      <vt:variant>
        <vt:lpwstr/>
      </vt:variant>
      <vt:variant>
        <vt:i4>6226011</vt:i4>
      </vt:variant>
      <vt:variant>
        <vt:i4>6</vt:i4>
      </vt:variant>
      <vt:variant>
        <vt:i4>0</vt:i4>
      </vt:variant>
      <vt:variant>
        <vt:i4>5</vt:i4>
      </vt:variant>
      <vt:variant>
        <vt:lpwstr>https://ecobusiness.fund/insights/media/theory-change</vt:lpwstr>
      </vt:variant>
      <vt:variant>
        <vt:lpwstr/>
      </vt:variant>
      <vt:variant>
        <vt:i4>5373961</vt:i4>
      </vt:variant>
      <vt:variant>
        <vt:i4>3</vt:i4>
      </vt:variant>
      <vt:variant>
        <vt:i4>0</vt:i4>
      </vt:variant>
      <vt:variant>
        <vt:i4>5</vt:i4>
      </vt:variant>
      <vt:variant>
        <vt:lpwstr>https://www.impactprinciples.org/</vt:lpwstr>
      </vt:variant>
      <vt:variant>
        <vt:lpwstr/>
      </vt:variant>
      <vt:variant>
        <vt:i4>5308422</vt:i4>
      </vt:variant>
      <vt:variant>
        <vt:i4>0</vt:i4>
      </vt:variant>
      <vt:variant>
        <vt:i4>0</vt:i4>
      </vt:variant>
      <vt:variant>
        <vt:i4>5</vt:i4>
      </vt:variant>
      <vt:variant>
        <vt:lpwstr>https://www.ecobusiness.fund/insights/media/pioneering-biodiversity-metric-guide-sustainable-investments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Template</dc:title>
  <dc:subject>Annual Review Template</dc:subject>
  <dc:creator>William Norman</dc:creator>
  <cp:keywords/>
  <dc:description>from April 2020</dc:description>
  <cp:lastModifiedBy>William Norman</cp:lastModifiedBy>
  <cp:revision>20</cp:revision>
  <dcterms:created xsi:type="dcterms:W3CDTF">2025-12-15T14:39:00Z</dcterms:created>
  <dcterms:modified xsi:type="dcterms:W3CDTF">2025-12-15T14:52:00Z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2020-03-30T16:49:07Z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919708a4-416e-499e-8edc-0000a189eb48</vt:lpwstr>
  </property>
  <property fmtid="{D5CDD505-2E9C-101B-9397-08002B2CF9AE}" pid="8" name="MSIP_Label_e4c996da-17fa-4fc5-8989-2758fb4cf86b_ContentBits">
    <vt:lpwstr>1</vt:lpwstr>
  </property>
  <property fmtid="{D5CDD505-2E9C-101B-9397-08002B2CF9AE}" pid="9" name="Business Document Type">
    <vt:lpwstr>Annual review</vt:lpwstr>
  </property>
  <property fmtid="{D5CDD505-2E9C-101B-9397-08002B2CF9AE}" pid="10" name="InformationType">
    <vt:lpwstr/>
  </property>
  <property fmtid="{D5CDD505-2E9C-101B-9397-08002B2CF9AE}" pid="11" name="Distribution">
    <vt:lpwstr>11;#Internal Defra Group|0867f7b3-e76e-40ca-bb1f-5ba341a49230</vt:lpwstr>
  </property>
  <property fmtid="{D5CDD505-2E9C-101B-9397-08002B2CF9AE}" pid="12" name="MediaServiceImageTags">
    <vt:lpwstr/>
  </property>
  <property fmtid="{D5CDD505-2E9C-101B-9397-08002B2CF9AE}" pid="13" name="SecurityClassification">
    <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HOSiteType">
    <vt:lpwstr>10;#Team|ff0485df-0575-416f-802f-e999165821b7</vt:lpwstr>
  </property>
  <property fmtid="{D5CDD505-2E9C-101B-9397-08002B2CF9AE}" pid="17" name="OrganisationalUnit">
    <vt:lpwstr>8;#Core Defra|026223dd-2e56-4615-868d-7c5bfd566810</vt:lpwstr>
  </property>
  <property fmtid="{D5CDD505-2E9C-101B-9397-08002B2CF9AE}" pid="18" name="Directorate">
    <vt:lpwstr/>
  </property>
  <property fmtid="{D5CDD505-2E9C-101B-9397-08002B2CF9AE}" pid="19" name="lcf76f155ced4ddcb4097134ff3c332f">
    <vt:lpwstr/>
  </property>
  <property fmtid="{D5CDD505-2E9C-101B-9397-08002B2CF9AE}" pid="20" name="HOFrom">
    <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vti_imgdate">
    <vt:lpwstr/>
  </property>
  <property fmtid="{D5CDD505-2E9C-101B-9397-08002B2CF9AE}" pid="26" name="xd_Signature">
    <vt:bool>false</vt:bool>
  </property>
  <property fmtid="{D5CDD505-2E9C-101B-9397-08002B2CF9AE}" pid="27" name="HOSubject">
    <vt:lpwstr/>
  </property>
  <property fmtid="{D5CDD505-2E9C-101B-9397-08002B2CF9AE}" pid="28" name="wic_System_Copyright">
    <vt:lpwstr/>
  </property>
  <property fmtid="{D5CDD505-2E9C-101B-9397-08002B2CF9AE}" pid="29" name="HOCC">
    <vt:lpwstr/>
  </property>
  <property fmtid="{D5CDD505-2E9C-101B-9397-08002B2CF9AE}" pid="30" name="TriggerFlowInfo">
    <vt:lpwstr/>
  </property>
  <property fmtid="{D5CDD505-2E9C-101B-9397-08002B2CF9AE}" pid="31" name="HOTo">
    <vt:lpwstr/>
  </property>
  <property fmtid="{D5CDD505-2E9C-101B-9397-08002B2CF9AE}" pid="32" name="ContentTypeId">
    <vt:lpwstr>0x010100A5BF1C78D9F64B679A5EBDE1C6598EBC01007F88C51DAF897B458237A9C1200953D8</vt:lpwstr>
  </property>
</Properties>
</file>