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81D835" w14:textId="77777777" w:rsidR="000B1D0E" w:rsidRPr="00791A09" w:rsidRDefault="000B1D0E" w:rsidP="000B1D0E">
      <w:pPr>
        <w:spacing w:before="240" w:after="0" w:line="240" w:lineRule="auto"/>
        <w:jc w:val="center"/>
        <w:outlineLvl w:val="1"/>
        <w:rPr>
          <w:rFonts w:ascii="Arial" w:eastAsia="Times New Roman" w:hAnsi="Arial" w:cs="Times New Roman"/>
          <w:b/>
          <w:kern w:val="28"/>
          <w:sz w:val="20"/>
          <w:szCs w:val="20"/>
        </w:rPr>
      </w:pPr>
      <w:r w:rsidRPr="00791A09">
        <w:rPr>
          <w:rFonts w:ascii="Arial" w:eastAsia="Times New Roman" w:hAnsi="Arial" w:cs="Times New Roman"/>
          <w:b/>
          <w:kern w:val="28"/>
          <w:sz w:val="20"/>
          <w:szCs w:val="20"/>
        </w:rPr>
        <w:t xml:space="preserve">Annual Review Template </w:t>
      </w:r>
    </w:p>
    <w:p w14:paraId="66504AA9" w14:textId="77777777" w:rsidR="000B1D0E" w:rsidRPr="00791A09" w:rsidRDefault="000B1D0E" w:rsidP="000B1D0E">
      <w:pPr>
        <w:spacing w:after="0" w:line="240" w:lineRule="auto"/>
        <w:rPr>
          <w:rFonts w:ascii="Arial" w:eastAsia="Times New Roman" w:hAnsi="Arial" w:cs="Times New Roman"/>
          <w:b/>
          <w:sz w:val="20"/>
          <w:szCs w:val="20"/>
        </w:rPr>
      </w:pPr>
    </w:p>
    <w:tbl>
      <w:tblPr>
        <w:tblStyle w:val="TableGrid"/>
        <w:tblW w:w="0" w:type="auto"/>
        <w:tblLook w:val="04A0" w:firstRow="1" w:lastRow="0" w:firstColumn="1" w:lastColumn="0" w:noHBand="0" w:noVBand="1"/>
      </w:tblPr>
      <w:tblGrid>
        <w:gridCol w:w="3964"/>
        <w:gridCol w:w="2410"/>
        <w:gridCol w:w="2642"/>
      </w:tblGrid>
      <w:tr w:rsidR="000B1D0E" w:rsidRPr="00791A09" w14:paraId="7511B9AC" w14:textId="77777777" w:rsidTr="001106E0">
        <w:trPr>
          <w:trHeight w:val="407"/>
        </w:trPr>
        <w:tc>
          <w:tcPr>
            <w:tcW w:w="9016" w:type="dxa"/>
            <w:gridSpan w:val="3"/>
            <w:tcBorders>
              <w:top w:val="single" w:sz="4" w:space="0" w:color="auto"/>
              <w:left w:val="single" w:sz="4" w:space="0" w:color="auto"/>
              <w:bottom w:val="dotted" w:sz="2" w:space="0" w:color="000000" w:themeColor="text1"/>
              <w:right w:val="single" w:sz="4" w:space="0" w:color="auto"/>
            </w:tcBorders>
          </w:tcPr>
          <w:p w14:paraId="314D1454" w14:textId="77777777" w:rsidR="000B1D0E" w:rsidRPr="00791A09" w:rsidRDefault="000B1D0E" w:rsidP="001106E0">
            <w:pPr>
              <w:tabs>
                <w:tab w:val="center" w:pos="4513"/>
                <w:tab w:val="right" w:pos="9026"/>
              </w:tabs>
              <w:spacing w:after="0"/>
              <w:rPr>
                <w:rFonts w:ascii="Arial" w:hAnsi="Arial"/>
                <w:b/>
              </w:rPr>
            </w:pPr>
            <w:r w:rsidRPr="00791A09">
              <w:rPr>
                <w:rFonts w:ascii="Arial" w:hAnsi="Arial"/>
                <w:b/>
              </w:rPr>
              <w:t>Title:  Cities4Forests</w:t>
            </w:r>
          </w:p>
        </w:tc>
      </w:tr>
      <w:tr w:rsidR="000B1D0E" w:rsidRPr="00791A09" w14:paraId="499AF7A5" w14:textId="77777777" w:rsidTr="001106E0">
        <w:trPr>
          <w:trHeight w:val="413"/>
        </w:trPr>
        <w:tc>
          <w:tcPr>
            <w:tcW w:w="6374" w:type="dxa"/>
            <w:gridSpan w:val="2"/>
            <w:tcBorders>
              <w:top w:val="dotted" w:sz="2" w:space="0" w:color="000000" w:themeColor="text1"/>
              <w:left w:val="single" w:sz="4" w:space="0" w:color="000000" w:themeColor="text1"/>
              <w:bottom w:val="dotted" w:sz="2" w:space="0" w:color="000000" w:themeColor="text1"/>
              <w:right w:val="dotted" w:sz="2" w:space="0" w:color="000000" w:themeColor="text1"/>
            </w:tcBorders>
            <w:hideMark/>
          </w:tcPr>
          <w:p w14:paraId="440CEF8C" w14:textId="77777777" w:rsidR="000B1D0E" w:rsidRPr="00791A09" w:rsidRDefault="000B1D0E" w:rsidP="001106E0">
            <w:pPr>
              <w:tabs>
                <w:tab w:val="center" w:pos="4513"/>
                <w:tab w:val="right" w:pos="9026"/>
              </w:tabs>
              <w:spacing w:after="0"/>
              <w:rPr>
                <w:rFonts w:ascii="Arial" w:hAnsi="Arial"/>
                <w:b/>
              </w:rPr>
            </w:pPr>
            <w:r w:rsidRPr="00791A09">
              <w:rPr>
                <w:rFonts w:ascii="Arial" w:hAnsi="Arial"/>
                <w:b/>
              </w:rPr>
              <w:t>Programme Value £ (full life): £4,400,000</w:t>
            </w:r>
          </w:p>
        </w:tc>
        <w:tc>
          <w:tcPr>
            <w:tcW w:w="2642" w:type="dxa"/>
            <w:tcBorders>
              <w:top w:val="dotted" w:sz="2" w:space="0" w:color="000000" w:themeColor="text1"/>
              <w:left w:val="dotted" w:sz="2" w:space="0" w:color="000000" w:themeColor="text1"/>
              <w:bottom w:val="dotted" w:sz="2" w:space="0" w:color="000000" w:themeColor="text1"/>
              <w:right w:val="single" w:sz="4" w:space="0" w:color="000000" w:themeColor="text1"/>
            </w:tcBorders>
            <w:hideMark/>
          </w:tcPr>
          <w:p w14:paraId="3F4EB5A3" w14:textId="77777777" w:rsidR="000B1D0E" w:rsidRPr="00791A09" w:rsidRDefault="000B1D0E" w:rsidP="001106E0">
            <w:pPr>
              <w:tabs>
                <w:tab w:val="center" w:pos="4513"/>
                <w:tab w:val="right" w:pos="9026"/>
              </w:tabs>
              <w:spacing w:after="0"/>
              <w:rPr>
                <w:rFonts w:ascii="Arial" w:hAnsi="Arial"/>
                <w:b/>
              </w:rPr>
            </w:pPr>
            <w:r w:rsidRPr="00791A09">
              <w:rPr>
                <w:rFonts w:ascii="Arial" w:hAnsi="Arial"/>
                <w:b/>
              </w:rPr>
              <w:t>Review date: Jan 2023 (Period reported: 22 Nov 21 – 3</w:t>
            </w:r>
            <w:r>
              <w:rPr>
                <w:rFonts w:ascii="Arial" w:hAnsi="Arial"/>
                <w:b/>
              </w:rPr>
              <w:t xml:space="preserve">1 </w:t>
            </w:r>
            <w:proofErr w:type="gramStart"/>
            <w:r>
              <w:rPr>
                <w:rFonts w:ascii="Arial" w:hAnsi="Arial"/>
                <w:b/>
              </w:rPr>
              <w:t>Dec,</w:t>
            </w:r>
            <w:proofErr w:type="gramEnd"/>
            <w:r>
              <w:rPr>
                <w:rFonts w:ascii="Arial" w:hAnsi="Arial"/>
                <w:b/>
              </w:rPr>
              <w:t xml:space="preserve"> 2022</w:t>
            </w:r>
            <w:r w:rsidRPr="00791A09">
              <w:rPr>
                <w:rFonts w:ascii="Arial" w:hAnsi="Arial"/>
                <w:b/>
              </w:rPr>
              <w:t xml:space="preserve">) </w:t>
            </w:r>
          </w:p>
        </w:tc>
      </w:tr>
      <w:tr w:rsidR="000B1D0E" w:rsidRPr="00791A09" w14:paraId="73D57574" w14:textId="77777777" w:rsidTr="001106E0">
        <w:trPr>
          <w:trHeight w:val="300"/>
        </w:trPr>
        <w:tc>
          <w:tcPr>
            <w:tcW w:w="3964" w:type="dxa"/>
            <w:tcBorders>
              <w:top w:val="dotted" w:sz="2" w:space="0" w:color="000000" w:themeColor="text1"/>
              <w:left w:val="single" w:sz="4" w:space="0" w:color="auto"/>
              <w:bottom w:val="single" w:sz="4" w:space="0" w:color="auto"/>
              <w:right w:val="dotted" w:sz="2" w:space="0" w:color="000000" w:themeColor="text1"/>
            </w:tcBorders>
          </w:tcPr>
          <w:p w14:paraId="591B4F14" w14:textId="77777777" w:rsidR="000B1D0E" w:rsidRPr="00791A09" w:rsidRDefault="000B1D0E" w:rsidP="001106E0">
            <w:pPr>
              <w:tabs>
                <w:tab w:val="center" w:pos="4513"/>
                <w:tab w:val="right" w:pos="9026"/>
              </w:tabs>
              <w:spacing w:after="0"/>
              <w:rPr>
                <w:rFonts w:ascii="Arial" w:hAnsi="Arial"/>
                <w:b/>
              </w:rPr>
            </w:pPr>
            <w:r w:rsidRPr="00791A09">
              <w:rPr>
                <w:rFonts w:ascii="Arial" w:hAnsi="Arial"/>
                <w:b/>
              </w:rPr>
              <w:t xml:space="preserve">Programme Code: </w:t>
            </w:r>
          </w:p>
          <w:p w14:paraId="07B59FD1" w14:textId="77777777" w:rsidR="000B1D0E" w:rsidRPr="00791A09" w:rsidRDefault="000B1D0E" w:rsidP="001106E0">
            <w:pPr>
              <w:tabs>
                <w:tab w:val="center" w:pos="4513"/>
                <w:tab w:val="right" w:pos="9026"/>
              </w:tabs>
              <w:spacing w:after="0"/>
              <w:rPr>
                <w:rFonts w:ascii="Arial" w:hAnsi="Arial"/>
                <w:b/>
              </w:rPr>
            </w:pPr>
          </w:p>
        </w:tc>
        <w:tc>
          <w:tcPr>
            <w:tcW w:w="2410" w:type="dxa"/>
            <w:tcBorders>
              <w:top w:val="dotted" w:sz="2" w:space="0" w:color="000000" w:themeColor="text1"/>
              <w:left w:val="dotted" w:sz="2" w:space="0" w:color="000000" w:themeColor="text1"/>
              <w:bottom w:val="single" w:sz="4" w:space="0" w:color="000000" w:themeColor="text1"/>
              <w:right w:val="dotted" w:sz="2" w:space="0" w:color="000000" w:themeColor="text1"/>
            </w:tcBorders>
            <w:hideMark/>
          </w:tcPr>
          <w:p w14:paraId="5DC0B777" w14:textId="77777777" w:rsidR="000B1D0E" w:rsidRPr="00791A09" w:rsidRDefault="000B1D0E" w:rsidP="001106E0">
            <w:pPr>
              <w:tabs>
                <w:tab w:val="center" w:pos="4513"/>
                <w:tab w:val="right" w:pos="9026"/>
              </w:tabs>
              <w:spacing w:after="0"/>
              <w:rPr>
                <w:rFonts w:ascii="Arial" w:hAnsi="Arial"/>
                <w:b/>
              </w:rPr>
            </w:pPr>
            <w:r w:rsidRPr="00791A09">
              <w:rPr>
                <w:rFonts w:ascii="Arial" w:hAnsi="Arial"/>
                <w:b/>
              </w:rPr>
              <w:t>Start date:</w:t>
            </w:r>
            <w:r w:rsidRPr="00791A09">
              <w:rPr>
                <w:rFonts w:ascii="Arial" w:hAnsi="Arial"/>
              </w:rPr>
              <w:t xml:space="preserve"> Nov 2021</w:t>
            </w:r>
          </w:p>
        </w:tc>
        <w:tc>
          <w:tcPr>
            <w:tcW w:w="2642" w:type="dxa"/>
            <w:tcBorders>
              <w:top w:val="dotted" w:sz="2" w:space="0" w:color="000000" w:themeColor="text1"/>
              <w:left w:val="dotted" w:sz="2" w:space="0" w:color="000000" w:themeColor="text1"/>
              <w:bottom w:val="single" w:sz="4" w:space="0" w:color="auto"/>
              <w:right w:val="single" w:sz="4" w:space="0" w:color="auto"/>
            </w:tcBorders>
            <w:hideMark/>
          </w:tcPr>
          <w:p w14:paraId="454B4651" w14:textId="77777777" w:rsidR="000B1D0E" w:rsidRPr="00791A09" w:rsidRDefault="000B1D0E" w:rsidP="001106E0">
            <w:pPr>
              <w:tabs>
                <w:tab w:val="center" w:pos="4513"/>
                <w:tab w:val="right" w:pos="9026"/>
              </w:tabs>
              <w:spacing w:after="0"/>
              <w:rPr>
                <w:rFonts w:ascii="Arial" w:hAnsi="Arial"/>
                <w:b/>
              </w:rPr>
            </w:pPr>
            <w:r w:rsidRPr="00791A09">
              <w:rPr>
                <w:rFonts w:ascii="Arial" w:hAnsi="Arial"/>
                <w:b/>
              </w:rPr>
              <w:t>End date:</w:t>
            </w:r>
            <w:r w:rsidRPr="00791A09">
              <w:rPr>
                <w:rFonts w:ascii="Arial" w:hAnsi="Arial"/>
              </w:rPr>
              <w:t xml:space="preserve"> Dec 2023</w:t>
            </w:r>
          </w:p>
        </w:tc>
      </w:tr>
    </w:tbl>
    <w:p w14:paraId="5F07CFC9" w14:textId="77777777" w:rsidR="000B1D0E" w:rsidRPr="00791A09" w:rsidRDefault="000B1D0E" w:rsidP="000B1D0E">
      <w:pPr>
        <w:spacing w:after="0" w:line="240" w:lineRule="auto"/>
        <w:rPr>
          <w:rFonts w:ascii="Arial" w:eastAsia="Times New Roman" w:hAnsi="Arial" w:cs="Times New Roman"/>
          <w:b/>
          <w:sz w:val="20"/>
          <w:szCs w:val="20"/>
        </w:rPr>
      </w:pPr>
    </w:p>
    <w:p w14:paraId="49BB3A8B" w14:textId="77777777" w:rsidR="000B1D0E" w:rsidRPr="00791A09" w:rsidRDefault="000B1D0E" w:rsidP="000B1D0E">
      <w:pPr>
        <w:spacing w:after="0" w:line="240" w:lineRule="auto"/>
        <w:rPr>
          <w:rFonts w:ascii="Arial" w:eastAsia="Times New Roman" w:hAnsi="Arial" w:cs="Times New Roman"/>
          <w:b/>
          <w:sz w:val="20"/>
          <w:szCs w:val="20"/>
        </w:rPr>
      </w:pPr>
      <w:r w:rsidRPr="00791A09">
        <w:rPr>
          <w:rFonts w:ascii="Arial" w:eastAsia="Times New Roman" w:hAnsi="Arial" w:cs="Times New Roman"/>
          <w:b/>
          <w:sz w:val="20"/>
          <w:szCs w:val="20"/>
        </w:rPr>
        <w:t xml:space="preserve">Summary of Programme Performance </w:t>
      </w:r>
    </w:p>
    <w:tbl>
      <w:tblPr>
        <w:tblStyle w:val="TableGrid"/>
        <w:tblW w:w="0" w:type="auto"/>
        <w:tblLook w:val="04A0" w:firstRow="1" w:lastRow="0" w:firstColumn="1" w:lastColumn="0" w:noHBand="0" w:noVBand="1"/>
      </w:tblPr>
      <w:tblGrid>
        <w:gridCol w:w="2405"/>
        <w:gridCol w:w="1134"/>
        <w:gridCol w:w="390"/>
        <w:gridCol w:w="848"/>
        <w:gridCol w:w="848"/>
        <w:gridCol w:w="847"/>
        <w:gridCol w:w="848"/>
        <w:gridCol w:w="848"/>
        <w:gridCol w:w="848"/>
      </w:tblGrid>
      <w:tr w:rsidR="000B1D0E" w:rsidRPr="00791A09" w14:paraId="5F60842E" w14:textId="77777777" w:rsidTr="001106E0">
        <w:trPr>
          <w:trHeight w:val="505"/>
        </w:trPr>
        <w:tc>
          <w:tcPr>
            <w:tcW w:w="2405"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2EC1CF3F" w14:textId="77777777" w:rsidR="000B1D0E" w:rsidRPr="00791A09" w:rsidRDefault="000B1D0E" w:rsidP="001106E0">
            <w:pPr>
              <w:tabs>
                <w:tab w:val="center" w:pos="4513"/>
                <w:tab w:val="right" w:pos="9026"/>
              </w:tabs>
              <w:spacing w:after="0"/>
              <w:rPr>
                <w:rFonts w:ascii="Arial" w:hAnsi="Arial"/>
              </w:rPr>
            </w:pPr>
            <w:r w:rsidRPr="00791A09">
              <w:rPr>
                <w:rFonts w:ascii="Arial" w:hAnsi="Arial"/>
              </w:rPr>
              <w:t>Year</w:t>
            </w:r>
          </w:p>
        </w:tc>
        <w:tc>
          <w:tcPr>
            <w:tcW w:w="1134" w:type="dxa"/>
            <w:tcBorders>
              <w:top w:val="single" w:sz="4" w:space="0" w:color="auto"/>
              <w:left w:val="single" w:sz="4" w:space="0" w:color="auto"/>
              <w:bottom w:val="single" w:sz="4" w:space="0" w:color="auto"/>
              <w:right w:val="single" w:sz="4" w:space="0" w:color="auto"/>
            </w:tcBorders>
          </w:tcPr>
          <w:p w14:paraId="5C387B2D" w14:textId="77777777" w:rsidR="000B1D0E" w:rsidRPr="00791A09" w:rsidRDefault="000B1D0E" w:rsidP="001106E0">
            <w:pPr>
              <w:tabs>
                <w:tab w:val="center" w:pos="4513"/>
                <w:tab w:val="right" w:pos="9026"/>
              </w:tabs>
              <w:spacing w:after="0"/>
              <w:rPr>
                <w:rFonts w:ascii="Arial" w:hAnsi="Arial"/>
                <w:b/>
              </w:rPr>
            </w:pPr>
            <w:r w:rsidRPr="00791A09">
              <w:rPr>
                <w:rFonts w:ascii="Arial" w:hAnsi="Arial"/>
                <w:b/>
              </w:rPr>
              <w:t xml:space="preserve">Y1 Nov 2021 to </w:t>
            </w:r>
            <w:r>
              <w:rPr>
                <w:rFonts w:ascii="Arial" w:hAnsi="Arial"/>
                <w:b/>
              </w:rPr>
              <w:t>Dec</w:t>
            </w:r>
            <w:r w:rsidRPr="00791A09">
              <w:rPr>
                <w:rFonts w:ascii="Arial" w:hAnsi="Arial"/>
                <w:b/>
              </w:rPr>
              <w:t xml:space="preserve"> 2022</w:t>
            </w:r>
          </w:p>
        </w:tc>
        <w:tc>
          <w:tcPr>
            <w:tcW w:w="390" w:type="dxa"/>
            <w:tcBorders>
              <w:top w:val="single" w:sz="4" w:space="0" w:color="auto"/>
              <w:left w:val="single" w:sz="4" w:space="0" w:color="auto"/>
              <w:bottom w:val="single" w:sz="4" w:space="0" w:color="auto"/>
              <w:right w:val="single" w:sz="4" w:space="0" w:color="auto"/>
            </w:tcBorders>
          </w:tcPr>
          <w:p w14:paraId="7DDA5EA3" w14:textId="77777777" w:rsidR="000B1D0E" w:rsidRPr="00791A09" w:rsidRDefault="000B1D0E" w:rsidP="001106E0">
            <w:pPr>
              <w:tabs>
                <w:tab w:val="center" w:pos="4513"/>
                <w:tab w:val="right" w:pos="9026"/>
              </w:tabs>
              <w:spacing w:after="0"/>
              <w:rPr>
                <w:rFonts w:ascii="Arial" w:hAnsi="Arial"/>
                <w:b/>
              </w:rPr>
            </w:pPr>
          </w:p>
        </w:tc>
        <w:tc>
          <w:tcPr>
            <w:tcW w:w="848" w:type="dxa"/>
            <w:tcBorders>
              <w:top w:val="single" w:sz="4" w:space="0" w:color="auto"/>
              <w:left w:val="single" w:sz="4" w:space="0" w:color="auto"/>
              <w:bottom w:val="single" w:sz="4" w:space="0" w:color="auto"/>
              <w:right w:val="single" w:sz="4" w:space="0" w:color="auto"/>
            </w:tcBorders>
          </w:tcPr>
          <w:p w14:paraId="3D6D85A1" w14:textId="77777777" w:rsidR="000B1D0E" w:rsidRPr="00791A09" w:rsidRDefault="000B1D0E" w:rsidP="001106E0">
            <w:pPr>
              <w:tabs>
                <w:tab w:val="center" w:pos="4513"/>
                <w:tab w:val="right" w:pos="9026"/>
              </w:tabs>
              <w:spacing w:after="0"/>
              <w:rPr>
                <w:rFonts w:ascii="Arial" w:hAnsi="Arial"/>
                <w:b/>
              </w:rPr>
            </w:pPr>
          </w:p>
        </w:tc>
        <w:tc>
          <w:tcPr>
            <w:tcW w:w="848" w:type="dxa"/>
            <w:tcBorders>
              <w:top w:val="single" w:sz="4" w:space="0" w:color="auto"/>
              <w:left w:val="single" w:sz="4" w:space="0" w:color="auto"/>
              <w:bottom w:val="single" w:sz="4" w:space="0" w:color="auto"/>
              <w:right w:val="single" w:sz="4" w:space="0" w:color="auto"/>
            </w:tcBorders>
          </w:tcPr>
          <w:p w14:paraId="2DAC596A" w14:textId="77777777" w:rsidR="000B1D0E" w:rsidRPr="00791A09" w:rsidRDefault="000B1D0E" w:rsidP="001106E0">
            <w:pPr>
              <w:tabs>
                <w:tab w:val="center" w:pos="4513"/>
                <w:tab w:val="right" w:pos="9026"/>
              </w:tabs>
              <w:spacing w:after="0"/>
              <w:rPr>
                <w:rFonts w:ascii="Arial" w:hAnsi="Arial"/>
                <w:b/>
              </w:rPr>
            </w:pPr>
          </w:p>
        </w:tc>
        <w:tc>
          <w:tcPr>
            <w:tcW w:w="847" w:type="dxa"/>
            <w:tcBorders>
              <w:top w:val="single" w:sz="4" w:space="0" w:color="auto"/>
              <w:left w:val="single" w:sz="4" w:space="0" w:color="auto"/>
              <w:bottom w:val="single" w:sz="4" w:space="0" w:color="auto"/>
              <w:right w:val="single" w:sz="4" w:space="0" w:color="auto"/>
            </w:tcBorders>
          </w:tcPr>
          <w:p w14:paraId="47EF0EE0" w14:textId="77777777" w:rsidR="000B1D0E" w:rsidRPr="00791A09" w:rsidRDefault="000B1D0E" w:rsidP="001106E0">
            <w:pPr>
              <w:tabs>
                <w:tab w:val="center" w:pos="4513"/>
                <w:tab w:val="right" w:pos="9026"/>
              </w:tabs>
              <w:spacing w:after="0"/>
              <w:rPr>
                <w:rFonts w:ascii="Arial" w:hAnsi="Arial"/>
                <w:b/>
              </w:rPr>
            </w:pPr>
          </w:p>
        </w:tc>
        <w:tc>
          <w:tcPr>
            <w:tcW w:w="848" w:type="dxa"/>
            <w:tcBorders>
              <w:top w:val="single" w:sz="4" w:space="0" w:color="auto"/>
              <w:left w:val="single" w:sz="4" w:space="0" w:color="auto"/>
              <w:bottom w:val="single" w:sz="4" w:space="0" w:color="auto"/>
              <w:right w:val="single" w:sz="4" w:space="0" w:color="auto"/>
            </w:tcBorders>
          </w:tcPr>
          <w:p w14:paraId="391A7946" w14:textId="77777777" w:rsidR="000B1D0E" w:rsidRPr="00791A09" w:rsidRDefault="000B1D0E" w:rsidP="001106E0">
            <w:pPr>
              <w:tabs>
                <w:tab w:val="center" w:pos="4513"/>
                <w:tab w:val="right" w:pos="9026"/>
              </w:tabs>
              <w:spacing w:after="0"/>
              <w:rPr>
                <w:rFonts w:ascii="Arial" w:hAnsi="Arial"/>
                <w:b/>
              </w:rPr>
            </w:pPr>
          </w:p>
        </w:tc>
        <w:tc>
          <w:tcPr>
            <w:tcW w:w="848" w:type="dxa"/>
            <w:tcBorders>
              <w:top w:val="single" w:sz="4" w:space="0" w:color="auto"/>
              <w:left w:val="single" w:sz="4" w:space="0" w:color="auto"/>
              <w:bottom w:val="single" w:sz="4" w:space="0" w:color="auto"/>
              <w:right w:val="single" w:sz="4" w:space="0" w:color="auto"/>
            </w:tcBorders>
          </w:tcPr>
          <w:p w14:paraId="47AB3A5C" w14:textId="77777777" w:rsidR="000B1D0E" w:rsidRPr="00791A09" w:rsidRDefault="000B1D0E" w:rsidP="001106E0">
            <w:pPr>
              <w:tabs>
                <w:tab w:val="center" w:pos="4513"/>
                <w:tab w:val="right" w:pos="9026"/>
              </w:tabs>
              <w:spacing w:after="0"/>
              <w:rPr>
                <w:rFonts w:ascii="Arial" w:hAnsi="Arial"/>
                <w:b/>
              </w:rPr>
            </w:pPr>
          </w:p>
        </w:tc>
        <w:tc>
          <w:tcPr>
            <w:tcW w:w="848" w:type="dxa"/>
            <w:tcBorders>
              <w:top w:val="single" w:sz="4" w:space="0" w:color="auto"/>
              <w:left w:val="single" w:sz="4" w:space="0" w:color="auto"/>
              <w:bottom w:val="single" w:sz="4" w:space="0" w:color="auto"/>
              <w:right w:val="single" w:sz="4" w:space="0" w:color="auto"/>
            </w:tcBorders>
          </w:tcPr>
          <w:p w14:paraId="0EEAC3A7" w14:textId="77777777" w:rsidR="000B1D0E" w:rsidRPr="00791A09" w:rsidRDefault="000B1D0E" w:rsidP="001106E0">
            <w:pPr>
              <w:tabs>
                <w:tab w:val="center" w:pos="4513"/>
                <w:tab w:val="right" w:pos="9026"/>
              </w:tabs>
              <w:spacing w:after="0"/>
              <w:rPr>
                <w:rFonts w:ascii="Arial" w:hAnsi="Arial"/>
                <w:b/>
              </w:rPr>
            </w:pPr>
          </w:p>
        </w:tc>
      </w:tr>
      <w:tr w:rsidR="000B1D0E" w:rsidRPr="00791A09" w14:paraId="1AEEE81A" w14:textId="77777777" w:rsidTr="001106E0">
        <w:tc>
          <w:tcPr>
            <w:tcW w:w="2405"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14BBC07D" w14:textId="77777777" w:rsidR="000B1D0E" w:rsidRPr="00791A09" w:rsidRDefault="000B1D0E" w:rsidP="001106E0">
            <w:pPr>
              <w:tabs>
                <w:tab w:val="center" w:pos="4513"/>
                <w:tab w:val="right" w:pos="9026"/>
              </w:tabs>
              <w:spacing w:after="0"/>
              <w:rPr>
                <w:rFonts w:ascii="Arial" w:hAnsi="Arial"/>
              </w:rPr>
            </w:pPr>
            <w:r w:rsidRPr="00791A09">
              <w:rPr>
                <w:rFonts w:ascii="Arial" w:hAnsi="Arial"/>
              </w:rPr>
              <w:t>Overall Output Score</w:t>
            </w:r>
          </w:p>
        </w:tc>
        <w:tc>
          <w:tcPr>
            <w:tcW w:w="1134" w:type="dxa"/>
            <w:tcBorders>
              <w:top w:val="single" w:sz="4" w:space="0" w:color="auto"/>
              <w:left w:val="single" w:sz="4" w:space="0" w:color="auto"/>
              <w:bottom w:val="single" w:sz="4" w:space="0" w:color="auto"/>
              <w:right w:val="single" w:sz="4" w:space="0" w:color="auto"/>
            </w:tcBorders>
          </w:tcPr>
          <w:p w14:paraId="01D444D8" w14:textId="77777777" w:rsidR="000B1D0E" w:rsidRPr="00791A09" w:rsidRDefault="000B1D0E" w:rsidP="001106E0">
            <w:pPr>
              <w:tabs>
                <w:tab w:val="center" w:pos="4513"/>
                <w:tab w:val="right" w:pos="9026"/>
              </w:tabs>
              <w:spacing w:after="0"/>
              <w:rPr>
                <w:rFonts w:ascii="Arial" w:hAnsi="Arial"/>
                <w:b/>
              </w:rPr>
            </w:pPr>
            <w:r w:rsidRPr="00791A09">
              <w:rPr>
                <w:rFonts w:ascii="Arial" w:hAnsi="Arial"/>
                <w:b/>
              </w:rPr>
              <w:t>A</w:t>
            </w:r>
          </w:p>
        </w:tc>
        <w:tc>
          <w:tcPr>
            <w:tcW w:w="390" w:type="dxa"/>
            <w:tcBorders>
              <w:top w:val="single" w:sz="4" w:space="0" w:color="auto"/>
              <w:left w:val="single" w:sz="4" w:space="0" w:color="auto"/>
              <w:bottom w:val="single" w:sz="4" w:space="0" w:color="auto"/>
              <w:right w:val="single" w:sz="4" w:space="0" w:color="auto"/>
            </w:tcBorders>
          </w:tcPr>
          <w:p w14:paraId="4761C63E" w14:textId="77777777" w:rsidR="000B1D0E" w:rsidRPr="00791A09" w:rsidRDefault="000B1D0E" w:rsidP="001106E0">
            <w:pPr>
              <w:tabs>
                <w:tab w:val="center" w:pos="4513"/>
                <w:tab w:val="right" w:pos="9026"/>
              </w:tabs>
              <w:spacing w:after="0"/>
              <w:rPr>
                <w:rFonts w:ascii="Arial" w:hAnsi="Arial"/>
                <w:b/>
              </w:rPr>
            </w:pPr>
          </w:p>
        </w:tc>
        <w:tc>
          <w:tcPr>
            <w:tcW w:w="848" w:type="dxa"/>
            <w:tcBorders>
              <w:top w:val="single" w:sz="4" w:space="0" w:color="auto"/>
              <w:left w:val="single" w:sz="4" w:space="0" w:color="auto"/>
              <w:bottom w:val="single" w:sz="4" w:space="0" w:color="auto"/>
              <w:right w:val="single" w:sz="4" w:space="0" w:color="auto"/>
            </w:tcBorders>
          </w:tcPr>
          <w:p w14:paraId="0CFF2613" w14:textId="77777777" w:rsidR="000B1D0E" w:rsidRPr="00791A09" w:rsidRDefault="000B1D0E" w:rsidP="001106E0">
            <w:pPr>
              <w:tabs>
                <w:tab w:val="center" w:pos="4513"/>
                <w:tab w:val="right" w:pos="9026"/>
              </w:tabs>
              <w:spacing w:after="0"/>
              <w:rPr>
                <w:rFonts w:ascii="Arial" w:hAnsi="Arial"/>
                <w:b/>
              </w:rPr>
            </w:pPr>
          </w:p>
        </w:tc>
        <w:tc>
          <w:tcPr>
            <w:tcW w:w="848" w:type="dxa"/>
            <w:tcBorders>
              <w:top w:val="single" w:sz="4" w:space="0" w:color="auto"/>
              <w:left w:val="single" w:sz="4" w:space="0" w:color="auto"/>
              <w:bottom w:val="single" w:sz="4" w:space="0" w:color="auto"/>
              <w:right w:val="single" w:sz="4" w:space="0" w:color="auto"/>
            </w:tcBorders>
          </w:tcPr>
          <w:p w14:paraId="33646073" w14:textId="77777777" w:rsidR="000B1D0E" w:rsidRPr="00791A09" w:rsidRDefault="000B1D0E" w:rsidP="001106E0">
            <w:pPr>
              <w:tabs>
                <w:tab w:val="center" w:pos="4513"/>
                <w:tab w:val="right" w:pos="9026"/>
              </w:tabs>
              <w:spacing w:after="0"/>
              <w:rPr>
                <w:rFonts w:ascii="Arial" w:hAnsi="Arial"/>
                <w:b/>
              </w:rPr>
            </w:pPr>
          </w:p>
        </w:tc>
        <w:tc>
          <w:tcPr>
            <w:tcW w:w="847" w:type="dxa"/>
            <w:tcBorders>
              <w:top w:val="single" w:sz="4" w:space="0" w:color="auto"/>
              <w:left w:val="single" w:sz="4" w:space="0" w:color="auto"/>
              <w:bottom w:val="single" w:sz="4" w:space="0" w:color="auto"/>
              <w:right w:val="single" w:sz="4" w:space="0" w:color="auto"/>
            </w:tcBorders>
          </w:tcPr>
          <w:p w14:paraId="2CD4E270" w14:textId="77777777" w:rsidR="000B1D0E" w:rsidRPr="00791A09" w:rsidRDefault="000B1D0E" w:rsidP="001106E0">
            <w:pPr>
              <w:tabs>
                <w:tab w:val="center" w:pos="4513"/>
                <w:tab w:val="right" w:pos="9026"/>
              </w:tabs>
              <w:spacing w:after="0"/>
              <w:rPr>
                <w:rFonts w:ascii="Arial" w:hAnsi="Arial"/>
                <w:b/>
              </w:rPr>
            </w:pPr>
          </w:p>
        </w:tc>
        <w:tc>
          <w:tcPr>
            <w:tcW w:w="848" w:type="dxa"/>
            <w:tcBorders>
              <w:top w:val="single" w:sz="4" w:space="0" w:color="auto"/>
              <w:left w:val="single" w:sz="4" w:space="0" w:color="auto"/>
              <w:bottom w:val="single" w:sz="4" w:space="0" w:color="auto"/>
              <w:right w:val="single" w:sz="4" w:space="0" w:color="auto"/>
            </w:tcBorders>
          </w:tcPr>
          <w:p w14:paraId="7DFFA12D" w14:textId="77777777" w:rsidR="000B1D0E" w:rsidRPr="00791A09" w:rsidRDefault="000B1D0E" w:rsidP="001106E0">
            <w:pPr>
              <w:tabs>
                <w:tab w:val="center" w:pos="4513"/>
                <w:tab w:val="right" w:pos="9026"/>
              </w:tabs>
              <w:spacing w:after="0"/>
              <w:rPr>
                <w:rFonts w:ascii="Arial" w:hAnsi="Arial"/>
                <w:b/>
              </w:rPr>
            </w:pPr>
          </w:p>
        </w:tc>
        <w:tc>
          <w:tcPr>
            <w:tcW w:w="848" w:type="dxa"/>
            <w:tcBorders>
              <w:top w:val="single" w:sz="4" w:space="0" w:color="auto"/>
              <w:left w:val="single" w:sz="4" w:space="0" w:color="auto"/>
              <w:bottom w:val="single" w:sz="4" w:space="0" w:color="auto"/>
              <w:right w:val="single" w:sz="4" w:space="0" w:color="auto"/>
            </w:tcBorders>
          </w:tcPr>
          <w:p w14:paraId="52D727EB" w14:textId="77777777" w:rsidR="000B1D0E" w:rsidRPr="00791A09" w:rsidRDefault="000B1D0E" w:rsidP="001106E0">
            <w:pPr>
              <w:tabs>
                <w:tab w:val="center" w:pos="4513"/>
                <w:tab w:val="right" w:pos="9026"/>
              </w:tabs>
              <w:spacing w:after="0"/>
              <w:rPr>
                <w:rFonts w:ascii="Arial" w:hAnsi="Arial"/>
                <w:b/>
              </w:rPr>
            </w:pPr>
          </w:p>
        </w:tc>
        <w:tc>
          <w:tcPr>
            <w:tcW w:w="848" w:type="dxa"/>
            <w:tcBorders>
              <w:top w:val="single" w:sz="4" w:space="0" w:color="auto"/>
              <w:left w:val="single" w:sz="4" w:space="0" w:color="auto"/>
              <w:bottom w:val="single" w:sz="4" w:space="0" w:color="auto"/>
              <w:right w:val="single" w:sz="4" w:space="0" w:color="auto"/>
            </w:tcBorders>
          </w:tcPr>
          <w:p w14:paraId="232343DB" w14:textId="77777777" w:rsidR="000B1D0E" w:rsidRPr="00791A09" w:rsidRDefault="000B1D0E" w:rsidP="001106E0">
            <w:pPr>
              <w:tabs>
                <w:tab w:val="center" w:pos="4513"/>
                <w:tab w:val="right" w:pos="9026"/>
              </w:tabs>
              <w:spacing w:after="0"/>
              <w:rPr>
                <w:rFonts w:ascii="Arial" w:hAnsi="Arial"/>
                <w:b/>
              </w:rPr>
            </w:pPr>
          </w:p>
        </w:tc>
      </w:tr>
      <w:tr w:rsidR="000B1D0E" w:rsidRPr="00791A09" w14:paraId="5F1B0F84" w14:textId="77777777" w:rsidTr="001106E0">
        <w:trPr>
          <w:trHeight w:val="309"/>
        </w:trPr>
        <w:tc>
          <w:tcPr>
            <w:tcW w:w="2405"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5A4AE21E" w14:textId="77777777" w:rsidR="000B1D0E" w:rsidRPr="00791A09" w:rsidRDefault="000B1D0E" w:rsidP="001106E0">
            <w:pPr>
              <w:tabs>
                <w:tab w:val="center" w:pos="4513"/>
                <w:tab w:val="right" w:pos="9026"/>
              </w:tabs>
              <w:spacing w:after="0"/>
              <w:rPr>
                <w:rFonts w:ascii="Arial" w:hAnsi="Arial"/>
              </w:rPr>
            </w:pPr>
            <w:r w:rsidRPr="00791A09">
              <w:rPr>
                <w:rFonts w:ascii="Arial" w:hAnsi="Arial"/>
              </w:rPr>
              <w:t xml:space="preserve">Risk Rating </w:t>
            </w:r>
          </w:p>
        </w:tc>
        <w:tc>
          <w:tcPr>
            <w:tcW w:w="1134" w:type="dxa"/>
            <w:tcBorders>
              <w:top w:val="single" w:sz="4" w:space="0" w:color="auto"/>
              <w:left w:val="single" w:sz="4" w:space="0" w:color="auto"/>
              <w:bottom w:val="single" w:sz="4" w:space="0" w:color="auto"/>
              <w:right w:val="single" w:sz="4" w:space="0" w:color="auto"/>
            </w:tcBorders>
            <w:shd w:val="clear" w:color="auto" w:fill="FFC000"/>
          </w:tcPr>
          <w:p w14:paraId="05D18D57" w14:textId="77777777" w:rsidR="000B1D0E" w:rsidRPr="00791A09" w:rsidRDefault="000B1D0E" w:rsidP="001106E0">
            <w:pPr>
              <w:tabs>
                <w:tab w:val="center" w:pos="4513"/>
                <w:tab w:val="right" w:pos="9026"/>
              </w:tabs>
              <w:spacing w:after="0"/>
              <w:rPr>
                <w:rFonts w:ascii="Arial" w:hAnsi="Arial"/>
                <w:b/>
              </w:rPr>
            </w:pPr>
          </w:p>
        </w:tc>
        <w:tc>
          <w:tcPr>
            <w:tcW w:w="390" w:type="dxa"/>
            <w:tcBorders>
              <w:top w:val="single" w:sz="4" w:space="0" w:color="auto"/>
              <w:left w:val="single" w:sz="4" w:space="0" w:color="auto"/>
              <w:bottom w:val="single" w:sz="4" w:space="0" w:color="auto"/>
              <w:right w:val="single" w:sz="4" w:space="0" w:color="auto"/>
            </w:tcBorders>
          </w:tcPr>
          <w:p w14:paraId="5328006C" w14:textId="77777777" w:rsidR="000B1D0E" w:rsidRPr="00791A09" w:rsidRDefault="000B1D0E" w:rsidP="001106E0">
            <w:pPr>
              <w:tabs>
                <w:tab w:val="center" w:pos="4513"/>
                <w:tab w:val="right" w:pos="9026"/>
              </w:tabs>
              <w:spacing w:after="0"/>
              <w:rPr>
                <w:rFonts w:ascii="Arial" w:hAnsi="Arial"/>
                <w:b/>
              </w:rPr>
            </w:pPr>
          </w:p>
        </w:tc>
        <w:tc>
          <w:tcPr>
            <w:tcW w:w="848" w:type="dxa"/>
            <w:tcBorders>
              <w:top w:val="single" w:sz="4" w:space="0" w:color="auto"/>
              <w:left w:val="single" w:sz="4" w:space="0" w:color="auto"/>
              <w:bottom w:val="single" w:sz="4" w:space="0" w:color="auto"/>
              <w:right w:val="single" w:sz="4" w:space="0" w:color="auto"/>
            </w:tcBorders>
          </w:tcPr>
          <w:p w14:paraId="40A50374" w14:textId="77777777" w:rsidR="000B1D0E" w:rsidRPr="00791A09" w:rsidRDefault="000B1D0E" w:rsidP="001106E0">
            <w:pPr>
              <w:tabs>
                <w:tab w:val="center" w:pos="4513"/>
                <w:tab w:val="right" w:pos="9026"/>
              </w:tabs>
              <w:spacing w:after="0"/>
              <w:rPr>
                <w:rFonts w:ascii="Arial" w:hAnsi="Arial"/>
                <w:b/>
              </w:rPr>
            </w:pPr>
          </w:p>
        </w:tc>
        <w:tc>
          <w:tcPr>
            <w:tcW w:w="848" w:type="dxa"/>
            <w:tcBorders>
              <w:top w:val="single" w:sz="4" w:space="0" w:color="auto"/>
              <w:left w:val="single" w:sz="4" w:space="0" w:color="auto"/>
              <w:bottom w:val="single" w:sz="4" w:space="0" w:color="auto"/>
              <w:right w:val="single" w:sz="4" w:space="0" w:color="auto"/>
            </w:tcBorders>
          </w:tcPr>
          <w:p w14:paraId="15825947" w14:textId="77777777" w:rsidR="000B1D0E" w:rsidRPr="00791A09" w:rsidRDefault="000B1D0E" w:rsidP="001106E0">
            <w:pPr>
              <w:tabs>
                <w:tab w:val="center" w:pos="4513"/>
                <w:tab w:val="right" w:pos="9026"/>
              </w:tabs>
              <w:spacing w:after="0"/>
              <w:rPr>
                <w:rFonts w:ascii="Arial" w:hAnsi="Arial"/>
                <w:b/>
              </w:rPr>
            </w:pPr>
          </w:p>
        </w:tc>
        <w:tc>
          <w:tcPr>
            <w:tcW w:w="847" w:type="dxa"/>
            <w:tcBorders>
              <w:top w:val="single" w:sz="4" w:space="0" w:color="auto"/>
              <w:left w:val="single" w:sz="4" w:space="0" w:color="auto"/>
              <w:bottom w:val="single" w:sz="4" w:space="0" w:color="auto"/>
              <w:right w:val="single" w:sz="4" w:space="0" w:color="auto"/>
            </w:tcBorders>
          </w:tcPr>
          <w:p w14:paraId="44A7ADFE" w14:textId="77777777" w:rsidR="000B1D0E" w:rsidRPr="00791A09" w:rsidRDefault="000B1D0E" w:rsidP="001106E0">
            <w:pPr>
              <w:tabs>
                <w:tab w:val="center" w:pos="4513"/>
                <w:tab w:val="right" w:pos="9026"/>
              </w:tabs>
              <w:spacing w:after="0"/>
              <w:rPr>
                <w:rFonts w:ascii="Arial" w:hAnsi="Arial"/>
                <w:b/>
              </w:rPr>
            </w:pPr>
          </w:p>
        </w:tc>
        <w:tc>
          <w:tcPr>
            <w:tcW w:w="848" w:type="dxa"/>
            <w:tcBorders>
              <w:top w:val="single" w:sz="4" w:space="0" w:color="auto"/>
              <w:left w:val="single" w:sz="4" w:space="0" w:color="auto"/>
              <w:bottom w:val="single" w:sz="4" w:space="0" w:color="auto"/>
              <w:right w:val="single" w:sz="4" w:space="0" w:color="auto"/>
            </w:tcBorders>
          </w:tcPr>
          <w:p w14:paraId="6FCAC1C3" w14:textId="77777777" w:rsidR="000B1D0E" w:rsidRPr="00791A09" w:rsidRDefault="000B1D0E" w:rsidP="001106E0">
            <w:pPr>
              <w:tabs>
                <w:tab w:val="center" w:pos="4513"/>
                <w:tab w:val="right" w:pos="9026"/>
              </w:tabs>
              <w:spacing w:after="0"/>
              <w:rPr>
                <w:rFonts w:ascii="Arial" w:hAnsi="Arial"/>
                <w:b/>
              </w:rPr>
            </w:pPr>
          </w:p>
        </w:tc>
        <w:tc>
          <w:tcPr>
            <w:tcW w:w="848" w:type="dxa"/>
            <w:tcBorders>
              <w:top w:val="single" w:sz="4" w:space="0" w:color="auto"/>
              <w:left w:val="single" w:sz="4" w:space="0" w:color="auto"/>
              <w:bottom w:val="single" w:sz="4" w:space="0" w:color="auto"/>
              <w:right w:val="single" w:sz="4" w:space="0" w:color="auto"/>
            </w:tcBorders>
          </w:tcPr>
          <w:p w14:paraId="50784389" w14:textId="77777777" w:rsidR="000B1D0E" w:rsidRPr="00791A09" w:rsidRDefault="000B1D0E" w:rsidP="001106E0">
            <w:pPr>
              <w:tabs>
                <w:tab w:val="center" w:pos="4513"/>
                <w:tab w:val="right" w:pos="9026"/>
              </w:tabs>
              <w:spacing w:after="0"/>
              <w:rPr>
                <w:rFonts w:ascii="Arial" w:hAnsi="Arial"/>
                <w:b/>
              </w:rPr>
            </w:pPr>
          </w:p>
        </w:tc>
        <w:tc>
          <w:tcPr>
            <w:tcW w:w="848" w:type="dxa"/>
            <w:tcBorders>
              <w:top w:val="single" w:sz="4" w:space="0" w:color="auto"/>
              <w:left w:val="single" w:sz="4" w:space="0" w:color="auto"/>
              <w:bottom w:val="single" w:sz="4" w:space="0" w:color="auto"/>
              <w:right w:val="single" w:sz="4" w:space="0" w:color="auto"/>
            </w:tcBorders>
          </w:tcPr>
          <w:p w14:paraId="30C3B59D" w14:textId="77777777" w:rsidR="000B1D0E" w:rsidRPr="00791A09" w:rsidRDefault="000B1D0E" w:rsidP="001106E0">
            <w:pPr>
              <w:tabs>
                <w:tab w:val="center" w:pos="4513"/>
                <w:tab w:val="right" w:pos="9026"/>
              </w:tabs>
              <w:spacing w:after="0"/>
              <w:rPr>
                <w:rFonts w:ascii="Arial" w:hAnsi="Arial"/>
                <w:b/>
              </w:rPr>
            </w:pPr>
          </w:p>
        </w:tc>
      </w:tr>
    </w:tbl>
    <w:p w14:paraId="2C2F1FBC" w14:textId="77777777" w:rsidR="000B1D0E" w:rsidRPr="00791A09" w:rsidRDefault="000B1D0E" w:rsidP="000B1D0E">
      <w:pPr>
        <w:spacing w:after="0" w:line="240" w:lineRule="auto"/>
        <w:rPr>
          <w:rFonts w:ascii="Arial" w:eastAsia="Times New Roman" w:hAnsi="Arial" w:cs="Times New Roman"/>
          <w:b/>
          <w:sz w:val="20"/>
          <w:szCs w:val="20"/>
        </w:rPr>
      </w:pPr>
    </w:p>
    <w:tbl>
      <w:tblPr>
        <w:tblStyle w:val="TableGrid"/>
        <w:tblW w:w="0" w:type="auto"/>
        <w:tblInd w:w="-5" w:type="dxa"/>
        <w:tblLook w:val="04A0" w:firstRow="1" w:lastRow="0" w:firstColumn="1" w:lastColumn="0" w:noHBand="0" w:noVBand="1"/>
      </w:tblPr>
      <w:tblGrid>
        <w:gridCol w:w="3969"/>
        <w:gridCol w:w="5052"/>
      </w:tblGrid>
      <w:tr w:rsidR="000B1D0E" w:rsidRPr="00791A09" w14:paraId="042DF92C" w14:textId="77777777" w:rsidTr="001106E0">
        <w:trPr>
          <w:trHeight w:val="355"/>
        </w:trPr>
        <w:tc>
          <w:tcPr>
            <w:tcW w:w="3969" w:type="dxa"/>
            <w:shd w:val="clear" w:color="auto" w:fill="B4C6E7" w:themeFill="accent1" w:themeFillTint="66"/>
            <w:hideMark/>
          </w:tcPr>
          <w:p w14:paraId="26E12E8A" w14:textId="77777777" w:rsidR="000B1D0E" w:rsidRPr="00791A09" w:rsidRDefault="000B1D0E" w:rsidP="001106E0">
            <w:pPr>
              <w:tabs>
                <w:tab w:val="center" w:pos="4513"/>
                <w:tab w:val="right" w:pos="9026"/>
              </w:tabs>
              <w:spacing w:after="0"/>
              <w:rPr>
                <w:rFonts w:ascii="Arial" w:hAnsi="Arial" w:cs="Arial"/>
              </w:rPr>
            </w:pPr>
            <w:r w:rsidRPr="00791A09">
              <w:rPr>
                <w:rFonts w:ascii="Arial" w:hAnsi="Arial" w:cs="Arial"/>
                <w:bCs/>
              </w:rPr>
              <w:t xml:space="preserve">DevTracker Link to Business Case: </w:t>
            </w:r>
          </w:p>
        </w:tc>
        <w:tc>
          <w:tcPr>
            <w:tcW w:w="5052" w:type="dxa"/>
          </w:tcPr>
          <w:p w14:paraId="27C3234D" w14:textId="77777777" w:rsidR="000B1D0E" w:rsidRPr="00791A09" w:rsidRDefault="000B1D0E" w:rsidP="001106E0">
            <w:pPr>
              <w:tabs>
                <w:tab w:val="center" w:pos="4513"/>
                <w:tab w:val="right" w:pos="9026"/>
              </w:tabs>
              <w:spacing w:after="0"/>
              <w:rPr>
                <w:rFonts w:ascii="Arial" w:hAnsi="Arial" w:cs="Arial"/>
                <w:b/>
              </w:rPr>
            </w:pPr>
            <w:r w:rsidRPr="00791A09">
              <w:rPr>
                <w:rFonts w:ascii="Arial" w:hAnsi="Arial" w:cs="Arial"/>
                <w:b/>
              </w:rPr>
              <w:t>Will be uploaded on DevTracker shortly</w:t>
            </w:r>
          </w:p>
        </w:tc>
      </w:tr>
      <w:tr w:rsidR="000B1D0E" w:rsidRPr="00791A09" w14:paraId="009D96A0" w14:textId="77777777" w:rsidTr="001106E0">
        <w:trPr>
          <w:trHeight w:val="403"/>
        </w:trPr>
        <w:tc>
          <w:tcPr>
            <w:tcW w:w="3969" w:type="dxa"/>
            <w:shd w:val="clear" w:color="auto" w:fill="B4C6E7" w:themeFill="accent1" w:themeFillTint="66"/>
            <w:hideMark/>
          </w:tcPr>
          <w:p w14:paraId="72BCC94D" w14:textId="77777777" w:rsidR="000B1D0E" w:rsidRPr="00791A09" w:rsidRDefault="000B1D0E" w:rsidP="001106E0">
            <w:pPr>
              <w:tabs>
                <w:tab w:val="center" w:pos="4513"/>
                <w:tab w:val="right" w:pos="9026"/>
              </w:tabs>
              <w:spacing w:after="0"/>
              <w:rPr>
                <w:rFonts w:ascii="Arial" w:hAnsi="Arial" w:cs="Arial"/>
                <w:bCs/>
                <w:i/>
              </w:rPr>
            </w:pPr>
            <w:r w:rsidRPr="00791A09">
              <w:rPr>
                <w:rFonts w:ascii="Arial" w:hAnsi="Arial" w:cs="Arial"/>
                <w:bCs/>
              </w:rPr>
              <w:t xml:space="preserve">DevTracker Link to results framework: </w:t>
            </w:r>
          </w:p>
        </w:tc>
        <w:tc>
          <w:tcPr>
            <w:tcW w:w="5052" w:type="dxa"/>
          </w:tcPr>
          <w:p w14:paraId="4F837147" w14:textId="77777777" w:rsidR="000B1D0E" w:rsidRPr="00791A09" w:rsidRDefault="000B1D0E" w:rsidP="001106E0">
            <w:pPr>
              <w:tabs>
                <w:tab w:val="center" w:pos="4513"/>
                <w:tab w:val="right" w:pos="9026"/>
              </w:tabs>
              <w:spacing w:after="0"/>
              <w:rPr>
                <w:rFonts w:ascii="Arial" w:hAnsi="Arial" w:cs="Arial"/>
                <w:b/>
              </w:rPr>
            </w:pPr>
            <w:r w:rsidRPr="00791A09">
              <w:rPr>
                <w:rFonts w:ascii="Arial" w:hAnsi="Arial" w:cs="Arial"/>
                <w:b/>
              </w:rPr>
              <w:t>Will be uploaded on DevTracker shortly</w:t>
            </w:r>
          </w:p>
        </w:tc>
      </w:tr>
    </w:tbl>
    <w:p w14:paraId="38A825D5" w14:textId="77777777" w:rsidR="000B1D0E" w:rsidRPr="00791A09" w:rsidRDefault="000B1D0E" w:rsidP="000B1D0E">
      <w:pPr>
        <w:spacing w:after="0" w:line="240" w:lineRule="auto"/>
        <w:rPr>
          <w:rFonts w:ascii="Arial" w:eastAsia="Times New Roman" w:hAnsi="Arial" w:cs="Times New Roman"/>
          <w:b/>
          <w:sz w:val="20"/>
          <w:szCs w:val="20"/>
        </w:rPr>
      </w:pPr>
    </w:p>
    <w:p w14:paraId="25C02E94" w14:textId="77777777" w:rsidR="000B1D0E" w:rsidRPr="00791A09" w:rsidRDefault="000B1D0E" w:rsidP="000B1D0E">
      <w:pPr>
        <w:spacing w:after="0" w:line="240" w:lineRule="auto"/>
        <w:rPr>
          <w:rFonts w:ascii="Arial" w:eastAsia="Times New Roman" w:hAnsi="Arial" w:cs="Times New Roman"/>
          <w:b/>
          <w:sz w:val="20"/>
          <w:szCs w:val="20"/>
        </w:rPr>
      </w:pPr>
    </w:p>
    <w:p w14:paraId="58C7ACAB" w14:textId="77777777" w:rsidR="000B1D0E" w:rsidRPr="00791A09" w:rsidRDefault="000B1D0E" w:rsidP="000B1D0E">
      <w:pPr>
        <w:spacing w:after="0" w:line="240" w:lineRule="auto"/>
        <w:rPr>
          <w:rFonts w:ascii="Arial" w:eastAsia="Times New Roman" w:hAnsi="Arial" w:cs="Times New Roman"/>
          <w:sz w:val="20"/>
          <w:szCs w:val="20"/>
        </w:rPr>
      </w:pPr>
      <w:r w:rsidRPr="00791A09">
        <w:rPr>
          <w:rFonts w:ascii="Arial" w:eastAsia="Times New Roman" w:hAnsi="Arial" w:cs="Times New Roman"/>
          <w:b/>
          <w:sz w:val="20"/>
          <w:szCs w:val="20"/>
        </w:rPr>
        <w:t xml:space="preserve">A. SUMMARY AND OVERVIEW </w:t>
      </w:r>
    </w:p>
    <w:p w14:paraId="7F381234" w14:textId="77777777" w:rsidR="000B1D0E" w:rsidRPr="00791A09" w:rsidRDefault="000B1D0E" w:rsidP="000B1D0E">
      <w:pPr>
        <w:spacing w:after="0" w:line="240" w:lineRule="auto"/>
        <w:rPr>
          <w:rFonts w:ascii="Arial" w:eastAsia="Times New Roman" w:hAnsi="Arial" w:cs="Times New Roman"/>
          <w:b/>
          <w:sz w:val="20"/>
          <w:szCs w:val="20"/>
        </w:rPr>
      </w:pPr>
    </w:p>
    <w:p w14:paraId="251F5F49" w14:textId="77777777" w:rsidR="000B1D0E" w:rsidRDefault="000B1D0E" w:rsidP="000B1D0E">
      <w:pPr>
        <w:spacing w:after="0" w:line="240" w:lineRule="auto"/>
        <w:rPr>
          <w:rFonts w:ascii="Arial" w:eastAsia="Times New Roman" w:hAnsi="Arial" w:cs="Arial"/>
          <w:sz w:val="20"/>
          <w:szCs w:val="20"/>
        </w:rPr>
      </w:pPr>
      <w:r w:rsidRPr="00791A09">
        <w:rPr>
          <w:rFonts w:ascii="Arial" w:eastAsia="Times New Roman" w:hAnsi="Arial" w:cs="Times New Roman"/>
          <w:b/>
          <w:bCs/>
          <w:sz w:val="20"/>
          <w:szCs w:val="20"/>
        </w:rPr>
        <w:t xml:space="preserve">Description of programme </w:t>
      </w:r>
    </w:p>
    <w:p w14:paraId="3F9739E1" w14:textId="77777777" w:rsidR="000B1D0E" w:rsidRPr="00791A09" w:rsidRDefault="000B1D0E" w:rsidP="000B1D0E">
      <w:pPr>
        <w:spacing w:after="0" w:line="240" w:lineRule="auto"/>
        <w:rPr>
          <w:rFonts w:ascii="Arial" w:eastAsia="Times New Roman" w:hAnsi="Arial" w:cs="Arial"/>
          <w:sz w:val="20"/>
          <w:szCs w:val="20"/>
        </w:rPr>
      </w:pPr>
    </w:p>
    <w:p w14:paraId="279435B8" w14:textId="77777777" w:rsidR="000B1D0E" w:rsidRPr="00791A09" w:rsidRDefault="000B1D0E" w:rsidP="000B1D0E">
      <w:pPr>
        <w:spacing w:before="40" w:after="40" w:line="240" w:lineRule="auto"/>
        <w:jc w:val="both"/>
        <w:rPr>
          <w:rFonts w:ascii="Arial" w:eastAsia="Times New Roman" w:hAnsi="Arial" w:cs="Arial"/>
          <w:sz w:val="20"/>
          <w:szCs w:val="20"/>
        </w:rPr>
      </w:pPr>
      <w:r w:rsidRPr="00791A09">
        <w:rPr>
          <w:rFonts w:ascii="Arial" w:eastAsia="Times New Roman" w:hAnsi="Arial" w:cs="Arial"/>
          <w:sz w:val="20"/>
          <w:szCs w:val="20"/>
        </w:rPr>
        <w:t>Cities4Forests empowers cities around the world to become advocates for forests and nature, and use their own political, economic, and cultural power to ensure ecosystem health, enhance people’s well-being</w:t>
      </w:r>
      <w:r>
        <w:rPr>
          <w:rFonts w:ascii="Arial" w:eastAsia="Times New Roman" w:hAnsi="Arial" w:cs="Arial"/>
          <w:sz w:val="20"/>
          <w:szCs w:val="20"/>
        </w:rPr>
        <w:t xml:space="preserve"> </w:t>
      </w:r>
      <w:r w:rsidRPr="00791A09">
        <w:rPr>
          <w:rFonts w:ascii="Arial" w:eastAsia="Times New Roman" w:hAnsi="Arial" w:cs="Arial"/>
          <w:sz w:val="20"/>
          <w:szCs w:val="20"/>
        </w:rPr>
        <w:t xml:space="preserve">and support community vitality. Cities4Forests helps cities to better conserve, manage, and restore nature at several scales including “inner forests” (such as city trees, parks, urban green infrastructure, and natural areas), “nearby forests” (such as watersheds), and “faraway forests” (especially tropical forests). </w:t>
      </w:r>
      <w:r>
        <w:rPr>
          <w:rFonts w:ascii="Arial" w:eastAsia="Times New Roman" w:hAnsi="Arial" w:cs="Arial"/>
          <w:sz w:val="20"/>
          <w:szCs w:val="20"/>
        </w:rPr>
        <w:t>Engaging cities in this way and making links between urban environments and all types of forests</w:t>
      </w:r>
      <w:r w:rsidRPr="00791A09">
        <w:rPr>
          <w:rFonts w:ascii="Arial" w:eastAsia="Times New Roman" w:hAnsi="Arial" w:cs="Arial"/>
          <w:sz w:val="20"/>
          <w:szCs w:val="20"/>
        </w:rPr>
        <w:t xml:space="preserve"> is an innovative and novel approach compared to traditional nature or climate programming. The programme has a three-pronged approach to supporting member cities through:</w:t>
      </w:r>
    </w:p>
    <w:p w14:paraId="7BDDAA88" w14:textId="77777777" w:rsidR="000B1D0E" w:rsidRPr="00791A09" w:rsidRDefault="000B1D0E" w:rsidP="000B1D0E">
      <w:pPr>
        <w:spacing w:before="40" w:after="40" w:line="240" w:lineRule="auto"/>
        <w:jc w:val="both"/>
        <w:rPr>
          <w:rFonts w:ascii="Arial" w:eastAsia="Times New Roman" w:hAnsi="Arial" w:cs="Arial"/>
          <w:sz w:val="20"/>
          <w:szCs w:val="20"/>
        </w:rPr>
      </w:pPr>
    </w:p>
    <w:p w14:paraId="01E429AF" w14:textId="77777777" w:rsidR="000B1D0E" w:rsidRPr="00791A09" w:rsidRDefault="000B1D0E" w:rsidP="000B1D0E">
      <w:pPr>
        <w:numPr>
          <w:ilvl w:val="0"/>
          <w:numId w:val="5"/>
        </w:numPr>
        <w:spacing w:before="40" w:after="40" w:line="240" w:lineRule="auto"/>
        <w:contextualSpacing/>
        <w:jc w:val="both"/>
        <w:rPr>
          <w:rFonts w:ascii="Arial" w:eastAsia="Times New Roman" w:hAnsi="Arial" w:cs="Arial"/>
          <w:sz w:val="20"/>
          <w:szCs w:val="20"/>
          <w:lang w:eastAsia="en-GB"/>
        </w:rPr>
      </w:pPr>
      <w:r w:rsidRPr="00791A09">
        <w:rPr>
          <w:rFonts w:ascii="Arial" w:eastAsia="Times New Roman" w:hAnsi="Arial" w:cs="Arial"/>
          <w:sz w:val="20"/>
          <w:szCs w:val="20"/>
          <w:lang w:eastAsia="en-GB"/>
        </w:rPr>
        <w:t>Inspiring political action and engagement</w:t>
      </w:r>
    </w:p>
    <w:p w14:paraId="291FBEDF" w14:textId="77777777" w:rsidR="000B1D0E" w:rsidRPr="00791A09" w:rsidRDefault="000B1D0E" w:rsidP="000B1D0E">
      <w:pPr>
        <w:numPr>
          <w:ilvl w:val="0"/>
          <w:numId w:val="5"/>
        </w:numPr>
        <w:spacing w:before="40" w:after="40" w:line="240" w:lineRule="auto"/>
        <w:contextualSpacing/>
        <w:jc w:val="both"/>
        <w:rPr>
          <w:rFonts w:ascii="Arial" w:eastAsia="Times New Roman" w:hAnsi="Arial" w:cs="Arial"/>
          <w:sz w:val="20"/>
          <w:szCs w:val="20"/>
          <w:lang w:eastAsia="en-GB"/>
        </w:rPr>
      </w:pPr>
      <w:r w:rsidRPr="00791A09">
        <w:rPr>
          <w:rFonts w:ascii="Arial" w:eastAsia="Times New Roman" w:hAnsi="Arial" w:cs="Arial"/>
          <w:sz w:val="20"/>
          <w:szCs w:val="20"/>
          <w:lang w:eastAsia="en-GB"/>
        </w:rPr>
        <w:t>Providing technical assistance and capacity building</w:t>
      </w:r>
      <w:r>
        <w:rPr>
          <w:rFonts w:ascii="Arial" w:eastAsia="Times New Roman" w:hAnsi="Arial" w:cs="Arial"/>
          <w:sz w:val="20"/>
          <w:szCs w:val="20"/>
          <w:lang w:eastAsia="en-GB"/>
        </w:rPr>
        <w:t xml:space="preserve"> for policy makers and projects</w:t>
      </w:r>
    </w:p>
    <w:p w14:paraId="41EA2F81" w14:textId="77777777" w:rsidR="000B1D0E" w:rsidRPr="00791A09" w:rsidRDefault="000B1D0E" w:rsidP="000B1D0E">
      <w:pPr>
        <w:numPr>
          <w:ilvl w:val="0"/>
          <w:numId w:val="5"/>
        </w:numPr>
        <w:spacing w:before="40" w:after="40" w:line="240" w:lineRule="auto"/>
        <w:contextualSpacing/>
        <w:jc w:val="both"/>
        <w:rPr>
          <w:rFonts w:ascii="Arial" w:eastAsia="Times New Roman" w:hAnsi="Arial" w:cs="Arial"/>
          <w:sz w:val="20"/>
          <w:szCs w:val="20"/>
          <w:lang w:eastAsia="en-GB"/>
        </w:rPr>
      </w:pPr>
      <w:r w:rsidRPr="00791A09">
        <w:rPr>
          <w:rFonts w:ascii="Arial" w:eastAsia="Times New Roman" w:hAnsi="Arial" w:cs="Arial"/>
          <w:sz w:val="20"/>
          <w:szCs w:val="20"/>
          <w:lang w:eastAsia="en-GB"/>
        </w:rPr>
        <w:t>Facilitating economic analysis, finance, and investment</w:t>
      </w:r>
    </w:p>
    <w:p w14:paraId="502D4513" w14:textId="77777777" w:rsidR="000B1D0E" w:rsidRPr="00791A09" w:rsidRDefault="000B1D0E" w:rsidP="000B1D0E">
      <w:pPr>
        <w:spacing w:before="40" w:after="40" w:line="240" w:lineRule="auto"/>
        <w:ind w:left="780"/>
        <w:contextualSpacing/>
        <w:jc w:val="both"/>
        <w:rPr>
          <w:rFonts w:ascii="Arial" w:eastAsia="Times New Roman" w:hAnsi="Arial" w:cs="Arial"/>
          <w:sz w:val="20"/>
          <w:szCs w:val="20"/>
          <w:lang w:eastAsia="en-GB"/>
        </w:rPr>
      </w:pPr>
    </w:p>
    <w:p w14:paraId="73BFC23D" w14:textId="77777777" w:rsidR="000B1D0E" w:rsidRPr="00791A09" w:rsidRDefault="000B1D0E" w:rsidP="000B1D0E">
      <w:pPr>
        <w:spacing w:before="40" w:after="40" w:line="240" w:lineRule="auto"/>
        <w:jc w:val="both"/>
        <w:rPr>
          <w:rFonts w:ascii="Arial" w:eastAsia="Times New Roman" w:hAnsi="Arial" w:cs="Arial"/>
          <w:sz w:val="20"/>
          <w:szCs w:val="20"/>
        </w:rPr>
      </w:pPr>
      <w:r w:rsidRPr="00791A09">
        <w:rPr>
          <w:rFonts w:ascii="Arial" w:eastAsia="Times New Roman" w:hAnsi="Arial" w:cs="Arial"/>
          <w:sz w:val="20"/>
          <w:szCs w:val="20"/>
        </w:rPr>
        <w:t xml:space="preserve">Cities4Forests is a coalition of more than 90 cities and works closely with mayors’ offices, city agencies such as public water and power utilities, public and private financial institutions, civil society organizations and local communities. The Cities4Forests initiative has been validated through successful engagement with member cities </w:t>
      </w:r>
      <w:r>
        <w:rPr>
          <w:rFonts w:ascii="Arial" w:eastAsia="Times New Roman" w:hAnsi="Arial" w:cs="Arial"/>
          <w:sz w:val="20"/>
          <w:szCs w:val="20"/>
        </w:rPr>
        <w:t>around the world</w:t>
      </w:r>
      <w:r w:rsidRPr="00791A09">
        <w:rPr>
          <w:rFonts w:ascii="Arial" w:eastAsia="Times New Roman" w:hAnsi="Arial" w:cs="Arial"/>
          <w:sz w:val="20"/>
          <w:szCs w:val="20"/>
        </w:rPr>
        <w:t xml:space="preserve"> </w:t>
      </w:r>
      <w:r>
        <w:rPr>
          <w:rFonts w:ascii="Arial" w:eastAsia="Times New Roman" w:hAnsi="Arial" w:cs="Arial"/>
          <w:sz w:val="20"/>
          <w:szCs w:val="20"/>
        </w:rPr>
        <w:t>and consistent</w:t>
      </w:r>
      <w:r w:rsidRPr="00791A09">
        <w:rPr>
          <w:rFonts w:ascii="Arial" w:eastAsia="Times New Roman" w:hAnsi="Arial" w:cs="Arial"/>
          <w:sz w:val="20"/>
          <w:szCs w:val="20"/>
        </w:rPr>
        <w:t xml:space="preserve"> interest from additional cities.  They raise awareness of the benefits of trees, forests, and nature (especially for the climate, water, biodiversity, and human health and well-being), and catalyse forest and nature-positive city actions, policies, and investments by providing tailor-made technical assistance. Cities4Forests encourages peer-to-peer learning and connects cities with technical support from institutions with expertise in cities, forests, climate crisis, water, communications, finance, </w:t>
      </w:r>
      <w:proofErr w:type="gramStart"/>
      <w:r w:rsidRPr="00791A09">
        <w:rPr>
          <w:rFonts w:ascii="Arial" w:eastAsia="Times New Roman" w:hAnsi="Arial" w:cs="Arial"/>
          <w:sz w:val="20"/>
          <w:szCs w:val="20"/>
        </w:rPr>
        <w:t>policy</w:t>
      </w:r>
      <w:proofErr w:type="gramEnd"/>
      <w:r w:rsidRPr="00791A09">
        <w:rPr>
          <w:rFonts w:ascii="Arial" w:eastAsia="Times New Roman" w:hAnsi="Arial" w:cs="Arial"/>
          <w:sz w:val="20"/>
          <w:szCs w:val="20"/>
        </w:rPr>
        <w:t xml:space="preserve"> and social equity.</w:t>
      </w:r>
    </w:p>
    <w:p w14:paraId="1E8BA449" w14:textId="77777777" w:rsidR="000B1D0E" w:rsidRPr="00791A09" w:rsidRDefault="000B1D0E" w:rsidP="000B1D0E">
      <w:pPr>
        <w:spacing w:before="40" w:after="40" w:line="240" w:lineRule="auto"/>
        <w:jc w:val="both"/>
        <w:rPr>
          <w:rFonts w:ascii="Arial" w:eastAsia="Times New Roman" w:hAnsi="Arial" w:cs="Arial"/>
          <w:sz w:val="20"/>
          <w:szCs w:val="20"/>
        </w:rPr>
      </w:pPr>
    </w:p>
    <w:p w14:paraId="6E2A3D63" w14:textId="4CB8AAE6" w:rsidR="000B1D0E" w:rsidRDefault="000B1D0E" w:rsidP="000B1D0E">
      <w:pPr>
        <w:spacing w:before="40" w:after="40" w:line="240" w:lineRule="auto"/>
        <w:jc w:val="both"/>
        <w:rPr>
          <w:rFonts w:ascii="Arial" w:eastAsia="Times New Roman" w:hAnsi="Arial" w:cs="Arial"/>
          <w:sz w:val="20"/>
          <w:szCs w:val="20"/>
        </w:rPr>
      </w:pPr>
      <w:r w:rsidRPr="00791A09">
        <w:rPr>
          <w:rFonts w:ascii="Arial" w:eastAsia="Times New Roman" w:hAnsi="Arial" w:cs="Arial"/>
          <w:sz w:val="20"/>
          <w:szCs w:val="20"/>
        </w:rPr>
        <w:t>Cities4Forests was launched at the Global Climate Action Summit in San Francisco on 12 September 2018, with 45 founding city members.  Defra</w:t>
      </w:r>
      <w:r>
        <w:rPr>
          <w:rFonts w:ascii="Arial" w:eastAsia="Times New Roman" w:hAnsi="Arial" w:cs="Arial"/>
          <w:sz w:val="20"/>
          <w:szCs w:val="20"/>
        </w:rPr>
        <w:t xml:space="preserve"> provided an initial £560,000 grant to</w:t>
      </w:r>
      <w:r w:rsidRPr="00791A09">
        <w:rPr>
          <w:rFonts w:ascii="Arial" w:eastAsia="Times New Roman" w:hAnsi="Arial" w:cs="Arial"/>
          <w:sz w:val="20"/>
          <w:szCs w:val="20"/>
        </w:rPr>
        <w:t xml:space="preserve"> </w:t>
      </w:r>
      <w:r>
        <w:rPr>
          <w:rFonts w:ascii="Arial" w:eastAsia="Times New Roman" w:hAnsi="Arial" w:cs="Arial"/>
          <w:sz w:val="20"/>
          <w:szCs w:val="20"/>
        </w:rPr>
        <w:t xml:space="preserve">WRI for </w:t>
      </w:r>
      <w:r w:rsidRPr="00791A09">
        <w:rPr>
          <w:rFonts w:ascii="Arial" w:eastAsia="Times New Roman" w:hAnsi="Arial" w:cs="Arial"/>
          <w:sz w:val="20"/>
          <w:szCs w:val="20"/>
        </w:rPr>
        <w:t>Cities4Forests for the period from January to March 2020</w:t>
      </w:r>
      <w:r>
        <w:rPr>
          <w:rFonts w:ascii="Arial" w:eastAsia="Times New Roman" w:hAnsi="Arial" w:cs="Arial"/>
          <w:sz w:val="20"/>
          <w:szCs w:val="20"/>
        </w:rPr>
        <w:t xml:space="preserve">. </w:t>
      </w:r>
      <w:r w:rsidRPr="00791A09">
        <w:rPr>
          <w:rFonts w:ascii="Arial" w:eastAsia="Times New Roman" w:hAnsi="Arial" w:cs="Arial"/>
          <w:sz w:val="20"/>
          <w:szCs w:val="20"/>
        </w:rPr>
        <w:t>Specific outcomes</w:t>
      </w:r>
      <w:r>
        <w:rPr>
          <w:rFonts w:ascii="Arial" w:eastAsia="Times New Roman" w:hAnsi="Arial" w:cs="Arial"/>
          <w:sz w:val="20"/>
          <w:szCs w:val="20"/>
        </w:rPr>
        <w:t xml:space="preserve"> for our funding</w:t>
      </w:r>
      <w:r w:rsidRPr="00791A09">
        <w:rPr>
          <w:rFonts w:ascii="Arial" w:eastAsia="Times New Roman" w:hAnsi="Arial" w:cs="Arial"/>
          <w:sz w:val="20"/>
          <w:szCs w:val="20"/>
        </w:rPr>
        <w:t xml:space="preserve"> are outlined in a </w:t>
      </w:r>
      <w:r w:rsidR="000E6BED" w:rsidRPr="006706C8">
        <w:t xml:space="preserve">project report </w:t>
      </w:r>
      <w:r>
        <w:rPr>
          <w:rFonts w:ascii="Arial" w:eastAsia="Times New Roman" w:hAnsi="Arial" w:cs="Arial"/>
          <w:sz w:val="20"/>
          <w:szCs w:val="20"/>
        </w:rPr>
        <w:t>a</w:t>
      </w:r>
      <w:r w:rsidRPr="00791A09">
        <w:rPr>
          <w:rFonts w:ascii="Arial" w:eastAsia="Times New Roman" w:hAnsi="Arial" w:cs="Arial"/>
          <w:sz w:val="20"/>
          <w:szCs w:val="20"/>
        </w:rPr>
        <w:t>nd include</w:t>
      </w:r>
      <w:r>
        <w:rPr>
          <w:rFonts w:ascii="Arial" w:eastAsia="Times New Roman" w:hAnsi="Arial" w:cs="Arial"/>
          <w:sz w:val="20"/>
          <w:szCs w:val="20"/>
        </w:rPr>
        <w:t>d</w:t>
      </w:r>
      <w:r w:rsidRPr="00791A09">
        <w:rPr>
          <w:rFonts w:ascii="Arial" w:eastAsia="Times New Roman" w:hAnsi="Arial" w:cs="Arial"/>
          <w:sz w:val="20"/>
          <w:szCs w:val="20"/>
        </w:rPr>
        <w:t xml:space="preserve"> a learning guide on “Urban Forests, Policy and Planning”; a self-assessment toolbox for cities’ impacts in areas like valuing trees and forests, </w:t>
      </w:r>
      <w:proofErr w:type="gramStart"/>
      <w:r w:rsidRPr="00791A09">
        <w:rPr>
          <w:rFonts w:ascii="Arial" w:eastAsia="Times New Roman" w:hAnsi="Arial" w:cs="Arial"/>
          <w:sz w:val="20"/>
          <w:szCs w:val="20"/>
        </w:rPr>
        <w:t>health</w:t>
      </w:r>
      <w:proofErr w:type="gramEnd"/>
      <w:r w:rsidRPr="00791A09">
        <w:rPr>
          <w:rFonts w:ascii="Arial" w:eastAsia="Times New Roman" w:hAnsi="Arial" w:cs="Arial"/>
          <w:sz w:val="20"/>
          <w:szCs w:val="20"/>
        </w:rPr>
        <w:t xml:space="preserve"> and water; and a gender and social equity guide to help cities address these issues through their forests and nature-based solutions programming.  </w:t>
      </w:r>
    </w:p>
    <w:p w14:paraId="6581F9FF" w14:textId="77777777" w:rsidR="000B1D0E" w:rsidRDefault="000B1D0E" w:rsidP="000B1D0E">
      <w:pPr>
        <w:spacing w:before="40" w:after="40" w:line="240" w:lineRule="auto"/>
        <w:jc w:val="both"/>
        <w:rPr>
          <w:rFonts w:ascii="Arial" w:eastAsia="Times New Roman" w:hAnsi="Arial" w:cs="Arial"/>
          <w:sz w:val="20"/>
          <w:szCs w:val="20"/>
        </w:rPr>
      </w:pPr>
    </w:p>
    <w:p w14:paraId="46608F5E" w14:textId="77777777" w:rsidR="000B1D0E" w:rsidRDefault="000B1D0E" w:rsidP="000B1D0E">
      <w:pPr>
        <w:spacing w:before="40" w:after="40" w:line="240" w:lineRule="auto"/>
        <w:jc w:val="both"/>
        <w:rPr>
          <w:rFonts w:ascii="Arial" w:eastAsia="Times New Roman" w:hAnsi="Arial" w:cs="Arial"/>
          <w:sz w:val="20"/>
          <w:szCs w:val="20"/>
        </w:rPr>
      </w:pPr>
      <w:r>
        <w:rPr>
          <w:rFonts w:ascii="Arial" w:eastAsia="Times New Roman" w:hAnsi="Arial" w:cs="Arial"/>
          <w:sz w:val="20"/>
          <w:szCs w:val="20"/>
        </w:rPr>
        <w:t xml:space="preserve">There was a delay to Defra’s second phase of funding due to Covid19. In November 2021 Defra provided a further £4.4million, </w:t>
      </w:r>
      <w:proofErr w:type="gramStart"/>
      <w:r>
        <w:rPr>
          <w:rFonts w:ascii="Arial" w:eastAsia="Times New Roman" w:hAnsi="Arial" w:cs="Arial"/>
          <w:sz w:val="20"/>
          <w:szCs w:val="20"/>
        </w:rPr>
        <w:t>25 month</w:t>
      </w:r>
      <w:proofErr w:type="gramEnd"/>
      <w:r>
        <w:rPr>
          <w:rFonts w:ascii="Arial" w:eastAsia="Times New Roman" w:hAnsi="Arial" w:cs="Arial"/>
          <w:sz w:val="20"/>
          <w:szCs w:val="20"/>
        </w:rPr>
        <w:t xml:space="preserve"> investment (through to December 2023) through a ‘voluntary contribution’ to WRI, which is the focus of this Annual Review. </w:t>
      </w:r>
    </w:p>
    <w:p w14:paraId="0168D9ED" w14:textId="77777777" w:rsidR="000B1D0E" w:rsidRPr="00791A09" w:rsidRDefault="000B1D0E" w:rsidP="000B1D0E">
      <w:pPr>
        <w:spacing w:before="40" w:after="40" w:line="240" w:lineRule="auto"/>
        <w:jc w:val="both"/>
        <w:rPr>
          <w:rFonts w:ascii="Arial" w:eastAsia="Times New Roman" w:hAnsi="Arial" w:cs="Arial"/>
          <w:sz w:val="20"/>
          <w:szCs w:val="20"/>
        </w:rPr>
      </w:pPr>
      <w:r w:rsidRPr="00791A09">
        <w:rPr>
          <w:rFonts w:ascii="Arial" w:eastAsia="Times New Roman" w:hAnsi="Arial" w:cs="Arial"/>
          <w:sz w:val="20"/>
          <w:szCs w:val="20"/>
        </w:rPr>
        <w:lastRenderedPageBreak/>
        <w:t xml:space="preserve">Cities4Forests has </w:t>
      </w:r>
      <w:r>
        <w:rPr>
          <w:rFonts w:ascii="Arial" w:eastAsia="Times New Roman" w:hAnsi="Arial" w:cs="Arial"/>
          <w:sz w:val="20"/>
          <w:szCs w:val="20"/>
        </w:rPr>
        <w:t xml:space="preserve">also </w:t>
      </w:r>
      <w:r w:rsidRPr="00791A09">
        <w:rPr>
          <w:rFonts w:ascii="Arial" w:eastAsia="Times New Roman" w:hAnsi="Arial" w:cs="Arial"/>
          <w:sz w:val="20"/>
          <w:szCs w:val="20"/>
        </w:rPr>
        <w:t>received funding from a variety of public and private donors including Caterpillar Foundation (CAT Foundation), Fundación FEMSA (FEMSA foundation), Norway’s International Climate and Forests Initiative (NICFI), and the US Endowment for Forestry and Communities (US Endowment</w:t>
      </w:r>
      <w:r>
        <w:rPr>
          <w:rFonts w:ascii="Arial" w:eastAsia="Times New Roman" w:hAnsi="Arial" w:cs="Arial"/>
          <w:sz w:val="20"/>
          <w:szCs w:val="20"/>
        </w:rPr>
        <w:t>).</w:t>
      </w:r>
    </w:p>
    <w:p w14:paraId="2E7D053B" w14:textId="77777777" w:rsidR="000B1D0E" w:rsidRPr="00791A09" w:rsidRDefault="000B1D0E" w:rsidP="000B1D0E">
      <w:pPr>
        <w:spacing w:after="0" w:line="240" w:lineRule="auto"/>
        <w:rPr>
          <w:rFonts w:ascii="Arial" w:eastAsia="Times New Roman" w:hAnsi="Arial" w:cs="Times New Roman"/>
          <w:b/>
          <w:sz w:val="20"/>
          <w:szCs w:val="20"/>
        </w:rPr>
      </w:pPr>
    </w:p>
    <w:p w14:paraId="0D3E81C1" w14:textId="77777777" w:rsidR="000B1D0E" w:rsidRDefault="000B1D0E" w:rsidP="000B1D0E">
      <w:pPr>
        <w:spacing w:after="0" w:line="240" w:lineRule="auto"/>
        <w:rPr>
          <w:rFonts w:ascii="Arial" w:eastAsia="Times New Roman" w:hAnsi="Arial" w:cs="Arial"/>
          <w:sz w:val="20"/>
          <w:szCs w:val="20"/>
        </w:rPr>
      </w:pPr>
      <w:r w:rsidRPr="00791A09">
        <w:rPr>
          <w:rFonts w:ascii="Arial" w:eastAsia="Times New Roman" w:hAnsi="Arial" w:cs="Arial"/>
          <w:b/>
          <w:bCs/>
          <w:sz w:val="20"/>
          <w:szCs w:val="20"/>
        </w:rPr>
        <w:t xml:space="preserve">Summary supporting narrative for the overall score in this </w:t>
      </w:r>
      <w:proofErr w:type="gramStart"/>
      <w:r w:rsidRPr="00791A09">
        <w:rPr>
          <w:rFonts w:ascii="Arial" w:eastAsia="Times New Roman" w:hAnsi="Arial" w:cs="Arial"/>
          <w:b/>
          <w:bCs/>
          <w:sz w:val="20"/>
          <w:szCs w:val="20"/>
        </w:rPr>
        <w:t>review</w:t>
      </w:r>
      <w:proofErr w:type="gramEnd"/>
      <w:r w:rsidRPr="00791A09">
        <w:rPr>
          <w:rFonts w:ascii="Arial" w:eastAsia="Times New Roman" w:hAnsi="Arial" w:cs="Arial"/>
          <w:b/>
          <w:bCs/>
          <w:sz w:val="20"/>
          <w:szCs w:val="20"/>
        </w:rPr>
        <w:t xml:space="preserve"> </w:t>
      </w:r>
    </w:p>
    <w:p w14:paraId="32047582" w14:textId="77777777" w:rsidR="000B1D0E" w:rsidRPr="00791A09" w:rsidRDefault="000B1D0E" w:rsidP="000B1D0E">
      <w:pPr>
        <w:spacing w:after="0" w:line="240" w:lineRule="auto"/>
        <w:rPr>
          <w:rFonts w:ascii="Arial" w:eastAsia="Times New Roman" w:hAnsi="Arial" w:cs="Arial"/>
          <w:b/>
          <w:bCs/>
          <w:sz w:val="20"/>
          <w:szCs w:val="20"/>
        </w:rPr>
      </w:pPr>
    </w:p>
    <w:p w14:paraId="701CDABF" w14:textId="77777777" w:rsidR="000B1D0E" w:rsidRDefault="000B1D0E" w:rsidP="000B1D0E">
      <w:pPr>
        <w:spacing w:before="40" w:after="40" w:line="240" w:lineRule="auto"/>
        <w:jc w:val="both"/>
        <w:rPr>
          <w:rFonts w:ascii="Arial" w:eastAsia="Times New Roman" w:hAnsi="Arial" w:cs="Arial"/>
          <w:sz w:val="20"/>
          <w:szCs w:val="20"/>
        </w:rPr>
      </w:pPr>
      <w:r>
        <w:rPr>
          <w:rFonts w:ascii="Arial" w:eastAsia="Times New Roman" w:hAnsi="Arial" w:cs="Arial"/>
          <w:sz w:val="20"/>
          <w:szCs w:val="20"/>
        </w:rPr>
        <w:t xml:space="preserve">This annual review scores Cities4Forests an ‘A – meeting </w:t>
      </w:r>
      <w:proofErr w:type="gramStart"/>
      <w:r>
        <w:rPr>
          <w:rFonts w:ascii="Arial" w:eastAsia="Times New Roman" w:hAnsi="Arial" w:cs="Arial"/>
          <w:sz w:val="20"/>
          <w:szCs w:val="20"/>
        </w:rPr>
        <w:t>expectations’</w:t>
      </w:r>
      <w:proofErr w:type="gramEnd"/>
      <w:r>
        <w:rPr>
          <w:rFonts w:ascii="Arial" w:eastAsia="Times New Roman" w:hAnsi="Arial" w:cs="Arial"/>
          <w:sz w:val="20"/>
          <w:szCs w:val="20"/>
        </w:rPr>
        <w:t xml:space="preserve">. </w:t>
      </w:r>
      <w:r w:rsidRPr="00791A09">
        <w:rPr>
          <w:rFonts w:ascii="Arial" w:eastAsia="Times New Roman" w:hAnsi="Arial" w:cs="Arial"/>
          <w:sz w:val="20"/>
          <w:szCs w:val="20"/>
        </w:rPr>
        <w:t xml:space="preserve">Defra’s </w:t>
      </w:r>
      <w:r>
        <w:rPr>
          <w:rFonts w:ascii="Arial" w:eastAsia="Times New Roman" w:hAnsi="Arial" w:cs="Arial"/>
          <w:sz w:val="20"/>
          <w:szCs w:val="20"/>
        </w:rPr>
        <w:t xml:space="preserve">£4.4 million </w:t>
      </w:r>
      <w:r w:rsidRPr="00791A09">
        <w:rPr>
          <w:rFonts w:ascii="Arial" w:eastAsia="Times New Roman" w:hAnsi="Arial" w:cs="Arial"/>
          <w:sz w:val="20"/>
          <w:szCs w:val="20"/>
        </w:rPr>
        <w:t>investment has supported an already up and running innovative programme</w:t>
      </w:r>
      <w:r>
        <w:rPr>
          <w:rFonts w:ascii="Arial" w:eastAsia="Times New Roman" w:hAnsi="Arial" w:cs="Arial"/>
          <w:sz w:val="20"/>
          <w:szCs w:val="20"/>
        </w:rPr>
        <w:t xml:space="preserve"> to move early-stage initiatives into implementation.</w:t>
      </w:r>
      <w:r w:rsidRPr="00791A09">
        <w:rPr>
          <w:rFonts w:ascii="Arial" w:eastAsia="Times New Roman" w:hAnsi="Arial" w:cs="Arial"/>
          <w:sz w:val="20"/>
          <w:szCs w:val="20"/>
        </w:rPr>
        <w:t xml:space="preserve"> Early reporting highlights </w:t>
      </w:r>
      <w:r>
        <w:rPr>
          <w:rFonts w:ascii="Arial" w:eastAsia="Times New Roman" w:hAnsi="Arial" w:cs="Arial"/>
          <w:sz w:val="20"/>
          <w:szCs w:val="20"/>
        </w:rPr>
        <w:t>good progress: while the project</w:t>
      </w:r>
      <w:r w:rsidRPr="00791A09">
        <w:rPr>
          <w:rFonts w:ascii="Arial" w:eastAsia="Times New Roman" w:hAnsi="Arial" w:cs="Arial"/>
          <w:sz w:val="20"/>
          <w:szCs w:val="20"/>
        </w:rPr>
        <w:t xml:space="preserve"> logframe only includes targets in Year 2 </w:t>
      </w:r>
      <w:r>
        <w:rPr>
          <w:rFonts w:ascii="Arial" w:eastAsia="Times New Roman" w:hAnsi="Arial" w:cs="Arial"/>
          <w:sz w:val="20"/>
          <w:szCs w:val="20"/>
        </w:rPr>
        <w:t xml:space="preserve">of Defra’s </w:t>
      </w:r>
      <w:r w:rsidRPr="00791A09">
        <w:rPr>
          <w:rFonts w:ascii="Arial" w:eastAsia="Times New Roman" w:hAnsi="Arial" w:cs="Arial"/>
          <w:sz w:val="20"/>
          <w:szCs w:val="20"/>
        </w:rPr>
        <w:t>25</w:t>
      </w:r>
      <w:r>
        <w:rPr>
          <w:rFonts w:ascii="Arial" w:eastAsia="Times New Roman" w:hAnsi="Arial" w:cs="Arial"/>
          <w:sz w:val="20"/>
          <w:szCs w:val="20"/>
        </w:rPr>
        <w:t>-</w:t>
      </w:r>
      <w:r w:rsidRPr="00791A09">
        <w:rPr>
          <w:rFonts w:ascii="Arial" w:eastAsia="Times New Roman" w:hAnsi="Arial" w:cs="Arial"/>
          <w:sz w:val="20"/>
          <w:szCs w:val="20"/>
        </w:rPr>
        <w:t>month investment</w:t>
      </w:r>
      <w:r>
        <w:rPr>
          <w:rFonts w:ascii="Arial" w:eastAsia="Times New Roman" w:hAnsi="Arial" w:cs="Arial"/>
          <w:sz w:val="20"/>
          <w:szCs w:val="20"/>
        </w:rPr>
        <w:t>,</w:t>
      </w:r>
      <w:r w:rsidRPr="00791A09">
        <w:rPr>
          <w:rFonts w:ascii="Arial" w:eastAsia="Times New Roman" w:hAnsi="Arial" w:cs="Arial"/>
          <w:sz w:val="20"/>
          <w:szCs w:val="20"/>
        </w:rPr>
        <w:t xml:space="preserve"> interim/illustrative results for the first year</w:t>
      </w:r>
      <w:r>
        <w:rPr>
          <w:rFonts w:ascii="Arial" w:eastAsia="Times New Roman" w:hAnsi="Arial" w:cs="Arial"/>
          <w:sz w:val="20"/>
          <w:szCs w:val="20"/>
        </w:rPr>
        <w:t xml:space="preserve"> demonstrate that many output indicator targets have already been met and indeed exceeded significantly. We will therefore adjust some Year 2 logframe output indicator targets to be more stretching. </w:t>
      </w:r>
    </w:p>
    <w:p w14:paraId="1E00C3C4" w14:textId="77777777" w:rsidR="000B1D0E" w:rsidRDefault="000B1D0E" w:rsidP="000B1D0E">
      <w:pPr>
        <w:spacing w:before="40" w:after="40" w:line="240" w:lineRule="auto"/>
        <w:jc w:val="both"/>
        <w:rPr>
          <w:rFonts w:ascii="Arial" w:eastAsia="Times New Roman" w:hAnsi="Arial" w:cs="Arial"/>
          <w:sz w:val="20"/>
          <w:szCs w:val="20"/>
        </w:rPr>
      </w:pPr>
    </w:p>
    <w:p w14:paraId="1E630781" w14:textId="77777777" w:rsidR="000B1D0E" w:rsidRPr="00791A09" w:rsidRDefault="000B1D0E" w:rsidP="000B1D0E">
      <w:pPr>
        <w:spacing w:before="40" w:after="40" w:line="240" w:lineRule="auto"/>
        <w:jc w:val="both"/>
        <w:rPr>
          <w:rFonts w:ascii="Arial" w:eastAsia="Times New Roman" w:hAnsi="Arial" w:cs="Arial"/>
          <w:sz w:val="20"/>
          <w:szCs w:val="20"/>
        </w:rPr>
      </w:pPr>
      <w:r w:rsidRPr="59C16147">
        <w:rPr>
          <w:rFonts w:ascii="Arial" w:eastAsia="Times New Roman" w:hAnsi="Arial" w:cs="Arial"/>
          <w:sz w:val="20"/>
          <w:szCs w:val="20"/>
        </w:rPr>
        <w:t>At the same time, several impact indicator targets have been revised down, one considerably (See Annex D). While descriptions of expected benefits and value for money (</w:t>
      </w:r>
      <w:proofErr w:type="spellStart"/>
      <w:r w:rsidRPr="59C16147">
        <w:rPr>
          <w:rFonts w:ascii="Arial" w:eastAsia="Times New Roman" w:hAnsi="Arial" w:cs="Arial"/>
          <w:sz w:val="20"/>
          <w:szCs w:val="20"/>
        </w:rPr>
        <w:t>VfM</w:t>
      </w:r>
      <w:proofErr w:type="spellEnd"/>
      <w:r w:rsidRPr="59C16147">
        <w:rPr>
          <w:rFonts w:ascii="Arial" w:eastAsia="Times New Roman" w:hAnsi="Arial" w:cs="Arial"/>
          <w:sz w:val="20"/>
          <w:szCs w:val="20"/>
        </w:rPr>
        <w:t>) in the business case addendum are high level and qualitative, and therefore difficult to rigorously assess, we consider an overall score of ‘</w:t>
      </w:r>
      <w:proofErr w:type="gramStart"/>
      <w:r w:rsidRPr="59C16147">
        <w:rPr>
          <w:rFonts w:ascii="Arial" w:eastAsia="Times New Roman" w:hAnsi="Arial" w:cs="Arial"/>
          <w:sz w:val="20"/>
          <w:szCs w:val="20"/>
        </w:rPr>
        <w:t>A</w:t>
      </w:r>
      <w:proofErr w:type="gramEnd"/>
      <w:r w:rsidRPr="59C16147">
        <w:rPr>
          <w:rFonts w:ascii="Arial" w:eastAsia="Times New Roman" w:hAnsi="Arial" w:cs="Arial"/>
          <w:sz w:val="20"/>
          <w:szCs w:val="20"/>
        </w:rPr>
        <w:t>’ is justified.  This is based on evidence of delivery of outputs and outcomes; the signs of good potential for replicating and scaling activities that are being piloted; the growing demand for Cities4Forest’s services from cities around the world; and the quality of the high-profile events they have hosted that have attracted significant attendance and engagement from stakeholders around the world.</w:t>
      </w:r>
    </w:p>
    <w:p w14:paraId="58239669" w14:textId="77777777" w:rsidR="000B1D0E" w:rsidRDefault="000B1D0E" w:rsidP="000B1D0E">
      <w:pPr>
        <w:spacing w:before="40" w:after="40" w:line="240" w:lineRule="auto"/>
        <w:jc w:val="both"/>
        <w:rPr>
          <w:rFonts w:ascii="Arial" w:eastAsia="Times New Roman" w:hAnsi="Arial" w:cs="Arial"/>
          <w:sz w:val="20"/>
          <w:szCs w:val="20"/>
        </w:rPr>
      </w:pPr>
    </w:p>
    <w:p w14:paraId="684E1CF9" w14:textId="77777777" w:rsidR="000B1D0E" w:rsidRDefault="000B1D0E" w:rsidP="000B1D0E">
      <w:pPr>
        <w:spacing w:before="40" w:after="40" w:line="240" w:lineRule="auto"/>
        <w:jc w:val="both"/>
        <w:rPr>
          <w:rFonts w:ascii="Arial" w:eastAsia="Times New Roman" w:hAnsi="Arial" w:cs="Arial"/>
          <w:sz w:val="20"/>
          <w:szCs w:val="20"/>
        </w:rPr>
      </w:pPr>
      <w:r>
        <w:rPr>
          <w:rFonts w:ascii="Arial" w:eastAsia="Times New Roman" w:hAnsi="Arial" w:cs="Arial"/>
          <w:sz w:val="20"/>
          <w:szCs w:val="20"/>
        </w:rPr>
        <w:t>Defra has also established a good partnership with the WRI</w:t>
      </w:r>
      <w:r w:rsidRPr="00791A09">
        <w:rPr>
          <w:rFonts w:ascii="Arial" w:eastAsia="Times New Roman" w:hAnsi="Arial" w:cs="Arial"/>
          <w:sz w:val="20"/>
          <w:szCs w:val="20"/>
        </w:rPr>
        <w:t xml:space="preserve"> Cities4Forests team</w:t>
      </w:r>
      <w:r>
        <w:rPr>
          <w:rFonts w:ascii="Arial" w:eastAsia="Times New Roman" w:hAnsi="Arial" w:cs="Arial"/>
          <w:sz w:val="20"/>
          <w:szCs w:val="20"/>
        </w:rPr>
        <w:t>, which</w:t>
      </w:r>
      <w:r w:rsidRPr="00791A09">
        <w:rPr>
          <w:rFonts w:ascii="Arial" w:eastAsia="Times New Roman" w:hAnsi="Arial" w:cs="Arial"/>
          <w:sz w:val="20"/>
          <w:szCs w:val="20"/>
        </w:rPr>
        <w:t xml:space="preserve"> has been proactive and helpful in meeting Defra’s needs</w:t>
      </w:r>
      <w:r>
        <w:rPr>
          <w:rFonts w:ascii="Arial" w:eastAsia="Times New Roman" w:hAnsi="Arial" w:cs="Arial"/>
          <w:sz w:val="20"/>
          <w:szCs w:val="20"/>
        </w:rPr>
        <w:t>,</w:t>
      </w:r>
      <w:r w:rsidRPr="00791A09">
        <w:rPr>
          <w:rFonts w:ascii="Arial" w:eastAsia="Times New Roman" w:hAnsi="Arial" w:cs="Arial"/>
          <w:sz w:val="20"/>
          <w:szCs w:val="20"/>
        </w:rPr>
        <w:t xml:space="preserve"> such as agreeing</w:t>
      </w:r>
      <w:r>
        <w:rPr>
          <w:rFonts w:ascii="Arial" w:eastAsia="Times New Roman" w:hAnsi="Arial" w:cs="Arial"/>
          <w:sz w:val="20"/>
          <w:szCs w:val="20"/>
        </w:rPr>
        <w:t xml:space="preserve"> on</w:t>
      </w:r>
      <w:r w:rsidRPr="00791A09">
        <w:rPr>
          <w:rFonts w:ascii="Arial" w:eastAsia="Times New Roman" w:hAnsi="Arial" w:cs="Arial"/>
          <w:sz w:val="20"/>
          <w:szCs w:val="20"/>
        </w:rPr>
        <w:t xml:space="preserve"> the </w:t>
      </w:r>
      <w:r>
        <w:rPr>
          <w:rFonts w:ascii="Arial" w:eastAsia="Times New Roman" w:hAnsi="Arial" w:cs="Arial"/>
          <w:sz w:val="20"/>
          <w:szCs w:val="20"/>
        </w:rPr>
        <w:t>p</w:t>
      </w:r>
      <w:r w:rsidRPr="00791A09">
        <w:rPr>
          <w:rFonts w:ascii="Arial" w:eastAsia="Times New Roman" w:hAnsi="Arial" w:cs="Arial"/>
          <w:sz w:val="20"/>
          <w:szCs w:val="20"/>
        </w:rPr>
        <w:t xml:space="preserve">rogramme logframe, early reporting and setting up regular </w:t>
      </w:r>
      <w:r>
        <w:rPr>
          <w:rFonts w:ascii="Arial" w:eastAsia="Times New Roman" w:hAnsi="Arial" w:cs="Arial"/>
          <w:sz w:val="20"/>
          <w:szCs w:val="20"/>
        </w:rPr>
        <w:t xml:space="preserve">and informative </w:t>
      </w:r>
      <w:r w:rsidRPr="00791A09">
        <w:rPr>
          <w:rFonts w:ascii="Arial" w:eastAsia="Times New Roman" w:hAnsi="Arial" w:cs="Arial"/>
          <w:sz w:val="20"/>
          <w:szCs w:val="20"/>
        </w:rPr>
        <w:t xml:space="preserve">programme management meetings. </w:t>
      </w:r>
    </w:p>
    <w:p w14:paraId="17BA6CB4" w14:textId="77777777" w:rsidR="000B1D0E" w:rsidRDefault="000B1D0E" w:rsidP="000B1D0E">
      <w:pPr>
        <w:spacing w:before="40" w:after="40" w:line="240" w:lineRule="auto"/>
        <w:jc w:val="both"/>
        <w:rPr>
          <w:rFonts w:ascii="Arial" w:eastAsia="Times New Roman" w:hAnsi="Arial" w:cs="Arial"/>
          <w:sz w:val="20"/>
          <w:szCs w:val="20"/>
        </w:rPr>
      </w:pPr>
    </w:p>
    <w:p w14:paraId="65E8EC9C" w14:textId="77777777" w:rsidR="000B1D0E" w:rsidRPr="00791A09" w:rsidRDefault="000B1D0E" w:rsidP="000B1D0E">
      <w:pPr>
        <w:spacing w:after="0" w:line="240" w:lineRule="auto"/>
        <w:jc w:val="both"/>
        <w:rPr>
          <w:rFonts w:ascii="Arial" w:eastAsia="Times New Roman" w:hAnsi="Arial" w:cs="Times New Roman"/>
          <w:sz w:val="20"/>
          <w:szCs w:val="20"/>
        </w:rPr>
      </w:pPr>
      <w:r w:rsidRPr="00791A09">
        <w:rPr>
          <w:rFonts w:ascii="Arial" w:eastAsia="Times New Roman" w:hAnsi="Arial" w:cs="Times New Roman"/>
          <w:sz w:val="20"/>
          <w:szCs w:val="20"/>
        </w:rPr>
        <w:t>There have not been any significant changes to the programme over the past year.  Cities4Forests has secured over US$2 million of complementary funding from over 10 donors worldwide this year, which will leverage Defra’s investment and enable Cities4Forests to accelerate, replicate and scale work.</w:t>
      </w:r>
    </w:p>
    <w:p w14:paraId="33CA17DB" w14:textId="77777777" w:rsidR="000B1D0E" w:rsidRDefault="000B1D0E" w:rsidP="000B1D0E">
      <w:pPr>
        <w:spacing w:before="40" w:after="40" w:line="240" w:lineRule="auto"/>
        <w:jc w:val="both"/>
        <w:rPr>
          <w:rFonts w:ascii="Arial" w:eastAsia="Times New Roman" w:hAnsi="Arial" w:cs="Arial"/>
          <w:sz w:val="20"/>
          <w:szCs w:val="20"/>
        </w:rPr>
      </w:pPr>
    </w:p>
    <w:p w14:paraId="6B01F7B6" w14:textId="77777777" w:rsidR="000B1D0E" w:rsidRDefault="000B1D0E" w:rsidP="000B1D0E">
      <w:pPr>
        <w:tabs>
          <w:tab w:val="left" w:pos="6915"/>
          <w:tab w:val="left" w:pos="9495"/>
        </w:tabs>
        <w:spacing w:after="0" w:line="240" w:lineRule="auto"/>
        <w:rPr>
          <w:rFonts w:ascii="Arial" w:eastAsia="Times New Roman" w:hAnsi="Arial" w:cs="Arial"/>
          <w:sz w:val="20"/>
          <w:szCs w:val="20"/>
        </w:rPr>
      </w:pPr>
      <w:r w:rsidRPr="00791A09">
        <w:rPr>
          <w:rFonts w:ascii="Arial" w:eastAsia="Times New Roman" w:hAnsi="Arial" w:cs="Times New Roman"/>
          <w:b/>
          <w:bCs/>
          <w:sz w:val="20"/>
          <w:szCs w:val="20"/>
        </w:rPr>
        <w:t xml:space="preserve">Major lessons and recommendations for the year ahead </w:t>
      </w:r>
    </w:p>
    <w:p w14:paraId="4588E213" w14:textId="77777777" w:rsidR="000B1D0E" w:rsidRPr="00791A09" w:rsidRDefault="000B1D0E" w:rsidP="000B1D0E">
      <w:pPr>
        <w:tabs>
          <w:tab w:val="left" w:pos="6915"/>
          <w:tab w:val="left" w:pos="9495"/>
        </w:tabs>
        <w:spacing w:after="0" w:line="240" w:lineRule="auto"/>
        <w:rPr>
          <w:rFonts w:ascii="Arial" w:eastAsia="Times New Roman" w:hAnsi="Arial" w:cs="Arial"/>
          <w:sz w:val="20"/>
          <w:szCs w:val="20"/>
        </w:rPr>
      </w:pPr>
    </w:p>
    <w:p w14:paraId="2F55CE8A" w14:textId="77777777" w:rsidR="000B1D0E" w:rsidRPr="00791A09" w:rsidRDefault="000B1D0E" w:rsidP="000B1D0E">
      <w:pPr>
        <w:numPr>
          <w:ilvl w:val="0"/>
          <w:numId w:val="3"/>
        </w:numPr>
        <w:tabs>
          <w:tab w:val="left" w:pos="6915"/>
          <w:tab w:val="left" w:pos="9495"/>
        </w:tabs>
        <w:spacing w:after="0" w:line="240" w:lineRule="auto"/>
        <w:contextualSpacing/>
        <w:jc w:val="both"/>
        <w:rPr>
          <w:rFonts w:ascii="Arial" w:eastAsia="Times New Roman" w:hAnsi="Arial" w:cs="Arial"/>
          <w:sz w:val="20"/>
          <w:szCs w:val="20"/>
        </w:rPr>
      </w:pPr>
      <w:r>
        <w:rPr>
          <w:rFonts w:ascii="Arial" w:eastAsia="Times New Roman" w:hAnsi="Arial" w:cs="Arial"/>
          <w:sz w:val="20"/>
          <w:szCs w:val="20"/>
        </w:rPr>
        <w:t xml:space="preserve">Programme management responsibility within Defra switched to a new team in mid-2022, which led to some discontinuity and there were some resource constraints. </w:t>
      </w:r>
      <w:r w:rsidRPr="00791A09">
        <w:rPr>
          <w:rFonts w:ascii="Arial" w:eastAsia="Times New Roman" w:hAnsi="Arial" w:cs="Times New Roman"/>
          <w:b/>
          <w:i/>
          <w:sz w:val="20"/>
          <w:szCs w:val="20"/>
        </w:rPr>
        <w:t xml:space="preserve">During Q4 of 2022/2023, Defra </w:t>
      </w:r>
      <w:r>
        <w:rPr>
          <w:rFonts w:ascii="Arial" w:eastAsia="Times New Roman" w:hAnsi="Arial" w:cs="Times New Roman"/>
          <w:b/>
          <w:i/>
          <w:sz w:val="20"/>
          <w:szCs w:val="20"/>
        </w:rPr>
        <w:t>has</w:t>
      </w:r>
      <w:r w:rsidRPr="00791A09">
        <w:rPr>
          <w:rFonts w:ascii="Arial" w:eastAsia="Times New Roman" w:hAnsi="Arial" w:cs="Times New Roman"/>
          <w:b/>
          <w:i/>
          <w:sz w:val="20"/>
          <w:szCs w:val="20"/>
        </w:rPr>
        <w:t xml:space="preserve"> </w:t>
      </w:r>
      <w:r w:rsidRPr="00791A09">
        <w:rPr>
          <w:rFonts w:ascii="Arial" w:eastAsia="Times New Roman" w:hAnsi="Arial" w:cs="Times New Roman"/>
          <w:b/>
          <w:bCs/>
          <w:i/>
          <w:iCs/>
          <w:sz w:val="20"/>
          <w:szCs w:val="20"/>
        </w:rPr>
        <w:t>complete</w:t>
      </w:r>
      <w:r>
        <w:rPr>
          <w:rFonts w:ascii="Arial" w:eastAsia="Times New Roman" w:hAnsi="Arial" w:cs="Times New Roman"/>
          <w:b/>
          <w:bCs/>
          <w:i/>
          <w:iCs/>
          <w:sz w:val="20"/>
          <w:szCs w:val="20"/>
        </w:rPr>
        <w:t>d</w:t>
      </w:r>
      <w:r w:rsidRPr="00791A09">
        <w:rPr>
          <w:rFonts w:ascii="Arial" w:eastAsia="Times New Roman" w:hAnsi="Arial" w:cs="Times New Roman"/>
          <w:b/>
          <w:bCs/>
          <w:i/>
          <w:iCs/>
          <w:sz w:val="20"/>
          <w:szCs w:val="20"/>
        </w:rPr>
        <w:t xml:space="preserve"> the process of bringing programme management </w:t>
      </w:r>
      <w:r>
        <w:rPr>
          <w:rFonts w:ascii="Arial" w:eastAsia="Times New Roman" w:hAnsi="Arial" w:cs="Times New Roman"/>
          <w:b/>
          <w:bCs/>
          <w:i/>
          <w:iCs/>
          <w:sz w:val="20"/>
          <w:szCs w:val="20"/>
        </w:rPr>
        <w:t xml:space="preserve">up to date </w:t>
      </w:r>
      <w:r w:rsidRPr="00791A09">
        <w:rPr>
          <w:rFonts w:ascii="Arial" w:eastAsia="Times New Roman" w:hAnsi="Arial" w:cs="Times New Roman"/>
          <w:b/>
          <w:bCs/>
          <w:i/>
          <w:iCs/>
          <w:sz w:val="20"/>
          <w:szCs w:val="20"/>
        </w:rPr>
        <w:t xml:space="preserve">with our standard practices. </w:t>
      </w:r>
      <w:r w:rsidRPr="00791A09">
        <w:rPr>
          <w:rFonts w:ascii="Arial" w:eastAsia="Times New Roman" w:hAnsi="Arial" w:cs="Times New Roman"/>
          <w:sz w:val="20"/>
          <w:szCs w:val="20"/>
        </w:rPr>
        <w:t xml:space="preserve"> </w:t>
      </w:r>
    </w:p>
    <w:p w14:paraId="09E16398" w14:textId="77777777" w:rsidR="000B1D0E" w:rsidRPr="00791A09" w:rsidRDefault="000B1D0E" w:rsidP="000B1D0E">
      <w:pPr>
        <w:numPr>
          <w:ilvl w:val="0"/>
          <w:numId w:val="3"/>
        </w:numPr>
        <w:tabs>
          <w:tab w:val="left" w:pos="6915"/>
          <w:tab w:val="left" w:pos="9495"/>
        </w:tabs>
        <w:spacing w:after="0" w:line="240" w:lineRule="auto"/>
        <w:contextualSpacing/>
        <w:jc w:val="both"/>
        <w:rPr>
          <w:rFonts w:ascii="Arial" w:eastAsia="Times New Roman" w:hAnsi="Arial" w:cs="Arial"/>
          <w:sz w:val="20"/>
          <w:szCs w:val="20"/>
        </w:rPr>
      </w:pPr>
      <w:r w:rsidRPr="00791A09">
        <w:rPr>
          <w:rFonts w:ascii="Arial" w:eastAsia="Times New Roman" w:hAnsi="Arial" w:cs="Arial"/>
          <w:sz w:val="20"/>
          <w:szCs w:val="20"/>
        </w:rPr>
        <w:t xml:space="preserve">Early illustrative reporting shows that some Year 2 logframe targets </w:t>
      </w:r>
      <w:r>
        <w:rPr>
          <w:rFonts w:ascii="Arial" w:eastAsia="Times New Roman" w:hAnsi="Arial" w:cs="Arial"/>
          <w:sz w:val="20"/>
          <w:szCs w:val="20"/>
        </w:rPr>
        <w:t xml:space="preserve">have </w:t>
      </w:r>
      <w:r w:rsidRPr="00791A09">
        <w:rPr>
          <w:rFonts w:ascii="Arial" w:eastAsia="Times New Roman" w:hAnsi="Arial" w:cs="Arial"/>
          <w:sz w:val="20"/>
          <w:szCs w:val="20"/>
        </w:rPr>
        <w:t xml:space="preserve">already been exceeded in Year 1. </w:t>
      </w:r>
      <w:r w:rsidRPr="00791A09">
        <w:rPr>
          <w:rFonts w:ascii="Arial" w:eastAsia="Times New Roman" w:hAnsi="Arial" w:cs="Arial"/>
          <w:b/>
          <w:bCs/>
          <w:i/>
          <w:iCs/>
          <w:sz w:val="20"/>
          <w:szCs w:val="20"/>
        </w:rPr>
        <w:t xml:space="preserve">By end of Q4, Cities4Forests and Defra </w:t>
      </w:r>
      <w:r>
        <w:rPr>
          <w:rFonts w:ascii="Arial" w:eastAsia="Times New Roman" w:hAnsi="Arial" w:cs="Arial"/>
          <w:b/>
          <w:bCs/>
          <w:i/>
          <w:iCs/>
          <w:sz w:val="20"/>
          <w:szCs w:val="20"/>
        </w:rPr>
        <w:t>have</w:t>
      </w:r>
      <w:r w:rsidRPr="00791A09">
        <w:rPr>
          <w:rFonts w:ascii="Arial" w:eastAsia="Times New Roman" w:hAnsi="Arial" w:cs="Arial"/>
          <w:b/>
          <w:bCs/>
          <w:i/>
          <w:iCs/>
          <w:sz w:val="20"/>
          <w:szCs w:val="20"/>
        </w:rPr>
        <w:t xml:space="preserve"> revise</w:t>
      </w:r>
      <w:r>
        <w:rPr>
          <w:rFonts w:ascii="Arial" w:eastAsia="Times New Roman" w:hAnsi="Arial" w:cs="Arial"/>
          <w:b/>
          <w:bCs/>
          <w:i/>
          <w:iCs/>
          <w:sz w:val="20"/>
          <w:szCs w:val="20"/>
        </w:rPr>
        <w:t>d the</w:t>
      </w:r>
      <w:r w:rsidRPr="00791A09">
        <w:rPr>
          <w:rFonts w:ascii="Arial" w:eastAsia="Times New Roman" w:hAnsi="Arial" w:cs="Arial"/>
          <w:b/>
          <w:bCs/>
          <w:i/>
          <w:iCs/>
          <w:sz w:val="20"/>
          <w:szCs w:val="20"/>
        </w:rPr>
        <w:t xml:space="preserve"> logframe including </w:t>
      </w:r>
      <w:r>
        <w:rPr>
          <w:rFonts w:ascii="Arial" w:eastAsia="Times New Roman" w:hAnsi="Arial" w:cs="Arial"/>
          <w:b/>
          <w:bCs/>
          <w:i/>
          <w:iCs/>
          <w:sz w:val="20"/>
          <w:szCs w:val="20"/>
        </w:rPr>
        <w:t xml:space="preserve">making some </w:t>
      </w:r>
      <w:r w:rsidRPr="00791A09">
        <w:rPr>
          <w:rFonts w:ascii="Arial" w:eastAsia="Times New Roman" w:hAnsi="Arial" w:cs="Arial"/>
          <w:b/>
          <w:bCs/>
          <w:i/>
          <w:iCs/>
          <w:sz w:val="20"/>
          <w:szCs w:val="20"/>
        </w:rPr>
        <w:t xml:space="preserve">Year 2 targets </w:t>
      </w:r>
      <w:r>
        <w:rPr>
          <w:rFonts w:ascii="Arial" w:eastAsia="Times New Roman" w:hAnsi="Arial" w:cs="Arial"/>
          <w:b/>
          <w:bCs/>
          <w:i/>
          <w:iCs/>
          <w:sz w:val="20"/>
          <w:szCs w:val="20"/>
        </w:rPr>
        <w:t>more stretching (Annex D includes revisions to logframe)</w:t>
      </w:r>
      <w:r w:rsidRPr="00791A09">
        <w:rPr>
          <w:rFonts w:ascii="Arial" w:eastAsia="Times New Roman" w:hAnsi="Arial" w:cs="Arial"/>
          <w:b/>
          <w:bCs/>
          <w:i/>
          <w:iCs/>
          <w:sz w:val="20"/>
          <w:szCs w:val="20"/>
        </w:rPr>
        <w:t>.</w:t>
      </w:r>
      <w:r w:rsidRPr="00791A09">
        <w:rPr>
          <w:rFonts w:ascii="Arial" w:eastAsia="Times New Roman" w:hAnsi="Arial" w:cs="Arial"/>
          <w:sz w:val="20"/>
          <w:szCs w:val="20"/>
        </w:rPr>
        <w:t xml:space="preserve"> </w:t>
      </w:r>
    </w:p>
    <w:p w14:paraId="26B6816E" w14:textId="77777777" w:rsidR="000B1D0E" w:rsidRPr="00791A09" w:rsidRDefault="000B1D0E" w:rsidP="000B1D0E">
      <w:pPr>
        <w:numPr>
          <w:ilvl w:val="0"/>
          <w:numId w:val="3"/>
        </w:numPr>
        <w:tabs>
          <w:tab w:val="left" w:pos="6915"/>
          <w:tab w:val="left" w:pos="9495"/>
        </w:tabs>
        <w:spacing w:after="0" w:line="240" w:lineRule="auto"/>
        <w:contextualSpacing/>
        <w:jc w:val="both"/>
        <w:rPr>
          <w:rFonts w:ascii="Arial" w:eastAsia="Times New Roman" w:hAnsi="Arial" w:cs="Arial"/>
          <w:sz w:val="20"/>
          <w:szCs w:val="20"/>
        </w:rPr>
      </w:pPr>
      <w:r w:rsidRPr="00791A09">
        <w:rPr>
          <w:rFonts w:ascii="Arial" w:eastAsia="Times New Roman" w:hAnsi="Arial" w:cs="Times New Roman"/>
          <w:sz w:val="20"/>
          <w:szCs w:val="20"/>
          <w:lang w:eastAsia="en-GB"/>
        </w:rPr>
        <w:t xml:space="preserve">Defra has already had some interest from other related programmes across Whitehall and from country Posts where there is related ICF/ODA programming.  </w:t>
      </w:r>
      <w:r w:rsidRPr="00791A09">
        <w:rPr>
          <w:rFonts w:ascii="Arial" w:eastAsia="Times New Roman" w:hAnsi="Arial" w:cs="Arial"/>
          <w:b/>
          <w:i/>
          <w:sz w:val="20"/>
          <w:szCs w:val="20"/>
        </w:rPr>
        <w:t>Cities4Forests</w:t>
      </w:r>
      <w:r w:rsidRPr="00791A09">
        <w:rPr>
          <w:rFonts w:ascii="Arial" w:eastAsia="Times New Roman" w:hAnsi="Arial" w:cs="Times New Roman"/>
          <w:b/>
          <w:i/>
          <w:sz w:val="20"/>
          <w:szCs w:val="20"/>
          <w:lang w:eastAsia="en-GB"/>
        </w:rPr>
        <w:t xml:space="preserve"> and Defra </w:t>
      </w:r>
      <w:proofErr w:type="gramStart"/>
      <w:r>
        <w:rPr>
          <w:rFonts w:ascii="Arial" w:eastAsia="Times New Roman" w:hAnsi="Arial" w:cs="Times New Roman"/>
          <w:b/>
          <w:i/>
          <w:sz w:val="20"/>
          <w:szCs w:val="20"/>
          <w:lang w:eastAsia="en-GB"/>
        </w:rPr>
        <w:t>have</w:t>
      </w:r>
      <w:r w:rsidRPr="00791A09">
        <w:rPr>
          <w:rFonts w:ascii="Arial" w:eastAsia="Times New Roman" w:hAnsi="Arial" w:cs="Times New Roman"/>
          <w:b/>
          <w:i/>
          <w:sz w:val="20"/>
          <w:szCs w:val="20"/>
          <w:lang w:eastAsia="en-GB"/>
        </w:rPr>
        <w:t xml:space="preserve">  work</w:t>
      </w:r>
      <w:r>
        <w:rPr>
          <w:rFonts w:ascii="Arial" w:eastAsia="Times New Roman" w:hAnsi="Arial" w:cs="Times New Roman"/>
          <w:b/>
          <w:i/>
          <w:sz w:val="20"/>
          <w:szCs w:val="20"/>
          <w:lang w:eastAsia="en-GB"/>
        </w:rPr>
        <w:t>ed</w:t>
      </w:r>
      <w:proofErr w:type="gramEnd"/>
      <w:r w:rsidRPr="00791A09">
        <w:rPr>
          <w:rFonts w:ascii="Arial" w:eastAsia="Times New Roman" w:hAnsi="Arial" w:cs="Times New Roman"/>
          <w:b/>
          <w:i/>
          <w:sz w:val="20"/>
          <w:szCs w:val="20"/>
          <w:lang w:eastAsia="en-GB"/>
        </w:rPr>
        <w:t xml:space="preserve"> in Q4 of FY 2022/2023 to develop a plan for </w:t>
      </w:r>
      <w:r>
        <w:rPr>
          <w:rFonts w:ascii="Arial" w:eastAsia="Times New Roman" w:hAnsi="Arial" w:cs="Times New Roman"/>
          <w:b/>
          <w:i/>
          <w:sz w:val="20"/>
          <w:szCs w:val="20"/>
          <w:lang w:eastAsia="en-GB"/>
        </w:rPr>
        <w:t>increasing  engagement on Cities4Forests, disseminating best practice and learning and creating opportunities for collaboration with other programmes</w:t>
      </w:r>
      <w:r w:rsidRPr="00791A09">
        <w:rPr>
          <w:rFonts w:ascii="Arial" w:eastAsia="Times New Roman" w:hAnsi="Arial" w:cs="Times New Roman"/>
          <w:b/>
          <w:i/>
          <w:sz w:val="20"/>
          <w:szCs w:val="20"/>
          <w:lang w:eastAsia="en-GB"/>
        </w:rPr>
        <w:t>.</w:t>
      </w:r>
    </w:p>
    <w:p w14:paraId="4290302D" w14:textId="77777777" w:rsidR="000B1D0E" w:rsidRPr="00791A09" w:rsidRDefault="000B1D0E" w:rsidP="000B1D0E">
      <w:pPr>
        <w:pStyle w:val="ListParagraph"/>
        <w:numPr>
          <w:ilvl w:val="0"/>
          <w:numId w:val="3"/>
        </w:numPr>
        <w:tabs>
          <w:tab w:val="left" w:pos="6915"/>
          <w:tab w:val="left" w:pos="9495"/>
        </w:tabs>
        <w:spacing w:after="0" w:line="240" w:lineRule="auto"/>
        <w:jc w:val="both"/>
        <w:rPr>
          <w:rFonts w:ascii="Arial" w:eastAsia="Times New Roman" w:hAnsi="Arial" w:cs="Times New Roman"/>
          <w:sz w:val="20"/>
          <w:szCs w:val="20"/>
          <w:lang w:eastAsia="en-GB"/>
        </w:rPr>
      </w:pPr>
      <w:r>
        <w:rPr>
          <w:rFonts w:ascii="Arial" w:eastAsia="Times New Roman" w:hAnsi="Arial" w:cs="Times New Roman"/>
          <w:sz w:val="20"/>
          <w:szCs w:val="20"/>
          <w:lang w:eastAsia="en-GB"/>
        </w:rPr>
        <w:t xml:space="preserve">The Defra team should familiarise themselves more closely with Cities4Forests implementation, including through field visits, to improve their monitoring and understanding of the programme, and the potential synergies and learning for other UK ODA investments.  </w:t>
      </w:r>
    </w:p>
    <w:p w14:paraId="309518AC" w14:textId="77777777" w:rsidR="000B1D0E" w:rsidRPr="00F42F67" w:rsidRDefault="000B1D0E" w:rsidP="000B1D0E">
      <w:pPr>
        <w:pStyle w:val="ListParagraph"/>
        <w:numPr>
          <w:ilvl w:val="0"/>
          <w:numId w:val="3"/>
        </w:numPr>
        <w:rPr>
          <w:rFonts w:ascii="Arial" w:eastAsia="Times New Roman" w:hAnsi="Arial" w:cs="Times New Roman"/>
          <w:sz w:val="20"/>
          <w:szCs w:val="20"/>
          <w:lang w:eastAsia="en-GB"/>
        </w:rPr>
      </w:pPr>
      <w:r w:rsidRPr="00F42F67">
        <w:rPr>
          <w:rFonts w:ascii="Arial" w:eastAsia="Times New Roman" w:hAnsi="Arial" w:cs="Times New Roman"/>
          <w:sz w:val="20"/>
          <w:szCs w:val="20"/>
          <w:lang w:eastAsia="en-GB"/>
        </w:rPr>
        <w:t xml:space="preserve">Defra/WRI </w:t>
      </w:r>
      <w:r>
        <w:rPr>
          <w:rFonts w:ascii="Arial" w:eastAsia="Times New Roman" w:hAnsi="Arial" w:cs="Times New Roman"/>
          <w:sz w:val="20"/>
          <w:szCs w:val="20"/>
          <w:lang w:eastAsia="en-GB"/>
        </w:rPr>
        <w:t>to</w:t>
      </w:r>
      <w:r w:rsidRPr="00F42F67">
        <w:rPr>
          <w:rFonts w:ascii="Arial" w:eastAsia="Times New Roman" w:hAnsi="Arial" w:cs="Times New Roman"/>
          <w:sz w:val="20"/>
          <w:szCs w:val="20"/>
          <w:lang w:eastAsia="en-GB"/>
        </w:rPr>
        <w:t xml:space="preserve"> discuss any lessons learnt, evidence sharing, and any positive and negative feedback/complaints from stakeholders</w:t>
      </w:r>
      <w:r>
        <w:rPr>
          <w:rFonts w:ascii="Arial" w:eastAsia="Times New Roman" w:hAnsi="Arial" w:cs="Times New Roman"/>
          <w:sz w:val="20"/>
          <w:szCs w:val="20"/>
          <w:lang w:eastAsia="en-GB"/>
        </w:rPr>
        <w:t xml:space="preserve"> at quarterly PMRG meetings</w:t>
      </w:r>
      <w:r w:rsidRPr="00F42F67">
        <w:rPr>
          <w:rFonts w:ascii="Arial" w:eastAsia="Times New Roman" w:hAnsi="Arial" w:cs="Times New Roman"/>
          <w:sz w:val="20"/>
          <w:szCs w:val="20"/>
          <w:lang w:eastAsia="en-GB"/>
        </w:rPr>
        <w:t>.</w:t>
      </w:r>
    </w:p>
    <w:p w14:paraId="62E04EA8" w14:textId="77777777" w:rsidR="000B1D0E" w:rsidRPr="00791A09" w:rsidRDefault="000B1D0E" w:rsidP="000B1D0E">
      <w:pPr>
        <w:tabs>
          <w:tab w:val="left" w:pos="6915"/>
          <w:tab w:val="left" w:pos="9495"/>
        </w:tabs>
        <w:spacing w:after="0" w:line="240" w:lineRule="auto"/>
        <w:contextualSpacing/>
        <w:jc w:val="both"/>
        <w:rPr>
          <w:rFonts w:ascii="Arial" w:eastAsia="Times New Roman" w:hAnsi="Arial" w:cs="Times New Roman"/>
          <w:sz w:val="20"/>
          <w:szCs w:val="20"/>
          <w:lang w:eastAsia="en-GB"/>
        </w:rPr>
      </w:pPr>
    </w:p>
    <w:p w14:paraId="52366A82" w14:textId="77777777" w:rsidR="000B1D0E" w:rsidRPr="00791A09" w:rsidRDefault="000B1D0E" w:rsidP="000B1D0E">
      <w:pPr>
        <w:pBdr>
          <w:top w:val="single" w:sz="4" w:space="1" w:color="auto"/>
          <w:left w:val="single" w:sz="4" w:space="4" w:color="auto"/>
          <w:bottom w:val="single" w:sz="4" w:space="1" w:color="auto"/>
          <w:right w:val="single" w:sz="4" w:space="4" w:color="auto"/>
        </w:pBdr>
        <w:shd w:val="clear" w:color="auto" w:fill="D9E2F3" w:themeFill="accent1" w:themeFillTint="33"/>
        <w:spacing w:after="0" w:line="240" w:lineRule="auto"/>
        <w:outlineLvl w:val="1"/>
        <w:rPr>
          <w:rFonts w:ascii="Arial" w:eastAsia="Times New Roman" w:hAnsi="Arial" w:cs="Times New Roman"/>
          <w:kern w:val="28"/>
          <w:sz w:val="20"/>
          <w:szCs w:val="20"/>
        </w:rPr>
      </w:pPr>
      <w:r w:rsidRPr="00791A09">
        <w:rPr>
          <w:rFonts w:ascii="Arial" w:eastAsia="Times New Roman" w:hAnsi="Arial" w:cs="Times New Roman"/>
          <w:b/>
          <w:kern w:val="28"/>
          <w:sz w:val="20"/>
          <w:szCs w:val="20"/>
        </w:rPr>
        <w:t xml:space="preserve">B: THEORY OF CHANGE AND PROGRESS TOWARDS OUTCOMES </w:t>
      </w:r>
    </w:p>
    <w:p w14:paraId="0CA0D126" w14:textId="77777777" w:rsidR="000B1D0E" w:rsidRPr="00BA534C" w:rsidRDefault="000B1D0E" w:rsidP="000B1D0E">
      <w:pPr>
        <w:spacing w:after="0" w:line="240" w:lineRule="auto"/>
        <w:rPr>
          <w:rFonts w:ascii="Arial" w:eastAsia="Times New Roman" w:hAnsi="Arial" w:cs="Arial"/>
          <w:b/>
          <w:sz w:val="20"/>
          <w:szCs w:val="20"/>
        </w:rPr>
      </w:pPr>
    </w:p>
    <w:p w14:paraId="10846311" w14:textId="1F653F79" w:rsidR="000B1D0E" w:rsidRPr="00791A09" w:rsidRDefault="000B1D0E" w:rsidP="000B1D0E">
      <w:pPr>
        <w:spacing w:after="0" w:line="240" w:lineRule="auto"/>
        <w:rPr>
          <w:rFonts w:ascii="Arial" w:eastAsia="Times New Roman" w:hAnsi="Arial" w:cs="Arial"/>
          <w:sz w:val="20"/>
          <w:szCs w:val="20"/>
        </w:rPr>
      </w:pPr>
      <w:r w:rsidRPr="00BA534C">
        <w:rPr>
          <w:rFonts w:ascii="Arial" w:eastAsia="Times New Roman" w:hAnsi="Arial" w:cs="Arial"/>
          <w:b/>
          <w:bCs/>
          <w:sz w:val="20"/>
          <w:szCs w:val="20"/>
        </w:rPr>
        <w:t xml:space="preserve">Summarise the programme’s theory of change, </w:t>
      </w:r>
      <w:r w:rsidRPr="00791A09">
        <w:rPr>
          <w:rFonts w:ascii="Arial" w:eastAsia="Times New Roman" w:hAnsi="Arial" w:cs="Arial"/>
          <w:b/>
          <w:bCs/>
          <w:sz w:val="20"/>
          <w:szCs w:val="20"/>
        </w:rPr>
        <w:t xml:space="preserve">including any changes to outcome and impact indicators from the original business </w:t>
      </w:r>
      <w:proofErr w:type="gramStart"/>
      <w:r w:rsidRPr="00791A09">
        <w:rPr>
          <w:rFonts w:ascii="Arial" w:eastAsia="Times New Roman" w:hAnsi="Arial" w:cs="Arial"/>
          <w:b/>
          <w:bCs/>
          <w:sz w:val="20"/>
          <w:szCs w:val="20"/>
        </w:rPr>
        <w:t>case</w:t>
      </w:r>
      <w:proofErr w:type="gramEnd"/>
    </w:p>
    <w:p w14:paraId="41D948DC" w14:textId="77777777" w:rsidR="000B1D0E" w:rsidRPr="00791A09" w:rsidRDefault="000B1D0E" w:rsidP="000B1D0E">
      <w:pPr>
        <w:spacing w:after="0" w:line="240" w:lineRule="auto"/>
        <w:jc w:val="both"/>
        <w:rPr>
          <w:rFonts w:ascii="Arial" w:eastAsia="Times New Roman" w:hAnsi="Arial" w:cs="Arial"/>
          <w:sz w:val="20"/>
          <w:szCs w:val="20"/>
        </w:rPr>
      </w:pPr>
      <w:r w:rsidRPr="00791A09">
        <w:rPr>
          <w:rFonts w:ascii="Arial" w:eastAsia="Times New Roman" w:hAnsi="Arial" w:cs="Arial"/>
          <w:sz w:val="20"/>
          <w:szCs w:val="20"/>
        </w:rPr>
        <w:t xml:space="preserve">Cities4Forests have developed </w:t>
      </w:r>
      <w:r>
        <w:rPr>
          <w:rFonts w:ascii="Arial" w:eastAsia="Times New Roman" w:hAnsi="Arial" w:cs="Arial"/>
          <w:sz w:val="20"/>
          <w:szCs w:val="20"/>
        </w:rPr>
        <w:t xml:space="preserve">a </w:t>
      </w:r>
      <w:r w:rsidRPr="00791A09">
        <w:rPr>
          <w:rFonts w:ascii="Arial" w:eastAsia="Times New Roman" w:hAnsi="Arial" w:cs="Arial"/>
          <w:sz w:val="20"/>
          <w:szCs w:val="20"/>
        </w:rPr>
        <w:t xml:space="preserve">theory of change (see Annex A) that is structured around the three pillars of the programme, a) political action and engagement b) technical assistance and capacity and c) economic analysis, </w:t>
      </w:r>
      <w:proofErr w:type="gramStart"/>
      <w:r w:rsidRPr="00791A09">
        <w:rPr>
          <w:rFonts w:ascii="Arial" w:eastAsia="Times New Roman" w:hAnsi="Arial" w:cs="Arial"/>
          <w:sz w:val="20"/>
          <w:szCs w:val="20"/>
        </w:rPr>
        <w:t>finance</w:t>
      </w:r>
      <w:proofErr w:type="gramEnd"/>
      <w:r w:rsidRPr="00791A09">
        <w:rPr>
          <w:rFonts w:ascii="Arial" w:eastAsia="Times New Roman" w:hAnsi="Arial" w:cs="Arial"/>
          <w:sz w:val="20"/>
          <w:szCs w:val="20"/>
        </w:rPr>
        <w:t xml:space="preserve"> and investment. The overall impact is increased forest and nature protection / restoration and associated equitable benefits for people, climate, and biodiversity, achieved as cities’ </w:t>
      </w:r>
      <w:proofErr w:type="gramStart"/>
      <w:r>
        <w:rPr>
          <w:rFonts w:ascii="Arial" w:eastAsia="Times New Roman" w:hAnsi="Arial" w:cs="Arial"/>
          <w:sz w:val="20"/>
          <w:szCs w:val="20"/>
        </w:rPr>
        <w:t>nature based</w:t>
      </w:r>
      <w:proofErr w:type="gramEnd"/>
      <w:r>
        <w:rPr>
          <w:rFonts w:ascii="Arial" w:eastAsia="Times New Roman" w:hAnsi="Arial" w:cs="Arial"/>
          <w:sz w:val="20"/>
          <w:szCs w:val="20"/>
        </w:rPr>
        <w:t xml:space="preserve"> solutions (</w:t>
      </w:r>
      <w:proofErr w:type="spellStart"/>
      <w:r w:rsidRPr="00791A09">
        <w:rPr>
          <w:rFonts w:ascii="Arial" w:eastAsia="Times New Roman" w:hAnsi="Arial" w:cs="Arial"/>
          <w:sz w:val="20"/>
          <w:szCs w:val="20"/>
        </w:rPr>
        <w:t>NbS</w:t>
      </w:r>
      <w:proofErr w:type="spellEnd"/>
      <w:r>
        <w:rPr>
          <w:rFonts w:ascii="Arial" w:eastAsia="Times New Roman" w:hAnsi="Arial" w:cs="Arial"/>
          <w:sz w:val="20"/>
          <w:szCs w:val="20"/>
        </w:rPr>
        <w:t>)</w:t>
      </w:r>
      <w:r w:rsidRPr="00791A09">
        <w:rPr>
          <w:rFonts w:ascii="Arial" w:eastAsia="Times New Roman" w:hAnsi="Arial" w:cs="Arial"/>
          <w:sz w:val="20"/>
          <w:szCs w:val="20"/>
        </w:rPr>
        <w:t xml:space="preserve"> projects are supported by greater investment, improved policies, enhanced capacity, and increased national government support.  </w:t>
      </w:r>
    </w:p>
    <w:p w14:paraId="47CCF6EA" w14:textId="77777777" w:rsidR="000B1D0E" w:rsidRPr="00791A09" w:rsidRDefault="000B1D0E" w:rsidP="000B1D0E">
      <w:pPr>
        <w:spacing w:after="0" w:line="240" w:lineRule="auto"/>
        <w:jc w:val="both"/>
        <w:rPr>
          <w:rFonts w:ascii="Arial" w:eastAsia="Times New Roman" w:hAnsi="Arial" w:cs="Arial"/>
          <w:sz w:val="20"/>
          <w:szCs w:val="20"/>
        </w:rPr>
      </w:pPr>
    </w:p>
    <w:p w14:paraId="1D29446E" w14:textId="77777777" w:rsidR="000B1D0E" w:rsidRPr="00791A09" w:rsidRDefault="000B1D0E" w:rsidP="000B1D0E">
      <w:pPr>
        <w:spacing w:after="0" w:line="240" w:lineRule="auto"/>
        <w:jc w:val="both"/>
        <w:rPr>
          <w:rFonts w:ascii="Arial" w:eastAsia="Times New Roman" w:hAnsi="Arial" w:cs="Arial"/>
          <w:sz w:val="20"/>
          <w:szCs w:val="20"/>
        </w:rPr>
      </w:pPr>
      <w:r w:rsidRPr="00791A09">
        <w:rPr>
          <w:rFonts w:ascii="Arial" w:eastAsia="Times New Roman" w:hAnsi="Arial" w:cs="Arial"/>
          <w:sz w:val="20"/>
          <w:szCs w:val="20"/>
        </w:rPr>
        <w:t xml:space="preserve">Long term outcomes focus on protecting, </w:t>
      </w:r>
      <w:proofErr w:type="gramStart"/>
      <w:r w:rsidRPr="00791A09">
        <w:rPr>
          <w:rFonts w:ascii="Arial" w:eastAsia="Times New Roman" w:hAnsi="Arial" w:cs="Arial"/>
          <w:sz w:val="20"/>
          <w:szCs w:val="20"/>
        </w:rPr>
        <w:t>conserving</w:t>
      </w:r>
      <w:proofErr w:type="gramEnd"/>
      <w:r w:rsidRPr="00791A09">
        <w:rPr>
          <w:rFonts w:ascii="Arial" w:eastAsia="Times New Roman" w:hAnsi="Arial" w:cs="Arial"/>
          <w:sz w:val="20"/>
          <w:szCs w:val="20"/>
        </w:rPr>
        <w:t xml:space="preserve"> and restoring forests and natural systems through policy development, mainstreaming </w:t>
      </w:r>
      <w:proofErr w:type="spellStart"/>
      <w:r w:rsidRPr="00791A09">
        <w:rPr>
          <w:rFonts w:ascii="Arial" w:eastAsia="Times New Roman" w:hAnsi="Arial" w:cs="Arial"/>
          <w:sz w:val="20"/>
          <w:szCs w:val="20"/>
        </w:rPr>
        <w:t>NbS</w:t>
      </w:r>
      <w:proofErr w:type="spellEnd"/>
      <w:r w:rsidRPr="00791A09">
        <w:rPr>
          <w:rFonts w:ascii="Arial" w:eastAsia="Times New Roman" w:hAnsi="Arial" w:cs="Arial"/>
          <w:sz w:val="20"/>
          <w:szCs w:val="20"/>
        </w:rPr>
        <w:t xml:space="preserve"> projects in response to infrastructure challenges, securing long-term finance and getting funders to incorporate </w:t>
      </w:r>
      <w:proofErr w:type="spellStart"/>
      <w:r w:rsidRPr="00791A09">
        <w:rPr>
          <w:rFonts w:ascii="Arial" w:eastAsia="Times New Roman" w:hAnsi="Arial" w:cs="Arial"/>
          <w:sz w:val="20"/>
          <w:szCs w:val="20"/>
        </w:rPr>
        <w:t>NbS</w:t>
      </w:r>
      <w:proofErr w:type="spellEnd"/>
      <w:r w:rsidRPr="00791A09">
        <w:rPr>
          <w:rFonts w:ascii="Arial" w:eastAsia="Times New Roman" w:hAnsi="Arial" w:cs="Arial"/>
          <w:sz w:val="20"/>
          <w:szCs w:val="20"/>
        </w:rPr>
        <w:t xml:space="preserve"> into their investment models, all while maximising human benefits in a way that addresses gender and social equity concerns. Outcomes and outputs are centred around increased mayoral leadership, city-led participation, communities of practice for knowledge-sharing, sustainable business models, improved </w:t>
      </w:r>
      <w:proofErr w:type="gramStart"/>
      <w:r w:rsidRPr="00791A09">
        <w:rPr>
          <w:rFonts w:ascii="Arial" w:eastAsia="Times New Roman" w:hAnsi="Arial" w:cs="Arial"/>
          <w:sz w:val="20"/>
          <w:szCs w:val="20"/>
        </w:rPr>
        <w:t>tools</w:t>
      </w:r>
      <w:proofErr w:type="gramEnd"/>
      <w:r w:rsidRPr="00791A09">
        <w:rPr>
          <w:rFonts w:ascii="Arial" w:eastAsia="Times New Roman" w:hAnsi="Arial" w:cs="Arial"/>
          <w:sz w:val="20"/>
          <w:szCs w:val="20"/>
        </w:rPr>
        <w:t xml:space="preserve"> and evidence to quantify benefits of </w:t>
      </w:r>
      <w:proofErr w:type="spellStart"/>
      <w:r w:rsidRPr="00791A09">
        <w:rPr>
          <w:rFonts w:ascii="Arial" w:eastAsia="Times New Roman" w:hAnsi="Arial" w:cs="Arial"/>
          <w:sz w:val="20"/>
          <w:szCs w:val="20"/>
        </w:rPr>
        <w:t>NbS</w:t>
      </w:r>
      <w:proofErr w:type="spellEnd"/>
      <w:r w:rsidRPr="00791A09">
        <w:rPr>
          <w:rFonts w:ascii="Arial" w:eastAsia="Times New Roman" w:hAnsi="Arial" w:cs="Arial"/>
          <w:sz w:val="20"/>
          <w:szCs w:val="20"/>
        </w:rPr>
        <w:t xml:space="preserve"> and to support urban planning and investment, and investment-ready business cases which over time will create a pipeline of investment-ready </w:t>
      </w:r>
      <w:proofErr w:type="spellStart"/>
      <w:r w:rsidRPr="00791A09">
        <w:rPr>
          <w:rFonts w:ascii="Arial" w:eastAsia="Times New Roman" w:hAnsi="Arial" w:cs="Arial"/>
          <w:sz w:val="20"/>
          <w:szCs w:val="20"/>
        </w:rPr>
        <w:t>NbS</w:t>
      </w:r>
      <w:proofErr w:type="spellEnd"/>
      <w:r w:rsidRPr="00791A09">
        <w:rPr>
          <w:rFonts w:ascii="Arial" w:eastAsia="Times New Roman" w:hAnsi="Arial" w:cs="Arial"/>
          <w:sz w:val="20"/>
          <w:szCs w:val="20"/>
        </w:rPr>
        <w:t xml:space="preserve"> programmes. Activities include the initiative-wide </w:t>
      </w:r>
      <w:r>
        <w:rPr>
          <w:rFonts w:ascii="Arial" w:eastAsia="Times New Roman" w:hAnsi="Arial" w:cs="Arial"/>
          <w:sz w:val="20"/>
          <w:szCs w:val="20"/>
        </w:rPr>
        <w:t>“</w:t>
      </w:r>
      <w:r w:rsidRPr="00791A09">
        <w:rPr>
          <w:rFonts w:ascii="Arial" w:eastAsia="Times New Roman" w:hAnsi="Arial" w:cs="Arial"/>
          <w:sz w:val="20"/>
          <w:szCs w:val="20"/>
        </w:rPr>
        <w:t xml:space="preserve">Call to Action” across member cities, the “Forest Footprint” tool to analyse the impact of cities on forests, technical assistance for early-stage </w:t>
      </w:r>
      <w:proofErr w:type="spellStart"/>
      <w:r w:rsidRPr="00791A09">
        <w:rPr>
          <w:rFonts w:ascii="Arial" w:eastAsia="Times New Roman" w:hAnsi="Arial" w:cs="Arial"/>
          <w:sz w:val="20"/>
          <w:szCs w:val="20"/>
        </w:rPr>
        <w:t>NbS</w:t>
      </w:r>
      <w:proofErr w:type="spellEnd"/>
      <w:r w:rsidRPr="00791A09">
        <w:rPr>
          <w:rFonts w:ascii="Arial" w:eastAsia="Times New Roman" w:hAnsi="Arial" w:cs="Arial"/>
          <w:sz w:val="20"/>
          <w:szCs w:val="20"/>
        </w:rPr>
        <w:t xml:space="preserve"> projects and the “</w:t>
      </w:r>
      <w:proofErr w:type="spellStart"/>
      <w:r w:rsidRPr="00791A09">
        <w:rPr>
          <w:rFonts w:ascii="Arial" w:eastAsia="Times New Roman" w:hAnsi="Arial" w:cs="Arial"/>
          <w:sz w:val="20"/>
          <w:szCs w:val="20"/>
        </w:rPr>
        <w:t>NbS</w:t>
      </w:r>
      <w:proofErr w:type="spellEnd"/>
      <w:r w:rsidRPr="00791A09">
        <w:rPr>
          <w:rFonts w:ascii="Arial" w:eastAsia="Times New Roman" w:hAnsi="Arial" w:cs="Arial"/>
          <w:sz w:val="20"/>
          <w:szCs w:val="20"/>
        </w:rPr>
        <w:t xml:space="preserve"> bankability” initiative where</w:t>
      </w:r>
      <w:r>
        <w:rPr>
          <w:rFonts w:ascii="Arial" w:eastAsia="Times New Roman" w:hAnsi="Arial" w:cs="Arial"/>
          <w:sz w:val="20"/>
          <w:szCs w:val="20"/>
        </w:rPr>
        <w:t xml:space="preserve"> World Resources Institute (</w:t>
      </w:r>
      <w:r w:rsidRPr="00791A09">
        <w:rPr>
          <w:rFonts w:ascii="Arial" w:eastAsia="Times New Roman" w:hAnsi="Arial" w:cs="Arial"/>
          <w:sz w:val="20"/>
          <w:szCs w:val="20"/>
        </w:rPr>
        <w:t>WRI</w:t>
      </w:r>
      <w:r>
        <w:rPr>
          <w:rFonts w:ascii="Arial" w:eastAsia="Times New Roman" w:hAnsi="Arial" w:cs="Arial"/>
          <w:sz w:val="20"/>
          <w:szCs w:val="20"/>
        </w:rPr>
        <w:t>)</w:t>
      </w:r>
      <w:r w:rsidRPr="00791A09">
        <w:rPr>
          <w:rFonts w:ascii="Arial" w:eastAsia="Times New Roman" w:hAnsi="Arial" w:cs="Arial"/>
          <w:sz w:val="20"/>
          <w:szCs w:val="20"/>
        </w:rPr>
        <w:t xml:space="preserve"> will connect ready </w:t>
      </w:r>
      <w:proofErr w:type="spellStart"/>
      <w:r w:rsidRPr="00791A09">
        <w:rPr>
          <w:rFonts w:ascii="Arial" w:eastAsia="Times New Roman" w:hAnsi="Arial" w:cs="Arial"/>
          <w:sz w:val="20"/>
          <w:szCs w:val="20"/>
        </w:rPr>
        <w:t>N</w:t>
      </w:r>
      <w:r>
        <w:rPr>
          <w:rFonts w:ascii="Arial" w:eastAsia="Times New Roman" w:hAnsi="Arial" w:cs="Arial"/>
          <w:sz w:val="20"/>
          <w:szCs w:val="20"/>
        </w:rPr>
        <w:t>b</w:t>
      </w:r>
      <w:r w:rsidRPr="00791A09">
        <w:rPr>
          <w:rFonts w:ascii="Arial" w:eastAsia="Times New Roman" w:hAnsi="Arial" w:cs="Arial"/>
          <w:sz w:val="20"/>
          <w:szCs w:val="20"/>
        </w:rPr>
        <w:t>S</w:t>
      </w:r>
      <w:proofErr w:type="spellEnd"/>
      <w:r w:rsidRPr="00791A09">
        <w:rPr>
          <w:rFonts w:ascii="Arial" w:eastAsia="Times New Roman" w:hAnsi="Arial" w:cs="Arial"/>
          <w:sz w:val="20"/>
          <w:szCs w:val="20"/>
        </w:rPr>
        <w:t xml:space="preserve"> projects with public and private investors.</w:t>
      </w:r>
    </w:p>
    <w:p w14:paraId="5332E622" w14:textId="77777777" w:rsidR="000B1D0E" w:rsidRPr="00791A09" w:rsidRDefault="000B1D0E" w:rsidP="000B1D0E">
      <w:pPr>
        <w:spacing w:after="0" w:line="240" w:lineRule="auto"/>
        <w:jc w:val="both"/>
        <w:rPr>
          <w:rFonts w:ascii="Arial" w:eastAsia="Times New Roman" w:hAnsi="Arial" w:cs="Arial"/>
          <w:sz w:val="20"/>
          <w:szCs w:val="20"/>
        </w:rPr>
      </w:pPr>
    </w:p>
    <w:p w14:paraId="62B38CB4" w14:textId="77777777" w:rsidR="000B1D0E" w:rsidRDefault="000B1D0E" w:rsidP="000B1D0E">
      <w:pPr>
        <w:spacing w:after="0" w:line="240" w:lineRule="auto"/>
        <w:rPr>
          <w:rFonts w:ascii="Arial" w:eastAsia="Times New Roman" w:hAnsi="Arial" w:cs="Arial"/>
          <w:b/>
          <w:bCs/>
          <w:sz w:val="20"/>
          <w:szCs w:val="20"/>
        </w:rPr>
      </w:pPr>
      <w:r w:rsidRPr="00791A09">
        <w:rPr>
          <w:rFonts w:ascii="Arial" w:eastAsia="Times New Roman" w:hAnsi="Arial" w:cs="Arial"/>
          <w:b/>
          <w:bCs/>
          <w:sz w:val="20"/>
          <w:szCs w:val="20"/>
        </w:rPr>
        <w:t>Cities4Forests Logframe</w:t>
      </w:r>
    </w:p>
    <w:p w14:paraId="1D29B3E1" w14:textId="77777777" w:rsidR="000B1D0E" w:rsidRPr="00791A09" w:rsidRDefault="000B1D0E" w:rsidP="000B1D0E">
      <w:pPr>
        <w:spacing w:after="0" w:line="240" w:lineRule="auto"/>
        <w:rPr>
          <w:rFonts w:ascii="Arial" w:eastAsia="Times New Roman" w:hAnsi="Arial" w:cs="Arial"/>
          <w:b/>
          <w:bCs/>
          <w:sz w:val="20"/>
          <w:szCs w:val="20"/>
        </w:rPr>
      </w:pPr>
    </w:p>
    <w:p w14:paraId="63E67416" w14:textId="77777777" w:rsidR="000B1D0E" w:rsidRPr="00791A09" w:rsidRDefault="000B1D0E" w:rsidP="000B1D0E">
      <w:pPr>
        <w:spacing w:after="0" w:line="240" w:lineRule="auto"/>
        <w:jc w:val="both"/>
        <w:rPr>
          <w:rFonts w:ascii="Arial" w:eastAsia="Times New Roman" w:hAnsi="Arial" w:cs="Arial"/>
          <w:sz w:val="20"/>
          <w:szCs w:val="20"/>
        </w:rPr>
      </w:pPr>
      <w:r w:rsidRPr="00791A09">
        <w:rPr>
          <w:rFonts w:ascii="Arial" w:eastAsia="Times New Roman" w:hAnsi="Arial" w:cs="Arial"/>
          <w:sz w:val="20"/>
          <w:szCs w:val="20"/>
        </w:rPr>
        <w:t>In August 2022</w:t>
      </w:r>
      <w:r>
        <w:rPr>
          <w:rFonts w:ascii="Arial" w:eastAsia="Times New Roman" w:hAnsi="Arial" w:cs="Arial"/>
          <w:sz w:val="20"/>
          <w:szCs w:val="20"/>
        </w:rPr>
        <w:t>, Defra staff managing the Cities4Forests programme changed, with a new</w:t>
      </w:r>
      <w:r w:rsidRPr="00791A09">
        <w:rPr>
          <w:rFonts w:ascii="Arial" w:eastAsia="Times New Roman" w:hAnsi="Arial" w:cs="Arial"/>
          <w:sz w:val="20"/>
          <w:szCs w:val="20"/>
        </w:rPr>
        <w:t xml:space="preserve"> programme manager</w:t>
      </w:r>
      <w:r>
        <w:rPr>
          <w:rFonts w:ascii="Arial" w:eastAsia="Times New Roman" w:hAnsi="Arial" w:cs="Arial"/>
          <w:sz w:val="20"/>
          <w:szCs w:val="20"/>
        </w:rPr>
        <w:t xml:space="preserve"> and</w:t>
      </w:r>
      <w:r w:rsidRPr="00791A09">
        <w:rPr>
          <w:rFonts w:ascii="Arial" w:eastAsia="Times New Roman" w:hAnsi="Arial" w:cs="Arial"/>
          <w:sz w:val="20"/>
          <w:szCs w:val="20"/>
        </w:rPr>
        <w:t xml:space="preserve"> </w:t>
      </w:r>
      <w:r>
        <w:rPr>
          <w:rFonts w:ascii="Arial" w:eastAsia="Times New Roman" w:hAnsi="Arial" w:cs="Arial"/>
          <w:sz w:val="20"/>
          <w:szCs w:val="20"/>
        </w:rPr>
        <w:t xml:space="preserve">senior responsible owner within the Ecosystem, Restoration and Protection team. The team worked quickly with </w:t>
      </w:r>
      <w:r w:rsidRPr="00791A09">
        <w:rPr>
          <w:rFonts w:ascii="Arial" w:eastAsia="Times New Roman" w:hAnsi="Arial" w:cs="Arial"/>
          <w:sz w:val="20"/>
          <w:szCs w:val="20"/>
        </w:rPr>
        <w:t>Cities4Forests to develop and complete the logframe</w:t>
      </w:r>
      <w:r>
        <w:rPr>
          <w:rFonts w:ascii="Arial" w:eastAsia="Times New Roman" w:hAnsi="Arial" w:cs="Arial"/>
          <w:sz w:val="20"/>
          <w:szCs w:val="20"/>
        </w:rPr>
        <w:t xml:space="preserve"> in October 2022</w:t>
      </w:r>
      <w:r w:rsidRPr="00791A09">
        <w:rPr>
          <w:rFonts w:ascii="Arial" w:eastAsia="Times New Roman" w:hAnsi="Arial" w:cs="Arial"/>
          <w:sz w:val="20"/>
          <w:szCs w:val="20"/>
        </w:rPr>
        <w:t xml:space="preserve">. The logframe has been designed to disaggregate data, to the extent possible and where practical, based on age, sex, disability, </w:t>
      </w:r>
      <w:proofErr w:type="gramStart"/>
      <w:r w:rsidRPr="00791A09">
        <w:rPr>
          <w:rFonts w:ascii="Arial" w:eastAsia="Times New Roman" w:hAnsi="Arial" w:cs="Arial"/>
          <w:sz w:val="20"/>
          <w:szCs w:val="20"/>
        </w:rPr>
        <w:t>geography</w:t>
      </w:r>
      <w:proofErr w:type="gramEnd"/>
      <w:r w:rsidRPr="00791A09">
        <w:rPr>
          <w:rFonts w:ascii="Arial" w:eastAsia="Times New Roman" w:hAnsi="Arial" w:cs="Arial"/>
          <w:sz w:val="20"/>
          <w:szCs w:val="20"/>
        </w:rPr>
        <w:t xml:space="preserve"> and other variables to support equity and inclusion, taking into consideration social context</w:t>
      </w:r>
      <w:r>
        <w:rPr>
          <w:rFonts w:ascii="Arial" w:eastAsia="Times New Roman" w:hAnsi="Arial" w:cs="Arial"/>
          <w:sz w:val="20"/>
          <w:szCs w:val="20"/>
        </w:rPr>
        <w:t>s</w:t>
      </w:r>
      <w:r w:rsidRPr="00791A09">
        <w:rPr>
          <w:rFonts w:ascii="Arial" w:eastAsia="Times New Roman" w:hAnsi="Arial" w:cs="Arial"/>
          <w:sz w:val="20"/>
          <w:szCs w:val="20"/>
        </w:rPr>
        <w:t xml:space="preserve">. Year 1 of the Cities4Forests logframe covers November 22, 2021 </w:t>
      </w:r>
      <w:r>
        <w:rPr>
          <w:rFonts w:ascii="Arial" w:eastAsia="Times New Roman" w:hAnsi="Arial" w:cs="Arial"/>
          <w:sz w:val="20"/>
          <w:szCs w:val="20"/>
        </w:rPr>
        <w:t>–</w:t>
      </w:r>
      <w:r w:rsidRPr="00791A09">
        <w:rPr>
          <w:rFonts w:ascii="Arial" w:eastAsia="Times New Roman" w:hAnsi="Arial" w:cs="Arial"/>
          <w:sz w:val="20"/>
          <w:szCs w:val="20"/>
        </w:rPr>
        <w:t xml:space="preserve"> </w:t>
      </w:r>
      <w:r>
        <w:rPr>
          <w:rFonts w:ascii="Arial" w:eastAsia="Times New Roman" w:hAnsi="Arial" w:cs="Arial"/>
          <w:sz w:val="20"/>
          <w:szCs w:val="20"/>
        </w:rPr>
        <w:t>December 31</w:t>
      </w:r>
      <w:r w:rsidRPr="00791A09">
        <w:rPr>
          <w:rFonts w:ascii="Arial" w:eastAsia="Times New Roman" w:hAnsi="Arial" w:cs="Arial"/>
          <w:sz w:val="20"/>
          <w:szCs w:val="20"/>
        </w:rPr>
        <w:t xml:space="preserve">, 2022. Year 2 covers </w:t>
      </w:r>
      <w:r>
        <w:rPr>
          <w:rFonts w:ascii="Arial" w:eastAsia="Times New Roman" w:hAnsi="Arial" w:cs="Arial"/>
          <w:sz w:val="20"/>
          <w:szCs w:val="20"/>
        </w:rPr>
        <w:t>January</w:t>
      </w:r>
      <w:r w:rsidRPr="00791A09">
        <w:rPr>
          <w:rFonts w:ascii="Arial" w:eastAsia="Times New Roman" w:hAnsi="Arial" w:cs="Arial"/>
          <w:sz w:val="20"/>
          <w:szCs w:val="20"/>
        </w:rPr>
        <w:t xml:space="preserve"> 1, 202</w:t>
      </w:r>
      <w:r>
        <w:rPr>
          <w:rFonts w:ascii="Arial" w:eastAsia="Times New Roman" w:hAnsi="Arial" w:cs="Arial"/>
          <w:sz w:val="20"/>
          <w:szCs w:val="20"/>
        </w:rPr>
        <w:t>3</w:t>
      </w:r>
      <w:r w:rsidRPr="00791A09">
        <w:rPr>
          <w:rFonts w:ascii="Arial" w:eastAsia="Times New Roman" w:hAnsi="Arial" w:cs="Arial"/>
          <w:sz w:val="20"/>
          <w:szCs w:val="20"/>
        </w:rPr>
        <w:t xml:space="preserve"> - December 31, 2023</w:t>
      </w:r>
      <w:r>
        <w:rPr>
          <w:rFonts w:ascii="Arial" w:eastAsia="Times New Roman" w:hAnsi="Arial" w:cs="Arial"/>
          <w:sz w:val="20"/>
          <w:szCs w:val="20"/>
        </w:rPr>
        <w:t xml:space="preserve">. </w:t>
      </w:r>
      <w:r w:rsidRPr="00791A09">
        <w:rPr>
          <w:rFonts w:ascii="Arial" w:eastAsia="Times New Roman" w:hAnsi="Arial" w:cs="Arial"/>
          <w:sz w:val="20"/>
          <w:szCs w:val="20"/>
        </w:rPr>
        <w:t>Several indicators align with I</w:t>
      </w:r>
      <w:r>
        <w:rPr>
          <w:rFonts w:ascii="Arial" w:eastAsia="Times New Roman" w:hAnsi="Arial" w:cs="Arial"/>
          <w:sz w:val="20"/>
          <w:szCs w:val="20"/>
        </w:rPr>
        <w:t xml:space="preserve">nternational </w:t>
      </w:r>
      <w:r w:rsidRPr="00791A09">
        <w:rPr>
          <w:rFonts w:ascii="Arial" w:eastAsia="Times New Roman" w:hAnsi="Arial" w:cs="Arial"/>
          <w:sz w:val="20"/>
          <w:szCs w:val="20"/>
        </w:rPr>
        <w:t>C</w:t>
      </w:r>
      <w:r>
        <w:rPr>
          <w:rFonts w:ascii="Arial" w:eastAsia="Times New Roman" w:hAnsi="Arial" w:cs="Arial"/>
          <w:sz w:val="20"/>
          <w:szCs w:val="20"/>
        </w:rPr>
        <w:t xml:space="preserve">limate </w:t>
      </w:r>
      <w:r w:rsidRPr="00791A09">
        <w:rPr>
          <w:rFonts w:ascii="Arial" w:eastAsia="Times New Roman" w:hAnsi="Arial" w:cs="Arial"/>
          <w:sz w:val="20"/>
          <w:szCs w:val="20"/>
        </w:rPr>
        <w:t>F</w:t>
      </w:r>
      <w:r>
        <w:rPr>
          <w:rFonts w:ascii="Arial" w:eastAsia="Times New Roman" w:hAnsi="Arial" w:cs="Arial"/>
          <w:sz w:val="20"/>
          <w:szCs w:val="20"/>
        </w:rPr>
        <w:t>und (ICF)</w:t>
      </w:r>
      <w:r w:rsidRPr="00791A09">
        <w:rPr>
          <w:rFonts w:ascii="Arial" w:eastAsia="Times New Roman" w:hAnsi="Arial" w:cs="Arial"/>
          <w:sz w:val="20"/>
          <w:szCs w:val="20"/>
        </w:rPr>
        <w:t xml:space="preserve"> K</w:t>
      </w:r>
      <w:r>
        <w:rPr>
          <w:rFonts w:ascii="Arial" w:eastAsia="Times New Roman" w:hAnsi="Arial" w:cs="Arial"/>
          <w:sz w:val="20"/>
          <w:szCs w:val="20"/>
        </w:rPr>
        <w:t xml:space="preserve">ey </w:t>
      </w:r>
      <w:r w:rsidRPr="00791A09">
        <w:rPr>
          <w:rFonts w:ascii="Arial" w:eastAsia="Times New Roman" w:hAnsi="Arial" w:cs="Arial"/>
          <w:sz w:val="20"/>
          <w:szCs w:val="20"/>
        </w:rPr>
        <w:t>P</w:t>
      </w:r>
      <w:r>
        <w:rPr>
          <w:rFonts w:ascii="Arial" w:eastAsia="Times New Roman" w:hAnsi="Arial" w:cs="Arial"/>
          <w:sz w:val="20"/>
          <w:szCs w:val="20"/>
        </w:rPr>
        <w:t xml:space="preserve">erformance </w:t>
      </w:r>
      <w:r w:rsidRPr="00791A09">
        <w:rPr>
          <w:rFonts w:ascii="Arial" w:eastAsia="Times New Roman" w:hAnsi="Arial" w:cs="Arial"/>
          <w:sz w:val="20"/>
          <w:szCs w:val="20"/>
        </w:rPr>
        <w:t>I</w:t>
      </w:r>
      <w:r>
        <w:rPr>
          <w:rFonts w:ascii="Arial" w:eastAsia="Times New Roman" w:hAnsi="Arial" w:cs="Arial"/>
          <w:sz w:val="20"/>
          <w:szCs w:val="20"/>
        </w:rPr>
        <w:t>ndicator</w:t>
      </w:r>
      <w:r w:rsidRPr="00791A09">
        <w:rPr>
          <w:rFonts w:ascii="Arial" w:eastAsia="Times New Roman" w:hAnsi="Arial" w:cs="Arial"/>
          <w:sz w:val="20"/>
          <w:szCs w:val="20"/>
        </w:rPr>
        <w:t>s (</w:t>
      </w:r>
      <w:r>
        <w:rPr>
          <w:rFonts w:ascii="Arial" w:eastAsia="Times New Roman" w:hAnsi="Arial" w:cs="Arial"/>
          <w:sz w:val="20"/>
          <w:szCs w:val="20"/>
        </w:rPr>
        <w:t>4,6,15,</w:t>
      </w:r>
      <w:proofErr w:type="gramStart"/>
      <w:r>
        <w:rPr>
          <w:rFonts w:ascii="Arial" w:eastAsia="Times New Roman" w:hAnsi="Arial" w:cs="Arial"/>
          <w:sz w:val="20"/>
          <w:szCs w:val="20"/>
        </w:rPr>
        <w:t>17</w:t>
      </w:r>
      <w:proofErr w:type="gramEnd"/>
      <w:r>
        <w:rPr>
          <w:rFonts w:ascii="Arial" w:eastAsia="Times New Roman" w:hAnsi="Arial" w:cs="Arial"/>
          <w:sz w:val="20"/>
          <w:szCs w:val="20"/>
        </w:rPr>
        <w:t xml:space="preserve"> and TA 3)</w:t>
      </w:r>
      <w:r w:rsidRPr="00791A09">
        <w:rPr>
          <w:rFonts w:ascii="Arial" w:eastAsia="Times New Roman" w:hAnsi="Arial" w:cs="Arial"/>
          <w:sz w:val="20"/>
          <w:szCs w:val="20"/>
        </w:rPr>
        <w:t xml:space="preserve"> </w:t>
      </w:r>
      <w:r>
        <w:rPr>
          <w:rFonts w:ascii="Arial" w:eastAsia="Times New Roman" w:hAnsi="Arial" w:cs="Arial"/>
          <w:sz w:val="20"/>
          <w:szCs w:val="20"/>
        </w:rPr>
        <w:t>and</w:t>
      </w:r>
      <w:r w:rsidRPr="00791A09">
        <w:rPr>
          <w:rFonts w:ascii="Arial" w:eastAsia="Times New Roman" w:hAnsi="Arial" w:cs="Arial"/>
          <w:sz w:val="20"/>
          <w:szCs w:val="20"/>
        </w:rPr>
        <w:t xml:space="preserve"> will </w:t>
      </w:r>
      <w:r>
        <w:rPr>
          <w:rFonts w:ascii="Arial" w:eastAsia="Times New Roman" w:hAnsi="Arial" w:cs="Arial"/>
          <w:sz w:val="20"/>
          <w:szCs w:val="20"/>
        </w:rPr>
        <w:t>feed</w:t>
      </w:r>
      <w:r w:rsidRPr="00791A09">
        <w:rPr>
          <w:rFonts w:ascii="Arial" w:eastAsia="Times New Roman" w:hAnsi="Arial" w:cs="Arial"/>
          <w:sz w:val="20"/>
          <w:szCs w:val="20"/>
        </w:rPr>
        <w:t xml:space="preserve"> into </w:t>
      </w:r>
      <w:r>
        <w:rPr>
          <w:rFonts w:ascii="Arial" w:eastAsia="Times New Roman" w:hAnsi="Arial" w:cs="Arial"/>
          <w:sz w:val="20"/>
          <w:szCs w:val="20"/>
        </w:rPr>
        <w:t xml:space="preserve">wider UK government </w:t>
      </w:r>
      <w:r w:rsidRPr="00791A09">
        <w:rPr>
          <w:rFonts w:ascii="Arial" w:eastAsia="Times New Roman" w:hAnsi="Arial" w:cs="Arial"/>
          <w:sz w:val="20"/>
          <w:szCs w:val="20"/>
        </w:rPr>
        <w:t xml:space="preserve">reporting on </w:t>
      </w:r>
      <w:r>
        <w:rPr>
          <w:rFonts w:ascii="Arial" w:eastAsia="Times New Roman" w:hAnsi="Arial" w:cs="Arial"/>
          <w:sz w:val="20"/>
          <w:szCs w:val="20"/>
        </w:rPr>
        <w:t>ICF programmes</w:t>
      </w:r>
      <w:r w:rsidRPr="00791A09">
        <w:rPr>
          <w:rFonts w:ascii="Arial" w:eastAsia="Times New Roman" w:hAnsi="Arial" w:cs="Arial"/>
          <w:sz w:val="20"/>
          <w:szCs w:val="20"/>
        </w:rPr>
        <w:t>.</w:t>
      </w:r>
    </w:p>
    <w:p w14:paraId="1B00566C" w14:textId="77777777" w:rsidR="000B1D0E" w:rsidRPr="00791A09" w:rsidRDefault="000B1D0E" w:rsidP="000B1D0E">
      <w:pPr>
        <w:spacing w:after="0" w:line="240" w:lineRule="auto"/>
        <w:jc w:val="both"/>
        <w:rPr>
          <w:rFonts w:ascii="Arial" w:eastAsia="Times New Roman" w:hAnsi="Arial" w:cs="Arial"/>
          <w:sz w:val="20"/>
          <w:szCs w:val="20"/>
        </w:rPr>
      </w:pPr>
    </w:p>
    <w:p w14:paraId="77002C52" w14:textId="77777777" w:rsidR="000B1D0E" w:rsidRPr="00791A09" w:rsidRDefault="000B1D0E" w:rsidP="000B1D0E">
      <w:pPr>
        <w:spacing w:after="0" w:line="240" w:lineRule="auto"/>
        <w:jc w:val="both"/>
        <w:rPr>
          <w:rFonts w:ascii="Arial" w:eastAsia="Times New Roman" w:hAnsi="Arial" w:cs="Arial"/>
          <w:sz w:val="20"/>
          <w:szCs w:val="20"/>
        </w:rPr>
      </w:pPr>
      <w:r w:rsidRPr="00791A09">
        <w:rPr>
          <w:rFonts w:ascii="Arial" w:eastAsia="Times New Roman" w:hAnsi="Arial" w:cs="Arial"/>
          <w:sz w:val="20"/>
          <w:szCs w:val="20"/>
        </w:rPr>
        <w:t>Cities4Forests is now develop</w:t>
      </w:r>
      <w:r>
        <w:rPr>
          <w:rFonts w:ascii="Arial" w:eastAsia="Times New Roman" w:hAnsi="Arial" w:cs="Arial"/>
          <w:sz w:val="20"/>
          <w:szCs w:val="20"/>
        </w:rPr>
        <w:t>ing</w:t>
      </w:r>
      <w:r w:rsidRPr="00791A09">
        <w:rPr>
          <w:rFonts w:ascii="Arial" w:eastAsia="Times New Roman" w:hAnsi="Arial" w:cs="Arial"/>
          <w:sz w:val="20"/>
          <w:szCs w:val="20"/>
        </w:rPr>
        <w:t xml:space="preserve"> evidence gathering techniques for logframe outcomes and training delivery staff in data collection and recording methodologies.  Due to the time needed to develop and agree a logframe no targets were set for Year 1. </w:t>
      </w:r>
      <w:r>
        <w:rPr>
          <w:rFonts w:ascii="Arial" w:eastAsia="Times New Roman" w:hAnsi="Arial" w:cs="Arial"/>
          <w:sz w:val="20"/>
          <w:szCs w:val="20"/>
        </w:rPr>
        <w:t xml:space="preserve"> However, we have agreed targets for Year 2, and after ongoing consultation of ICF KPI methodologies with Cities4Forests and Defra analysts, we have created an updated version for Year 2. Updates include some changes to Year 2 targets for several impacts, </w:t>
      </w:r>
      <w:proofErr w:type="gramStart"/>
      <w:r w:rsidRPr="009802C2">
        <w:rPr>
          <w:rFonts w:ascii="Arial" w:eastAsia="Times New Roman" w:hAnsi="Arial" w:cs="Arial"/>
          <w:sz w:val="20"/>
          <w:szCs w:val="20"/>
        </w:rPr>
        <w:t>outcomes</w:t>
      </w:r>
      <w:proofErr w:type="gramEnd"/>
      <w:r w:rsidRPr="009802C2">
        <w:rPr>
          <w:rFonts w:ascii="Arial" w:eastAsia="Times New Roman" w:hAnsi="Arial" w:cs="Arial"/>
          <w:sz w:val="20"/>
          <w:szCs w:val="20"/>
        </w:rPr>
        <w:t xml:space="preserve"> and outputs</w:t>
      </w:r>
      <w:r>
        <w:rPr>
          <w:rFonts w:ascii="Arial" w:eastAsia="Times New Roman" w:hAnsi="Arial" w:cs="Arial"/>
          <w:sz w:val="20"/>
          <w:szCs w:val="20"/>
        </w:rPr>
        <w:t xml:space="preserve">, which are based on increased finance, resource and a deepened understanding of data collection and reporting methodologies as the programme is progressing.  Please see Annex D for more detail and an explanation of changes that have been agreed. </w:t>
      </w:r>
    </w:p>
    <w:p w14:paraId="5CB143BE" w14:textId="77777777" w:rsidR="000B1D0E" w:rsidRPr="00791A09" w:rsidRDefault="000B1D0E" w:rsidP="000B1D0E">
      <w:pPr>
        <w:spacing w:after="0" w:line="240" w:lineRule="auto"/>
        <w:rPr>
          <w:rFonts w:ascii="Arial" w:eastAsia="Times New Roman" w:hAnsi="Arial" w:cs="Arial"/>
          <w:b/>
          <w:sz w:val="20"/>
          <w:szCs w:val="20"/>
        </w:rPr>
      </w:pPr>
    </w:p>
    <w:p w14:paraId="1780B6E7" w14:textId="77777777" w:rsidR="000B1D0E" w:rsidRDefault="000B1D0E" w:rsidP="000B1D0E">
      <w:pPr>
        <w:spacing w:after="0" w:line="240" w:lineRule="auto"/>
        <w:rPr>
          <w:rFonts w:ascii="Arial" w:eastAsia="Times New Roman" w:hAnsi="Arial" w:cs="Arial"/>
          <w:bCs/>
          <w:sz w:val="20"/>
          <w:szCs w:val="20"/>
        </w:rPr>
      </w:pPr>
      <w:r w:rsidRPr="00791A09">
        <w:rPr>
          <w:rFonts w:ascii="Arial" w:eastAsia="Times New Roman" w:hAnsi="Arial" w:cs="Arial"/>
          <w:b/>
          <w:bCs/>
          <w:sz w:val="20"/>
          <w:szCs w:val="20"/>
        </w:rPr>
        <w:t xml:space="preserve">Describe where the programme is on/off track to contribute to the expected outcomes and impact. What action is planned in </w:t>
      </w:r>
      <w:r w:rsidRPr="00791A09">
        <w:rPr>
          <w:rFonts w:ascii="Arial" w:eastAsia="Times New Roman" w:hAnsi="Arial" w:cs="Arial"/>
          <w:b/>
          <w:sz w:val="20"/>
          <w:szCs w:val="20"/>
        </w:rPr>
        <w:t>the year ahead?</w:t>
      </w:r>
      <w:r w:rsidRPr="00791A09">
        <w:rPr>
          <w:rFonts w:ascii="Arial" w:eastAsia="Times New Roman" w:hAnsi="Arial" w:cs="Arial"/>
          <w:bCs/>
          <w:sz w:val="20"/>
          <w:szCs w:val="20"/>
        </w:rPr>
        <w:t xml:space="preserve"> </w:t>
      </w:r>
      <w:r w:rsidRPr="00791A09" w:rsidDel="00677C2D">
        <w:rPr>
          <w:rFonts w:ascii="Arial" w:eastAsia="Times New Roman" w:hAnsi="Arial" w:cs="Arial"/>
          <w:bCs/>
          <w:sz w:val="20"/>
          <w:szCs w:val="20"/>
        </w:rPr>
        <w:t xml:space="preserve"> </w:t>
      </w:r>
    </w:p>
    <w:p w14:paraId="3FF57E74" w14:textId="77777777" w:rsidR="000B1D0E" w:rsidRPr="00791A09" w:rsidRDefault="000B1D0E" w:rsidP="000B1D0E">
      <w:pPr>
        <w:spacing w:after="0" w:line="240" w:lineRule="auto"/>
        <w:rPr>
          <w:rFonts w:ascii="Arial" w:eastAsia="Times New Roman" w:hAnsi="Arial" w:cs="Arial"/>
          <w:b/>
          <w:sz w:val="20"/>
          <w:szCs w:val="20"/>
        </w:rPr>
      </w:pPr>
    </w:p>
    <w:p w14:paraId="48010D5E" w14:textId="77777777" w:rsidR="000B1D0E" w:rsidRPr="00791A09" w:rsidRDefault="000B1D0E" w:rsidP="000B1D0E">
      <w:pPr>
        <w:spacing w:after="0" w:line="240" w:lineRule="auto"/>
        <w:jc w:val="both"/>
        <w:rPr>
          <w:rFonts w:ascii="Arial" w:eastAsia="Times New Roman" w:hAnsi="Arial" w:cs="Times New Roman"/>
          <w:sz w:val="20"/>
          <w:szCs w:val="20"/>
        </w:rPr>
      </w:pPr>
      <w:r>
        <w:rPr>
          <w:rFonts w:ascii="Arial" w:eastAsia="Times New Roman" w:hAnsi="Arial" w:cs="Times New Roman"/>
          <w:sz w:val="20"/>
          <w:szCs w:val="20"/>
        </w:rPr>
        <w:t>As stated above, the</w:t>
      </w:r>
      <w:r w:rsidRPr="00791A09">
        <w:rPr>
          <w:rFonts w:ascii="Arial" w:eastAsia="Times New Roman" w:hAnsi="Arial" w:cs="Times New Roman"/>
          <w:sz w:val="20"/>
          <w:szCs w:val="20"/>
        </w:rPr>
        <w:t xml:space="preserve"> logframe includes targets f</w:t>
      </w:r>
      <w:r>
        <w:rPr>
          <w:rFonts w:ascii="Arial" w:eastAsia="Times New Roman" w:hAnsi="Arial" w:cs="Times New Roman"/>
          <w:sz w:val="20"/>
          <w:szCs w:val="20"/>
        </w:rPr>
        <w:t>rom</w:t>
      </w:r>
      <w:r w:rsidRPr="00791A09">
        <w:rPr>
          <w:rFonts w:ascii="Arial" w:eastAsia="Times New Roman" w:hAnsi="Arial" w:cs="Times New Roman"/>
          <w:sz w:val="20"/>
          <w:szCs w:val="20"/>
        </w:rPr>
        <w:t xml:space="preserve"> Year 2, but </w:t>
      </w:r>
      <w:r>
        <w:rPr>
          <w:rFonts w:ascii="Arial" w:eastAsia="Times New Roman" w:hAnsi="Arial" w:cs="Times New Roman"/>
          <w:sz w:val="20"/>
          <w:szCs w:val="20"/>
        </w:rPr>
        <w:t>as</w:t>
      </w:r>
      <w:r w:rsidRPr="00791A09">
        <w:rPr>
          <w:rFonts w:ascii="Arial" w:eastAsia="Times New Roman" w:hAnsi="Arial" w:cs="Times New Roman"/>
          <w:sz w:val="20"/>
          <w:szCs w:val="20"/>
        </w:rPr>
        <w:t xml:space="preserve"> these are cumulative targets,</w:t>
      </w:r>
      <w:r>
        <w:rPr>
          <w:rFonts w:ascii="Arial" w:eastAsia="Times New Roman" w:hAnsi="Arial" w:cs="Times New Roman"/>
          <w:sz w:val="20"/>
          <w:szCs w:val="20"/>
        </w:rPr>
        <w:t xml:space="preserve"> they will capture </w:t>
      </w:r>
      <w:r w:rsidRPr="00791A09">
        <w:rPr>
          <w:rFonts w:ascii="Arial" w:eastAsia="Times New Roman" w:hAnsi="Arial" w:cs="Times New Roman"/>
          <w:sz w:val="20"/>
          <w:szCs w:val="20"/>
        </w:rPr>
        <w:t xml:space="preserve">total results from the start of Defra’s investment in November 2021. As agreed with Defra’s ODA Hub, for this annual review we have </w:t>
      </w:r>
      <w:r>
        <w:rPr>
          <w:rFonts w:ascii="Arial" w:eastAsia="Times New Roman" w:hAnsi="Arial" w:cs="Times New Roman"/>
          <w:sz w:val="20"/>
          <w:szCs w:val="20"/>
        </w:rPr>
        <w:t>assessed</w:t>
      </w:r>
      <w:r w:rsidRPr="00791A09">
        <w:rPr>
          <w:rFonts w:ascii="Arial" w:eastAsia="Times New Roman" w:hAnsi="Arial" w:cs="Times New Roman"/>
          <w:sz w:val="20"/>
          <w:szCs w:val="20"/>
        </w:rPr>
        <w:t xml:space="preserve"> available results from the start of the programme up until end of Ye</w:t>
      </w:r>
      <w:r>
        <w:rPr>
          <w:rFonts w:ascii="Arial" w:eastAsia="Times New Roman" w:hAnsi="Arial" w:cs="Times New Roman"/>
          <w:sz w:val="20"/>
          <w:szCs w:val="20"/>
        </w:rPr>
        <w:t>a</w:t>
      </w:r>
      <w:r w:rsidRPr="00791A09">
        <w:rPr>
          <w:rFonts w:ascii="Arial" w:eastAsia="Times New Roman" w:hAnsi="Arial" w:cs="Times New Roman"/>
          <w:sz w:val="20"/>
          <w:szCs w:val="20"/>
        </w:rPr>
        <w:t>r 1</w:t>
      </w:r>
      <w:r>
        <w:rPr>
          <w:rFonts w:ascii="Arial" w:eastAsia="Times New Roman" w:hAnsi="Arial" w:cs="Times New Roman"/>
          <w:sz w:val="20"/>
          <w:szCs w:val="20"/>
        </w:rPr>
        <w:t xml:space="preserve">, so that we can make a judgment on </w:t>
      </w:r>
      <w:r w:rsidRPr="00791A09">
        <w:rPr>
          <w:rFonts w:ascii="Arial" w:eastAsia="Times New Roman" w:hAnsi="Arial" w:cs="Times New Roman"/>
          <w:sz w:val="20"/>
          <w:szCs w:val="20"/>
        </w:rPr>
        <w:t>whether we are on t</w:t>
      </w:r>
      <w:r>
        <w:rPr>
          <w:rFonts w:ascii="Arial" w:eastAsia="Times New Roman" w:hAnsi="Arial" w:cs="Times New Roman"/>
          <w:sz w:val="20"/>
          <w:szCs w:val="20"/>
        </w:rPr>
        <w:t>rack</w:t>
      </w:r>
      <w:r w:rsidRPr="00791A09">
        <w:rPr>
          <w:rFonts w:ascii="Arial" w:eastAsia="Times New Roman" w:hAnsi="Arial" w:cs="Times New Roman"/>
          <w:sz w:val="20"/>
          <w:szCs w:val="20"/>
        </w:rPr>
        <w:t xml:space="preserve"> </w:t>
      </w:r>
      <w:r>
        <w:rPr>
          <w:rFonts w:ascii="Arial" w:eastAsia="Times New Roman" w:hAnsi="Arial" w:cs="Times New Roman"/>
          <w:sz w:val="20"/>
          <w:szCs w:val="20"/>
        </w:rPr>
        <w:t>for the Year 2</w:t>
      </w:r>
      <w:r w:rsidRPr="00791A09">
        <w:rPr>
          <w:rFonts w:ascii="Arial" w:eastAsia="Times New Roman" w:hAnsi="Arial" w:cs="Times New Roman"/>
          <w:sz w:val="20"/>
          <w:szCs w:val="20"/>
        </w:rPr>
        <w:t xml:space="preserve"> milestones</w:t>
      </w:r>
      <w:r>
        <w:rPr>
          <w:rFonts w:ascii="Arial" w:eastAsia="Times New Roman" w:hAnsi="Arial" w:cs="Times New Roman"/>
          <w:sz w:val="20"/>
          <w:szCs w:val="20"/>
        </w:rPr>
        <w:t xml:space="preserve">. This information has been taken from the </w:t>
      </w:r>
      <w:r w:rsidRPr="00791A09">
        <w:rPr>
          <w:rFonts w:ascii="Arial" w:eastAsia="Times New Roman" w:hAnsi="Arial" w:cs="Arial"/>
          <w:sz w:val="20"/>
          <w:szCs w:val="20"/>
        </w:rPr>
        <w:t>Cities4Forests</w:t>
      </w:r>
      <w:r w:rsidRPr="00791A09">
        <w:rPr>
          <w:rFonts w:ascii="Arial" w:eastAsia="Times New Roman" w:hAnsi="Arial" w:cs="Times New Roman"/>
          <w:sz w:val="20"/>
          <w:szCs w:val="20"/>
        </w:rPr>
        <w:t xml:space="preserve"> 2022 Annual Report and updates provided by the Cities4Forests team in January 2023</w:t>
      </w:r>
      <w:r>
        <w:rPr>
          <w:rFonts w:ascii="Arial" w:eastAsia="Times New Roman" w:hAnsi="Arial" w:cs="Times New Roman"/>
          <w:sz w:val="20"/>
          <w:szCs w:val="20"/>
        </w:rPr>
        <w:t>.</w:t>
      </w:r>
      <w:r w:rsidRPr="00791A09">
        <w:rPr>
          <w:rFonts w:ascii="Arial" w:eastAsia="Times New Roman" w:hAnsi="Arial" w:cs="Times New Roman"/>
          <w:sz w:val="20"/>
          <w:szCs w:val="20"/>
        </w:rPr>
        <w:t xml:space="preserve"> </w:t>
      </w:r>
    </w:p>
    <w:p w14:paraId="6B6AB832" w14:textId="77777777" w:rsidR="000B1D0E" w:rsidRPr="00791A09" w:rsidRDefault="000B1D0E" w:rsidP="000B1D0E">
      <w:pPr>
        <w:spacing w:after="0" w:line="240" w:lineRule="auto"/>
        <w:rPr>
          <w:rFonts w:ascii="Arial" w:eastAsia="Times New Roman" w:hAnsi="Arial" w:cs="Arial"/>
          <w:sz w:val="20"/>
          <w:szCs w:val="20"/>
        </w:rPr>
      </w:pPr>
    </w:p>
    <w:p w14:paraId="78294953" w14:textId="77777777" w:rsidR="000B1D0E" w:rsidRPr="00791A09" w:rsidRDefault="000B1D0E" w:rsidP="000B1D0E">
      <w:pPr>
        <w:spacing w:after="0" w:line="240" w:lineRule="auto"/>
        <w:rPr>
          <w:rFonts w:ascii="Arial" w:eastAsia="Times New Roman" w:hAnsi="Arial" w:cs="Arial"/>
          <w:sz w:val="20"/>
          <w:szCs w:val="20"/>
        </w:rPr>
      </w:pPr>
      <w:r w:rsidRPr="00791A09">
        <w:rPr>
          <w:rFonts w:ascii="Arial" w:eastAsia="Times New Roman" w:hAnsi="Arial" w:cs="Arial"/>
          <w:sz w:val="20"/>
          <w:szCs w:val="20"/>
        </w:rPr>
        <w:t>Positive outcomes are emerging</w:t>
      </w:r>
      <w:r>
        <w:rPr>
          <w:rFonts w:ascii="Arial" w:eastAsia="Times New Roman" w:hAnsi="Arial" w:cs="Arial"/>
          <w:sz w:val="20"/>
          <w:szCs w:val="20"/>
        </w:rPr>
        <w:t>,</w:t>
      </w:r>
      <w:r w:rsidRPr="00791A09">
        <w:rPr>
          <w:rFonts w:ascii="Arial" w:eastAsia="Times New Roman" w:hAnsi="Arial" w:cs="Arial"/>
          <w:sz w:val="20"/>
          <w:szCs w:val="20"/>
        </w:rPr>
        <w:t xml:space="preserve"> particularly in the areas of:</w:t>
      </w:r>
    </w:p>
    <w:p w14:paraId="62EEFC65" w14:textId="77777777" w:rsidR="000B1D0E" w:rsidRPr="00791A09" w:rsidRDefault="000B1D0E" w:rsidP="000B1D0E">
      <w:pPr>
        <w:numPr>
          <w:ilvl w:val="0"/>
          <w:numId w:val="4"/>
        </w:numPr>
        <w:spacing w:after="240" w:line="240" w:lineRule="auto"/>
        <w:contextualSpacing/>
        <w:rPr>
          <w:rFonts w:ascii="Arial" w:eastAsia="Times New Roman" w:hAnsi="Arial" w:cs="Arial"/>
          <w:sz w:val="20"/>
          <w:szCs w:val="20"/>
          <w:lang w:eastAsia="en-GB"/>
        </w:rPr>
      </w:pPr>
      <w:r w:rsidRPr="00791A09">
        <w:rPr>
          <w:rFonts w:ascii="Arial" w:eastAsia="Times New Roman" w:hAnsi="Arial" w:cs="Arial"/>
          <w:sz w:val="20"/>
          <w:szCs w:val="20"/>
          <w:lang w:eastAsia="en-GB"/>
        </w:rPr>
        <w:t>Support for political action, engagement, and policy:</w:t>
      </w:r>
    </w:p>
    <w:p w14:paraId="0555A9A7" w14:textId="77777777" w:rsidR="000B1D0E" w:rsidRPr="00791A09" w:rsidRDefault="000B1D0E" w:rsidP="000B1D0E">
      <w:pPr>
        <w:numPr>
          <w:ilvl w:val="1"/>
          <w:numId w:val="4"/>
        </w:numPr>
        <w:spacing w:after="240" w:line="240" w:lineRule="auto"/>
        <w:contextualSpacing/>
        <w:rPr>
          <w:rFonts w:ascii="Arial" w:eastAsia="Times New Roman" w:hAnsi="Arial" w:cs="Arial"/>
          <w:sz w:val="20"/>
          <w:szCs w:val="20"/>
          <w:lang w:eastAsia="en-GB"/>
        </w:rPr>
      </w:pPr>
      <w:r w:rsidRPr="00791A09">
        <w:rPr>
          <w:rFonts w:ascii="Arial" w:eastAsia="Times New Roman" w:hAnsi="Arial" w:cs="Arial"/>
          <w:sz w:val="20"/>
          <w:szCs w:val="20"/>
        </w:rPr>
        <w:t>Cities4Forests</w:t>
      </w:r>
      <w:r w:rsidRPr="00791A09">
        <w:rPr>
          <w:rFonts w:ascii="Arial" w:eastAsia="Times New Roman" w:hAnsi="Arial" w:cs="Arial"/>
          <w:sz w:val="20"/>
          <w:szCs w:val="20"/>
          <w:lang w:eastAsia="en-GB"/>
        </w:rPr>
        <w:t xml:space="preserve"> recruit</w:t>
      </w:r>
      <w:r>
        <w:rPr>
          <w:rFonts w:ascii="Arial" w:eastAsia="Times New Roman" w:hAnsi="Arial" w:cs="Arial"/>
          <w:sz w:val="20"/>
          <w:szCs w:val="20"/>
          <w:lang w:eastAsia="en-GB"/>
        </w:rPr>
        <w:t>ed</w:t>
      </w:r>
      <w:r w:rsidRPr="00791A09">
        <w:rPr>
          <w:rFonts w:ascii="Arial" w:eastAsia="Times New Roman" w:hAnsi="Arial" w:cs="Arial"/>
          <w:sz w:val="20"/>
          <w:szCs w:val="20"/>
          <w:lang w:eastAsia="en-GB"/>
        </w:rPr>
        <w:t xml:space="preserve"> 58 cities</w:t>
      </w:r>
      <w:r>
        <w:rPr>
          <w:rFonts w:ascii="Arial" w:eastAsia="Times New Roman" w:hAnsi="Arial" w:cs="Arial"/>
          <w:sz w:val="20"/>
          <w:szCs w:val="20"/>
          <w:lang w:eastAsia="en-GB"/>
        </w:rPr>
        <w:t>,</w:t>
      </w:r>
      <w:r w:rsidRPr="00791A09">
        <w:rPr>
          <w:rFonts w:ascii="Arial" w:eastAsia="Times New Roman" w:hAnsi="Arial" w:cs="Arial"/>
          <w:sz w:val="20"/>
          <w:szCs w:val="20"/>
          <w:lang w:eastAsia="en-GB"/>
        </w:rPr>
        <w:t xml:space="preserve"> representing more than 170 million residents</w:t>
      </w:r>
      <w:r>
        <w:rPr>
          <w:rFonts w:ascii="Arial" w:eastAsia="Times New Roman" w:hAnsi="Arial" w:cs="Arial"/>
          <w:sz w:val="20"/>
          <w:szCs w:val="20"/>
          <w:lang w:eastAsia="en-GB"/>
        </w:rPr>
        <w:t>,</w:t>
      </w:r>
      <w:r w:rsidRPr="00791A09">
        <w:rPr>
          <w:rFonts w:ascii="Arial" w:eastAsia="Times New Roman" w:hAnsi="Arial" w:cs="Arial"/>
          <w:sz w:val="20"/>
          <w:szCs w:val="20"/>
          <w:lang w:eastAsia="en-GB"/>
        </w:rPr>
        <w:t xml:space="preserve"> to issue a “Call to Action on Forests &amp; Climate” to accelerate policies and investments</w:t>
      </w:r>
      <w:r>
        <w:rPr>
          <w:rFonts w:ascii="Arial" w:eastAsia="Times New Roman" w:hAnsi="Arial" w:cs="Arial"/>
          <w:sz w:val="20"/>
          <w:szCs w:val="20"/>
          <w:lang w:eastAsia="en-GB"/>
        </w:rPr>
        <w:t>, and</w:t>
      </w:r>
      <w:r w:rsidRPr="00791A09">
        <w:rPr>
          <w:rFonts w:ascii="Arial" w:eastAsia="Times New Roman" w:hAnsi="Arial" w:cs="Arial"/>
          <w:sz w:val="20"/>
          <w:szCs w:val="20"/>
          <w:lang w:eastAsia="en-GB"/>
        </w:rPr>
        <w:t xml:space="preserve"> to support forest conservation, restoration, and sustainable forest management.</w:t>
      </w:r>
    </w:p>
    <w:p w14:paraId="425A21EB" w14:textId="77777777" w:rsidR="000B1D0E" w:rsidRPr="00791A09" w:rsidRDefault="000B1D0E" w:rsidP="000B1D0E">
      <w:pPr>
        <w:numPr>
          <w:ilvl w:val="1"/>
          <w:numId w:val="4"/>
        </w:numPr>
        <w:spacing w:after="240" w:line="240" w:lineRule="auto"/>
        <w:contextualSpacing/>
        <w:rPr>
          <w:rFonts w:ascii="Arial" w:eastAsia="Times New Roman" w:hAnsi="Arial" w:cs="Arial"/>
          <w:sz w:val="20"/>
          <w:szCs w:val="20"/>
          <w:lang w:eastAsia="en-GB"/>
        </w:rPr>
      </w:pPr>
      <w:r w:rsidRPr="00791A09">
        <w:rPr>
          <w:rFonts w:ascii="Arial" w:eastAsia="Times New Roman" w:hAnsi="Arial" w:cs="Arial"/>
          <w:sz w:val="20"/>
          <w:szCs w:val="20"/>
          <w:lang w:eastAsia="en-GB"/>
        </w:rPr>
        <w:t xml:space="preserve">New policy and regulatory achievements – in cities in Brazil and Indonesia, new regulations will protect trees and create more green spaces, while in Africa and India, baseline tree cover mapping estimations conducted by the Cities4Forests team are guiding the formulation of specific recommendations for policymakers and policy integration. </w:t>
      </w:r>
    </w:p>
    <w:p w14:paraId="16D3FB55" w14:textId="77777777" w:rsidR="000B1D0E" w:rsidRPr="00791A09" w:rsidRDefault="000B1D0E" w:rsidP="000B1D0E">
      <w:pPr>
        <w:numPr>
          <w:ilvl w:val="0"/>
          <w:numId w:val="4"/>
        </w:numPr>
        <w:spacing w:after="240" w:line="240" w:lineRule="auto"/>
        <w:contextualSpacing/>
        <w:rPr>
          <w:rFonts w:ascii="Arial" w:eastAsia="Times New Roman" w:hAnsi="Arial" w:cs="Arial"/>
          <w:sz w:val="20"/>
          <w:szCs w:val="20"/>
          <w:lang w:eastAsia="en-GB"/>
        </w:rPr>
      </w:pPr>
      <w:r w:rsidRPr="00791A09">
        <w:rPr>
          <w:rFonts w:ascii="Arial" w:eastAsia="Times New Roman" w:hAnsi="Arial" w:cs="Arial"/>
          <w:sz w:val="20"/>
          <w:szCs w:val="20"/>
          <w:lang w:eastAsia="en-GB"/>
        </w:rPr>
        <w:t>Enhanced technical capacity:</w:t>
      </w:r>
    </w:p>
    <w:p w14:paraId="5D5D9FE1" w14:textId="77777777" w:rsidR="000B1D0E" w:rsidRPr="00791A09" w:rsidRDefault="000B1D0E" w:rsidP="000B1D0E">
      <w:pPr>
        <w:numPr>
          <w:ilvl w:val="1"/>
          <w:numId w:val="4"/>
        </w:numPr>
        <w:spacing w:after="240" w:line="240" w:lineRule="auto"/>
        <w:contextualSpacing/>
        <w:rPr>
          <w:rFonts w:ascii="Arial" w:eastAsia="Times New Roman" w:hAnsi="Arial" w:cs="Arial"/>
          <w:sz w:val="20"/>
          <w:szCs w:val="20"/>
          <w:lang w:eastAsia="en-GB"/>
        </w:rPr>
      </w:pPr>
      <w:r w:rsidRPr="00791A09">
        <w:rPr>
          <w:rFonts w:ascii="Arial" w:eastAsia="Times New Roman" w:hAnsi="Arial" w:cs="Arial"/>
          <w:sz w:val="20"/>
          <w:szCs w:val="20"/>
          <w:lang w:eastAsia="en-GB"/>
        </w:rPr>
        <w:t xml:space="preserve">Cities4Forests provided leadership and technical guidance on </w:t>
      </w:r>
      <w:proofErr w:type="gramStart"/>
      <w:r w:rsidRPr="00791A09">
        <w:rPr>
          <w:rFonts w:ascii="Arial" w:eastAsia="Times New Roman" w:hAnsi="Arial" w:cs="Arial"/>
          <w:sz w:val="20"/>
          <w:szCs w:val="20"/>
          <w:lang w:eastAsia="en-GB"/>
        </w:rPr>
        <w:t>city</w:t>
      </w:r>
      <w:r>
        <w:rPr>
          <w:rFonts w:ascii="Arial" w:eastAsia="Times New Roman" w:hAnsi="Arial" w:cs="Arial"/>
          <w:sz w:val="20"/>
          <w:szCs w:val="20"/>
          <w:lang w:eastAsia="en-GB"/>
        </w:rPr>
        <w:t>-</w:t>
      </w:r>
      <w:r w:rsidRPr="00791A09">
        <w:rPr>
          <w:rFonts w:ascii="Arial" w:eastAsia="Times New Roman" w:hAnsi="Arial" w:cs="Arial"/>
          <w:sz w:val="20"/>
          <w:szCs w:val="20"/>
          <w:lang w:eastAsia="en-GB"/>
        </w:rPr>
        <w:t>driven</w:t>
      </w:r>
      <w:proofErr w:type="gramEnd"/>
      <w:r w:rsidRPr="00791A09">
        <w:rPr>
          <w:rFonts w:ascii="Arial" w:eastAsia="Times New Roman" w:hAnsi="Arial" w:cs="Arial"/>
          <w:sz w:val="20"/>
          <w:szCs w:val="20"/>
          <w:lang w:eastAsia="en-GB"/>
        </w:rPr>
        <w:t xml:space="preserve"> </w:t>
      </w:r>
      <w:proofErr w:type="spellStart"/>
      <w:r w:rsidRPr="00791A09">
        <w:rPr>
          <w:rFonts w:ascii="Arial" w:eastAsia="Times New Roman" w:hAnsi="Arial" w:cs="Arial"/>
          <w:sz w:val="20"/>
          <w:szCs w:val="20"/>
          <w:lang w:eastAsia="en-GB"/>
        </w:rPr>
        <w:t>NbS</w:t>
      </w:r>
      <w:proofErr w:type="spellEnd"/>
      <w:r w:rsidRPr="00791A09">
        <w:rPr>
          <w:rFonts w:ascii="Arial" w:eastAsia="Times New Roman" w:hAnsi="Arial" w:cs="Arial"/>
          <w:sz w:val="20"/>
          <w:szCs w:val="20"/>
          <w:lang w:eastAsia="en-GB"/>
        </w:rPr>
        <w:t xml:space="preserve"> by gathering numerous communities of practice, organizing </w:t>
      </w:r>
      <w:proofErr w:type="spellStart"/>
      <w:r w:rsidRPr="00791A09">
        <w:rPr>
          <w:rFonts w:ascii="Arial" w:eastAsia="Times New Roman" w:hAnsi="Arial" w:cs="Arial"/>
          <w:sz w:val="20"/>
          <w:szCs w:val="20"/>
          <w:lang w:eastAsia="en-GB"/>
        </w:rPr>
        <w:t>NbS</w:t>
      </w:r>
      <w:proofErr w:type="spellEnd"/>
      <w:r w:rsidRPr="00791A09">
        <w:rPr>
          <w:rFonts w:ascii="Arial" w:eastAsia="Times New Roman" w:hAnsi="Arial" w:cs="Arial"/>
          <w:sz w:val="20"/>
          <w:szCs w:val="20"/>
          <w:lang w:eastAsia="en-GB"/>
        </w:rPr>
        <w:t xml:space="preserve"> workshops and trainings that showcase innovative financing mechanisms for nature, and by launching </w:t>
      </w:r>
      <w:proofErr w:type="spellStart"/>
      <w:r w:rsidRPr="00791A09">
        <w:rPr>
          <w:rFonts w:ascii="Arial" w:eastAsia="Times New Roman" w:hAnsi="Arial" w:cs="Arial"/>
          <w:sz w:val="20"/>
          <w:szCs w:val="20"/>
          <w:lang w:eastAsia="en-GB"/>
        </w:rPr>
        <w:t>NbS</w:t>
      </w:r>
      <w:proofErr w:type="spellEnd"/>
      <w:r w:rsidRPr="00791A09">
        <w:rPr>
          <w:rFonts w:ascii="Arial" w:eastAsia="Times New Roman" w:hAnsi="Arial" w:cs="Arial"/>
          <w:sz w:val="20"/>
          <w:szCs w:val="20"/>
          <w:lang w:eastAsia="en-GB"/>
        </w:rPr>
        <w:t xml:space="preserve"> </w:t>
      </w:r>
      <w:r>
        <w:rPr>
          <w:rFonts w:ascii="Arial" w:eastAsia="Times New Roman" w:hAnsi="Arial" w:cs="Arial"/>
          <w:sz w:val="20"/>
          <w:szCs w:val="20"/>
          <w:lang w:eastAsia="en-GB"/>
        </w:rPr>
        <w:t>‘</w:t>
      </w:r>
      <w:r w:rsidRPr="00791A09">
        <w:rPr>
          <w:rFonts w:ascii="Arial" w:eastAsia="Times New Roman" w:hAnsi="Arial" w:cs="Arial"/>
          <w:sz w:val="20"/>
          <w:szCs w:val="20"/>
          <w:lang w:eastAsia="en-GB"/>
        </w:rPr>
        <w:t>accelerators</w:t>
      </w:r>
      <w:r>
        <w:rPr>
          <w:rFonts w:ascii="Arial" w:eastAsia="Times New Roman" w:hAnsi="Arial" w:cs="Arial"/>
          <w:sz w:val="20"/>
          <w:szCs w:val="20"/>
          <w:lang w:eastAsia="en-GB"/>
        </w:rPr>
        <w:t>’ which support early initiatives to move to implementation</w:t>
      </w:r>
      <w:r w:rsidRPr="00791A09">
        <w:rPr>
          <w:rFonts w:ascii="Arial" w:eastAsia="Times New Roman" w:hAnsi="Arial" w:cs="Arial"/>
          <w:sz w:val="20"/>
          <w:szCs w:val="20"/>
          <w:lang w:eastAsia="en-GB"/>
        </w:rPr>
        <w:t>.</w:t>
      </w:r>
    </w:p>
    <w:p w14:paraId="6BCB56D3" w14:textId="77777777" w:rsidR="000B1D0E" w:rsidRPr="00791A09" w:rsidRDefault="000B1D0E" w:rsidP="000B1D0E">
      <w:pPr>
        <w:numPr>
          <w:ilvl w:val="1"/>
          <w:numId w:val="4"/>
        </w:numPr>
        <w:spacing w:after="240" w:line="240" w:lineRule="auto"/>
        <w:contextualSpacing/>
        <w:rPr>
          <w:rFonts w:ascii="Arial" w:eastAsia="Arial" w:hAnsi="Arial" w:cs="Arial"/>
          <w:color w:val="1A1919"/>
          <w:sz w:val="20"/>
          <w:szCs w:val="20"/>
        </w:rPr>
      </w:pPr>
      <w:r w:rsidRPr="00791A09">
        <w:rPr>
          <w:rFonts w:ascii="Arial" w:eastAsia="Times New Roman" w:hAnsi="Arial" w:cs="Arial"/>
          <w:sz w:val="20"/>
          <w:szCs w:val="20"/>
          <w:lang w:eastAsia="en-GB"/>
        </w:rPr>
        <w:t xml:space="preserve">The development of new evidence-gathering tools and methodologies – the </w:t>
      </w:r>
      <w:r w:rsidRPr="00791A09">
        <w:rPr>
          <w:rFonts w:ascii="Arial" w:eastAsia="Times New Roman" w:hAnsi="Arial" w:cs="Arial"/>
          <w:sz w:val="20"/>
          <w:szCs w:val="20"/>
        </w:rPr>
        <w:t>Cities4Forests</w:t>
      </w:r>
      <w:r w:rsidRPr="00791A09">
        <w:rPr>
          <w:rFonts w:ascii="Arial" w:eastAsia="Times New Roman" w:hAnsi="Arial" w:cs="Arial"/>
          <w:sz w:val="20"/>
          <w:szCs w:val="20"/>
          <w:lang w:eastAsia="en-GB"/>
        </w:rPr>
        <w:t xml:space="preserve"> “Forest Footprint” tool to calculate total annual deforestation footprint of cities; the “</w:t>
      </w:r>
      <w:hyperlink r:id="rId7" w:history="1">
        <w:r w:rsidRPr="00791A09">
          <w:rPr>
            <w:rFonts w:ascii="Arial" w:eastAsia="Times New Roman" w:hAnsi="Arial" w:cs="Arial"/>
            <w:sz w:val="20"/>
            <w:szCs w:val="20"/>
            <w:lang w:eastAsia="en-GB"/>
          </w:rPr>
          <w:t xml:space="preserve">Global Protocol for Community-scale Greenhouse Gas </w:t>
        </w:r>
        <w:hyperlink r:id="rId8" w:history="1">
          <w:r w:rsidRPr="00791A09">
            <w:rPr>
              <w:rFonts w:ascii="Arial" w:eastAsia="Times New Roman" w:hAnsi="Arial" w:cs="Arial"/>
              <w:sz w:val="20"/>
              <w:szCs w:val="20"/>
              <w:lang w:eastAsia="en-GB"/>
            </w:rPr>
            <w:t>Inventories</w:t>
          </w:r>
        </w:hyperlink>
      </w:hyperlink>
      <w:r w:rsidRPr="00791A09">
        <w:rPr>
          <w:rFonts w:ascii="Arial" w:eastAsia="Times New Roman" w:hAnsi="Arial" w:cs="Arial"/>
          <w:sz w:val="20"/>
          <w:szCs w:val="20"/>
          <w:lang w:eastAsia="en-GB"/>
        </w:rPr>
        <w:t xml:space="preserve">" to estimate GHG emissions and removals by forests and trees within cities and other </w:t>
      </w:r>
      <w:r w:rsidRPr="00791A09">
        <w:rPr>
          <w:rFonts w:ascii="Arial" w:eastAsia="Times New Roman" w:hAnsi="Arial" w:cs="Arial"/>
          <w:sz w:val="20"/>
          <w:szCs w:val="20"/>
          <w:lang w:eastAsia="en-GB"/>
        </w:rPr>
        <w:lastRenderedPageBreak/>
        <w:t xml:space="preserve">local communities; and authoritative knowledge products on cities and forests, such as the </w:t>
      </w:r>
      <w:hyperlink r:id="rId9" w:history="1">
        <w:r>
          <w:rPr>
            <w:rStyle w:val="Hyperlink"/>
            <w:rFonts w:ascii="Arial" w:eastAsia="Times New Roman" w:hAnsi="Arial" w:cs="Arial"/>
            <w:sz w:val="20"/>
            <w:szCs w:val="20"/>
            <w:lang w:eastAsia="en-GB"/>
          </w:rPr>
          <w:t>‘Better Forests, Better Cities</w:t>
        </w:r>
      </w:hyperlink>
      <w:r>
        <w:rPr>
          <w:rStyle w:val="Hyperlink"/>
          <w:rFonts w:ascii="Arial" w:eastAsia="Times New Roman" w:hAnsi="Arial" w:cs="Arial"/>
          <w:sz w:val="20"/>
          <w:szCs w:val="20"/>
          <w:lang w:eastAsia="en-GB"/>
        </w:rPr>
        <w:t>’</w:t>
      </w:r>
      <w:r>
        <w:rPr>
          <w:rStyle w:val="FootnoteReference"/>
          <w:rFonts w:ascii="Arial" w:eastAsia="Times New Roman" w:hAnsi="Arial" w:cs="Arial"/>
          <w:color w:val="0563C1" w:themeColor="hyperlink"/>
          <w:sz w:val="20"/>
          <w:szCs w:val="20"/>
          <w:u w:val="single"/>
          <w:lang w:eastAsia="en-GB"/>
        </w:rPr>
        <w:footnoteReference w:id="2"/>
      </w:r>
      <w:r w:rsidRPr="00791A09">
        <w:rPr>
          <w:rFonts w:ascii="Arial" w:eastAsia="Times New Roman" w:hAnsi="Arial" w:cs="Arial"/>
          <w:sz w:val="20"/>
          <w:szCs w:val="20"/>
          <w:lang w:eastAsia="en-GB"/>
        </w:rPr>
        <w:t xml:space="preserve"> report that extensively </w:t>
      </w:r>
      <w:r w:rsidRPr="00791A09">
        <w:rPr>
          <w:rFonts w:ascii="Arial" w:hAnsi="Arial" w:cs="Arial"/>
          <w:sz w:val="20"/>
          <w:szCs w:val="20"/>
        </w:rPr>
        <w:t>shows how forests can deliver a diverse suite of benefits to cities</w:t>
      </w:r>
      <w:r w:rsidRPr="00791A09">
        <w:rPr>
          <w:rFonts w:ascii="Arial" w:eastAsia="Arial" w:hAnsi="Arial" w:cs="Arial"/>
          <w:color w:val="1A1919"/>
          <w:sz w:val="20"/>
          <w:szCs w:val="20"/>
        </w:rPr>
        <w:t xml:space="preserve"> and provides a set of key</w:t>
      </w:r>
      <w:r>
        <w:rPr>
          <w:rFonts w:ascii="Arial" w:eastAsia="Arial" w:hAnsi="Arial" w:cs="Arial"/>
          <w:color w:val="1A1919"/>
          <w:sz w:val="20"/>
          <w:szCs w:val="20"/>
        </w:rPr>
        <w:t xml:space="preserve"> </w:t>
      </w:r>
      <w:r w:rsidRPr="00791A09">
        <w:rPr>
          <w:rFonts w:ascii="Arial" w:eastAsia="Arial" w:hAnsi="Arial" w:cs="Arial"/>
          <w:color w:val="1A1919"/>
          <w:sz w:val="20"/>
          <w:szCs w:val="20"/>
        </w:rPr>
        <w:t>recommendations for cities to scale up their efforts to protect and conserve forests.</w:t>
      </w:r>
    </w:p>
    <w:p w14:paraId="72CEBF8E" w14:textId="0A40C387" w:rsidR="000B1D0E" w:rsidRPr="00B72104" w:rsidRDefault="000B1D0E" w:rsidP="000B1D0E">
      <w:pPr>
        <w:numPr>
          <w:ilvl w:val="1"/>
          <w:numId w:val="4"/>
        </w:numPr>
        <w:spacing w:after="240" w:line="240" w:lineRule="auto"/>
        <w:contextualSpacing/>
        <w:rPr>
          <w:rFonts w:ascii="Arial" w:eastAsia="Times New Roman" w:hAnsi="Arial" w:cs="Arial"/>
          <w:sz w:val="20"/>
          <w:szCs w:val="20"/>
          <w:lang w:eastAsia="en-GB"/>
        </w:rPr>
      </w:pPr>
      <w:r w:rsidRPr="00791A09">
        <w:rPr>
          <w:rFonts w:ascii="Arial" w:eastAsia="Times New Roman" w:hAnsi="Arial" w:cs="Arial"/>
          <w:sz w:val="20"/>
          <w:szCs w:val="20"/>
          <w:lang w:eastAsia="en-GB"/>
        </w:rPr>
        <w:t>Increased emphasis on technical assistance in Sub-Saharan Africa, especially on the Congo Basin where the Cities4Forests team will conduct analysis on the dynamics of forest infrastructure of Brazzaville, Republic of Congo, supporting city officials to design the city’s 2023 action plan to protect and restore the urban forest</w:t>
      </w:r>
      <w:r>
        <w:rPr>
          <w:rFonts w:ascii="Arial" w:eastAsia="Times New Roman" w:hAnsi="Arial" w:cs="Arial"/>
          <w:sz w:val="20"/>
          <w:szCs w:val="20"/>
          <w:lang w:eastAsia="en-GB"/>
        </w:rPr>
        <w:t>, and working in urban and peri</w:t>
      </w:r>
      <w:r w:rsidR="00BA534C">
        <w:rPr>
          <w:rFonts w:ascii="Arial" w:eastAsia="Times New Roman" w:hAnsi="Arial" w:cs="Arial"/>
          <w:sz w:val="20"/>
          <w:szCs w:val="20"/>
          <w:lang w:eastAsia="en-GB"/>
        </w:rPr>
        <w:t>-</w:t>
      </w:r>
      <w:r>
        <w:rPr>
          <w:rFonts w:ascii="Arial" w:eastAsia="Times New Roman" w:hAnsi="Arial" w:cs="Arial"/>
          <w:sz w:val="20"/>
          <w:szCs w:val="20"/>
          <w:lang w:eastAsia="en-GB"/>
        </w:rPr>
        <w:t>urban areas of the Ruzizi River Basin to improve water quality and livelihoods.</w:t>
      </w:r>
    </w:p>
    <w:p w14:paraId="0097A1CD" w14:textId="77777777" w:rsidR="000B1D0E" w:rsidRPr="00791A09" w:rsidRDefault="000B1D0E" w:rsidP="000B1D0E">
      <w:pPr>
        <w:numPr>
          <w:ilvl w:val="0"/>
          <w:numId w:val="4"/>
        </w:numPr>
        <w:spacing w:after="240" w:line="240" w:lineRule="auto"/>
        <w:contextualSpacing/>
        <w:rPr>
          <w:rFonts w:ascii="Arial" w:eastAsia="Times New Roman" w:hAnsi="Arial" w:cs="Arial"/>
          <w:sz w:val="20"/>
          <w:szCs w:val="20"/>
          <w:lang w:eastAsia="en-GB"/>
        </w:rPr>
      </w:pPr>
      <w:r w:rsidRPr="00791A09">
        <w:rPr>
          <w:rFonts w:ascii="Arial" w:eastAsia="Times New Roman" w:hAnsi="Arial" w:cs="Arial"/>
          <w:sz w:val="20"/>
          <w:szCs w:val="20"/>
          <w:lang w:eastAsia="en-GB"/>
        </w:rPr>
        <w:t xml:space="preserve">Creating new finance opportunities for </w:t>
      </w:r>
      <w:proofErr w:type="spellStart"/>
      <w:r w:rsidRPr="00791A09">
        <w:rPr>
          <w:rFonts w:ascii="Arial" w:eastAsia="Times New Roman" w:hAnsi="Arial" w:cs="Arial"/>
          <w:sz w:val="20"/>
          <w:szCs w:val="20"/>
          <w:lang w:eastAsia="en-GB"/>
        </w:rPr>
        <w:t>NbS</w:t>
      </w:r>
      <w:proofErr w:type="spellEnd"/>
      <w:r w:rsidRPr="00791A09">
        <w:rPr>
          <w:rFonts w:ascii="Arial" w:eastAsia="Times New Roman" w:hAnsi="Arial" w:cs="Arial"/>
          <w:sz w:val="20"/>
          <w:szCs w:val="20"/>
          <w:lang w:eastAsia="en-GB"/>
        </w:rPr>
        <w:t>:</w:t>
      </w:r>
    </w:p>
    <w:p w14:paraId="5426E8A6" w14:textId="77777777" w:rsidR="000B1D0E" w:rsidRDefault="000B1D0E" w:rsidP="000B1D0E">
      <w:pPr>
        <w:numPr>
          <w:ilvl w:val="1"/>
          <w:numId w:val="4"/>
        </w:numPr>
        <w:spacing w:after="240" w:line="240" w:lineRule="auto"/>
        <w:contextualSpacing/>
        <w:rPr>
          <w:rFonts w:ascii="Arial" w:eastAsia="Times New Roman" w:hAnsi="Arial" w:cs="Arial"/>
          <w:sz w:val="20"/>
          <w:szCs w:val="20"/>
          <w:lang w:eastAsia="en-GB"/>
        </w:rPr>
      </w:pPr>
      <w:r w:rsidRPr="00791A09">
        <w:rPr>
          <w:rFonts w:ascii="Arial" w:eastAsia="Times New Roman" w:hAnsi="Arial" w:cs="Arial"/>
          <w:sz w:val="20"/>
          <w:szCs w:val="20"/>
          <w:lang w:eastAsia="en-GB"/>
        </w:rPr>
        <w:t xml:space="preserve">Success in brokering public-private partnerships, increasing literacy among </w:t>
      </w:r>
      <w:proofErr w:type="spellStart"/>
      <w:r w:rsidRPr="00791A09">
        <w:rPr>
          <w:rFonts w:ascii="Arial" w:eastAsia="Times New Roman" w:hAnsi="Arial" w:cs="Arial"/>
          <w:sz w:val="20"/>
          <w:szCs w:val="20"/>
          <w:lang w:eastAsia="en-GB"/>
        </w:rPr>
        <w:t>NbS</w:t>
      </w:r>
      <w:proofErr w:type="spellEnd"/>
      <w:r w:rsidRPr="00791A09">
        <w:rPr>
          <w:rFonts w:ascii="Arial" w:eastAsia="Times New Roman" w:hAnsi="Arial" w:cs="Arial"/>
          <w:sz w:val="20"/>
          <w:szCs w:val="20"/>
          <w:lang w:eastAsia="en-GB"/>
        </w:rPr>
        <w:t xml:space="preserve"> practitioners and other stakeholders in innovative financing mechanisms, and technical and financial support for pilot projects in </w:t>
      </w:r>
      <w:hyperlink r:id="rId10" w:history="1">
        <w:r w:rsidRPr="00791A09">
          <w:rPr>
            <w:rStyle w:val="Hyperlink"/>
            <w:rFonts w:ascii="Arial" w:eastAsia="Times New Roman" w:hAnsi="Arial" w:cs="Arial"/>
            <w:sz w:val="20"/>
            <w:szCs w:val="20"/>
            <w:lang w:eastAsia="en-GB"/>
          </w:rPr>
          <w:t>India</w:t>
        </w:r>
      </w:hyperlink>
      <w:r w:rsidRPr="00791A09">
        <w:rPr>
          <w:rStyle w:val="FootnoteReference"/>
          <w:color w:val="2B579A"/>
          <w:sz w:val="20"/>
          <w:szCs w:val="20"/>
        </w:rPr>
        <w:footnoteReference w:id="3"/>
      </w:r>
      <w:r w:rsidRPr="00791A09">
        <w:rPr>
          <w:rFonts w:ascii="Arial" w:eastAsia="Times New Roman" w:hAnsi="Arial" w:cs="Arial"/>
          <w:sz w:val="20"/>
          <w:szCs w:val="20"/>
          <w:lang w:eastAsia="en-GB"/>
        </w:rPr>
        <w:t xml:space="preserve"> and </w:t>
      </w:r>
      <w:hyperlink r:id="rId11" w:history="1">
        <w:r w:rsidRPr="00791A09">
          <w:rPr>
            <w:rStyle w:val="Hyperlink"/>
            <w:rFonts w:ascii="Arial" w:eastAsia="Times New Roman" w:hAnsi="Arial" w:cs="Arial"/>
            <w:sz w:val="20"/>
            <w:szCs w:val="20"/>
            <w:lang w:eastAsia="en-GB"/>
          </w:rPr>
          <w:t>Brazil</w:t>
        </w:r>
      </w:hyperlink>
      <w:r w:rsidRPr="00791A09">
        <w:rPr>
          <w:color w:val="2B579A"/>
          <w:sz w:val="20"/>
          <w:szCs w:val="20"/>
        </w:rPr>
        <w:t xml:space="preserve"> </w:t>
      </w:r>
      <w:r w:rsidRPr="00791A09">
        <w:rPr>
          <w:rFonts w:ascii="Arial" w:eastAsia="Times New Roman" w:hAnsi="Arial" w:cs="Arial"/>
          <w:sz w:val="20"/>
          <w:szCs w:val="20"/>
          <w:lang w:eastAsia="en-GB"/>
        </w:rPr>
        <w:t xml:space="preserve">through regional </w:t>
      </w:r>
      <w:proofErr w:type="spellStart"/>
      <w:r w:rsidRPr="00791A09">
        <w:rPr>
          <w:rFonts w:ascii="Arial" w:eastAsia="Times New Roman" w:hAnsi="Arial" w:cs="Arial"/>
          <w:sz w:val="20"/>
          <w:szCs w:val="20"/>
          <w:lang w:eastAsia="en-GB"/>
        </w:rPr>
        <w:t>NbS</w:t>
      </w:r>
      <w:proofErr w:type="spellEnd"/>
      <w:r w:rsidRPr="00791A09">
        <w:rPr>
          <w:rFonts w:ascii="Arial" w:eastAsia="Times New Roman" w:hAnsi="Arial" w:cs="Arial"/>
          <w:sz w:val="20"/>
          <w:szCs w:val="20"/>
          <w:lang w:eastAsia="en-GB"/>
        </w:rPr>
        <w:t xml:space="preserve"> accelerators.</w:t>
      </w:r>
    </w:p>
    <w:p w14:paraId="73B80477" w14:textId="77777777" w:rsidR="000B1D0E" w:rsidRDefault="000B1D0E" w:rsidP="000B1D0E">
      <w:pPr>
        <w:spacing w:after="240" w:line="240" w:lineRule="auto"/>
        <w:ind w:left="1500"/>
        <w:contextualSpacing/>
        <w:rPr>
          <w:rFonts w:ascii="Arial" w:eastAsia="Times New Roman" w:hAnsi="Arial" w:cs="Arial"/>
          <w:sz w:val="20"/>
          <w:szCs w:val="20"/>
          <w:lang w:eastAsia="en-GB"/>
        </w:rPr>
      </w:pPr>
    </w:p>
    <w:p w14:paraId="75903E91" w14:textId="77777777" w:rsidR="000B1D0E" w:rsidRPr="00791A09" w:rsidRDefault="000B1D0E" w:rsidP="000B1D0E">
      <w:pPr>
        <w:spacing w:after="0" w:line="240" w:lineRule="auto"/>
        <w:rPr>
          <w:rFonts w:ascii="Arial" w:eastAsia="Times New Roman" w:hAnsi="Arial" w:cs="Times New Roman"/>
          <w:sz w:val="20"/>
          <w:szCs w:val="20"/>
        </w:rPr>
      </w:pPr>
      <w:r>
        <w:rPr>
          <w:rFonts w:ascii="Arial" w:eastAsia="Times New Roman" w:hAnsi="Arial" w:cs="Times New Roman"/>
          <w:sz w:val="20"/>
          <w:szCs w:val="20"/>
        </w:rPr>
        <w:t>Cities4Forests has also been doing some cross-cutting work a</w:t>
      </w:r>
      <w:r w:rsidRPr="004E1E0E">
        <w:rPr>
          <w:rFonts w:ascii="Arial" w:eastAsia="Times New Roman" w:hAnsi="Arial" w:cs="Times New Roman"/>
          <w:sz w:val="20"/>
          <w:szCs w:val="20"/>
        </w:rPr>
        <w:t>dvancing gender and social equity (GSE)</w:t>
      </w:r>
      <w:r>
        <w:rPr>
          <w:rFonts w:ascii="Arial" w:eastAsia="Times New Roman" w:hAnsi="Arial" w:cs="Times New Roman"/>
          <w:sz w:val="20"/>
          <w:szCs w:val="20"/>
        </w:rPr>
        <w:t>, i</w:t>
      </w:r>
      <w:r w:rsidRPr="004E1E0E">
        <w:rPr>
          <w:rFonts w:ascii="Arial" w:eastAsia="Times New Roman" w:hAnsi="Arial" w:cs="Times New Roman"/>
          <w:sz w:val="20"/>
          <w:szCs w:val="20"/>
        </w:rPr>
        <w:t xml:space="preserve">ncorporating </w:t>
      </w:r>
      <w:r>
        <w:rPr>
          <w:rFonts w:ascii="Arial" w:eastAsia="Times New Roman" w:hAnsi="Arial" w:cs="Times New Roman"/>
          <w:sz w:val="20"/>
          <w:szCs w:val="20"/>
        </w:rPr>
        <w:t xml:space="preserve">GSE </w:t>
      </w:r>
      <w:r w:rsidRPr="004E1E0E">
        <w:rPr>
          <w:rFonts w:ascii="Arial" w:eastAsia="Times New Roman" w:hAnsi="Arial" w:cs="Times New Roman"/>
          <w:sz w:val="20"/>
          <w:szCs w:val="20"/>
        </w:rPr>
        <w:t xml:space="preserve">considerations into </w:t>
      </w:r>
      <w:proofErr w:type="spellStart"/>
      <w:r w:rsidRPr="004E1E0E">
        <w:rPr>
          <w:rFonts w:ascii="Arial" w:eastAsia="Times New Roman" w:hAnsi="Arial" w:cs="Times New Roman"/>
          <w:sz w:val="20"/>
          <w:szCs w:val="20"/>
        </w:rPr>
        <w:t>N</w:t>
      </w:r>
      <w:r>
        <w:rPr>
          <w:rFonts w:ascii="Arial" w:eastAsia="Times New Roman" w:hAnsi="Arial" w:cs="Times New Roman"/>
          <w:sz w:val="20"/>
          <w:szCs w:val="20"/>
        </w:rPr>
        <w:t>b</w:t>
      </w:r>
      <w:r w:rsidRPr="004E1E0E">
        <w:rPr>
          <w:rFonts w:ascii="Arial" w:eastAsia="Times New Roman" w:hAnsi="Arial" w:cs="Times New Roman"/>
          <w:sz w:val="20"/>
          <w:szCs w:val="20"/>
        </w:rPr>
        <w:t>S</w:t>
      </w:r>
      <w:proofErr w:type="spellEnd"/>
      <w:r w:rsidRPr="004E1E0E">
        <w:rPr>
          <w:rFonts w:ascii="Arial" w:eastAsia="Times New Roman" w:hAnsi="Arial" w:cs="Times New Roman"/>
          <w:sz w:val="20"/>
          <w:szCs w:val="20"/>
        </w:rPr>
        <w:t xml:space="preserve"> projects in Ethiopia, Brazil, Colombia, India, Indonesia, and Mexico. The Cities4Forests Social Equity Learning Guide highlights possible ways, tools, and approaches to mainstream GSE into </w:t>
      </w:r>
      <w:proofErr w:type="spellStart"/>
      <w:r w:rsidRPr="004E1E0E">
        <w:rPr>
          <w:rFonts w:ascii="Arial" w:eastAsia="Times New Roman" w:hAnsi="Arial" w:cs="Times New Roman"/>
          <w:sz w:val="20"/>
          <w:szCs w:val="20"/>
        </w:rPr>
        <w:t>NbS</w:t>
      </w:r>
      <w:proofErr w:type="spellEnd"/>
      <w:r w:rsidRPr="004E1E0E">
        <w:rPr>
          <w:rFonts w:ascii="Arial" w:eastAsia="Times New Roman" w:hAnsi="Arial" w:cs="Times New Roman"/>
          <w:sz w:val="20"/>
          <w:szCs w:val="20"/>
        </w:rPr>
        <w:t xml:space="preserve"> activities. Over the next year, Cities4Forests will conduct at least two GSE deep-dive analyses to increase staff and partner capacity and ensure </w:t>
      </w:r>
      <w:proofErr w:type="spellStart"/>
      <w:r w:rsidRPr="004E1E0E">
        <w:rPr>
          <w:rFonts w:ascii="Arial" w:eastAsia="Times New Roman" w:hAnsi="Arial" w:cs="Times New Roman"/>
          <w:sz w:val="20"/>
          <w:szCs w:val="20"/>
        </w:rPr>
        <w:t>N</w:t>
      </w:r>
      <w:r>
        <w:rPr>
          <w:rFonts w:ascii="Arial" w:eastAsia="Times New Roman" w:hAnsi="Arial" w:cs="Times New Roman"/>
          <w:sz w:val="20"/>
          <w:szCs w:val="20"/>
        </w:rPr>
        <w:t>b</w:t>
      </w:r>
      <w:r w:rsidRPr="004E1E0E">
        <w:rPr>
          <w:rFonts w:ascii="Arial" w:eastAsia="Times New Roman" w:hAnsi="Arial" w:cs="Times New Roman"/>
          <w:sz w:val="20"/>
          <w:szCs w:val="20"/>
        </w:rPr>
        <w:t>S</w:t>
      </w:r>
      <w:proofErr w:type="spellEnd"/>
      <w:r w:rsidRPr="004E1E0E">
        <w:rPr>
          <w:rFonts w:ascii="Arial" w:eastAsia="Times New Roman" w:hAnsi="Arial" w:cs="Times New Roman"/>
          <w:sz w:val="20"/>
          <w:szCs w:val="20"/>
        </w:rPr>
        <w:t xml:space="preserve"> deliver equitable benefits in </w:t>
      </w:r>
      <w:proofErr w:type="spellStart"/>
      <w:r w:rsidRPr="004E1E0E">
        <w:rPr>
          <w:rFonts w:ascii="Arial" w:eastAsia="Times New Roman" w:hAnsi="Arial" w:cs="Times New Roman"/>
          <w:sz w:val="20"/>
          <w:szCs w:val="20"/>
        </w:rPr>
        <w:t>NbS</w:t>
      </w:r>
      <w:proofErr w:type="spellEnd"/>
      <w:r w:rsidRPr="004E1E0E">
        <w:rPr>
          <w:rFonts w:ascii="Arial" w:eastAsia="Times New Roman" w:hAnsi="Arial" w:cs="Times New Roman"/>
          <w:sz w:val="20"/>
          <w:szCs w:val="20"/>
        </w:rPr>
        <w:t xml:space="preserve"> projects.</w:t>
      </w:r>
    </w:p>
    <w:p w14:paraId="39BD2BE6" w14:textId="77777777" w:rsidR="000B1D0E" w:rsidRDefault="000B1D0E" w:rsidP="000B1D0E">
      <w:pPr>
        <w:spacing w:after="0" w:line="240" w:lineRule="auto"/>
        <w:rPr>
          <w:rFonts w:ascii="Arial" w:eastAsia="Times New Roman" w:hAnsi="Arial" w:cs="Times New Roman"/>
          <w:sz w:val="20"/>
          <w:szCs w:val="20"/>
        </w:rPr>
      </w:pPr>
    </w:p>
    <w:p w14:paraId="2949EDB3" w14:textId="77777777" w:rsidR="000B1D0E" w:rsidRDefault="000B1D0E" w:rsidP="000B1D0E">
      <w:pPr>
        <w:spacing w:after="0" w:line="240" w:lineRule="auto"/>
        <w:rPr>
          <w:rFonts w:ascii="Arial" w:eastAsia="Times New Roman" w:hAnsi="Arial" w:cs="Times New Roman"/>
          <w:sz w:val="20"/>
          <w:szCs w:val="20"/>
        </w:rPr>
      </w:pPr>
      <w:r w:rsidRPr="00791A09">
        <w:rPr>
          <w:rFonts w:ascii="Arial" w:eastAsia="Times New Roman" w:hAnsi="Arial" w:cs="Times New Roman"/>
          <w:sz w:val="20"/>
          <w:szCs w:val="20"/>
        </w:rPr>
        <w:t xml:space="preserve">Cities4Forests has worked efficiently to help complete milestones in </w:t>
      </w:r>
      <w:r>
        <w:rPr>
          <w:rFonts w:ascii="Arial" w:eastAsia="Times New Roman" w:hAnsi="Arial" w:cs="Times New Roman"/>
          <w:sz w:val="20"/>
          <w:szCs w:val="20"/>
        </w:rPr>
        <w:t xml:space="preserve">its </w:t>
      </w:r>
      <w:r w:rsidRPr="00791A09">
        <w:rPr>
          <w:rFonts w:ascii="Arial" w:eastAsia="Times New Roman" w:hAnsi="Arial" w:cs="Times New Roman"/>
          <w:sz w:val="20"/>
          <w:szCs w:val="20"/>
        </w:rPr>
        <w:t xml:space="preserve">delivery plan, </w:t>
      </w:r>
      <w:proofErr w:type="gramStart"/>
      <w:r w:rsidRPr="00791A09">
        <w:rPr>
          <w:rFonts w:ascii="Arial" w:eastAsia="Times New Roman" w:hAnsi="Arial" w:cs="Times New Roman"/>
          <w:sz w:val="20"/>
          <w:szCs w:val="20"/>
        </w:rPr>
        <w:t>in particular completing</w:t>
      </w:r>
      <w:proofErr w:type="gramEnd"/>
      <w:r w:rsidRPr="00791A09">
        <w:rPr>
          <w:rFonts w:ascii="Arial" w:eastAsia="Times New Roman" w:hAnsi="Arial" w:cs="Times New Roman"/>
          <w:sz w:val="20"/>
          <w:szCs w:val="20"/>
        </w:rPr>
        <w:t xml:space="preserve"> the logframe, setting up Donor Advisory Committee meetings as well as Programme Management Reporting Group meetings.</w:t>
      </w:r>
      <w:r>
        <w:rPr>
          <w:rFonts w:ascii="Arial" w:eastAsia="Times New Roman" w:hAnsi="Arial" w:cs="Times New Roman"/>
          <w:sz w:val="20"/>
          <w:szCs w:val="20"/>
        </w:rPr>
        <w:t xml:space="preserve">  </w:t>
      </w:r>
      <w:r w:rsidRPr="00791A09">
        <w:rPr>
          <w:rFonts w:ascii="Arial" w:eastAsia="Times New Roman" w:hAnsi="Arial" w:cs="Times New Roman"/>
          <w:sz w:val="20"/>
          <w:szCs w:val="20"/>
        </w:rPr>
        <w:t xml:space="preserve">Cities4Forests are working on methods to gather data and a wide range of initiatives are already underway. </w:t>
      </w:r>
      <w:r>
        <w:rPr>
          <w:rFonts w:ascii="Arial" w:eastAsia="Times New Roman" w:hAnsi="Arial" w:cs="Times New Roman"/>
          <w:sz w:val="20"/>
          <w:szCs w:val="20"/>
        </w:rPr>
        <w:t>In addition:</w:t>
      </w:r>
    </w:p>
    <w:p w14:paraId="1430A906" w14:textId="77777777" w:rsidR="000B1D0E" w:rsidRDefault="000B1D0E" w:rsidP="000B1D0E">
      <w:pPr>
        <w:spacing w:after="0" w:line="240" w:lineRule="auto"/>
        <w:rPr>
          <w:rFonts w:ascii="Arial" w:eastAsia="Times New Roman" w:hAnsi="Arial" w:cs="Times New Roman"/>
          <w:sz w:val="20"/>
          <w:szCs w:val="20"/>
        </w:rPr>
      </w:pPr>
    </w:p>
    <w:p w14:paraId="29D0F91D" w14:textId="77777777" w:rsidR="000B1D0E" w:rsidRPr="00791A09" w:rsidRDefault="000B1D0E" w:rsidP="000B1D0E">
      <w:pPr>
        <w:pStyle w:val="ListParagraph"/>
        <w:numPr>
          <w:ilvl w:val="0"/>
          <w:numId w:val="3"/>
        </w:numPr>
        <w:tabs>
          <w:tab w:val="left" w:pos="6915"/>
          <w:tab w:val="left" w:pos="9495"/>
        </w:tabs>
        <w:spacing w:after="0" w:line="240" w:lineRule="auto"/>
        <w:jc w:val="both"/>
        <w:rPr>
          <w:rFonts w:ascii="Arial" w:eastAsia="Times New Roman" w:hAnsi="Arial" w:cs="Times New Roman"/>
          <w:sz w:val="20"/>
          <w:szCs w:val="20"/>
        </w:rPr>
      </w:pPr>
      <w:r w:rsidRPr="00791A09">
        <w:rPr>
          <w:rFonts w:ascii="Arial" w:eastAsia="Times New Roman" w:hAnsi="Arial" w:cs="Times New Roman"/>
          <w:sz w:val="20"/>
          <w:szCs w:val="20"/>
        </w:rPr>
        <w:t>Cities4Forests should continue to ensure that the program</w:t>
      </w:r>
      <w:r>
        <w:rPr>
          <w:rFonts w:ascii="Arial" w:eastAsia="Times New Roman" w:hAnsi="Arial" w:cs="Times New Roman"/>
          <w:sz w:val="20"/>
          <w:szCs w:val="20"/>
        </w:rPr>
        <w:t>me</w:t>
      </w:r>
      <w:r w:rsidRPr="00791A09">
        <w:rPr>
          <w:rFonts w:ascii="Arial" w:eastAsia="Times New Roman" w:hAnsi="Arial" w:cs="Times New Roman"/>
          <w:sz w:val="20"/>
          <w:szCs w:val="20"/>
        </w:rPr>
        <w:t>’s outcomes and outputs are aligned with global landmark targets and goals for nature, climate, and human well-being such as the Paris Agreement, the Post-2020 Global Biodiversity Framework 30x30, Adaptation Finance, Sustainable Development Goals and that Cities4Forests work contributes to accelerate progress towards scaling climate and environmental action at the local, national, and global level.</w:t>
      </w:r>
    </w:p>
    <w:p w14:paraId="50F18E46" w14:textId="77777777" w:rsidR="000B1D0E" w:rsidRPr="00791A09" w:rsidRDefault="000B1D0E" w:rsidP="000B1D0E">
      <w:pPr>
        <w:pStyle w:val="ListParagraph"/>
        <w:numPr>
          <w:ilvl w:val="0"/>
          <w:numId w:val="3"/>
        </w:numPr>
        <w:tabs>
          <w:tab w:val="left" w:pos="6915"/>
          <w:tab w:val="left" w:pos="9495"/>
        </w:tabs>
        <w:spacing w:after="0" w:line="240" w:lineRule="auto"/>
        <w:jc w:val="both"/>
        <w:rPr>
          <w:rFonts w:ascii="Arial" w:eastAsia="Times New Roman" w:hAnsi="Arial" w:cs="Arial"/>
          <w:sz w:val="20"/>
          <w:szCs w:val="20"/>
        </w:rPr>
      </w:pPr>
      <w:r w:rsidRPr="00791A09">
        <w:rPr>
          <w:rFonts w:ascii="Arial" w:eastAsia="Times New Roman" w:hAnsi="Arial" w:cs="Arial"/>
          <w:sz w:val="20"/>
          <w:szCs w:val="20"/>
        </w:rPr>
        <w:t xml:space="preserve">The science and practice of monitoring / evaluating the effectiveness of </w:t>
      </w:r>
      <w:proofErr w:type="spellStart"/>
      <w:r w:rsidRPr="00791A09">
        <w:rPr>
          <w:rFonts w:ascii="Arial" w:eastAsia="Times New Roman" w:hAnsi="Arial" w:cs="Arial"/>
          <w:sz w:val="20"/>
          <w:szCs w:val="20"/>
        </w:rPr>
        <w:t>NbS</w:t>
      </w:r>
      <w:proofErr w:type="spellEnd"/>
      <w:r w:rsidRPr="00791A09">
        <w:rPr>
          <w:rFonts w:ascii="Arial" w:eastAsia="Times New Roman" w:hAnsi="Arial" w:cs="Arial"/>
          <w:sz w:val="20"/>
          <w:szCs w:val="20"/>
        </w:rPr>
        <w:t xml:space="preserve"> programs remains a crucial gap to secure additional investments and political buy-in for Cities4Forests and nature more broadly. Cities4Forests should continue to invest in improved evaluation and monitoring of </w:t>
      </w:r>
      <w:proofErr w:type="spellStart"/>
      <w:r w:rsidRPr="00791A09">
        <w:rPr>
          <w:rFonts w:ascii="Arial" w:eastAsia="Times New Roman" w:hAnsi="Arial" w:cs="Arial"/>
          <w:sz w:val="20"/>
          <w:szCs w:val="20"/>
        </w:rPr>
        <w:t>NbS</w:t>
      </w:r>
      <w:proofErr w:type="spellEnd"/>
      <w:r w:rsidRPr="00791A09">
        <w:rPr>
          <w:rFonts w:ascii="Arial" w:eastAsia="Times New Roman" w:hAnsi="Arial" w:cs="Arial"/>
          <w:sz w:val="20"/>
          <w:szCs w:val="20"/>
        </w:rPr>
        <w:t xml:space="preserve"> to strengthen the case for bolder policies and increased investment. </w:t>
      </w:r>
    </w:p>
    <w:p w14:paraId="5DEBEADF" w14:textId="77777777" w:rsidR="000B1D0E" w:rsidRPr="000344EB" w:rsidRDefault="000B1D0E" w:rsidP="000B1D0E">
      <w:pPr>
        <w:pStyle w:val="ListParagraph"/>
        <w:numPr>
          <w:ilvl w:val="0"/>
          <w:numId w:val="3"/>
        </w:numPr>
        <w:tabs>
          <w:tab w:val="left" w:pos="6915"/>
          <w:tab w:val="left" w:pos="9495"/>
        </w:tabs>
        <w:spacing w:after="0" w:line="240" w:lineRule="auto"/>
        <w:jc w:val="both"/>
        <w:rPr>
          <w:rFonts w:ascii="Arial" w:eastAsia="Times New Roman" w:hAnsi="Arial" w:cs="Times New Roman"/>
          <w:sz w:val="20"/>
          <w:szCs w:val="20"/>
        </w:rPr>
      </w:pPr>
      <w:r w:rsidRPr="000344EB">
        <w:rPr>
          <w:rFonts w:ascii="Arial" w:eastAsia="Times New Roman" w:hAnsi="Arial" w:cs="Arial"/>
          <w:sz w:val="20"/>
          <w:szCs w:val="20"/>
        </w:rPr>
        <w:t>Cities4Forests has generated new data, analyses, and decision-making tools, but will need to continue to focus on adoption and implementation to achieve on-the-ground impact. Cities4Forests should e</w:t>
      </w:r>
      <w:r w:rsidRPr="000344EB">
        <w:rPr>
          <w:rFonts w:ascii="Arial" w:eastAsia="Times New Roman" w:hAnsi="Arial" w:cs="Times New Roman"/>
          <w:sz w:val="20"/>
          <w:szCs w:val="20"/>
          <w:lang w:eastAsia="en-GB"/>
        </w:rPr>
        <w:t xml:space="preserve">nsure </w:t>
      </w:r>
      <w:r>
        <w:rPr>
          <w:rFonts w:ascii="Arial" w:eastAsia="Times New Roman" w:hAnsi="Arial" w:cs="Times New Roman"/>
          <w:sz w:val="20"/>
          <w:szCs w:val="20"/>
          <w:lang w:eastAsia="en-GB"/>
        </w:rPr>
        <w:t xml:space="preserve">its </w:t>
      </w:r>
      <w:r w:rsidRPr="000344EB">
        <w:rPr>
          <w:rFonts w:ascii="Arial" w:eastAsia="Times New Roman" w:hAnsi="Arial" w:cs="Times New Roman"/>
          <w:sz w:val="20"/>
          <w:szCs w:val="20"/>
          <w:lang w:eastAsia="en-GB"/>
        </w:rPr>
        <w:t>engagement does</w:t>
      </w:r>
      <w:r>
        <w:rPr>
          <w:rFonts w:ascii="Arial" w:eastAsia="Times New Roman" w:hAnsi="Arial" w:cs="Times New Roman"/>
          <w:sz w:val="20"/>
          <w:szCs w:val="20"/>
          <w:lang w:eastAsia="en-GB"/>
        </w:rPr>
        <w:t xml:space="preserve"> </w:t>
      </w:r>
      <w:r w:rsidRPr="000344EB">
        <w:rPr>
          <w:rFonts w:ascii="Arial" w:eastAsia="Times New Roman" w:hAnsi="Arial" w:cs="Times New Roman"/>
          <w:sz w:val="20"/>
          <w:szCs w:val="20"/>
          <w:lang w:eastAsia="en-GB"/>
        </w:rPr>
        <w:t>n</w:t>
      </w:r>
      <w:r>
        <w:rPr>
          <w:rFonts w:ascii="Arial" w:eastAsia="Times New Roman" w:hAnsi="Arial" w:cs="Times New Roman"/>
          <w:sz w:val="20"/>
          <w:szCs w:val="20"/>
          <w:lang w:eastAsia="en-GB"/>
        </w:rPr>
        <w:t>o</w:t>
      </w:r>
      <w:r w:rsidRPr="000344EB">
        <w:rPr>
          <w:rFonts w:ascii="Arial" w:eastAsia="Times New Roman" w:hAnsi="Arial" w:cs="Times New Roman"/>
          <w:sz w:val="20"/>
          <w:szCs w:val="20"/>
          <w:lang w:eastAsia="en-GB"/>
        </w:rPr>
        <w:t xml:space="preserve">t stop at the analysis stage </w:t>
      </w:r>
      <w:r>
        <w:rPr>
          <w:rFonts w:ascii="Arial" w:eastAsia="Times New Roman" w:hAnsi="Arial" w:cs="Times New Roman"/>
          <w:sz w:val="20"/>
          <w:szCs w:val="20"/>
          <w:lang w:eastAsia="en-GB"/>
        </w:rPr>
        <w:t xml:space="preserve">and that they </w:t>
      </w:r>
      <w:r w:rsidRPr="000344EB">
        <w:rPr>
          <w:rFonts w:ascii="Arial" w:eastAsia="Times New Roman" w:hAnsi="Arial" w:cs="Times New Roman"/>
          <w:sz w:val="20"/>
          <w:szCs w:val="20"/>
          <w:lang w:eastAsia="en-GB"/>
        </w:rPr>
        <w:t>continue to seek to incorporate their findings into city policies, strategies, and investments.</w:t>
      </w:r>
    </w:p>
    <w:p w14:paraId="3E9E45E1" w14:textId="77777777" w:rsidR="000B1D0E" w:rsidRPr="00791A09" w:rsidRDefault="000B1D0E" w:rsidP="000B1D0E">
      <w:pPr>
        <w:spacing w:after="0" w:line="240" w:lineRule="auto"/>
        <w:rPr>
          <w:rFonts w:ascii="Arial" w:eastAsia="Times New Roman" w:hAnsi="Arial" w:cs="Times New Roman"/>
          <w:sz w:val="20"/>
          <w:szCs w:val="20"/>
        </w:rPr>
      </w:pPr>
    </w:p>
    <w:p w14:paraId="58EB8C8C" w14:textId="77777777" w:rsidR="000B1D0E" w:rsidRPr="00791A09" w:rsidRDefault="000B1D0E" w:rsidP="000B1D0E">
      <w:pPr>
        <w:spacing w:after="0" w:line="240" w:lineRule="auto"/>
        <w:rPr>
          <w:rFonts w:ascii="Arial" w:eastAsia="Times New Roman" w:hAnsi="Arial" w:cs="Arial"/>
          <w:sz w:val="20"/>
          <w:szCs w:val="20"/>
        </w:rPr>
      </w:pPr>
      <w:r w:rsidRPr="00791A09">
        <w:rPr>
          <w:rFonts w:ascii="Arial" w:eastAsia="Times New Roman" w:hAnsi="Arial" w:cs="Arial"/>
          <w:b/>
          <w:sz w:val="20"/>
          <w:szCs w:val="20"/>
          <w:lang w:val="en" w:eastAsia="en-GB"/>
        </w:rPr>
        <w:t xml:space="preserve">Justify whether the </w:t>
      </w:r>
      <w:proofErr w:type="spellStart"/>
      <w:r w:rsidRPr="00791A09">
        <w:rPr>
          <w:rFonts w:ascii="Arial" w:eastAsia="Times New Roman" w:hAnsi="Arial" w:cs="Arial"/>
          <w:b/>
          <w:sz w:val="20"/>
          <w:szCs w:val="20"/>
          <w:lang w:val="en" w:eastAsia="en-GB"/>
        </w:rPr>
        <w:t>programme</w:t>
      </w:r>
      <w:proofErr w:type="spellEnd"/>
      <w:r w:rsidRPr="00791A09">
        <w:rPr>
          <w:rFonts w:ascii="Arial" w:eastAsia="Times New Roman" w:hAnsi="Arial" w:cs="Arial"/>
          <w:b/>
          <w:sz w:val="20"/>
          <w:szCs w:val="20"/>
          <w:lang w:val="en" w:eastAsia="en-GB"/>
        </w:rPr>
        <w:t xml:space="preserve"> should continue, based on its own merits and in the context of the wider </w:t>
      </w:r>
      <w:proofErr w:type="gramStart"/>
      <w:r w:rsidRPr="00791A09">
        <w:rPr>
          <w:rFonts w:ascii="Arial" w:eastAsia="Times New Roman" w:hAnsi="Arial" w:cs="Arial"/>
          <w:b/>
          <w:sz w:val="20"/>
          <w:szCs w:val="20"/>
          <w:lang w:val="en" w:eastAsia="en-GB"/>
        </w:rPr>
        <w:t>portfoli</w:t>
      </w:r>
      <w:r>
        <w:rPr>
          <w:rFonts w:ascii="Arial" w:eastAsia="Times New Roman" w:hAnsi="Arial" w:cs="Arial"/>
          <w:b/>
          <w:sz w:val="20"/>
          <w:szCs w:val="20"/>
          <w:lang w:val="en" w:eastAsia="en-GB"/>
        </w:rPr>
        <w:t>o</w:t>
      </w:r>
      <w:proofErr w:type="gramEnd"/>
    </w:p>
    <w:p w14:paraId="5F7BBF75" w14:textId="77777777" w:rsidR="000B1D0E" w:rsidRPr="00791A09" w:rsidRDefault="000B1D0E" w:rsidP="000B1D0E">
      <w:pPr>
        <w:spacing w:after="0" w:line="240" w:lineRule="auto"/>
        <w:rPr>
          <w:rFonts w:ascii="Arial" w:eastAsia="Times New Roman" w:hAnsi="Arial" w:cs="Arial"/>
          <w:sz w:val="20"/>
          <w:szCs w:val="20"/>
        </w:rPr>
      </w:pPr>
    </w:p>
    <w:p w14:paraId="296CDB39" w14:textId="77777777" w:rsidR="000B1D0E" w:rsidRPr="00791A09" w:rsidRDefault="000B1D0E" w:rsidP="7F69C872">
      <w:pPr>
        <w:spacing w:after="0" w:line="240" w:lineRule="auto"/>
        <w:rPr>
          <w:rFonts w:ascii="Arial" w:eastAsia="Times New Roman" w:hAnsi="Arial" w:cs="Arial"/>
          <w:sz w:val="20"/>
          <w:szCs w:val="20"/>
          <w:lang w:val="en-US" w:eastAsia="en-GB"/>
        </w:rPr>
      </w:pPr>
      <w:r w:rsidRPr="7F69C872">
        <w:rPr>
          <w:rFonts w:ascii="Arial" w:eastAsia="Times New Roman" w:hAnsi="Arial" w:cs="Arial"/>
          <w:sz w:val="20"/>
          <w:szCs w:val="20"/>
          <w:lang w:val="en-US" w:eastAsia="en-GB"/>
        </w:rPr>
        <w:t xml:space="preserve">This annual review assesses that the </w:t>
      </w:r>
      <w:proofErr w:type="spellStart"/>
      <w:r w:rsidRPr="7F69C872">
        <w:rPr>
          <w:rFonts w:ascii="Arial" w:eastAsia="Times New Roman" w:hAnsi="Arial" w:cs="Arial"/>
          <w:sz w:val="20"/>
          <w:szCs w:val="20"/>
          <w:lang w:val="en-US" w:eastAsia="en-GB"/>
        </w:rPr>
        <w:t>programme</w:t>
      </w:r>
      <w:proofErr w:type="spellEnd"/>
      <w:r w:rsidRPr="7F69C872">
        <w:rPr>
          <w:rFonts w:ascii="Arial" w:eastAsia="Times New Roman" w:hAnsi="Arial" w:cs="Arial"/>
          <w:sz w:val="20"/>
          <w:szCs w:val="20"/>
          <w:lang w:val="en-US" w:eastAsia="en-GB"/>
        </w:rPr>
        <w:t xml:space="preserve"> is generating results, that good </w:t>
      </w:r>
      <w:proofErr w:type="spellStart"/>
      <w:r w:rsidRPr="7F69C872">
        <w:rPr>
          <w:rFonts w:ascii="Arial" w:eastAsia="Times New Roman" w:hAnsi="Arial" w:cs="Arial"/>
          <w:sz w:val="20"/>
          <w:szCs w:val="20"/>
          <w:lang w:val="en-US" w:eastAsia="en-GB"/>
        </w:rPr>
        <w:t>programme</w:t>
      </w:r>
      <w:proofErr w:type="spellEnd"/>
      <w:r w:rsidRPr="7F69C872">
        <w:rPr>
          <w:rFonts w:ascii="Arial" w:eastAsia="Times New Roman" w:hAnsi="Arial" w:cs="Arial"/>
          <w:sz w:val="20"/>
          <w:szCs w:val="20"/>
          <w:lang w:val="en-US" w:eastAsia="en-GB"/>
        </w:rPr>
        <w:t xml:space="preserve"> management is in place, and that 2023 targets are on track or have already been achieved, so new targets will be set. There is a good and productive working relationship between Defra and Cities4Forests and Defra has facilitated collaboration when there was interest from UK government Posts and other UK initiatives to link up with the </w:t>
      </w:r>
      <w:proofErr w:type="spellStart"/>
      <w:r w:rsidRPr="7F69C872">
        <w:rPr>
          <w:rFonts w:ascii="Arial" w:eastAsia="Times New Roman" w:hAnsi="Arial" w:cs="Arial"/>
          <w:sz w:val="20"/>
          <w:szCs w:val="20"/>
          <w:lang w:val="en-US" w:eastAsia="en-GB"/>
        </w:rPr>
        <w:t>programme</w:t>
      </w:r>
      <w:proofErr w:type="spellEnd"/>
      <w:r w:rsidRPr="7F69C872">
        <w:rPr>
          <w:rFonts w:ascii="Arial" w:eastAsia="Times New Roman" w:hAnsi="Arial" w:cs="Arial"/>
          <w:sz w:val="20"/>
          <w:szCs w:val="20"/>
          <w:lang w:val="en-US" w:eastAsia="en-GB"/>
        </w:rPr>
        <w:t xml:space="preserve">. We believe this provides good evidence that the </w:t>
      </w:r>
      <w:proofErr w:type="spellStart"/>
      <w:r w:rsidRPr="7F69C872">
        <w:rPr>
          <w:rFonts w:ascii="Arial" w:eastAsia="Times New Roman" w:hAnsi="Arial" w:cs="Arial"/>
          <w:sz w:val="20"/>
          <w:szCs w:val="20"/>
          <w:lang w:val="en-US" w:eastAsia="en-GB"/>
        </w:rPr>
        <w:t>programme</w:t>
      </w:r>
      <w:proofErr w:type="spellEnd"/>
      <w:r w:rsidRPr="7F69C872">
        <w:rPr>
          <w:rFonts w:ascii="Arial" w:eastAsia="Times New Roman" w:hAnsi="Arial" w:cs="Arial"/>
          <w:sz w:val="20"/>
          <w:szCs w:val="20"/>
          <w:lang w:val="en-US" w:eastAsia="en-GB"/>
        </w:rPr>
        <w:t xml:space="preserve"> should continue.  </w:t>
      </w:r>
    </w:p>
    <w:p w14:paraId="5022ECE0" w14:textId="77777777" w:rsidR="000B1D0E" w:rsidRPr="00791A09" w:rsidRDefault="000B1D0E" w:rsidP="000B1D0E">
      <w:pPr>
        <w:spacing w:after="0" w:line="240" w:lineRule="auto"/>
        <w:rPr>
          <w:rFonts w:ascii="Arial" w:eastAsia="Times New Roman" w:hAnsi="Arial" w:cs="Arial"/>
          <w:sz w:val="20"/>
          <w:szCs w:val="20"/>
          <w:lang w:val="en" w:eastAsia="en-GB"/>
        </w:rPr>
      </w:pPr>
    </w:p>
    <w:p w14:paraId="66E63F0A" w14:textId="77777777" w:rsidR="000B1D0E" w:rsidRDefault="000B1D0E" w:rsidP="7F69C872">
      <w:pPr>
        <w:spacing w:after="0" w:line="240" w:lineRule="auto"/>
        <w:rPr>
          <w:rFonts w:ascii="Arial" w:eastAsia="Times New Roman" w:hAnsi="Arial" w:cs="Arial"/>
          <w:sz w:val="20"/>
          <w:szCs w:val="20"/>
          <w:lang w:val="en-US" w:eastAsia="en-GB"/>
        </w:rPr>
      </w:pPr>
      <w:r w:rsidRPr="7F69C872">
        <w:rPr>
          <w:rFonts w:ascii="Arial" w:eastAsia="Times New Roman" w:hAnsi="Arial" w:cs="Arial"/>
          <w:sz w:val="20"/>
          <w:szCs w:val="20"/>
          <w:lang w:val="en-US" w:eastAsia="en-GB"/>
        </w:rPr>
        <w:t xml:space="preserve">The logframe will be measuring performance against several ICF KPIs and the outcomes and impacts are aligned with Defra’s International Forests Strategy, the 25 Year Environment </w:t>
      </w:r>
      <w:proofErr w:type="gramStart"/>
      <w:r w:rsidRPr="7F69C872">
        <w:rPr>
          <w:rFonts w:ascii="Arial" w:eastAsia="Times New Roman" w:hAnsi="Arial" w:cs="Arial"/>
          <w:sz w:val="20"/>
          <w:szCs w:val="20"/>
          <w:lang w:val="en-US" w:eastAsia="en-GB"/>
        </w:rPr>
        <w:t>Plan</w:t>
      </w:r>
      <w:proofErr w:type="gramEnd"/>
      <w:r w:rsidRPr="7F69C872">
        <w:rPr>
          <w:rFonts w:ascii="Arial" w:eastAsia="Times New Roman" w:hAnsi="Arial" w:cs="Arial"/>
          <w:sz w:val="20"/>
          <w:szCs w:val="20"/>
          <w:lang w:val="en-US" w:eastAsia="en-GB"/>
        </w:rPr>
        <w:t xml:space="preserve"> and the International Climate Finance strategy.  Furthermore, Cities4Forests has raised over US$24 million over its lifetime, demonstrating that their value proposition and overarching theory of change resonate with foundations, corporations, development and financial institutions, and government departments </w:t>
      </w:r>
      <w:r w:rsidRPr="7F69C872">
        <w:rPr>
          <w:rFonts w:ascii="Arial" w:eastAsia="Times New Roman" w:hAnsi="Arial" w:cs="Arial"/>
          <w:sz w:val="20"/>
          <w:szCs w:val="20"/>
          <w:lang w:val="en-US" w:eastAsia="en-GB"/>
        </w:rPr>
        <w:lastRenderedPageBreak/>
        <w:t xml:space="preserve">that are working at the intersection of protecting ecosystems and biodiversity and improving people’s well-being. They have over 25 unique donors supporting the initiative since its launch. </w:t>
      </w:r>
    </w:p>
    <w:p w14:paraId="2A0D5187" w14:textId="77777777" w:rsidR="000B1D0E" w:rsidRDefault="000B1D0E" w:rsidP="000B1D0E">
      <w:pPr>
        <w:spacing w:after="0" w:line="240" w:lineRule="auto"/>
        <w:rPr>
          <w:rFonts w:ascii="Arial" w:eastAsia="Times New Roman" w:hAnsi="Arial" w:cs="Arial"/>
          <w:sz w:val="20"/>
          <w:szCs w:val="20"/>
          <w:lang w:val="en" w:eastAsia="en-GB"/>
        </w:rPr>
      </w:pPr>
    </w:p>
    <w:p w14:paraId="5BFD7B49" w14:textId="77777777" w:rsidR="000B1D0E" w:rsidRPr="00791A09" w:rsidRDefault="000B1D0E" w:rsidP="000B1D0E">
      <w:pPr>
        <w:spacing w:after="0" w:line="240" w:lineRule="auto"/>
        <w:rPr>
          <w:rFonts w:ascii="Arial" w:eastAsia="Times New Roman" w:hAnsi="Arial" w:cs="Arial"/>
          <w:color w:val="00B050"/>
          <w:sz w:val="20"/>
          <w:szCs w:val="20"/>
          <w:lang w:val="en" w:eastAsia="en-GB"/>
        </w:rPr>
      </w:pPr>
    </w:p>
    <w:p w14:paraId="266F9828" w14:textId="77777777" w:rsidR="000B1D0E" w:rsidRPr="00791A09" w:rsidRDefault="000B1D0E" w:rsidP="000B1D0E">
      <w:pPr>
        <w:pBdr>
          <w:top w:val="single" w:sz="4" w:space="1" w:color="auto"/>
          <w:left w:val="single" w:sz="4" w:space="6" w:color="auto"/>
          <w:bottom w:val="single" w:sz="4" w:space="1" w:color="auto"/>
          <w:right w:val="single" w:sz="4" w:space="4" w:color="auto"/>
        </w:pBdr>
        <w:shd w:val="clear" w:color="auto" w:fill="D9E2F3" w:themeFill="accent1" w:themeFillTint="33"/>
        <w:spacing w:after="0" w:line="240" w:lineRule="auto"/>
        <w:outlineLvl w:val="1"/>
        <w:rPr>
          <w:rFonts w:ascii="Arial" w:eastAsia="Times New Roman" w:hAnsi="Arial" w:cs="Times New Roman"/>
          <w:kern w:val="28"/>
          <w:sz w:val="20"/>
          <w:szCs w:val="20"/>
        </w:rPr>
      </w:pPr>
      <w:r w:rsidRPr="00791A09">
        <w:rPr>
          <w:rFonts w:ascii="Arial" w:eastAsia="Times New Roman" w:hAnsi="Arial" w:cs="Times New Roman"/>
          <w:b/>
          <w:kern w:val="28"/>
          <w:sz w:val="20"/>
          <w:szCs w:val="20"/>
        </w:rPr>
        <w:t>C. DETAILED OUTPUT SCORING</w:t>
      </w:r>
      <w:r w:rsidRPr="00791A09">
        <w:rPr>
          <w:rFonts w:ascii="Arial" w:eastAsia="Times New Roman" w:hAnsi="Arial" w:cs="Times New Roman"/>
          <w:kern w:val="28"/>
          <w:sz w:val="20"/>
          <w:szCs w:val="20"/>
        </w:rPr>
        <w:t xml:space="preserve"> </w:t>
      </w:r>
    </w:p>
    <w:p w14:paraId="222CFAF1" w14:textId="77777777" w:rsidR="000B1D0E" w:rsidRPr="00791A09" w:rsidRDefault="000B1D0E" w:rsidP="000B1D0E">
      <w:pPr>
        <w:spacing w:after="0" w:line="240" w:lineRule="auto"/>
        <w:jc w:val="both"/>
        <w:rPr>
          <w:rFonts w:ascii="Arial" w:eastAsia="Times New Roman" w:hAnsi="Arial" w:cs="Arial"/>
          <w:b/>
          <w:bCs/>
          <w:color w:val="00B050"/>
          <w:sz w:val="20"/>
          <w:szCs w:val="20"/>
        </w:rPr>
      </w:pPr>
    </w:p>
    <w:p w14:paraId="32A3C32C" w14:textId="77777777" w:rsidR="000B1D0E" w:rsidRPr="00791A09" w:rsidRDefault="000B1D0E" w:rsidP="000B1D0E">
      <w:pPr>
        <w:spacing w:after="0" w:line="240" w:lineRule="auto"/>
        <w:jc w:val="both"/>
        <w:rPr>
          <w:rFonts w:ascii="Arial" w:eastAsia="Times New Roman" w:hAnsi="Arial" w:cs="Arial"/>
          <w:sz w:val="20"/>
          <w:szCs w:val="20"/>
        </w:rPr>
      </w:pPr>
      <w:r w:rsidRPr="00791A09">
        <w:rPr>
          <w:rFonts w:ascii="Arial" w:eastAsia="Times New Roman" w:hAnsi="Arial" w:cs="Arial"/>
          <w:b/>
          <w:bCs/>
          <w:sz w:val="20"/>
          <w:szCs w:val="20"/>
        </w:rPr>
        <w:t xml:space="preserve">Please note: </w:t>
      </w:r>
      <w:r w:rsidRPr="00791A09">
        <w:rPr>
          <w:rFonts w:ascii="Arial" w:eastAsia="Times New Roman" w:hAnsi="Arial" w:cs="Arial"/>
          <w:sz w:val="20"/>
          <w:szCs w:val="20"/>
        </w:rPr>
        <w:t xml:space="preserve">Cities4Forests is an existing programme that was </w:t>
      </w:r>
      <w:r>
        <w:rPr>
          <w:rFonts w:ascii="Arial" w:eastAsia="Times New Roman" w:hAnsi="Arial" w:cs="Arial"/>
          <w:sz w:val="20"/>
          <w:szCs w:val="20"/>
        </w:rPr>
        <w:t>operational</w:t>
      </w:r>
      <w:r w:rsidRPr="00791A09">
        <w:rPr>
          <w:rFonts w:ascii="Arial" w:eastAsia="Times New Roman" w:hAnsi="Arial" w:cs="Arial"/>
          <w:sz w:val="20"/>
          <w:szCs w:val="20"/>
        </w:rPr>
        <w:t xml:space="preserve"> before Defra’s voluntary contribution in November 2021. In the first year of Defra’s investment, Cities4Forests has worked collaboratively with Defra to develop a theory of change and a logframe.  The logframe and milestones </w:t>
      </w:r>
      <w:r>
        <w:rPr>
          <w:rFonts w:ascii="Arial" w:eastAsia="Times New Roman" w:hAnsi="Arial" w:cs="Arial"/>
          <w:sz w:val="20"/>
          <w:szCs w:val="20"/>
        </w:rPr>
        <w:t>were agreed near the end of 2022</w:t>
      </w:r>
      <w:r w:rsidRPr="00791A09">
        <w:rPr>
          <w:rFonts w:ascii="Arial" w:eastAsia="Times New Roman" w:hAnsi="Arial" w:cs="Arial"/>
          <w:sz w:val="20"/>
          <w:szCs w:val="20"/>
        </w:rPr>
        <w:t>, and Cities4Forests is now develop</w:t>
      </w:r>
      <w:r>
        <w:rPr>
          <w:rFonts w:ascii="Arial" w:eastAsia="Times New Roman" w:hAnsi="Arial" w:cs="Arial"/>
          <w:sz w:val="20"/>
          <w:szCs w:val="20"/>
        </w:rPr>
        <w:t>ing</w:t>
      </w:r>
      <w:r w:rsidRPr="00791A09">
        <w:rPr>
          <w:rFonts w:ascii="Arial" w:eastAsia="Times New Roman" w:hAnsi="Arial" w:cs="Arial"/>
          <w:sz w:val="20"/>
          <w:szCs w:val="20"/>
        </w:rPr>
        <w:t xml:space="preserve"> evidence gathering techniques for logframe </w:t>
      </w:r>
      <w:r>
        <w:rPr>
          <w:rFonts w:ascii="Arial" w:eastAsia="Times New Roman" w:hAnsi="Arial" w:cs="Arial"/>
          <w:sz w:val="20"/>
          <w:szCs w:val="20"/>
        </w:rPr>
        <w:t xml:space="preserve">indicators </w:t>
      </w:r>
      <w:r w:rsidRPr="00791A09">
        <w:rPr>
          <w:rFonts w:ascii="Arial" w:eastAsia="Times New Roman" w:hAnsi="Arial" w:cs="Arial"/>
          <w:sz w:val="20"/>
          <w:szCs w:val="20"/>
        </w:rPr>
        <w:t>including setting baselines, collecting data, and training delivery staff in data collection and recording methodologies.</w:t>
      </w:r>
      <w:r>
        <w:rPr>
          <w:rFonts w:ascii="Arial" w:eastAsia="Times New Roman" w:hAnsi="Arial" w:cs="Arial"/>
          <w:sz w:val="20"/>
          <w:szCs w:val="20"/>
        </w:rPr>
        <w:t xml:space="preserve"> </w:t>
      </w:r>
      <w:r w:rsidRPr="00791A09">
        <w:rPr>
          <w:rFonts w:ascii="Arial" w:eastAsia="Times New Roman" w:hAnsi="Arial" w:cs="Arial"/>
          <w:sz w:val="20"/>
          <w:szCs w:val="20"/>
        </w:rPr>
        <w:t>Cities4Forests have also provided evidence of progress over the past year through their annual report, update emails and presentations at quarterly progress meetings.</w:t>
      </w:r>
      <w:r>
        <w:rPr>
          <w:rFonts w:ascii="Arial" w:eastAsia="Times New Roman" w:hAnsi="Arial" w:cs="Arial"/>
          <w:sz w:val="20"/>
          <w:szCs w:val="20"/>
        </w:rPr>
        <w:t xml:space="preserve"> </w:t>
      </w:r>
      <w:r w:rsidRPr="00791A09">
        <w:rPr>
          <w:rFonts w:ascii="Arial" w:eastAsia="Times New Roman" w:hAnsi="Arial" w:cs="Arial"/>
          <w:sz w:val="20"/>
          <w:szCs w:val="20"/>
        </w:rPr>
        <w:t xml:space="preserve">Because the logframe has just been developed and Cities4Forests has only recently started gathering quantitative data for indicators, </w:t>
      </w:r>
      <w:r>
        <w:rPr>
          <w:rFonts w:ascii="Arial" w:eastAsia="Times New Roman" w:hAnsi="Arial" w:cs="Arial"/>
          <w:sz w:val="20"/>
          <w:szCs w:val="20"/>
        </w:rPr>
        <w:t xml:space="preserve">this review </w:t>
      </w:r>
      <w:r w:rsidRPr="00791A09">
        <w:rPr>
          <w:rFonts w:ascii="Arial" w:eastAsia="Times New Roman" w:hAnsi="Arial" w:cs="Arial"/>
          <w:sz w:val="20"/>
          <w:szCs w:val="20"/>
        </w:rPr>
        <w:t xml:space="preserve">will provide a mix of quantitative and qualitative evidence of progress towards 2023 milestones. We note that the </w:t>
      </w:r>
      <w:r>
        <w:rPr>
          <w:rFonts w:ascii="Arial" w:eastAsia="Times New Roman" w:hAnsi="Arial" w:cs="Arial"/>
          <w:sz w:val="20"/>
          <w:szCs w:val="20"/>
        </w:rPr>
        <w:t xml:space="preserve">initial </w:t>
      </w:r>
      <w:r w:rsidRPr="00791A09">
        <w:rPr>
          <w:rFonts w:ascii="Arial" w:eastAsia="Times New Roman" w:hAnsi="Arial" w:cs="Arial"/>
          <w:sz w:val="20"/>
          <w:szCs w:val="20"/>
        </w:rPr>
        <w:t>quantitative results</w:t>
      </w:r>
      <w:r>
        <w:rPr>
          <w:rFonts w:ascii="Arial" w:eastAsia="Times New Roman" w:hAnsi="Arial" w:cs="Arial"/>
          <w:sz w:val="20"/>
          <w:szCs w:val="20"/>
        </w:rPr>
        <w:t xml:space="preserve"> presented here</w:t>
      </w:r>
      <w:r w:rsidRPr="00791A09">
        <w:rPr>
          <w:rFonts w:ascii="Arial" w:eastAsia="Times New Roman" w:hAnsi="Arial" w:cs="Arial"/>
          <w:sz w:val="20"/>
          <w:szCs w:val="20"/>
        </w:rPr>
        <w:t xml:space="preserve"> indicate that Cities4Forests are exceeding some of their Year 2 targets</w:t>
      </w:r>
      <w:r>
        <w:rPr>
          <w:rFonts w:ascii="Arial" w:eastAsia="Times New Roman" w:hAnsi="Arial" w:cs="Arial"/>
          <w:sz w:val="20"/>
          <w:szCs w:val="20"/>
        </w:rPr>
        <w:t xml:space="preserve">, so </w:t>
      </w:r>
      <w:r w:rsidRPr="00791A09">
        <w:rPr>
          <w:rFonts w:ascii="Arial" w:eastAsia="Times New Roman" w:hAnsi="Arial" w:cs="Arial"/>
          <w:sz w:val="20"/>
          <w:szCs w:val="20"/>
        </w:rPr>
        <w:t>we recommend revising the logframe to include more ambitious targets for the year ahead.</w:t>
      </w:r>
    </w:p>
    <w:p w14:paraId="4F833DBC" w14:textId="77777777" w:rsidR="000B1D0E" w:rsidRPr="00791A09" w:rsidRDefault="000B1D0E" w:rsidP="000B1D0E">
      <w:pPr>
        <w:spacing w:after="0" w:line="240" w:lineRule="auto"/>
        <w:jc w:val="both"/>
        <w:rPr>
          <w:rFonts w:ascii="Arial" w:eastAsia="Times New Roman" w:hAnsi="Arial" w:cs="Arial"/>
          <w:sz w:val="20"/>
          <w:szCs w:val="20"/>
        </w:rPr>
      </w:pPr>
    </w:p>
    <w:p w14:paraId="78E42B76" w14:textId="77777777" w:rsidR="000B1D0E" w:rsidRPr="00791A09" w:rsidRDefault="000B1D0E" w:rsidP="000B1D0E">
      <w:pPr>
        <w:spacing w:after="0" w:line="240" w:lineRule="auto"/>
        <w:jc w:val="both"/>
        <w:rPr>
          <w:rFonts w:ascii="Arial" w:eastAsia="Times New Roman" w:hAnsi="Arial" w:cs="Arial"/>
          <w:sz w:val="20"/>
          <w:szCs w:val="20"/>
        </w:rPr>
      </w:pPr>
      <w:r w:rsidRPr="00791A09">
        <w:rPr>
          <w:rFonts w:ascii="Arial" w:eastAsia="Times New Roman" w:hAnsi="Arial" w:cs="Arial"/>
          <w:sz w:val="20"/>
          <w:szCs w:val="20"/>
        </w:rPr>
        <w:t xml:space="preserve">Cities4Forests has adopted the logframe developed in collaboration with Defra as its overarching results framework for the entire initiative (integrating where possible with monitoring approaches and indicators mandated by other funder / grants). Furthermore, Cities4Forests has used the Defra logframe to inform indicator and target setting for WRI’s 2023-2027 Strategic Plan, which governs results tracking across the institute, and will use the </w:t>
      </w:r>
      <w:proofErr w:type="spellStart"/>
      <w:r w:rsidRPr="00791A09">
        <w:rPr>
          <w:rFonts w:ascii="Arial" w:eastAsia="Times New Roman" w:hAnsi="Arial" w:cs="Arial"/>
          <w:sz w:val="20"/>
          <w:szCs w:val="20"/>
        </w:rPr>
        <w:t>DevResults</w:t>
      </w:r>
      <w:proofErr w:type="spellEnd"/>
      <w:r w:rsidRPr="00791A09">
        <w:rPr>
          <w:rFonts w:ascii="Arial" w:eastAsia="Times New Roman" w:hAnsi="Arial" w:cs="Arial"/>
          <w:sz w:val="20"/>
          <w:szCs w:val="20"/>
        </w:rPr>
        <w:t xml:space="preserve"> platform to track and monitor progress.    </w:t>
      </w:r>
    </w:p>
    <w:p w14:paraId="646449B9" w14:textId="77777777" w:rsidR="000B1D0E" w:rsidRPr="00791A09" w:rsidRDefault="000B1D0E" w:rsidP="000B1D0E">
      <w:pPr>
        <w:spacing w:after="0" w:line="240" w:lineRule="auto"/>
        <w:jc w:val="both"/>
        <w:rPr>
          <w:rFonts w:ascii="Arial" w:eastAsia="Times New Roman" w:hAnsi="Arial" w:cs="Arial"/>
          <w:b/>
          <w:bCs/>
          <w:sz w:val="20"/>
          <w:szCs w:val="20"/>
        </w:rPr>
      </w:pPr>
    </w:p>
    <w:p w14:paraId="766D21C9" w14:textId="77777777" w:rsidR="000B1D0E" w:rsidRPr="00791A09" w:rsidRDefault="000B1D0E" w:rsidP="000B1D0E">
      <w:pPr>
        <w:spacing w:after="0" w:line="240" w:lineRule="auto"/>
        <w:rPr>
          <w:rFonts w:ascii="Arial" w:eastAsia="Times New Roman" w:hAnsi="Arial" w:cs="Times New Roman"/>
          <w:sz w:val="20"/>
          <w:szCs w:val="20"/>
        </w:rPr>
      </w:pPr>
      <w:r w:rsidRPr="00791A09">
        <w:rPr>
          <w:rFonts w:ascii="Arial" w:eastAsia="Times New Roman" w:hAnsi="Arial" w:cs="Arial"/>
          <w:sz w:val="20"/>
          <w:szCs w:val="20"/>
        </w:rPr>
        <w:t xml:space="preserve">Cities4Forests </w:t>
      </w:r>
      <w:r>
        <w:rPr>
          <w:rFonts w:ascii="Arial" w:eastAsia="Times New Roman" w:hAnsi="Arial" w:cs="Arial"/>
          <w:sz w:val="20"/>
          <w:szCs w:val="20"/>
        </w:rPr>
        <w:t>have</w:t>
      </w:r>
      <w:r w:rsidRPr="00791A09">
        <w:rPr>
          <w:rFonts w:ascii="Arial" w:eastAsia="Times New Roman" w:hAnsi="Arial" w:cs="Arial"/>
          <w:sz w:val="20"/>
          <w:szCs w:val="20"/>
        </w:rPr>
        <w:t xml:space="preserve"> provide</w:t>
      </w:r>
      <w:r>
        <w:rPr>
          <w:rFonts w:ascii="Arial" w:eastAsia="Times New Roman" w:hAnsi="Arial" w:cs="Arial"/>
          <w:sz w:val="20"/>
          <w:szCs w:val="20"/>
        </w:rPr>
        <w:t>d</w:t>
      </w:r>
      <w:r w:rsidRPr="00791A09">
        <w:rPr>
          <w:rFonts w:ascii="Arial" w:eastAsia="Times New Roman" w:hAnsi="Arial" w:cs="Arial"/>
          <w:sz w:val="20"/>
          <w:szCs w:val="20"/>
        </w:rPr>
        <w:t xml:space="preserve"> reporting to logframe milestones </w:t>
      </w:r>
      <w:r>
        <w:rPr>
          <w:rFonts w:ascii="Arial" w:eastAsia="Times New Roman" w:hAnsi="Arial" w:cs="Arial"/>
          <w:sz w:val="20"/>
          <w:szCs w:val="20"/>
        </w:rPr>
        <w:t xml:space="preserve">for Year 1 (Nov 2021 – Dec 2022) </w:t>
      </w:r>
      <w:r w:rsidRPr="00791A09">
        <w:rPr>
          <w:rFonts w:ascii="Arial" w:eastAsia="Times New Roman" w:hAnsi="Arial" w:cs="Arial"/>
          <w:sz w:val="20"/>
          <w:szCs w:val="20"/>
        </w:rPr>
        <w:t xml:space="preserve">in February 2023.  </w:t>
      </w:r>
    </w:p>
    <w:p w14:paraId="53B60538" w14:textId="77777777" w:rsidR="000B1D0E" w:rsidRPr="00791A09" w:rsidRDefault="000B1D0E" w:rsidP="000B1D0E">
      <w:pPr>
        <w:spacing w:after="0" w:line="240" w:lineRule="auto"/>
        <w:rPr>
          <w:rFonts w:ascii="Arial" w:eastAsia="Times New Roman" w:hAnsi="Arial" w:cs="Times New Roman"/>
          <w:sz w:val="20"/>
          <w:szCs w:val="20"/>
        </w:rPr>
      </w:pPr>
    </w:p>
    <w:tbl>
      <w:tblPr>
        <w:tblStyle w:val="TableGrid"/>
        <w:tblW w:w="9356" w:type="dxa"/>
        <w:tblInd w:w="-147" w:type="dxa"/>
        <w:tblLook w:val="04A0" w:firstRow="1" w:lastRow="0" w:firstColumn="1" w:lastColumn="0" w:noHBand="0" w:noVBand="1"/>
      </w:tblPr>
      <w:tblGrid>
        <w:gridCol w:w="1708"/>
        <w:gridCol w:w="616"/>
        <w:gridCol w:w="937"/>
        <w:gridCol w:w="3283"/>
        <w:gridCol w:w="2812"/>
      </w:tblGrid>
      <w:tr w:rsidR="000B1D0E" w:rsidRPr="00791A09" w14:paraId="461A0207" w14:textId="77777777" w:rsidTr="001106E0">
        <w:trPr>
          <w:trHeight w:val="489"/>
        </w:trPr>
        <w:tc>
          <w:tcPr>
            <w:tcW w:w="1708"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08F31016" w14:textId="77777777" w:rsidR="000B1D0E" w:rsidRPr="00791A09" w:rsidRDefault="000B1D0E" w:rsidP="001106E0">
            <w:pPr>
              <w:tabs>
                <w:tab w:val="center" w:pos="4513"/>
                <w:tab w:val="right" w:pos="9026"/>
              </w:tabs>
              <w:spacing w:after="0"/>
              <w:rPr>
                <w:rFonts w:ascii="Arial" w:hAnsi="Arial"/>
                <w:b/>
                <w:bCs/>
              </w:rPr>
            </w:pPr>
            <w:r w:rsidRPr="00791A09">
              <w:rPr>
                <w:rFonts w:ascii="Arial" w:hAnsi="Arial"/>
                <w:b/>
                <w:bCs/>
              </w:rPr>
              <w:t xml:space="preserve">Output Title </w:t>
            </w:r>
          </w:p>
        </w:tc>
        <w:tc>
          <w:tcPr>
            <w:tcW w:w="7648"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6FBCCE31" w14:textId="77777777" w:rsidR="000B1D0E" w:rsidRPr="00791A09" w:rsidRDefault="000B1D0E" w:rsidP="001106E0">
            <w:pPr>
              <w:tabs>
                <w:tab w:val="center" w:pos="4513"/>
                <w:tab w:val="right" w:pos="9026"/>
              </w:tabs>
              <w:spacing w:after="0"/>
              <w:rPr>
                <w:rFonts w:ascii="Arial" w:hAnsi="Arial"/>
                <w:bCs/>
                <w:i/>
              </w:rPr>
            </w:pPr>
            <w:r w:rsidRPr="00791A09">
              <w:rPr>
                <w:rFonts w:ascii="Arial" w:hAnsi="Arial"/>
                <w:b/>
                <w:bCs/>
              </w:rPr>
              <w:t>1. POLITICAL ACTION:</w:t>
            </w:r>
            <w:r w:rsidRPr="00791A09">
              <w:rPr>
                <w:rFonts w:ascii="Arial" w:hAnsi="Arial"/>
              </w:rPr>
              <w:t xml:space="preserve"> Cities4Forests mobilizes city leaders to become vocal advocates for forests on the global stage</w:t>
            </w:r>
            <w:r>
              <w:rPr>
                <w:rFonts w:ascii="Arial" w:hAnsi="Arial"/>
              </w:rPr>
              <w:t>.</w:t>
            </w:r>
            <w:r w:rsidRPr="00791A09">
              <w:rPr>
                <w:rFonts w:ascii="Arial" w:hAnsi="Arial"/>
              </w:rPr>
              <w:t xml:space="preserve"> </w:t>
            </w:r>
          </w:p>
          <w:p w14:paraId="393F2277" w14:textId="77777777" w:rsidR="000B1D0E" w:rsidRPr="00791A09" w:rsidRDefault="000B1D0E" w:rsidP="001106E0">
            <w:pPr>
              <w:tabs>
                <w:tab w:val="center" w:pos="4513"/>
                <w:tab w:val="right" w:pos="9026"/>
              </w:tabs>
              <w:spacing w:after="0"/>
              <w:rPr>
                <w:rFonts w:ascii="Arial" w:hAnsi="Arial"/>
                <w:bCs/>
                <w:i/>
              </w:rPr>
            </w:pPr>
          </w:p>
        </w:tc>
      </w:tr>
      <w:tr w:rsidR="000B1D0E" w:rsidRPr="00791A09" w14:paraId="77156B5A" w14:textId="77777777" w:rsidTr="001106E0">
        <w:trPr>
          <w:trHeight w:val="347"/>
        </w:trPr>
        <w:tc>
          <w:tcPr>
            <w:tcW w:w="2324"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6ECC955D" w14:textId="77777777" w:rsidR="000B1D0E" w:rsidRPr="00791A09" w:rsidRDefault="000B1D0E" w:rsidP="001106E0">
            <w:pPr>
              <w:tabs>
                <w:tab w:val="center" w:pos="4513"/>
                <w:tab w:val="right" w:pos="9026"/>
              </w:tabs>
              <w:spacing w:after="0"/>
              <w:rPr>
                <w:rFonts w:ascii="Arial" w:hAnsi="Arial"/>
                <w:bCs/>
              </w:rPr>
            </w:pPr>
            <w:r w:rsidRPr="00791A09">
              <w:rPr>
                <w:rFonts w:ascii="Arial" w:hAnsi="Arial"/>
                <w:bCs/>
              </w:rPr>
              <w:t xml:space="preserve">Output number: </w:t>
            </w:r>
          </w:p>
        </w:tc>
        <w:tc>
          <w:tcPr>
            <w:tcW w:w="937" w:type="dxa"/>
            <w:tcBorders>
              <w:top w:val="single" w:sz="4" w:space="0" w:color="auto"/>
              <w:left w:val="single" w:sz="4" w:space="0" w:color="auto"/>
              <w:bottom w:val="single" w:sz="4" w:space="0" w:color="auto"/>
              <w:right w:val="single" w:sz="4" w:space="0" w:color="auto"/>
            </w:tcBorders>
          </w:tcPr>
          <w:p w14:paraId="398B1449" w14:textId="77777777" w:rsidR="000B1D0E" w:rsidRPr="00791A09" w:rsidRDefault="000B1D0E" w:rsidP="001106E0">
            <w:pPr>
              <w:tabs>
                <w:tab w:val="center" w:pos="4513"/>
                <w:tab w:val="right" w:pos="9026"/>
              </w:tabs>
              <w:spacing w:after="0"/>
              <w:rPr>
                <w:rFonts w:ascii="Arial" w:hAnsi="Arial"/>
              </w:rPr>
            </w:pPr>
            <w:r w:rsidRPr="00791A09">
              <w:rPr>
                <w:rFonts w:ascii="Arial" w:hAnsi="Arial"/>
              </w:rPr>
              <w:t>1</w:t>
            </w:r>
          </w:p>
        </w:tc>
        <w:tc>
          <w:tcPr>
            <w:tcW w:w="3283"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279605F8" w14:textId="77777777" w:rsidR="000B1D0E" w:rsidRPr="00791A09" w:rsidRDefault="000B1D0E" w:rsidP="001106E0">
            <w:pPr>
              <w:tabs>
                <w:tab w:val="center" w:pos="4513"/>
                <w:tab w:val="right" w:pos="9026"/>
              </w:tabs>
              <w:spacing w:after="0"/>
              <w:rPr>
                <w:rFonts w:ascii="Arial" w:hAnsi="Arial"/>
              </w:rPr>
            </w:pPr>
            <w:r w:rsidRPr="00791A09">
              <w:rPr>
                <w:rFonts w:ascii="Arial" w:hAnsi="Arial"/>
                <w:bCs/>
              </w:rPr>
              <w:t xml:space="preserve">Output Score: </w:t>
            </w:r>
          </w:p>
        </w:tc>
        <w:tc>
          <w:tcPr>
            <w:tcW w:w="2812" w:type="dxa"/>
            <w:tcBorders>
              <w:top w:val="single" w:sz="4" w:space="0" w:color="auto"/>
              <w:left w:val="single" w:sz="4" w:space="0" w:color="auto"/>
              <w:bottom w:val="single" w:sz="4" w:space="0" w:color="auto"/>
              <w:right w:val="single" w:sz="4" w:space="0" w:color="auto"/>
            </w:tcBorders>
          </w:tcPr>
          <w:p w14:paraId="416FBF94" w14:textId="77777777" w:rsidR="000B1D0E" w:rsidRPr="00791A09" w:rsidRDefault="000B1D0E" w:rsidP="001106E0">
            <w:pPr>
              <w:tabs>
                <w:tab w:val="center" w:pos="4513"/>
                <w:tab w:val="right" w:pos="9026"/>
              </w:tabs>
              <w:spacing w:after="0"/>
              <w:rPr>
                <w:rFonts w:ascii="Arial" w:hAnsi="Arial"/>
                <w:iCs/>
              </w:rPr>
            </w:pPr>
            <w:r w:rsidRPr="00791A09">
              <w:rPr>
                <w:rFonts w:ascii="Arial" w:hAnsi="Arial"/>
                <w:iCs/>
              </w:rPr>
              <w:t>A</w:t>
            </w:r>
            <w:r>
              <w:rPr>
                <w:rFonts w:ascii="Arial" w:hAnsi="Arial"/>
                <w:iCs/>
              </w:rPr>
              <w:t>+</w:t>
            </w:r>
          </w:p>
        </w:tc>
      </w:tr>
      <w:tr w:rsidR="000B1D0E" w:rsidRPr="00791A09" w14:paraId="7AD21790" w14:textId="77777777" w:rsidTr="001106E0">
        <w:trPr>
          <w:trHeight w:val="345"/>
        </w:trPr>
        <w:tc>
          <w:tcPr>
            <w:tcW w:w="2324"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0BC44CB1" w14:textId="77777777" w:rsidR="000B1D0E" w:rsidRPr="00791A09" w:rsidRDefault="000B1D0E" w:rsidP="001106E0">
            <w:pPr>
              <w:tabs>
                <w:tab w:val="center" w:pos="4513"/>
                <w:tab w:val="right" w:pos="9026"/>
              </w:tabs>
              <w:spacing w:after="0"/>
              <w:rPr>
                <w:rFonts w:ascii="Arial" w:hAnsi="Arial"/>
              </w:rPr>
            </w:pPr>
            <w:r w:rsidRPr="00791A09">
              <w:rPr>
                <w:rFonts w:ascii="Arial" w:hAnsi="Arial"/>
                <w:bCs/>
              </w:rPr>
              <w:t xml:space="preserve">Impact weighting (%):  </w:t>
            </w:r>
          </w:p>
        </w:tc>
        <w:tc>
          <w:tcPr>
            <w:tcW w:w="937" w:type="dxa"/>
            <w:tcBorders>
              <w:top w:val="single" w:sz="4" w:space="0" w:color="auto"/>
              <w:left w:val="single" w:sz="4" w:space="0" w:color="auto"/>
              <w:bottom w:val="single" w:sz="4" w:space="0" w:color="auto"/>
              <w:right w:val="single" w:sz="4" w:space="0" w:color="auto"/>
            </w:tcBorders>
            <w:hideMark/>
          </w:tcPr>
          <w:p w14:paraId="04BED27C" w14:textId="77777777" w:rsidR="000B1D0E" w:rsidRPr="00791A09" w:rsidRDefault="000B1D0E" w:rsidP="001106E0">
            <w:pPr>
              <w:tabs>
                <w:tab w:val="center" w:pos="4513"/>
                <w:tab w:val="right" w:pos="9026"/>
              </w:tabs>
              <w:spacing w:after="0"/>
              <w:rPr>
                <w:rFonts w:ascii="Arial" w:hAnsi="Arial"/>
                <w:bCs/>
              </w:rPr>
            </w:pPr>
            <w:r w:rsidRPr="00791A09">
              <w:rPr>
                <w:rFonts w:ascii="Arial" w:hAnsi="Arial"/>
                <w:bCs/>
              </w:rPr>
              <w:t>20%</w:t>
            </w:r>
          </w:p>
        </w:tc>
        <w:tc>
          <w:tcPr>
            <w:tcW w:w="3283"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279D8AA8" w14:textId="77777777" w:rsidR="000B1D0E" w:rsidRPr="00791A09" w:rsidRDefault="000B1D0E" w:rsidP="001106E0">
            <w:pPr>
              <w:tabs>
                <w:tab w:val="center" w:pos="4513"/>
                <w:tab w:val="right" w:pos="9026"/>
              </w:tabs>
              <w:spacing w:after="0"/>
              <w:rPr>
                <w:rFonts w:ascii="Arial" w:hAnsi="Arial"/>
                <w:bCs/>
              </w:rPr>
            </w:pPr>
            <w:r w:rsidRPr="00791A09">
              <w:rPr>
                <w:rFonts w:ascii="Arial" w:hAnsi="Arial"/>
                <w:bCs/>
              </w:rPr>
              <w:t xml:space="preserve">Weighting revised since last </w:t>
            </w:r>
            <w:proofErr w:type="gramStart"/>
            <w:r w:rsidRPr="00791A09">
              <w:rPr>
                <w:rFonts w:ascii="Arial" w:hAnsi="Arial"/>
                <w:bCs/>
              </w:rPr>
              <w:t>AR?</w:t>
            </w:r>
            <w:proofErr w:type="gramEnd"/>
            <w:r w:rsidRPr="00791A09">
              <w:rPr>
                <w:rFonts w:ascii="Arial" w:hAnsi="Arial"/>
                <w:bCs/>
              </w:rPr>
              <w:t xml:space="preserve"> </w:t>
            </w:r>
          </w:p>
        </w:tc>
        <w:tc>
          <w:tcPr>
            <w:tcW w:w="2812" w:type="dxa"/>
            <w:tcBorders>
              <w:top w:val="single" w:sz="4" w:space="0" w:color="auto"/>
              <w:left w:val="single" w:sz="4" w:space="0" w:color="auto"/>
              <w:bottom w:val="single" w:sz="4" w:space="0" w:color="auto"/>
              <w:right w:val="single" w:sz="4" w:space="0" w:color="auto"/>
            </w:tcBorders>
          </w:tcPr>
          <w:p w14:paraId="61DD1DEE" w14:textId="77777777" w:rsidR="000B1D0E" w:rsidRPr="00791A09" w:rsidRDefault="000B1D0E" w:rsidP="001106E0">
            <w:pPr>
              <w:tabs>
                <w:tab w:val="center" w:pos="4513"/>
                <w:tab w:val="right" w:pos="9026"/>
              </w:tabs>
              <w:spacing w:after="0"/>
              <w:rPr>
                <w:rFonts w:ascii="Arial" w:hAnsi="Arial"/>
                <w:bCs/>
              </w:rPr>
            </w:pPr>
            <w:r w:rsidRPr="00791A09">
              <w:rPr>
                <w:rFonts w:ascii="Arial" w:hAnsi="Arial"/>
                <w:bCs/>
              </w:rPr>
              <w:t>No</w:t>
            </w:r>
          </w:p>
        </w:tc>
      </w:tr>
    </w:tbl>
    <w:p w14:paraId="68DEE2ED" w14:textId="77777777" w:rsidR="000B1D0E" w:rsidRPr="00791A09" w:rsidRDefault="000B1D0E" w:rsidP="000B1D0E">
      <w:pPr>
        <w:spacing w:after="0" w:line="240" w:lineRule="auto"/>
        <w:rPr>
          <w:rFonts w:ascii="Arial" w:eastAsia="Times New Roman" w:hAnsi="Arial" w:cs="Times New Roman"/>
          <w:b/>
          <w:sz w:val="20"/>
          <w:szCs w:val="20"/>
        </w:rPr>
      </w:pPr>
    </w:p>
    <w:tbl>
      <w:tblPr>
        <w:tblStyle w:val="TableGrid"/>
        <w:tblpPr w:leftFromText="180" w:rightFromText="180" w:vertAnchor="text" w:horzAnchor="page" w:tblpX="1325" w:tblpY="-10"/>
        <w:tblOverlap w:val="never"/>
        <w:tblW w:w="9351" w:type="dxa"/>
        <w:tblLook w:val="04A0" w:firstRow="1" w:lastRow="0" w:firstColumn="1" w:lastColumn="0" w:noHBand="0" w:noVBand="1"/>
      </w:tblPr>
      <w:tblGrid>
        <w:gridCol w:w="1662"/>
        <w:gridCol w:w="1735"/>
        <w:gridCol w:w="4253"/>
        <w:gridCol w:w="1701"/>
      </w:tblGrid>
      <w:tr w:rsidR="000B1D0E" w:rsidRPr="00791A09" w14:paraId="7EE1914B" w14:textId="77777777" w:rsidTr="001106E0">
        <w:trPr>
          <w:trHeight w:val="273"/>
        </w:trPr>
        <w:tc>
          <w:tcPr>
            <w:tcW w:w="1662"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49B4826D" w14:textId="77777777" w:rsidR="000B1D0E" w:rsidRPr="00791A09" w:rsidRDefault="000B1D0E" w:rsidP="001106E0">
            <w:pPr>
              <w:tabs>
                <w:tab w:val="center" w:pos="4513"/>
                <w:tab w:val="right" w:pos="9026"/>
              </w:tabs>
              <w:spacing w:after="0"/>
              <w:rPr>
                <w:rFonts w:ascii="Arial" w:hAnsi="Arial"/>
                <w:b/>
                <w:bCs/>
              </w:rPr>
            </w:pPr>
            <w:r w:rsidRPr="00791A09">
              <w:rPr>
                <w:rFonts w:ascii="Arial" w:hAnsi="Arial"/>
                <w:b/>
                <w:bCs/>
              </w:rPr>
              <w:t>Indicator(s)</w:t>
            </w:r>
          </w:p>
        </w:tc>
        <w:tc>
          <w:tcPr>
            <w:tcW w:w="1735"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2CFC71C1" w14:textId="77777777" w:rsidR="000B1D0E" w:rsidRPr="00791A09" w:rsidRDefault="000B1D0E" w:rsidP="001106E0">
            <w:pPr>
              <w:tabs>
                <w:tab w:val="center" w:pos="4513"/>
                <w:tab w:val="right" w:pos="9026"/>
              </w:tabs>
              <w:spacing w:after="0"/>
              <w:rPr>
                <w:rFonts w:ascii="Arial" w:hAnsi="Arial"/>
                <w:b/>
                <w:bCs/>
              </w:rPr>
            </w:pPr>
            <w:r w:rsidRPr="00791A09">
              <w:rPr>
                <w:rFonts w:ascii="Arial" w:hAnsi="Arial"/>
                <w:b/>
                <w:bCs/>
              </w:rPr>
              <w:t>Milestone 2023</w:t>
            </w:r>
            <w:r w:rsidRPr="00791A09">
              <w:rPr>
                <w:rStyle w:val="FootnoteReference"/>
                <w:rFonts w:ascii="Arial" w:hAnsi="Arial"/>
                <w:b/>
                <w:bCs/>
              </w:rPr>
              <w:footnoteReference w:id="4"/>
            </w:r>
          </w:p>
        </w:tc>
        <w:tc>
          <w:tcPr>
            <w:tcW w:w="4253"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6BA4D100" w14:textId="77777777" w:rsidR="000B1D0E" w:rsidRPr="00791A09" w:rsidRDefault="000B1D0E" w:rsidP="001106E0">
            <w:pPr>
              <w:tabs>
                <w:tab w:val="center" w:pos="4513"/>
                <w:tab w:val="right" w:pos="9026"/>
              </w:tabs>
              <w:spacing w:after="0"/>
              <w:rPr>
                <w:rFonts w:ascii="Arial" w:hAnsi="Arial"/>
                <w:b/>
                <w:bCs/>
              </w:rPr>
            </w:pPr>
            <w:r w:rsidRPr="00791A09">
              <w:rPr>
                <w:rFonts w:ascii="Arial" w:hAnsi="Arial"/>
                <w:b/>
                <w:bCs/>
              </w:rPr>
              <w:t>Progress summary for this review</w:t>
            </w:r>
          </w:p>
        </w:tc>
        <w:tc>
          <w:tcPr>
            <w:tcW w:w="1701"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CF2EFAD" w14:textId="77777777" w:rsidR="000B1D0E" w:rsidRPr="00791A09" w:rsidRDefault="000B1D0E" w:rsidP="001106E0">
            <w:pPr>
              <w:tabs>
                <w:tab w:val="center" w:pos="4513"/>
                <w:tab w:val="right" w:pos="9026"/>
              </w:tabs>
              <w:spacing w:after="0"/>
              <w:rPr>
                <w:rFonts w:ascii="Arial" w:hAnsi="Arial"/>
                <w:b/>
                <w:bCs/>
              </w:rPr>
            </w:pPr>
            <w:r w:rsidRPr="00791A09">
              <w:rPr>
                <w:rFonts w:ascii="Arial" w:hAnsi="Arial"/>
                <w:b/>
                <w:bCs/>
              </w:rPr>
              <w:t>Score</w:t>
            </w:r>
          </w:p>
        </w:tc>
      </w:tr>
      <w:tr w:rsidR="000B1D0E" w:rsidRPr="00791A09" w14:paraId="22CFF746" w14:textId="77777777" w:rsidTr="001106E0">
        <w:tc>
          <w:tcPr>
            <w:tcW w:w="1662" w:type="dxa"/>
            <w:tcBorders>
              <w:top w:val="single" w:sz="4" w:space="0" w:color="auto"/>
              <w:left w:val="single" w:sz="4" w:space="0" w:color="auto"/>
              <w:bottom w:val="single" w:sz="4" w:space="0" w:color="auto"/>
              <w:right w:val="single" w:sz="4" w:space="0" w:color="auto"/>
            </w:tcBorders>
          </w:tcPr>
          <w:p w14:paraId="2E8FD518" w14:textId="77777777" w:rsidR="000B1D0E" w:rsidRPr="00791A09" w:rsidRDefault="000B1D0E" w:rsidP="001106E0">
            <w:pPr>
              <w:tabs>
                <w:tab w:val="center" w:pos="4513"/>
                <w:tab w:val="right" w:pos="9026"/>
              </w:tabs>
              <w:spacing w:after="0"/>
              <w:rPr>
                <w:rFonts w:ascii="Arial" w:hAnsi="Arial"/>
                <w:bCs/>
              </w:rPr>
            </w:pPr>
            <w:proofErr w:type="gramStart"/>
            <w:r w:rsidRPr="00791A09">
              <w:rPr>
                <w:rFonts w:ascii="Arial" w:hAnsi="Arial"/>
                <w:bCs/>
              </w:rPr>
              <w:t xml:space="preserve">1.1 </w:t>
            </w:r>
            <w:r w:rsidRPr="00791A09">
              <w:rPr>
                <w:rFonts w:ascii="Arial" w:hAnsi="Arial"/>
              </w:rPr>
              <w:t xml:space="preserve"> </w:t>
            </w:r>
            <w:r w:rsidRPr="00791A09">
              <w:rPr>
                <w:rFonts w:ascii="Arial" w:hAnsi="Arial"/>
                <w:bCs/>
              </w:rPr>
              <w:t>Number</w:t>
            </w:r>
            <w:proofErr w:type="gramEnd"/>
            <w:r w:rsidRPr="00791A09">
              <w:rPr>
                <w:rFonts w:ascii="Arial" w:hAnsi="Arial"/>
                <w:bCs/>
              </w:rPr>
              <w:t xml:space="preserve"> of Cities4Forests-supported events showcasing city leaders as advocates for forests</w:t>
            </w:r>
          </w:p>
        </w:tc>
        <w:tc>
          <w:tcPr>
            <w:tcW w:w="1735" w:type="dxa"/>
            <w:tcBorders>
              <w:top w:val="single" w:sz="4" w:space="0" w:color="auto"/>
              <w:left w:val="single" w:sz="4" w:space="0" w:color="auto"/>
              <w:bottom w:val="single" w:sz="4" w:space="0" w:color="auto"/>
              <w:right w:val="single" w:sz="4" w:space="0" w:color="auto"/>
            </w:tcBorders>
          </w:tcPr>
          <w:p w14:paraId="5EEED475" w14:textId="77777777" w:rsidR="000B1D0E" w:rsidRPr="00791A09" w:rsidRDefault="000B1D0E" w:rsidP="001106E0">
            <w:pPr>
              <w:tabs>
                <w:tab w:val="center" w:pos="4513"/>
                <w:tab w:val="right" w:pos="9026"/>
              </w:tabs>
              <w:spacing w:after="240"/>
              <w:contextualSpacing/>
              <w:rPr>
                <w:rFonts w:ascii="Arial" w:hAnsi="Arial"/>
              </w:rPr>
            </w:pPr>
            <w:r w:rsidRPr="00791A09">
              <w:rPr>
                <w:rFonts w:ascii="Arial" w:hAnsi="Arial"/>
              </w:rPr>
              <w:t>8</w:t>
            </w:r>
          </w:p>
        </w:tc>
        <w:tc>
          <w:tcPr>
            <w:tcW w:w="4253" w:type="dxa"/>
            <w:tcBorders>
              <w:top w:val="single" w:sz="4" w:space="0" w:color="auto"/>
              <w:left w:val="single" w:sz="4" w:space="0" w:color="auto"/>
              <w:bottom w:val="single" w:sz="4" w:space="0" w:color="auto"/>
              <w:right w:val="single" w:sz="4" w:space="0" w:color="auto"/>
            </w:tcBorders>
          </w:tcPr>
          <w:p w14:paraId="0B596513" w14:textId="77777777" w:rsidR="000B1D0E" w:rsidRDefault="000B1D0E" w:rsidP="001106E0">
            <w:pPr>
              <w:tabs>
                <w:tab w:val="center" w:pos="4513"/>
                <w:tab w:val="right" w:pos="9026"/>
              </w:tabs>
              <w:spacing w:after="0"/>
              <w:rPr>
                <w:rFonts w:ascii="Arial" w:hAnsi="Arial"/>
              </w:rPr>
            </w:pPr>
          </w:p>
          <w:p w14:paraId="7F8731D6" w14:textId="77777777" w:rsidR="000B1D0E" w:rsidRDefault="000B1D0E" w:rsidP="001106E0">
            <w:pPr>
              <w:tabs>
                <w:tab w:val="center" w:pos="4513"/>
                <w:tab w:val="right" w:pos="9026"/>
              </w:tabs>
              <w:spacing w:after="0"/>
              <w:rPr>
                <w:rFonts w:ascii="Arial" w:hAnsi="Arial"/>
              </w:rPr>
            </w:pPr>
            <w:r w:rsidRPr="00B65333">
              <w:rPr>
                <w:rFonts w:ascii="Arial" w:hAnsi="Arial"/>
              </w:rPr>
              <w:t>Cities4Forests hosted 44 events featuring city leaders advocating for forests and nature across various topics, geographies, and major global summits.</w:t>
            </w:r>
          </w:p>
          <w:p w14:paraId="008FD7D5" w14:textId="77777777" w:rsidR="000B1D0E" w:rsidRPr="00791A09" w:rsidRDefault="000B1D0E" w:rsidP="001106E0">
            <w:pPr>
              <w:tabs>
                <w:tab w:val="center" w:pos="4513"/>
                <w:tab w:val="right" w:pos="9026"/>
              </w:tabs>
              <w:spacing w:after="0"/>
              <w:rPr>
                <w:rFonts w:ascii="Arial" w:hAnsi="Arial"/>
              </w:rPr>
            </w:pPr>
          </w:p>
        </w:tc>
        <w:tc>
          <w:tcPr>
            <w:tcW w:w="1701" w:type="dxa"/>
            <w:tcBorders>
              <w:top w:val="single" w:sz="4" w:space="0" w:color="auto"/>
              <w:left w:val="single" w:sz="4" w:space="0" w:color="auto"/>
              <w:bottom w:val="single" w:sz="4" w:space="0" w:color="auto"/>
              <w:right w:val="single" w:sz="4" w:space="0" w:color="auto"/>
            </w:tcBorders>
          </w:tcPr>
          <w:p w14:paraId="2957A7E0" w14:textId="77777777" w:rsidR="000B1D0E" w:rsidRPr="00791A09" w:rsidRDefault="000B1D0E" w:rsidP="001106E0">
            <w:pPr>
              <w:tabs>
                <w:tab w:val="center" w:pos="4513"/>
                <w:tab w:val="right" w:pos="9026"/>
              </w:tabs>
              <w:spacing w:after="0"/>
              <w:rPr>
                <w:rFonts w:ascii="Arial" w:hAnsi="Arial"/>
                <w:bCs/>
              </w:rPr>
            </w:pPr>
            <w:r>
              <w:rPr>
                <w:rFonts w:ascii="Arial" w:hAnsi="Arial"/>
                <w:bCs/>
              </w:rPr>
              <w:t>A+</w:t>
            </w:r>
          </w:p>
        </w:tc>
      </w:tr>
      <w:tr w:rsidR="000B1D0E" w:rsidRPr="00791A09" w14:paraId="53E10270" w14:textId="77777777" w:rsidTr="001106E0">
        <w:tc>
          <w:tcPr>
            <w:tcW w:w="1662" w:type="dxa"/>
            <w:tcBorders>
              <w:top w:val="single" w:sz="4" w:space="0" w:color="auto"/>
              <w:left w:val="single" w:sz="4" w:space="0" w:color="auto"/>
              <w:bottom w:val="single" w:sz="4" w:space="0" w:color="auto"/>
              <w:right w:val="single" w:sz="4" w:space="0" w:color="auto"/>
            </w:tcBorders>
          </w:tcPr>
          <w:p w14:paraId="1F4DEE91" w14:textId="77777777" w:rsidR="000B1D0E" w:rsidRPr="00791A09" w:rsidRDefault="000B1D0E" w:rsidP="001106E0">
            <w:pPr>
              <w:tabs>
                <w:tab w:val="center" w:pos="4513"/>
                <w:tab w:val="right" w:pos="9026"/>
              </w:tabs>
              <w:spacing w:after="0"/>
              <w:rPr>
                <w:rFonts w:ascii="Arial" w:hAnsi="Arial"/>
                <w:bCs/>
              </w:rPr>
            </w:pPr>
            <w:proofErr w:type="gramStart"/>
            <w:r w:rsidRPr="00791A09">
              <w:rPr>
                <w:rFonts w:ascii="Arial" w:hAnsi="Arial"/>
                <w:bCs/>
              </w:rPr>
              <w:t xml:space="preserve">1.2 </w:t>
            </w:r>
            <w:r w:rsidRPr="00791A09">
              <w:rPr>
                <w:rFonts w:ascii="Arial" w:hAnsi="Arial"/>
              </w:rPr>
              <w:t xml:space="preserve"> </w:t>
            </w:r>
            <w:r w:rsidRPr="00791A09">
              <w:rPr>
                <w:rFonts w:ascii="Arial" w:hAnsi="Arial"/>
                <w:bCs/>
              </w:rPr>
              <w:t>Number</w:t>
            </w:r>
            <w:proofErr w:type="gramEnd"/>
            <w:r w:rsidRPr="00791A09">
              <w:rPr>
                <w:rFonts w:ascii="Arial" w:hAnsi="Arial"/>
                <w:bCs/>
              </w:rPr>
              <w:t xml:space="preserve"> of media hits promoting nature-based solutions</w:t>
            </w:r>
          </w:p>
        </w:tc>
        <w:tc>
          <w:tcPr>
            <w:tcW w:w="1735" w:type="dxa"/>
            <w:tcBorders>
              <w:top w:val="single" w:sz="4" w:space="0" w:color="auto"/>
              <w:left w:val="single" w:sz="4" w:space="0" w:color="auto"/>
              <w:bottom w:val="single" w:sz="4" w:space="0" w:color="auto"/>
              <w:right w:val="single" w:sz="4" w:space="0" w:color="auto"/>
            </w:tcBorders>
          </w:tcPr>
          <w:p w14:paraId="0BC6005E" w14:textId="77777777" w:rsidR="000B1D0E" w:rsidRPr="00791A09" w:rsidRDefault="000B1D0E" w:rsidP="001106E0">
            <w:pPr>
              <w:tabs>
                <w:tab w:val="center" w:pos="4513"/>
                <w:tab w:val="right" w:pos="9026"/>
              </w:tabs>
              <w:spacing w:after="0"/>
              <w:rPr>
                <w:rFonts w:ascii="Arial" w:hAnsi="Arial"/>
              </w:rPr>
            </w:pPr>
            <w:r w:rsidRPr="00791A09">
              <w:rPr>
                <w:rFonts w:ascii="Arial" w:hAnsi="Arial"/>
              </w:rPr>
              <w:t>15</w:t>
            </w:r>
          </w:p>
        </w:tc>
        <w:tc>
          <w:tcPr>
            <w:tcW w:w="4253" w:type="dxa"/>
            <w:tcBorders>
              <w:top w:val="single" w:sz="4" w:space="0" w:color="auto"/>
              <w:left w:val="single" w:sz="4" w:space="0" w:color="auto"/>
              <w:bottom w:val="single" w:sz="4" w:space="0" w:color="auto"/>
              <w:right w:val="single" w:sz="4" w:space="0" w:color="auto"/>
            </w:tcBorders>
          </w:tcPr>
          <w:p w14:paraId="4608BD26" w14:textId="77777777" w:rsidR="000B1D0E" w:rsidRDefault="000B1D0E" w:rsidP="001106E0">
            <w:pPr>
              <w:tabs>
                <w:tab w:val="center" w:pos="4513"/>
                <w:tab w:val="right" w:pos="9026"/>
              </w:tabs>
              <w:spacing w:after="0"/>
              <w:rPr>
                <w:rFonts w:ascii="Arial" w:hAnsi="Arial"/>
              </w:rPr>
            </w:pPr>
          </w:p>
          <w:p w14:paraId="584D3654" w14:textId="77777777" w:rsidR="000B1D0E" w:rsidRDefault="000B1D0E" w:rsidP="001106E0">
            <w:pPr>
              <w:tabs>
                <w:tab w:val="center" w:pos="4513"/>
                <w:tab w:val="right" w:pos="9026"/>
              </w:tabs>
              <w:spacing w:after="0"/>
              <w:rPr>
                <w:rFonts w:ascii="Arial" w:hAnsi="Arial"/>
              </w:rPr>
            </w:pPr>
            <w:r w:rsidRPr="00B65333">
              <w:rPr>
                <w:rFonts w:ascii="Arial" w:hAnsi="Arial"/>
              </w:rPr>
              <w:t>Cities4Forests achieved 19 media hits across regional and international platforms.  Cities4Forests also grew their social media following and engaged audiences through email marketing and website development.</w:t>
            </w:r>
          </w:p>
          <w:p w14:paraId="252A1CAB" w14:textId="77777777" w:rsidR="000B1D0E" w:rsidRPr="00791A09" w:rsidRDefault="000B1D0E" w:rsidP="001106E0">
            <w:pPr>
              <w:tabs>
                <w:tab w:val="center" w:pos="4513"/>
                <w:tab w:val="right" w:pos="9026"/>
              </w:tabs>
              <w:spacing w:after="0"/>
              <w:rPr>
                <w:rFonts w:ascii="Arial" w:hAnsi="Arial"/>
              </w:rPr>
            </w:pPr>
          </w:p>
        </w:tc>
        <w:tc>
          <w:tcPr>
            <w:tcW w:w="1701" w:type="dxa"/>
            <w:tcBorders>
              <w:top w:val="single" w:sz="4" w:space="0" w:color="auto"/>
              <w:left w:val="single" w:sz="4" w:space="0" w:color="auto"/>
              <w:bottom w:val="single" w:sz="4" w:space="0" w:color="auto"/>
              <w:right w:val="single" w:sz="4" w:space="0" w:color="auto"/>
            </w:tcBorders>
          </w:tcPr>
          <w:p w14:paraId="5B9A9207" w14:textId="77777777" w:rsidR="000B1D0E" w:rsidRPr="00791A09" w:rsidRDefault="000B1D0E" w:rsidP="001106E0">
            <w:pPr>
              <w:tabs>
                <w:tab w:val="center" w:pos="4513"/>
                <w:tab w:val="right" w:pos="9026"/>
              </w:tabs>
              <w:spacing w:after="0"/>
              <w:rPr>
                <w:rFonts w:ascii="Arial" w:hAnsi="Arial"/>
                <w:bCs/>
              </w:rPr>
            </w:pPr>
            <w:r>
              <w:rPr>
                <w:rFonts w:ascii="Arial" w:hAnsi="Arial"/>
                <w:bCs/>
              </w:rPr>
              <w:t>A</w:t>
            </w:r>
          </w:p>
        </w:tc>
      </w:tr>
      <w:tr w:rsidR="000B1D0E" w:rsidRPr="00791A09" w14:paraId="0025A773" w14:textId="77777777" w:rsidTr="001106E0">
        <w:tc>
          <w:tcPr>
            <w:tcW w:w="1662" w:type="dxa"/>
            <w:tcBorders>
              <w:top w:val="single" w:sz="4" w:space="0" w:color="auto"/>
              <w:left w:val="single" w:sz="4" w:space="0" w:color="auto"/>
              <w:bottom w:val="single" w:sz="4" w:space="0" w:color="auto"/>
              <w:right w:val="single" w:sz="4" w:space="0" w:color="auto"/>
            </w:tcBorders>
          </w:tcPr>
          <w:p w14:paraId="7A27721A" w14:textId="77777777" w:rsidR="000B1D0E" w:rsidRPr="00791A09" w:rsidRDefault="000B1D0E" w:rsidP="001106E0">
            <w:pPr>
              <w:tabs>
                <w:tab w:val="center" w:pos="4513"/>
                <w:tab w:val="right" w:pos="9026"/>
              </w:tabs>
              <w:spacing w:after="0"/>
              <w:rPr>
                <w:rFonts w:ascii="Arial" w:hAnsi="Arial"/>
                <w:bCs/>
              </w:rPr>
            </w:pPr>
            <w:proofErr w:type="gramStart"/>
            <w:r w:rsidRPr="00791A09">
              <w:rPr>
                <w:rFonts w:ascii="Arial" w:hAnsi="Arial"/>
                <w:bCs/>
              </w:rPr>
              <w:t xml:space="preserve">1.3 </w:t>
            </w:r>
            <w:r w:rsidRPr="00791A09">
              <w:rPr>
                <w:rFonts w:ascii="Arial" w:hAnsi="Arial"/>
              </w:rPr>
              <w:t xml:space="preserve"> </w:t>
            </w:r>
            <w:r w:rsidRPr="00791A09">
              <w:rPr>
                <w:rFonts w:ascii="Arial" w:hAnsi="Arial"/>
                <w:bCs/>
              </w:rPr>
              <w:t>Number</w:t>
            </w:r>
            <w:proofErr w:type="gramEnd"/>
            <w:r w:rsidRPr="00791A09">
              <w:rPr>
                <w:rFonts w:ascii="Arial" w:hAnsi="Arial"/>
                <w:bCs/>
              </w:rPr>
              <w:t xml:space="preserve"> of knowledge and communications products produced as a result of Cities4Forests activity</w:t>
            </w:r>
          </w:p>
        </w:tc>
        <w:tc>
          <w:tcPr>
            <w:tcW w:w="1735" w:type="dxa"/>
            <w:tcBorders>
              <w:top w:val="single" w:sz="4" w:space="0" w:color="auto"/>
              <w:left w:val="single" w:sz="4" w:space="0" w:color="auto"/>
              <w:bottom w:val="single" w:sz="4" w:space="0" w:color="auto"/>
              <w:right w:val="single" w:sz="4" w:space="0" w:color="auto"/>
            </w:tcBorders>
          </w:tcPr>
          <w:p w14:paraId="56515378" w14:textId="77777777" w:rsidR="000B1D0E" w:rsidRPr="00791A09" w:rsidRDefault="000B1D0E" w:rsidP="001106E0">
            <w:pPr>
              <w:tabs>
                <w:tab w:val="center" w:pos="4513"/>
                <w:tab w:val="right" w:pos="9026"/>
              </w:tabs>
              <w:spacing w:after="0"/>
              <w:rPr>
                <w:rFonts w:ascii="Arial" w:hAnsi="Arial"/>
              </w:rPr>
            </w:pPr>
            <w:r w:rsidRPr="00791A09">
              <w:rPr>
                <w:rFonts w:ascii="Arial" w:hAnsi="Arial"/>
              </w:rPr>
              <w:t>8</w:t>
            </w:r>
          </w:p>
        </w:tc>
        <w:tc>
          <w:tcPr>
            <w:tcW w:w="4253" w:type="dxa"/>
            <w:tcBorders>
              <w:top w:val="single" w:sz="4" w:space="0" w:color="auto"/>
              <w:left w:val="single" w:sz="4" w:space="0" w:color="auto"/>
              <w:bottom w:val="single" w:sz="4" w:space="0" w:color="auto"/>
              <w:right w:val="single" w:sz="4" w:space="0" w:color="auto"/>
            </w:tcBorders>
          </w:tcPr>
          <w:p w14:paraId="08FBFE89" w14:textId="77777777" w:rsidR="000B1D0E" w:rsidRDefault="000B1D0E" w:rsidP="001106E0">
            <w:pPr>
              <w:tabs>
                <w:tab w:val="center" w:pos="4513"/>
                <w:tab w:val="right" w:pos="9026"/>
              </w:tabs>
              <w:spacing w:after="0"/>
              <w:rPr>
                <w:rFonts w:ascii="Arial" w:hAnsi="Arial"/>
              </w:rPr>
            </w:pPr>
          </w:p>
          <w:p w14:paraId="46607C60" w14:textId="77777777" w:rsidR="000B1D0E" w:rsidRPr="00791A09" w:rsidRDefault="000B1D0E" w:rsidP="001106E0">
            <w:pPr>
              <w:tabs>
                <w:tab w:val="center" w:pos="4513"/>
                <w:tab w:val="right" w:pos="9026"/>
              </w:tabs>
              <w:spacing w:after="0"/>
              <w:rPr>
                <w:rFonts w:ascii="Arial" w:hAnsi="Arial"/>
              </w:rPr>
            </w:pPr>
            <w:r w:rsidRPr="00B16C23">
              <w:rPr>
                <w:rFonts w:ascii="Arial" w:hAnsi="Arial"/>
              </w:rPr>
              <w:t>Cities4Forests published 29 knowledge and communications products, including various blogs, articles, and research reports.</w:t>
            </w:r>
          </w:p>
        </w:tc>
        <w:tc>
          <w:tcPr>
            <w:tcW w:w="1701" w:type="dxa"/>
            <w:tcBorders>
              <w:top w:val="single" w:sz="4" w:space="0" w:color="auto"/>
              <w:left w:val="single" w:sz="4" w:space="0" w:color="auto"/>
              <w:bottom w:val="single" w:sz="4" w:space="0" w:color="auto"/>
              <w:right w:val="single" w:sz="4" w:space="0" w:color="auto"/>
            </w:tcBorders>
          </w:tcPr>
          <w:p w14:paraId="7E9047F6" w14:textId="77777777" w:rsidR="000B1D0E" w:rsidRPr="00791A09" w:rsidRDefault="000B1D0E" w:rsidP="001106E0">
            <w:pPr>
              <w:tabs>
                <w:tab w:val="center" w:pos="4513"/>
                <w:tab w:val="right" w:pos="9026"/>
              </w:tabs>
              <w:spacing w:after="0"/>
              <w:rPr>
                <w:rFonts w:ascii="Arial" w:hAnsi="Arial"/>
                <w:bCs/>
              </w:rPr>
            </w:pPr>
            <w:r>
              <w:rPr>
                <w:rFonts w:ascii="Arial" w:hAnsi="Arial"/>
                <w:bCs/>
              </w:rPr>
              <w:t>A+</w:t>
            </w:r>
          </w:p>
        </w:tc>
      </w:tr>
    </w:tbl>
    <w:p w14:paraId="3F959CA7" w14:textId="77777777" w:rsidR="000B1D0E" w:rsidRPr="00791A09" w:rsidRDefault="000B1D0E" w:rsidP="000B1D0E">
      <w:pPr>
        <w:spacing w:after="0" w:line="240" w:lineRule="auto"/>
        <w:jc w:val="both"/>
        <w:rPr>
          <w:rFonts w:ascii="Arial" w:eastAsia="Times New Roman" w:hAnsi="Arial" w:cs="Arial"/>
          <w:b/>
          <w:bCs/>
          <w:sz w:val="20"/>
          <w:szCs w:val="20"/>
        </w:rPr>
      </w:pPr>
    </w:p>
    <w:p w14:paraId="69A77D25" w14:textId="77777777" w:rsidR="000B1D0E" w:rsidRPr="00791A09" w:rsidRDefault="000B1D0E" w:rsidP="000B1D0E">
      <w:pPr>
        <w:spacing w:after="0" w:line="240" w:lineRule="auto"/>
        <w:jc w:val="both"/>
        <w:rPr>
          <w:rFonts w:ascii="Arial" w:eastAsia="Times New Roman" w:hAnsi="Arial" w:cs="Arial"/>
          <w:sz w:val="20"/>
          <w:szCs w:val="20"/>
        </w:rPr>
      </w:pPr>
      <w:r w:rsidRPr="00791A09">
        <w:rPr>
          <w:rFonts w:ascii="Arial" w:eastAsia="Times New Roman" w:hAnsi="Arial" w:cs="Arial"/>
          <w:b/>
          <w:bCs/>
          <w:sz w:val="20"/>
          <w:szCs w:val="20"/>
        </w:rPr>
        <w:t xml:space="preserve">Briefly describe the output’s activities and provide supporting narrative for the score. </w:t>
      </w:r>
    </w:p>
    <w:p w14:paraId="5978F1CC" w14:textId="217E45A9" w:rsidR="000B1D0E" w:rsidRPr="00791A09" w:rsidRDefault="000B1D0E" w:rsidP="000B1D0E">
      <w:pPr>
        <w:spacing w:after="0" w:line="240" w:lineRule="auto"/>
        <w:jc w:val="both"/>
        <w:rPr>
          <w:rFonts w:ascii="Arial" w:eastAsia="Times New Roman" w:hAnsi="Arial" w:cs="Arial"/>
          <w:sz w:val="20"/>
          <w:szCs w:val="20"/>
        </w:rPr>
      </w:pPr>
      <w:r w:rsidRPr="00791A09">
        <w:rPr>
          <w:rFonts w:ascii="Arial" w:eastAsia="Times New Roman" w:hAnsi="Arial" w:cs="Arial"/>
          <w:sz w:val="20"/>
          <w:szCs w:val="20"/>
        </w:rPr>
        <w:t>Cities4Forests has organi</w:t>
      </w:r>
      <w:r>
        <w:rPr>
          <w:rFonts w:ascii="Arial" w:eastAsia="Times New Roman" w:hAnsi="Arial" w:cs="Arial"/>
          <w:sz w:val="20"/>
          <w:szCs w:val="20"/>
        </w:rPr>
        <w:t>s</w:t>
      </w:r>
      <w:r w:rsidRPr="00791A09">
        <w:rPr>
          <w:rFonts w:ascii="Arial" w:eastAsia="Times New Roman" w:hAnsi="Arial" w:cs="Arial"/>
          <w:sz w:val="20"/>
          <w:szCs w:val="20"/>
        </w:rPr>
        <w:t xml:space="preserve">ed and/or co-led </w:t>
      </w:r>
      <w:r>
        <w:rPr>
          <w:rFonts w:ascii="Arial" w:eastAsia="Times New Roman" w:hAnsi="Arial" w:cs="Arial"/>
          <w:sz w:val="20"/>
          <w:szCs w:val="20"/>
        </w:rPr>
        <w:t xml:space="preserve">44 </w:t>
      </w:r>
      <w:r w:rsidRPr="00791A09">
        <w:rPr>
          <w:rFonts w:ascii="Arial" w:eastAsia="Times New Roman" w:hAnsi="Arial" w:cs="Arial"/>
          <w:sz w:val="20"/>
          <w:szCs w:val="20"/>
        </w:rPr>
        <w:t>high-profile events that showcase city leaders and give them a platform to advocate for forests (including ten events in their 2022 annual report plus multiple others since the report was finali</w:t>
      </w:r>
      <w:r>
        <w:rPr>
          <w:rFonts w:ascii="Arial" w:eastAsia="Times New Roman" w:hAnsi="Arial" w:cs="Arial"/>
          <w:sz w:val="20"/>
          <w:szCs w:val="20"/>
        </w:rPr>
        <w:t>s</w:t>
      </w:r>
      <w:r w:rsidRPr="00791A09">
        <w:rPr>
          <w:rFonts w:ascii="Arial" w:eastAsia="Times New Roman" w:hAnsi="Arial" w:cs="Arial"/>
          <w:sz w:val="20"/>
          <w:szCs w:val="20"/>
        </w:rPr>
        <w:t xml:space="preserve">ed). For example, at NYC Climate Week, Cities4Forests recruited 58 cities, representing more than 170 million residents, to issue the Cities4Forests “Call to Action on Forests and Climate”. This declaration calls on governments, companies, and financial institutions to accelerate policies and investments to support forest conservation, restoration, and sustainable forest management.  Also, at the World Urban Forum in Katowice, Poland, Cities4Fforests led the launch of the India Forum for Nature-Based Solutions, India’s first multi-partner platform that aims to raise awareness and scale up adoption of </w:t>
      </w:r>
      <w:proofErr w:type="spellStart"/>
      <w:r>
        <w:rPr>
          <w:rFonts w:ascii="Arial" w:eastAsia="Times New Roman" w:hAnsi="Arial" w:cs="Arial"/>
          <w:sz w:val="20"/>
          <w:szCs w:val="20"/>
        </w:rPr>
        <w:t>NbS</w:t>
      </w:r>
      <w:proofErr w:type="spellEnd"/>
      <w:r w:rsidRPr="00791A09">
        <w:rPr>
          <w:rFonts w:ascii="Arial" w:eastAsia="Times New Roman" w:hAnsi="Arial" w:cs="Arial"/>
          <w:sz w:val="20"/>
          <w:szCs w:val="20"/>
        </w:rPr>
        <w:t xml:space="preserve"> across cities in India. More recently, Cities4Forests launched </w:t>
      </w:r>
      <w:r w:rsidRPr="00BA534C">
        <w:rPr>
          <w:rFonts w:ascii="Arial" w:eastAsia="Times New Roman" w:hAnsi="Arial" w:cs="Arial"/>
          <w:sz w:val="20"/>
          <w:szCs w:val="20"/>
        </w:rPr>
        <w:t>the</w:t>
      </w:r>
      <w:r w:rsidR="00BA534C">
        <w:rPr>
          <w:rFonts w:ascii="Arial" w:eastAsia="Times New Roman" w:hAnsi="Arial" w:cs="Arial"/>
          <w:sz w:val="20"/>
          <w:szCs w:val="20"/>
        </w:rPr>
        <w:t xml:space="preserve"> </w:t>
      </w:r>
      <w:hyperlink r:id="rId12" w:history="1">
        <w:r w:rsidR="00BA534C">
          <w:rPr>
            <w:rStyle w:val="Hyperlink"/>
          </w:rPr>
          <w:t>'Better Forests, Better Cities’</w:t>
        </w:r>
      </w:hyperlink>
      <w:r w:rsidR="00BA534C">
        <w:t xml:space="preserve"> </w:t>
      </w:r>
      <w:r w:rsidRPr="00BA534C">
        <w:rPr>
          <w:rFonts w:ascii="Arial" w:eastAsia="Times New Roman" w:hAnsi="Arial" w:cs="Arial"/>
          <w:sz w:val="20"/>
          <w:szCs w:val="20"/>
        </w:rPr>
        <w:t>report</w:t>
      </w:r>
      <w:r w:rsidRPr="00791A09">
        <w:rPr>
          <w:rFonts w:ascii="Arial" w:eastAsia="Times New Roman" w:hAnsi="Arial" w:cs="Arial"/>
          <w:sz w:val="20"/>
          <w:szCs w:val="20"/>
        </w:rPr>
        <w:t xml:space="preserve"> with an event featuring Mayor </w:t>
      </w:r>
      <w:proofErr w:type="spellStart"/>
      <w:r w:rsidRPr="00791A09">
        <w:rPr>
          <w:rFonts w:ascii="Arial" w:eastAsia="Times New Roman" w:hAnsi="Arial" w:cs="Arial"/>
          <w:sz w:val="20"/>
          <w:szCs w:val="20"/>
        </w:rPr>
        <w:t>Ubraj</w:t>
      </w:r>
      <w:proofErr w:type="spellEnd"/>
      <w:r w:rsidRPr="00791A09">
        <w:rPr>
          <w:rFonts w:ascii="Arial" w:eastAsia="Times New Roman" w:hAnsi="Arial" w:cs="Arial"/>
          <w:sz w:val="20"/>
          <w:szCs w:val="20"/>
        </w:rPr>
        <w:t xml:space="preserve"> </w:t>
      </w:r>
      <w:proofErr w:type="spellStart"/>
      <w:r w:rsidRPr="00791A09">
        <w:rPr>
          <w:rFonts w:ascii="Arial" w:eastAsia="Times New Roman" w:hAnsi="Arial" w:cs="Arial"/>
          <w:sz w:val="20"/>
          <w:szCs w:val="20"/>
        </w:rPr>
        <w:t>Narine</w:t>
      </w:r>
      <w:proofErr w:type="spellEnd"/>
      <w:r w:rsidRPr="00791A09">
        <w:rPr>
          <w:rFonts w:ascii="Arial" w:eastAsia="Times New Roman" w:hAnsi="Arial" w:cs="Arial"/>
          <w:sz w:val="20"/>
          <w:szCs w:val="20"/>
        </w:rPr>
        <w:t xml:space="preserve"> of Georgetown, Guyana; former Mayor Mauricio Rodas of Quito, Ecuador; and Secretary of Environment for Bogota, Colombia, Carolina Urrutia Vasquez to express the value of forests near and far for their cities.</w:t>
      </w:r>
    </w:p>
    <w:p w14:paraId="0FE0F488" w14:textId="77777777" w:rsidR="000B1D0E" w:rsidRPr="00791A09" w:rsidRDefault="000B1D0E" w:rsidP="000B1D0E">
      <w:pPr>
        <w:spacing w:after="0" w:line="240" w:lineRule="auto"/>
        <w:jc w:val="both"/>
        <w:rPr>
          <w:rFonts w:ascii="Arial" w:eastAsia="Times New Roman" w:hAnsi="Arial" w:cs="Arial"/>
          <w:sz w:val="20"/>
          <w:szCs w:val="20"/>
        </w:rPr>
      </w:pPr>
    </w:p>
    <w:p w14:paraId="4411BB94" w14:textId="77777777" w:rsidR="000B1D0E" w:rsidRPr="00791A09" w:rsidRDefault="000B1D0E" w:rsidP="000B1D0E">
      <w:pPr>
        <w:spacing w:after="0" w:line="240" w:lineRule="auto"/>
        <w:jc w:val="both"/>
        <w:rPr>
          <w:rFonts w:ascii="Arial" w:eastAsia="Times New Roman" w:hAnsi="Arial" w:cs="Arial"/>
          <w:sz w:val="20"/>
          <w:szCs w:val="20"/>
        </w:rPr>
      </w:pPr>
      <w:r w:rsidRPr="00791A09">
        <w:rPr>
          <w:rFonts w:ascii="Arial" w:eastAsia="Times New Roman" w:hAnsi="Arial" w:cs="Arial"/>
          <w:sz w:val="20"/>
          <w:szCs w:val="20"/>
        </w:rPr>
        <w:t xml:space="preserve">Cities4Forests garnered </w:t>
      </w:r>
      <w:r>
        <w:rPr>
          <w:rFonts w:ascii="Arial" w:eastAsia="Times New Roman" w:hAnsi="Arial" w:cs="Arial"/>
          <w:sz w:val="20"/>
          <w:szCs w:val="20"/>
        </w:rPr>
        <w:t>19</w:t>
      </w:r>
      <w:r w:rsidRPr="00791A09">
        <w:rPr>
          <w:rFonts w:ascii="Arial" w:eastAsia="Times New Roman" w:hAnsi="Arial" w:cs="Arial"/>
          <w:sz w:val="20"/>
          <w:szCs w:val="20"/>
        </w:rPr>
        <w:t xml:space="preserve"> major media hits across different international platforms on </w:t>
      </w:r>
      <w:proofErr w:type="spellStart"/>
      <w:r w:rsidRPr="00791A09">
        <w:rPr>
          <w:rFonts w:ascii="Arial" w:eastAsia="Times New Roman" w:hAnsi="Arial" w:cs="Arial"/>
          <w:sz w:val="20"/>
          <w:szCs w:val="20"/>
        </w:rPr>
        <w:t>NbS</w:t>
      </w:r>
      <w:proofErr w:type="spellEnd"/>
      <w:r w:rsidRPr="00791A09">
        <w:rPr>
          <w:rFonts w:ascii="Arial" w:eastAsia="Times New Roman" w:hAnsi="Arial" w:cs="Arial"/>
          <w:sz w:val="20"/>
          <w:szCs w:val="20"/>
        </w:rPr>
        <w:t xml:space="preserve"> during the evaluation period. </w:t>
      </w:r>
      <w:r w:rsidRPr="00791A09">
        <w:rPr>
          <w:rFonts w:ascii="Arial" w:hAnsi="Arial"/>
          <w:sz w:val="20"/>
          <w:szCs w:val="20"/>
        </w:rPr>
        <w:t>This coverage includes widely republished international “wire” outlets such as Reuters and Bloomberg Business Week and priority regional outlets such as El Tiempo (Colombia)</w:t>
      </w:r>
      <w:r>
        <w:rPr>
          <w:rFonts w:ascii="Arial" w:hAnsi="Arial"/>
          <w:sz w:val="20"/>
          <w:szCs w:val="20"/>
        </w:rPr>
        <w:t>,</w:t>
      </w:r>
      <w:r w:rsidRPr="00791A09">
        <w:rPr>
          <w:rFonts w:ascii="Arial" w:hAnsi="Arial"/>
          <w:sz w:val="20"/>
          <w:szCs w:val="20"/>
        </w:rPr>
        <w:t xml:space="preserve"> The Indian Express and Mumbai Live (India) and The Hill (US). </w:t>
      </w:r>
      <w:r w:rsidRPr="00791A09">
        <w:rPr>
          <w:rFonts w:ascii="Arial" w:eastAsia="Times New Roman" w:hAnsi="Arial" w:cs="Arial"/>
          <w:sz w:val="20"/>
          <w:szCs w:val="20"/>
        </w:rPr>
        <w:t xml:space="preserve">Press coverage explored Cities4Forests work on reforestation, flooding, wildfire resilience, natural infrastructure, and Cities4Forests as an example of a successful network of cities around the world fighting against climate change. Additionally, they increased their overall social media following across Facebook, Twitter, </w:t>
      </w:r>
      <w:proofErr w:type="gramStart"/>
      <w:r w:rsidRPr="00791A09">
        <w:rPr>
          <w:rFonts w:ascii="Arial" w:eastAsia="Times New Roman" w:hAnsi="Arial" w:cs="Arial"/>
          <w:sz w:val="20"/>
          <w:szCs w:val="20"/>
        </w:rPr>
        <w:t>Instagram</w:t>
      </w:r>
      <w:proofErr w:type="gramEnd"/>
      <w:r w:rsidRPr="00791A09">
        <w:rPr>
          <w:rFonts w:ascii="Arial" w:eastAsia="Times New Roman" w:hAnsi="Arial" w:cs="Arial"/>
          <w:sz w:val="20"/>
          <w:szCs w:val="20"/>
        </w:rPr>
        <w:t xml:space="preserve"> and LinkedIn, providing deeper engagement with the Cities4Forests audience.</w:t>
      </w:r>
    </w:p>
    <w:p w14:paraId="7756031D" w14:textId="77777777" w:rsidR="000B1D0E" w:rsidRPr="00791A09" w:rsidRDefault="000B1D0E" w:rsidP="000B1D0E">
      <w:pPr>
        <w:spacing w:after="0" w:line="240" w:lineRule="auto"/>
        <w:jc w:val="both"/>
        <w:rPr>
          <w:rFonts w:ascii="Arial" w:eastAsia="Times New Roman" w:hAnsi="Arial" w:cs="Arial"/>
          <w:bCs/>
          <w:sz w:val="20"/>
          <w:szCs w:val="20"/>
        </w:rPr>
      </w:pPr>
    </w:p>
    <w:p w14:paraId="39C27462" w14:textId="77777777" w:rsidR="000B1D0E" w:rsidRPr="00791A09" w:rsidRDefault="000B1D0E" w:rsidP="000B1D0E">
      <w:pPr>
        <w:spacing w:after="0" w:line="240" w:lineRule="auto"/>
        <w:jc w:val="both"/>
        <w:rPr>
          <w:rFonts w:ascii="Arial" w:eastAsia="Times New Roman" w:hAnsi="Arial" w:cs="Arial"/>
          <w:sz w:val="20"/>
          <w:szCs w:val="20"/>
        </w:rPr>
      </w:pPr>
      <w:r w:rsidRPr="00791A09">
        <w:rPr>
          <w:rFonts w:ascii="Arial" w:eastAsia="Times New Roman" w:hAnsi="Arial" w:cs="Arial"/>
          <w:sz w:val="20"/>
          <w:szCs w:val="20"/>
        </w:rPr>
        <w:t xml:space="preserve">Cities4Forests has published </w:t>
      </w:r>
      <w:r>
        <w:rPr>
          <w:rFonts w:ascii="Arial" w:eastAsia="Times New Roman" w:hAnsi="Arial" w:cs="Arial"/>
          <w:sz w:val="20"/>
          <w:szCs w:val="20"/>
        </w:rPr>
        <w:t xml:space="preserve">29 </w:t>
      </w:r>
      <w:r w:rsidRPr="00791A09">
        <w:rPr>
          <w:rFonts w:ascii="Arial" w:eastAsia="Times New Roman" w:hAnsi="Arial" w:cs="Arial"/>
          <w:sz w:val="20"/>
          <w:szCs w:val="20"/>
        </w:rPr>
        <w:t xml:space="preserve">journal articles, research reports, white papers, and blog posts on </w:t>
      </w:r>
      <w:proofErr w:type="spellStart"/>
      <w:r w:rsidRPr="00791A09">
        <w:rPr>
          <w:rFonts w:ascii="Arial" w:eastAsia="Times New Roman" w:hAnsi="Arial" w:cs="Arial"/>
          <w:sz w:val="20"/>
          <w:szCs w:val="20"/>
        </w:rPr>
        <w:t>NbS</w:t>
      </w:r>
      <w:proofErr w:type="spellEnd"/>
      <w:r w:rsidRPr="00791A09">
        <w:rPr>
          <w:rFonts w:ascii="Arial" w:eastAsia="Times New Roman" w:hAnsi="Arial" w:cs="Arial"/>
          <w:sz w:val="20"/>
          <w:szCs w:val="20"/>
        </w:rPr>
        <w:t xml:space="preserve"> </w:t>
      </w:r>
      <w:r w:rsidRPr="00791A09">
        <w:rPr>
          <w:rFonts w:ascii="Arial" w:hAnsi="Arial"/>
          <w:sz w:val="20"/>
          <w:szCs w:val="20"/>
        </w:rPr>
        <w:t xml:space="preserve">through WRI’s international office websites, the Cities4Forests website, and external partner websites. Topics </w:t>
      </w:r>
      <w:r w:rsidRPr="00791A09">
        <w:rPr>
          <w:rFonts w:ascii="Arial" w:eastAsia="Times New Roman" w:hAnsi="Arial" w:cs="Arial"/>
          <w:sz w:val="20"/>
          <w:szCs w:val="20"/>
        </w:rPr>
        <w:t xml:space="preserve">included reducing commodity-based deforestation, improving urban tree </w:t>
      </w:r>
      <w:proofErr w:type="gramStart"/>
      <w:r w:rsidRPr="00791A09">
        <w:rPr>
          <w:rFonts w:ascii="Arial" w:eastAsia="Times New Roman" w:hAnsi="Arial" w:cs="Arial"/>
          <w:sz w:val="20"/>
          <w:szCs w:val="20"/>
        </w:rPr>
        <w:t>cover</w:t>
      </w:r>
      <w:proofErr w:type="gramEnd"/>
      <w:r w:rsidRPr="00791A09">
        <w:rPr>
          <w:rFonts w:ascii="Arial" w:eastAsia="Times New Roman" w:hAnsi="Arial" w:cs="Arial"/>
          <w:sz w:val="20"/>
          <w:szCs w:val="20"/>
        </w:rPr>
        <w:t xml:space="preserve"> and using artificial intelligence to support urban greening efforts. The top three articles alone have been viewed by over 10,000 readers. Two of these three articles were written to promote research products, increasing traffic to those products as well. Cities4Forests is undertaking a refresh of their communications assets and overall strategy with a focus on a refreshed website, additional editorial content about Cities4Forests’ work, and a diversification of outreach channels and engagement.  </w:t>
      </w:r>
    </w:p>
    <w:p w14:paraId="73F7AF63" w14:textId="77777777" w:rsidR="000B1D0E" w:rsidRPr="00791A09" w:rsidRDefault="000B1D0E" w:rsidP="000B1D0E">
      <w:pPr>
        <w:spacing w:after="0" w:line="240" w:lineRule="auto"/>
        <w:jc w:val="both"/>
        <w:rPr>
          <w:rFonts w:ascii="Arial" w:eastAsia="Times New Roman" w:hAnsi="Arial" w:cs="Arial"/>
          <w:sz w:val="20"/>
          <w:szCs w:val="20"/>
        </w:rPr>
      </w:pPr>
    </w:p>
    <w:p w14:paraId="0010565D" w14:textId="77777777" w:rsidR="000B1D0E" w:rsidRPr="00791A09" w:rsidRDefault="000B1D0E" w:rsidP="000B1D0E">
      <w:pPr>
        <w:spacing w:after="0" w:line="240" w:lineRule="auto"/>
        <w:rPr>
          <w:rFonts w:ascii="Arial" w:eastAsia="Times New Roman" w:hAnsi="Arial" w:cs="Arial"/>
          <w:sz w:val="20"/>
          <w:szCs w:val="20"/>
        </w:rPr>
      </w:pPr>
      <w:r w:rsidRPr="00791A09">
        <w:rPr>
          <w:rFonts w:ascii="Arial" w:eastAsia="Times New Roman" w:hAnsi="Arial" w:cs="Times New Roman"/>
          <w:b/>
          <w:bCs/>
          <w:sz w:val="20"/>
          <w:szCs w:val="20"/>
        </w:rPr>
        <w:t xml:space="preserve">Describe any changes to this output during the past year and any planned changes </w:t>
      </w:r>
      <w:proofErr w:type="gramStart"/>
      <w:r w:rsidRPr="00791A09">
        <w:rPr>
          <w:rFonts w:ascii="Arial" w:eastAsia="Times New Roman" w:hAnsi="Arial" w:cs="Times New Roman"/>
          <w:b/>
          <w:bCs/>
          <w:sz w:val="20"/>
          <w:szCs w:val="20"/>
        </w:rPr>
        <w:t>as a result of</w:t>
      </w:r>
      <w:proofErr w:type="gramEnd"/>
      <w:r w:rsidRPr="00791A09">
        <w:rPr>
          <w:rFonts w:ascii="Arial" w:eastAsia="Times New Roman" w:hAnsi="Arial" w:cs="Times New Roman"/>
          <w:b/>
          <w:bCs/>
          <w:sz w:val="20"/>
          <w:szCs w:val="20"/>
        </w:rPr>
        <w:t xml:space="preserve"> this review. </w:t>
      </w:r>
    </w:p>
    <w:p w14:paraId="0DCDE8C2" w14:textId="77777777" w:rsidR="000B1D0E" w:rsidRPr="00791A09" w:rsidRDefault="000B1D0E" w:rsidP="000B1D0E">
      <w:pPr>
        <w:spacing w:after="0" w:line="240" w:lineRule="auto"/>
        <w:rPr>
          <w:rFonts w:ascii="Arial" w:eastAsia="Times New Roman" w:hAnsi="Arial" w:cs="Arial"/>
          <w:sz w:val="20"/>
          <w:szCs w:val="20"/>
        </w:rPr>
      </w:pPr>
    </w:p>
    <w:p w14:paraId="2F670C15" w14:textId="77777777" w:rsidR="000B1D0E" w:rsidRPr="00791A09" w:rsidRDefault="000B1D0E" w:rsidP="000B1D0E">
      <w:pPr>
        <w:spacing w:after="0" w:line="240" w:lineRule="auto"/>
        <w:rPr>
          <w:rFonts w:ascii="Arial" w:eastAsia="Times New Roman" w:hAnsi="Arial" w:cs="Arial"/>
          <w:sz w:val="20"/>
          <w:szCs w:val="20"/>
        </w:rPr>
      </w:pPr>
      <w:r w:rsidRPr="00791A09">
        <w:rPr>
          <w:rFonts w:ascii="Arial" w:eastAsia="Times New Roman" w:hAnsi="Arial" w:cs="Arial"/>
          <w:sz w:val="20"/>
          <w:szCs w:val="20"/>
        </w:rPr>
        <w:t xml:space="preserve">In 2022 Cities4Forests began refreshing their communications strategy, </w:t>
      </w:r>
      <w:r>
        <w:rPr>
          <w:rFonts w:ascii="Arial" w:eastAsia="Times New Roman" w:hAnsi="Arial" w:cs="Arial"/>
          <w:sz w:val="20"/>
          <w:szCs w:val="20"/>
        </w:rPr>
        <w:t>focusing on</w:t>
      </w:r>
      <w:r w:rsidRPr="00791A09">
        <w:rPr>
          <w:rFonts w:ascii="Arial" w:eastAsia="Times New Roman" w:hAnsi="Arial" w:cs="Arial"/>
          <w:sz w:val="20"/>
          <w:szCs w:val="20"/>
        </w:rPr>
        <w:t xml:space="preserve"> growing social media audiences (5%-33% growth, depending on the platform), driving traffic to editorial products (Cities4Forests top three articles have been viewed by over 10,000 readers), and boosting attendance for events (for example, the launch of Cities4Forest’s Global Protocol for Community-Scale Greenhouse Gas Inventories drew over 700 attendees across 80 countries). The </w:t>
      </w:r>
      <w:r>
        <w:rPr>
          <w:rFonts w:ascii="Arial" w:eastAsia="Times New Roman" w:hAnsi="Arial" w:cs="Arial"/>
          <w:sz w:val="20"/>
          <w:szCs w:val="20"/>
        </w:rPr>
        <w:t>refresh aims to</w:t>
      </w:r>
      <w:r w:rsidRPr="00791A09">
        <w:rPr>
          <w:rFonts w:ascii="Arial" w:eastAsia="Times New Roman" w:hAnsi="Arial" w:cs="Arial"/>
          <w:sz w:val="20"/>
          <w:szCs w:val="20"/>
        </w:rPr>
        <w:t xml:space="preserve"> </w:t>
      </w:r>
      <w:r>
        <w:rPr>
          <w:rFonts w:ascii="Arial" w:eastAsia="Times New Roman" w:hAnsi="Arial" w:cs="Arial"/>
          <w:sz w:val="20"/>
          <w:szCs w:val="20"/>
        </w:rPr>
        <w:t>tailor</w:t>
      </w:r>
      <w:r w:rsidRPr="00791A09">
        <w:rPr>
          <w:rFonts w:ascii="Arial" w:eastAsia="Times New Roman" w:hAnsi="Arial" w:cs="Arial"/>
          <w:sz w:val="20"/>
          <w:szCs w:val="20"/>
        </w:rPr>
        <w:t xml:space="preserve"> communications efforts toward specific audiences. </w:t>
      </w:r>
      <w:r>
        <w:rPr>
          <w:rFonts w:ascii="Arial" w:eastAsia="Times New Roman" w:hAnsi="Arial" w:cs="Arial"/>
          <w:sz w:val="20"/>
          <w:szCs w:val="20"/>
        </w:rPr>
        <w:t>This</w:t>
      </w:r>
      <w:r w:rsidRPr="00791A09">
        <w:rPr>
          <w:rFonts w:ascii="Arial" w:eastAsia="Times New Roman" w:hAnsi="Arial" w:cs="Arial"/>
          <w:sz w:val="20"/>
          <w:szCs w:val="20"/>
        </w:rPr>
        <w:t xml:space="preserve"> more strategic approach will further showcase city leadership in driving the nature agenda at national, regional, and local events, as well as open new windows of opportunity to increase focus on the role of financial institutions on this agenda. </w:t>
      </w:r>
    </w:p>
    <w:p w14:paraId="1F474C34" w14:textId="77777777" w:rsidR="000B1D0E" w:rsidRPr="00791A09" w:rsidRDefault="000B1D0E" w:rsidP="000B1D0E">
      <w:pPr>
        <w:spacing w:after="0" w:line="240" w:lineRule="auto"/>
        <w:rPr>
          <w:rFonts w:ascii="Arial" w:eastAsia="Times New Roman" w:hAnsi="Arial" w:cs="Arial"/>
          <w:sz w:val="20"/>
          <w:szCs w:val="20"/>
        </w:rPr>
      </w:pPr>
    </w:p>
    <w:p w14:paraId="0D432E9A" w14:textId="77777777" w:rsidR="000B1D0E" w:rsidRPr="00791A09" w:rsidRDefault="000B1D0E" w:rsidP="000B1D0E">
      <w:pPr>
        <w:spacing w:after="0" w:line="240" w:lineRule="auto"/>
        <w:rPr>
          <w:rFonts w:ascii="Arial" w:eastAsia="Times New Roman" w:hAnsi="Arial" w:cs="Arial"/>
          <w:sz w:val="20"/>
          <w:szCs w:val="20"/>
        </w:rPr>
      </w:pPr>
      <w:r w:rsidRPr="00791A09">
        <w:rPr>
          <w:rFonts w:ascii="Arial" w:eastAsia="Times New Roman" w:hAnsi="Arial" w:cs="Arial"/>
          <w:sz w:val="20"/>
          <w:szCs w:val="20"/>
        </w:rPr>
        <w:t>Cities4Forests will build upon these initial successes by revitali</w:t>
      </w:r>
      <w:r>
        <w:rPr>
          <w:rFonts w:ascii="Arial" w:eastAsia="Times New Roman" w:hAnsi="Arial" w:cs="Arial"/>
          <w:sz w:val="20"/>
          <w:szCs w:val="20"/>
        </w:rPr>
        <w:t>s</w:t>
      </w:r>
      <w:r w:rsidRPr="00791A09">
        <w:rPr>
          <w:rFonts w:ascii="Arial" w:eastAsia="Times New Roman" w:hAnsi="Arial" w:cs="Arial"/>
          <w:sz w:val="20"/>
          <w:szCs w:val="20"/>
        </w:rPr>
        <w:t xml:space="preserve">ing </w:t>
      </w:r>
      <w:r>
        <w:rPr>
          <w:rFonts w:ascii="Arial" w:eastAsia="Times New Roman" w:hAnsi="Arial" w:cs="Arial"/>
          <w:sz w:val="20"/>
          <w:szCs w:val="20"/>
        </w:rPr>
        <w:t>their</w:t>
      </w:r>
      <w:r w:rsidRPr="00791A09">
        <w:rPr>
          <w:rFonts w:ascii="Arial" w:eastAsia="Times New Roman" w:hAnsi="Arial" w:cs="Arial"/>
          <w:sz w:val="20"/>
          <w:szCs w:val="20"/>
        </w:rPr>
        <w:t xml:space="preserve"> website, making it an easy-to-use resource for cities, subject experts, financiers, and others to access the latest information on connection between cities and forests. This website will be complimented by a quarterly newsletter, a targeted editorial strategy, and continued efforts to grow an engaging social media presence. </w:t>
      </w:r>
    </w:p>
    <w:p w14:paraId="655F76E6" w14:textId="77777777" w:rsidR="000B1D0E" w:rsidRPr="00791A09" w:rsidRDefault="000B1D0E" w:rsidP="000B1D0E">
      <w:pPr>
        <w:spacing w:after="0" w:line="240" w:lineRule="auto"/>
        <w:rPr>
          <w:rFonts w:ascii="Arial" w:eastAsia="Times New Roman" w:hAnsi="Arial" w:cs="Arial"/>
          <w:sz w:val="20"/>
          <w:szCs w:val="20"/>
        </w:rPr>
      </w:pPr>
    </w:p>
    <w:p w14:paraId="1A615529" w14:textId="77777777" w:rsidR="000B1D0E" w:rsidRPr="00791A09" w:rsidRDefault="000B1D0E" w:rsidP="000B1D0E">
      <w:pPr>
        <w:spacing w:after="0" w:line="240" w:lineRule="auto"/>
        <w:jc w:val="both"/>
        <w:rPr>
          <w:rFonts w:ascii="Arial" w:eastAsia="Times New Roman" w:hAnsi="Arial" w:cs="Arial"/>
          <w:sz w:val="20"/>
          <w:szCs w:val="20"/>
        </w:rPr>
      </w:pPr>
      <w:r w:rsidRPr="00791A09">
        <w:rPr>
          <w:rFonts w:ascii="Arial" w:eastAsia="Times New Roman" w:hAnsi="Arial" w:cs="Arial"/>
          <w:b/>
          <w:bCs/>
          <w:sz w:val="20"/>
          <w:szCs w:val="20"/>
        </w:rPr>
        <w:t xml:space="preserve">Progress on recommendations from the previous AR (if completed), lessons learned this year and recommendations for the year </w:t>
      </w:r>
      <w:proofErr w:type="gramStart"/>
      <w:r w:rsidRPr="00791A09">
        <w:rPr>
          <w:rFonts w:ascii="Arial" w:eastAsia="Times New Roman" w:hAnsi="Arial" w:cs="Arial"/>
          <w:b/>
          <w:bCs/>
          <w:sz w:val="20"/>
          <w:szCs w:val="20"/>
        </w:rPr>
        <w:t>ahead</w:t>
      </w:r>
      <w:proofErr w:type="gramEnd"/>
      <w:r w:rsidRPr="00791A09">
        <w:rPr>
          <w:rFonts w:ascii="Arial" w:eastAsia="Times New Roman" w:hAnsi="Arial" w:cs="Arial"/>
          <w:b/>
          <w:bCs/>
          <w:sz w:val="20"/>
          <w:szCs w:val="20"/>
        </w:rPr>
        <w:t xml:space="preserve"> </w:t>
      </w:r>
    </w:p>
    <w:p w14:paraId="230CC62F" w14:textId="77777777" w:rsidR="000B1D0E" w:rsidRPr="00791A09" w:rsidRDefault="000B1D0E" w:rsidP="000B1D0E">
      <w:pPr>
        <w:spacing w:after="0" w:line="240" w:lineRule="auto"/>
        <w:jc w:val="both"/>
        <w:rPr>
          <w:rFonts w:ascii="Arial" w:eastAsia="Times New Roman" w:hAnsi="Arial" w:cs="Arial"/>
          <w:bCs/>
          <w:sz w:val="20"/>
          <w:szCs w:val="20"/>
        </w:rPr>
      </w:pPr>
    </w:p>
    <w:p w14:paraId="3C1BCD12" w14:textId="77777777" w:rsidR="000B1D0E" w:rsidRPr="00791A09" w:rsidRDefault="000B1D0E" w:rsidP="000B1D0E">
      <w:pPr>
        <w:tabs>
          <w:tab w:val="left" w:pos="8352"/>
        </w:tabs>
        <w:spacing w:after="0" w:line="240" w:lineRule="auto"/>
        <w:jc w:val="both"/>
        <w:rPr>
          <w:rFonts w:ascii="Arial" w:eastAsia="Times New Roman" w:hAnsi="Arial" w:cs="Arial"/>
          <w:sz w:val="20"/>
          <w:szCs w:val="20"/>
        </w:rPr>
      </w:pPr>
      <w:r w:rsidRPr="00791A09">
        <w:rPr>
          <w:rFonts w:ascii="Arial" w:eastAsia="Times New Roman" w:hAnsi="Arial" w:cs="Arial"/>
          <w:sz w:val="20"/>
          <w:szCs w:val="20"/>
        </w:rPr>
        <w:t xml:space="preserve">This is Cities4Forests’ first Annual Review by Defra, but the communications strategy refresh </w:t>
      </w:r>
      <w:r>
        <w:rPr>
          <w:rFonts w:ascii="Arial" w:eastAsia="Times New Roman" w:hAnsi="Arial" w:cs="Arial"/>
          <w:sz w:val="20"/>
          <w:szCs w:val="20"/>
        </w:rPr>
        <w:t>and tailoring c</w:t>
      </w:r>
      <w:r w:rsidRPr="00791A09">
        <w:rPr>
          <w:rFonts w:ascii="Arial" w:eastAsia="Times New Roman" w:hAnsi="Arial" w:cs="Arial"/>
          <w:sz w:val="20"/>
          <w:szCs w:val="20"/>
        </w:rPr>
        <w:t>ommunications to key target audiences (see above) is a response to lessons learned from Cities4Forests</w:t>
      </w:r>
      <w:r>
        <w:rPr>
          <w:rFonts w:ascii="Arial" w:eastAsia="Times New Roman" w:hAnsi="Arial" w:cs="Arial"/>
          <w:sz w:val="20"/>
          <w:szCs w:val="20"/>
        </w:rPr>
        <w:t>’</w:t>
      </w:r>
      <w:r w:rsidRPr="00791A09">
        <w:rPr>
          <w:rFonts w:ascii="Arial" w:eastAsia="Times New Roman" w:hAnsi="Arial" w:cs="Arial"/>
          <w:sz w:val="20"/>
          <w:szCs w:val="20"/>
        </w:rPr>
        <w:t xml:space="preserve"> first three years of operation</w:t>
      </w:r>
      <w:r>
        <w:rPr>
          <w:rFonts w:ascii="Arial" w:eastAsia="Times New Roman" w:hAnsi="Arial" w:cs="Arial"/>
          <w:sz w:val="20"/>
          <w:szCs w:val="20"/>
        </w:rPr>
        <w:t>.</w:t>
      </w:r>
      <w:r w:rsidRPr="00791A09">
        <w:rPr>
          <w:rFonts w:ascii="Arial" w:eastAsia="Times New Roman" w:hAnsi="Arial" w:cs="Arial"/>
          <w:sz w:val="20"/>
          <w:szCs w:val="20"/>
        </w:rPr>
        <w:t xml:space="preserve"> </w:t>
      </w:r>
    </w:p>
    <w:p w14:paraId="1196F6C5" w14:textId="77777777" w:rsidR="000B1D0E" w:rsidRPr="00791A09" w:rsidRDefault="000B1D0E" w:rsidP="000B1D0E">
      <w:pPr>
        <w:tabs>
          <w:tab w:val="left" w:pos="8352"/>
        </w:tabs>
        <w:spacing w:after="0" w:line="240" w:lineRule="auto"/>
        <w:jc w:val="both"/>
        <w:rPr>
          <w:rFonts w:ascii="Arial" w:eastAsia="Times New Roman" w:hAnsi="Arial" w:cs="Arial"/>
          <w:sz w:val="20"/>
          <w:szCs w:val="20"/>
        </w:rPr>
      </w:pPr>
    </w:p>
    <w:p w14:paraId="6785A520" w14:textId="46D84E46" w:rsidR="000B1D0E" w:rsidRDefault="000B1D0E" w:rsidP="000B1D0E">
      <w:pPr>
        <w:tabs>
          <w:tab w:val="left" w:pos="8352"/>
        </w:tabs>
        <w:spacing w:after="0" w:line="240" w:lineRule="auto"/>
        <w:jc w:val="both"/>
        <w:rPr>
          <w:rFonts w:ascii="Arial" w:eastAsia="Times New Roman" w:hAnsi="Arial" w:cs="Arial"/>
          <w:sz w:val="20"/>
          <w:szCs w:val="20"/>
        </w:rPr>
      </w:pPr>
      <w:r w:rsidRPr="00791A09">
        <w:rPr>
          <w:rFonts w:ascii="Arial" w:eastAsia="Times New Roman" w:hAnsi="Arial" w:cs="Arial"/>
          <w:sz w:val="20"/>
          <w:szCs w:val="20"/>
        </w:rPr>
        <w:t xml:space="preserve">Cities4Forests also plans to address a challenge of high turnover </w:t>
      </w:r>
      <w:r>
        <w:rPr>
          <w:rFonts w:ascii="Arial" w:eastAsia="Times New Roman" w:hAnsi="Arial" w:cs="Arial"/>
          <w:sz w:val="20"/>
          <w:szCs w:val="20"/>
        </w:rPr>
        <w:t xml:space="preserve">of </w:t>
      </w:r>
      <w:r w:rsidRPr="00791A09">
        <w:rPr>
          <w:rFonts w:ascii="Arial" w:eastAsia="Times New Roman" w:hAnsi="Arial" w:cs="Arial"/>
          <w:sz w:val="20"/>
          <w:szCs w:val="20"/>
        </w:rPr>
        <w:t>city official</w:t>
      </w:r>
      <w:r>
        <w:rPr>
          <w:rFonts w:ascii="Arial" w:eastAsia="Times New Roman" w:hAnsi="Arial" w:cs="Arial"/>
          <w:sz w:val="20"/>
          <w:szCs w:val="20"/>
        </w:rPr>
        <w:t>s</w:t>
      </w:r>
      <w:r w:rsidRPr="00791A09">
        <w:rPr>
          <w:rFonts w:ascii="Arial" w:eastAsia="Times New Roman" w:hAnsi="Arial" w:cs="Arial"/>
          <w:sz w:val="20"/>
          <w:szCs w:val="20"/>
        </w:rPr>
        <w:t xml:space="preserve"> by fostering </w:t>
      </w:r>
      <w:r>
        <w:rPr>
          <w:rFonts w:ascii="Arial" w:eastAsia="Times New Roman" w:hAnsi="Arial" w:cs="Arial"/>
          <w:sz w:val="20"/>
          <w:szCs w:val="20"/>
        </w:rPr>
        <w:t xml:space="preserve">stronger </w:t>
      </w:r>
      <w:r w:rsidRPr="00791A09">
        <w:rPr>
          <w:rFonts w:ascii="Arial" w:eastAsia="Times New Roman" w:hAnsi="Arial" w:cs="Arial"/>
          <w:sz w:val="20"/>
          <w:szCs w:val="20"/>
        </w:rPr>
        <w:t xml:space="preserve">working relationships with cities’ technical staff to provide </w:t>
      </w:r>
      <w:r>
        <w:rPr>
          <w:rFonts w:ascii="Arial" w:eastAsia="Times New Roman" w:hAnsi="Arial" w:cs="Arial"/>
          <w:sz w:val="20"/>
          <w:szCs w:val="20"/>
        </w:rPr>
        <w:t xml:space="preserve">greater </w:t>
      </w:r>
      <w:r w:rsidRPr="00791A09">
        <w:rPr>
          <w:rFonts w:ascii="Arial" w:eastAsia="Times New Roman" w:hAnsi="Arial" w:cs="Arial"/>
          <w:sz w:val="20"/>
          <w:szCs w:val="20"/>
        </w:rPr>
        <w:t>program</w:t>
      </w:r>
      <w:r>
        <w:rPr>
          <w:rFonts w:ascii="Arial" w:eastAsia="Times New Roman" w:hAnsi="Arial" w:cs="Arial"/>
          <w:sz w:val="20"/>
          <w:szCs w:val="20"/>
        </w:rPr>
        <w:t>me</w:t>
      </w:r>
      <w:r w:rsidRPr="00791A09">
        <w:rPr>
          <w:rFonts w:ascii="Arial" w:eastAsia="Times New Roman" w:hAnsi="Arial" w:cs="Arial"/>
          <w:sz w:val="20"/>
          <w:szCs w:val="20"/>
        </w:rPr>
        <w:t xml:space="preserve"> continuity</w:t>
      </w:r>
      <w:r>
        <w:rPr>
          <w:rFonts w:ascii="Arial" w:eastAsia="Times New Roman" w:hAnsi="Arial" w:cs="Arial"/>
          <w:sz w:val="20"/>
          <w:szCs w:val="20"/>
        </w:rPr>
        <w:t>. The</w:t>
      </w:r>
      <w:r w:rsidRPr="00791A09">
        <w:rPr>
          <w:rFonts w:ascii="Arial" w:eastAsia="Times New Roman" w:hAnsi="Arial" w:cs="Arial"/>
          <w:sz w:val="20"/>
          <w:szCs w:val="20"/>
        </w:rPr>
        <w:t xml:space="preserve"> initiative has already demonstrated this approach successfully in key cities such as Kochi, Jakarta, and Bogota</w:t>
      </w:r>
      <w:r w:rsidR="00AD0C25">
        <w:rPr>
          <w:rFonts w:ascii="Arial" w:eastAsia="Times New Roman" w:hAnsi="Arial" w:cs="Arial"/>
          <w:sz w:val="20"/>
          <w:szCs w:val="20"/>
        </w:rPr>
        <w:t>.</w:t>
      </w:r>
    </w:p>
    <w:p w14:paraId="5E62F239" w14:textId="77777777" w:rsidR="004A128B" w:rsidRPr="00791A09" w:rsidRDefault="004A128B" w:rsidP="000B1D0E">
      <w:pPr>
        <w:tabs>
          <w:tab w:val="left" w:pos="8352"/>
        </w:tabs>
        <w:spacing w:after="0" w:line="240" w:lineRule="auto"/>
        <w:jc w:val="both"/>
        <w:rPr>
          <w:rFonts w:ascii="Arial" w:eastAsia="Times New Roman" w:hAnsi="Arial" w:cs="Arial"/>
          <w:sz w:val="20"/>
          <w:szCs w:val="20"/>
        </w:rPr>
      </w:pPr>
    </w:p>
    <w:p w14:paraId="0D1CBA5C" w14:textId="77777777" w:rsidR="000B1D0E" w:rsidRPr="00791A09" w:rsidRDefault="000B1D0E" w:rsidP="000B1D0E">
      <w:pPr>
        <w:spacing w:after="0" w:line="240" w:lineRule="auto"/>
        <w:rPr>
          <w:rFonts w:ascii="Arial" w:eastAsia="Times New Roman" w:hAnsi="Arial" w:cs="Times New Roman"/>
          <w:sz w:val="20"/>
          <w:szCs w:val="20"/>
        </w:rPr>
      </w:pPr>
    </w:p>
    <w:tbl>
      <w:tblPr>
        <w:tblStyle w:val="TableGrid"/>
        <w:tblW w:w="9356" w:type="dxa"/>
        <w:tblInd w:w="-147" w:type="dxa"/>
        <w:tblLook w:val="04A0" w:firstRow="1" w:lastRow="0" w:firstColumn="1" w:lastColumn="0" w:noHBand="0" w:noVBand="1"/>
      </w:tblPr>
      <w:tblGrid>
        <w:gridCol w:w="1708"/>
        <w:gridCol w:w="616"/>
        <w:gridCol w:w="937"/>
        <w:gridCol w:w="3283"/>
        <w:gridCol w:w="2812"/>
      </w:tblGrid>
      <w:tr w:rsidR="000B1D0E" w:rsidRPr="00791A09" w14:paraId="3128350D" w14:textId="77777777" w:rsidTr="001106E0">
        <w:trPr>
          <w:trHeight w:val="489"/>
        </w:trPr>
        <w:tc>
          <w:tcPr>
            <w:tcW w:w="1708"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222606F5" w14:textId="77777777" w:rsidR="000B1D0E" w:rsidRPr="00791A09" w:rsidRDefault="000B1D0E" w:rsidP="001106E0">
            <w:pPr>
              <w:tabs>
                <w:tab w:val="center" w:pos="4513"/>
                <w:tab w:val="right" w:pos="9026"/>
              </w:tabs>
              <w:spacing w:after="0"/>
              <w:rPr>
                <w:rFonts w:ascii="Arial" w:hAnsi="Arial"/>
                <w:b/>
                <w:bCs/>
              </w:rPr>
            </w:pPr>
            <w:r w:rsidRPr="00791A09">
              <w:rPr>
                <w:rFonts w:ascii="Arial" w:hAnsi="Arial"/>
                <w:b/>
                <w:bCs/>
              </w:rPr>
              <w:lastRenderedPageBreak/>
              <w:t xml:space="preserve">Output Title </w:t>
            </w:r>
          </w:p>
        </w:tc>
        <w:tc>
          <w:tcPr>
            <w:tcW w:w="7648"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27E5ACF0" w14:textId="77777777" w:rsidR="000B1D0E" w:rsidRPr="00791A09" w:rsidRDefault="000B1D0E" w:rsidP="001106E0">
            <w:pPr>
              <w:tabs>
                <w:tab w:val="center" w:pos="4513"/>
                <w:tab w:val="right" w:pos="9026"/>
              </w:tabs>
              <w:spacing w:after="0"/>
              <w:rPr>
                <w:rFonts w:ascii="Arial" w:hAnsi="Arial"/>
                <w:i/>
                <w:iCs/>
                <w:color w:val="FF0000"/>
              </w:rPr>
            </w:pPr>
            <w:r w:rsidRPr="00791A09">
              <w:rPr>
                <w:rFonts w:ascii="Arial" w:hAnsi="Arial"/>
                <w:b/>
                <w:bCs/>
              </w:rPr>
              <w:t>2. TECHNICAL ASSISTANCE:</w:t>
            </w:r>
            <w:r w:rsidRPr="00791A09">
              <w:rPr>
                <w:rFonts w:ascii="Arial" w:hAnsi="Arial"/>
              </w:rPr>
              <w:t xml:space="preserve"> Cities4Forests empowers cities to operate with improved capacity to implement </w:t>
            </w:r>
            <w:proofErr w:type="spellStart"/>
            <w:r w:rsidRPr="00791A09">
              <w:rPr>
                <w:rFonts w:ascii="Arial" w:hAnsi="Arial"/>
              </w:rPr>
              <w:t>N</w:t>
            </w:r>
            <w:r>
              <w:rPr>
                <w:rFonts w:ascii="Arial" w:hAnsi="Arial"/>
              </w:rPr>
              <w:t>b</w:t>
            </w:r>
            <w:r w:rsidRPr="00791A09">
              <w:rPr>
                <w:rFonts w:ascii="Arial" w:hAnsi="Arial"/>
              </w:rPr>
              <w:t>S</w:t>
            </w:r>
            <w:proofErr w:type="spellEnd"/>
            <w:r w:rsidRPr="00791A09">
              <w:rPr>
                <w:rFonts w:ascii="Arial" w:hAnsi="Arial"/>
              </w:rPr>
              <w:t>, including improving policy/regulatory environments, utili</w:t>
            </w:r>
            <w:r>
              <w:rPr>
                <w:rFonts w:ascii="Arial" w:hAnsi="Arial"/>
              </w:rPr>
              <w:t>s</w:t>
            </w:r>
            <w:r w:rsidRPr="00791A09">
              <w:rPr>
                <w:rFonts w:ascii="Arial" w:hAnsi="Arial"/>
              </w:rPr>
              <w:t>ing new tools and methodologies, and improving ability to address social issues</w:t>
            </w:r>
            <w:r>
              <w:rPr>
                <w:rFonts w:ascii="Arial" w:hAnsi="Arial"/>
              </w:rPr>
              <w:t>.</w:t>
            </w:r>
          </w:p>
        </w:tc>
      </w:tr>
      <w:tr w:rsidR="000B1D0E" w:rsidRPr="00791A09" w14:paraId="08741044" w14:textId="77777777" w:rsidTr="001106E0">
        <w:trPr>
          <w:trHeight w:val="347"/>
        </w:trPr>
        <w:tc>
          <w:tcPr>
            <w:tcW w:w="2324"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6E880099" w14:textId="77777777" w:rsidR="000B1D0E" w:rsidRPr="00791A09" w:rsidRDefault="000B1D0E" w:rsidP="001106E0">
            <w:pPr>
              <w:tabs>
                <w:tab w:val="center" w:pos="4513"/>
                <w:tab w:val="right" w:pos="9026"/>
              </w:tabs>
              <w:spacing w:after="0"/>
              <w:rPr>
                <w:rFonts w:ascii="Arial" w:hAnsi="Arial"/>
                <w:bCs/>
              </w:rPr>
            </w:pPr>
            <w:r w:rsidRPr="00791A09">
              <w:rPr>
                <w:rFonts w:ascii="Arial" w:hAnsi="Arial"/>
                <w:bCs/>
              </w:rPr>
              <w:t xml:space="preserve">Output number: </w:t>
            </w:r>
          </w:p>
        </w:tc>
        <w:tc>
          <w:tcPr>
            <w:tcW w:w="937" w:type="dxa"/>
            <w:tcBorders>
              <w:top w:val="single" w:sz="4" w:space="0" w:color="auto"/>
              <w:left w:val="single" w:sz="4" w:space="0" w:color="auto"/>
              <w:bottom w:val="single" w:sz="4" w:space="0" w:color="auto"/>
              <w:right w:val="single" w:sz="4" w:space="0" w:color="auto"/>
            </w:tcBorders>
          </w:tcPr>
          <w:p w14:paraId="728BD55B" w14:textId="77777777" w:rsidR="000B1D0E" w:rsidRPr="00791A09" w:rsidRDefault="000B1D0E" w:rsidP="001106E0">
            <w:pPr>
              <w:tabs>
                <w:tab w:val="center" w:pos="4513"/>
                <w:tab w:val="right" w:pos="9026"/>
              </w:tabs>
              <w:spacing w:after="0"/>
              <w:rPr>
                <w:rFonts w:ascii="Arial" w:hAnsi="Arial"/>
              </w:rPr>
            </w:pPr>
            <w:r w:rsidRPr="00791A09">
              <w:rPr>
                <w:rFonts w:ascii="Arial" w:hAnsi="Arial"/>
              </w:rPr>
              <w:t>2</w:t>
            </w:r>
          </w:p>
        </w:tc>
        <w:tc>
          <w:tcPr>
            <w:tcW w:w="3283"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7984F3EC" w14:textId="77777777" w:rsidR="000B1D0E" w:rsidRPr="00791A09" w:rsidRDefault="000B1D0E" w:rsidP="001106E0">
            <w:pPr>
              <w:tabs>
                <w:tab w:val="center" w:pos="4513"/>
                <w:tab w:val="right" w:pos="9026"/>
              </w:tabs>
              <w:spacing w:after="0"/>
              <w:rPr>
                <w:rFonts w:ascii="Arial" w:hAnsi="Arial"/>
              </w:rPr>
            </w:pPr>
            <w:r w:rsidRPr="00791A09">
              <w:rPr>
                <w:rFonts w:ascii="Arial" w:hAnsi="Arial"/>
                <w:bCs/>
              </w:rPr>
              <w:t xml:space="preserve">Output Score: </w:t>
            </w:r>
          </w:p>
        </w:tc>
        <w:tc>
          <w:tcPr>
            <w:tcW w:w="2812" w:type="dxa"/>
            <w:tcBorders>
              <w:top w:val="single" w:sz="4" w:space="0" w:color="auto"/>
              <w:left w:val="single" w:sz="4" w:space="0" w:color="auto"/>
              <w:bottom w:val="single" w:sz="4" w:space="0" w:color="auto"/>
              <w:right w:val="single" w:sz="4" w:space="0" w:color="auto"/>
            </w:tcBorders>
          </w:tcPr>
          <w:p w14:paraId="7C8EAC47" w14:textId="77777777" w:rsidR="000B1D0E" w:rsidRPr="00791A09" w:rsidRDefault="000B1D0E" w:rsidP="001106E0">
            <w:pPr>
              <w:tabs>
                <w:tab w:val="center" w:pos="4513"/>
                <w:tab w:val="right" w:pos="9026"/>
              </w:tabs>
              <w:spacing w:after="0"/>
              <w:rPr>
                <w:rFonts w:ascii="Arial" w:hAnsi="Arial"/>
                <w:iCs/>
              </w:rPr>
            </w:pPr>
            <w:r w:rsidRPr="00791A09">
              <w:rPr>
                <w:rFonts w:ascii="Arial" w:hAnsi="Arial"/>
                <w:iCs/>
              </w:rPr>
              <w:t>A</w:t>
            </w:r>
          </w:p>
        </w:tc>
      </w:tr>
      <w:tr w:rsidR="000B1D0E" w:rsidRPr="00791A09" w14:paraId="196CCD19" w14:textId="77777777" w:rsidTr="001106E0">
        <w:trPr>
          <w:trHeight w:val="345"/>
        </w:trPr>
        <w:tc>
          <w:tcPr>
            <w:tcW w:w="2324"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67A0A68A" w14:textId="77777777" w:rsidR="000B1D0E" w:rsidRPr="00791A09" w:rsidRDefault="000B1D0E" w:rsidP="001106E0">
            <w:pPr>
              <w:tabs>
                <w:tab w:val="center" w:pos="4513"/>
                <w:tab w:val="right" w:pos="9026"/>
              </w:tabs>
              <w:spacing w:after="0"/>
              <w:rPr>
                <w:rFonts w:ascii="Arial" w:hAnsi="Arial"/>
              </w:rPr>
            </w:pPr>
            <w:r w:rsidRPr="00791A09">
              <w:rPr>
                <w:rFonts w:ascii="Arial" w:hAnsi="Arial"/>
                <w:bCs/>
              </w:rPr>
              <w:t xml:space="preserve">Impact weighting (%):  </w:t>
            </w:r>
          </w:p>
        </w:tc>
        <w:tc>
          <w:tcPr>
            <w:tcW w:w="937" w:type="dxa"/>
            <w:tcBorders>
              <w:top w:val="single" w:sz="4" w:space="0" w:color="auto"/>
              <w:left w:val="single" w:sz="4" w:space="0" w:color="auto"/>
              <w:bottom w:val="single" w:sz="4" w:space="0" w:color="auto"/>
              <w:right w:val="single" w:sz="4" w:space="0" w:color="auto"/>
            </w:tcBorders>
            <w:hideMark/>
          </w:tcPr>
          <w:p w14:paraId="1921F1EC" w14:textId="77777777" w:rsidR="000B1D0E" w:rsidRPr="00791A09" w:rsidRDefault="000B1D0E" w:rsidP="001106E0">
            <w:pPr>
              <w:tabs>
                <w:tab w:val="center" w:pos="4513"/>
                <w:tab w:val="right" w:pos="9026"/>
              </w:tabs>
              <w:spacing w:after="0"/>
              <w:rPr>
                <w:rFonts w:ascii="Arial" w:hAnsi="Arial"/>
                <w:bCs/>
              </w:rPr>
            </w:pPr>
            <w:r w:rsidRPr="00791A09">
              <w:rPr>
                <w:rFonts w:ascii="Arial" w:hAnsi="Arial"/>
                <w:bCs/>
              </w:rPr>
              <w:t>40%</w:t>
            </w:r>
          </w:p>
        </w:tc>
        <w:tc>
          <w:tcPr>
            <w:tcW w:w="3283"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464AB2E4" w14:textId="77777777" w:rsidR="000B1D0E" w:rsidRPr="00791A09" w:rsidRDefault="000B1D0E" w:rsidP="001106E0">
            <w:pPr>
              <w:tabs>
                <w:tab w:val="center" w:pos="4513"/>
                <w:tab w:val="right" w:pos="9026"/>
              </w:tabs>
              <w:spacing w:after="0"/>
              <w:rPr>
                <w:rFonts w:ascii="Arial" w:hAnsi="Arial"/>
                <w:bCs/>
              </w:rPr>
            </w:pPr>
            <w:r w:rsidRPr="00791A09">
              <w:rPr>
                <w:rFonts w:ascii="Arial" w:hAnsi="Arial"/>
                <w:bCs/>
              </w:rPr>
              <w:t xml:space="preserve">Weighting revised since last </w:t>
            </w:r>
            <w:proofErr w:type="gramStart"/>
            <w:r w:rsidRPr="00791A09">
              <w:rPr>
                <w:rFonts w:ascii="Arial" w:hAnsi="Arial"/>
                <w:bCs/>
              </w:rPr>
              <w:t>AR?</w:t>
            </w:r>
            <w:proofErr w:type="gramEnd"/>
            <w:r w:rsidRPr="00791A09">
              <w:rPr>
                <w:rFonts w:ascii="Arial" w:hAnsi="Arial"/>
                <w:bCs/>
              </w:rPr>
              <w:t xml:space="preserve"> </w:t>
            </w:r>
          </w:p>
        </w:tc>
        <w:tc>
          <w:tcPr>
            <w:tcW w:w="2812" w:type="dxa"/>
            <w:tcBorders>
              <w:top w:val="single" w:sz="4" w:space="0" w:color="auto"/>
              <w:left w:val="single" w:sz="4" w:space="0" w:color="auto"/>
              <w:bottom w:val="single" w:sz="4" w:space="0" w:color="auto"/>
              <w:right w:val="single" w:sz="4" w:space="0" w:color="auto"/>
            </w:tcBorders>
          </w:tcPr>
          <w:p w14:paraId="3ABDAB99" w14:textId="77777777" w:rsidR="000B1D0E" w:rsidRPr="00791A09" w:rsidRDefault="000B1D0E" w:rsidP="001106E0">
            <w:pPr>
              <w:tabs>
                <w:tab w:val="center" w:pos="4513"/>
                <w:tab w:val="right" w:pos="9026"/>
              </w:tabs>
              <w:spacing w:after="0"/>
              <w:rPr>
                <w:rFonts w:ascii="Arial" w:hAnsi="Arial"/>
                <w:bCs/>
              </w:rPr>
            </w:pPr>
            <w:r w:rsidRPr="00791A09">
              <w:rPr>
                <w:rFonts w:ascii="Arial" w:hAnsi="Arial"/>
                <w:bCs/>
              </w:rPr>
              <w:t>No</w:t>
            </w:r>
          </w:p>
        </w:tc>
      </w:tr>
    </w:tbl>
    <w:p w14:paraId="7E04FA9D" w14:textId="77777777" w:rsidR="000B1D0E" w:rsidRPr="00791A09" w:rsidRDefault="000B1D0E" w:rsidP="000B1D0E">
      <w:pPr>
        <w:spacing w:after="0" w:line="240" w:lineRule="auto"/>
        <w:rPr>
          <w:rFonts w:ascii="Arial" w:eastAsia="Times New Roman" w:hAnsi="Arial" w:cs="Times New Roman"/>
          <w:b/>
          <w:sz w:val="20"/>
          <w:szCs w:val="20"/>
        </w:rPr>
      </w:pPr>
    </w:p>
    <w:tbl>
      <w:tblPr>
        <w:tblStyle w:val="TableGrid"/>
        <w:tblpPr w:leftFromText="180" w:rightFromText="180" w:vertAnchor="text" w:horzAnchor="page" w:tblpX="1325" w:tblpY="-10"/>
        <w:tblOverlap w:val="never"/>
        <w:tblW w:w="9351" w:type="dxa"/>
        <w:tblLook w:val="04A0" w:firstRow="1" w:lastRow="0" w:firstColumn="1" w:lastColumn="0" w:noHBand="0" w:noVBand="1"/>
      </w:tblPr>
      <w:tblGrid>
        <w:gridCol w:w="1564"/>
        <w:gridCol w:w="1692"/>
        <w:gridCol w:w="4252"/>
        <w:gridCol w:w="1843"/>
      </w:tblGrid>
      <w:tr w:rsidR="000B1D0E" w:rsidRPr="00791A09" w14:paraId="6AAFE4C9" w14:textId="77777777" w:rsidTr="001106E0">
        <w:trPr>
          <w:trHeight w:val="273"/>
        </w:trPr>
        <w:tc>
          <w:tcPr>
            <w:tcW w:w="1564"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200F64A1" w14:textId="77777777" w:rsidR="000B1D0E" w:rsidRPr="00791A09" w:rsidRDefault="000B1D0E" w:rsidP="001106E0">
            <w:pPr>
              <w:tabs>
                <w:tab w:val="center" w:pos="4513"/>
                <w:tab w:val="right" w:pos="9026"/>
              </w:tabs>
              <w:spacing w:after="0"/>
              <w:rPr>
                <w:rFonts w:ascii="Arial" w:hAnsi="Arial"/>
                <w:b/>
                <w:bCs/>
              </w:rPr>
            </w:pPr>
            <w:r w:rsidRPr="00791A09">
              <w:rPr>
                <w:rFonts w:ascii="Arial" w:hAnsi="Arial"/>
                <w:b/>
                <w:bCs/>
              </w:rPr>
              <w:t>Indicator(s)</w:t>
            </w:r>
          </w:p>
        </w:tc>
        <w:tc>
          <w:tcPr>
            <w:tcW w:w="1692"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09943741" w14:textId="77777777" w:rsidR="000B1D0E" w:rsidRPr="00791A09" w:rsidRDefault="000B1D0E" w:rsidP="001106E0">
            <w:pPr>
              <w:tabs>
                <w:tab w:val="center" w:pos="4513"/>
                <w:tab w:val="right" w:pos="9026"/>
              </w:tabs>
              <w:spacing w:after="0"/>
              <w:rPr>
                <w:rFonts w:ascii="Arial" w:hAnsi="Arial"/>
                <w:b/>
                <w:bCs/>
              </w:rPr>
            </w:pPr>
            <w:r w:rsidRPr="00791A09">
              <w:rPr>
                <w:rFonts w:ascii="Arial" w:hAnsi="Arial"/>
                <w:b/>
                <w:bCs/>
              </w:rPr>
              <w:t>Milestone 2023</w:t>
            </w:r>
            <w:r w:rsidRPr="00791A09">
              <w:rPr>
                <w:rStyle w:val="FootnoteReference"/>
                <w:rFonts w:ascii="Arial" w:hAnsi="Arial"/>
                <w:b/>
                <w:bCs/>
              </w:rPr>
              <w:footnoteReference w:id="5"/>
            </w:r>
          </w:p>
        </w:tc>
        <w:tc>
          <w:tcPr>
            <w:tcW w:w="4252"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16186606" w14:textId="77777777" w:rsidR="000B1D0E" w:rsidRPr="00791A09" w:rsidRDefault="000B1D0E" w:rsidP="001106E0">
            <w:pPr>
              <w:tabs>
                <w:tab w:val="center" w:pos="4513"/>
                <w:tab w:val="right" w:pos="9026"/>
              </w:tabs>
              <w:spacing w:after="0"/>
              <w:rPr>
                <w:rFonts w:ascii="Arial" w:hAnsi="Arial"/>
                <w:b/>
                <w:bCs/>
              </w:rPr>
            </w:pPr>
            <w:r w:rsidRPr="00791A09">
              <w:rPr>
                <w:rFonts w:ascii="Arial" w:hAnsi="Arial"/>
                <w:b/>
                <w:bCs/>
              </w:rPr>
              <w:t>Progress summary for this review</w:t>
            </w:r>
          </w:p>
        </w:tc>
        <w:tc>
          <w:tcPr>
            <w:tcW w:w="184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10EAA81" w14:textId="77777777" w:rsidR="000B1D0E" w:rsidRPr="00791A09" w:rsidRDefault="000B1D0E" w:rsidP="001106E0">
            <w:pPr>
              <w:tabs>
                <w:tab w:val="center" w:pos="4513"/>
                <w:tab w:val="right" w:pos="9026"/>
              </w:tabs>
              <w:spacing w:after="0"/>
              <w:rPr>
                <w:rFonts w:ascii="Arial" w:hAnsi="Arial"/>
                <w:b/>
                <w:bCs/>
              </w:rPr>
            </w:pPr>
            <w:r w:rsidRPr="00791A09">
              <w:rPr>
                <w:rFonts w:ascii="Arial" w:hAnsi="Arial"/>
                <w:b/>
                <w:bCs/>
              </w:rPr>
              <w:t>Score</w:t>
            </w:r>
          </w:p>
        </w:tc>
      </w:tr>
      <w:tr w:rsidR="000B1D0E" w:rsidRPr="00791A09" w14:paraId="1CCD11AC" w14:textId="77777777" w:rsidTr="001106E0">
        <w:tc>
          <w:tcPr>
            <w:tcW w:w="1564" w:type="dxa"/>
            <w:tcBorders>
              <w:top w:val="single" w:sz="4" w:space="0" w:color="auto"/>
              <w:left w:val="single" w:sz="4" w:space="0" w:color="auto"/>
              <w:bottom w:val="single" w:sz="4" w:space="0" w:color="auto"/>
              <w:right w:val="single" w:sz="4" w:space="0" w:color="auto"/>
            </w:tcBorders>
          </w:tcPr>
          <w:p w14:paraId="78E8EF9F" w14:textId="77777777" w:rsidR="000B1D0E" w:rsidRPr="00791A09" w:rsidRDefault="000B1D0E" w:rsidP="001106E0">
            <w:pPr>
              <w:tabs>
                <w:tab w:val="center" w:pos="4513"/>
                <w:tab w:val="right" w:pos="9026"/>
              </w:tabs>
              <w:spacing w:after="0"/>
              <w:rPr>
                <w:rFonts w:ascii="Arial" w:hAnsi="Arial"/>
                <w:bCs/>
              </w:rPr>
            </w:pPr>
            <w:proofErr w:type="gramStart"/>
            <w:r w:rsidRPr="00791A09">
              <w:rPr>
                <w:rFonts w:ascii="Arial" w:hAnsi="Arial"/>
                <w:bCs/>
              </w:rPr>
              <w:t xml:space="preserve">2.1 </w:t>
            </w:r>
            <w:r w:rsidRPr="00791A09">
              <w:rPr>
                <w:rFonts w:ascii="Arial" w:hAnsi="Arial"/>
              </w:rPr>
              <w:t xml:space="preserve"> </w:t>
            </w:r>
            <w:r w:rsidRPr="00791A09">
              <w:rPr>
                <w:rFonts w:ascii="Arial" w:hAnsi="Arial"/>
                <w:bCs/>
              </w:rPr>
              <w:t>Number</w:t>
            </w:r>
            <w:proofErr w:type="gramEnd"/>
            <w:r w:rsidRPr="00791A09">
              <w:rPr>
                <w:rFonts w:ascii="Arial" w:hAnsi="Arial"/>
                <w:bCs/>
              </w:rPr>
              <w:t xml:space="preserve"> of cities designing / implementing new or improved </w:t>
            </w:r>
            <w:proofErr w:type="spellStart"/>
            <w:r w:rsidRPr="00791A09">
              <w:rPr>
                <w:rFonts w:ascii="Arial" w:hAnsi="Arial"/>
                <w:bCs/>
              </w:rPr>
              <w:t>N</w:t>
            </w:r>
            <w:r>
              <w:rPr>
                <w:rFonts w:ascii="Arial" w:hAnsi="Arial"/>
                <w:bCs/>
              </w:rPr>
              <w:t>b</w:t>
            </w:r>
            <w:r w:rsidRPr="00791A09">
              <w:rPr>
                <w:rFonts w:ascii="Arial" w:hAnsi="Arial"/>
                <w:bCs/>
              </w:rPr>
              <w:t>S</w:t>
            </w:r>
            <w:proofErr w:type="spellEnd"/>
            <w:r w:rsidRPr="00791A09">
              <w:rPr>
                <w:rFonts w:ascii="Arial" w:hAnsi="Arial"/>
                <w:bCs/>
              </w:rPr>
              <w:t xml:space="preserve"> programs as a result of Cities4Forests support</w:t>
            </w:r>
          </w:p>
        </w:tc>
        <w:tc>
          <w:tcPr>
            <w:tcW w:w="1692" w:type="dxa"/>
            <w:tcBorders>
              <w:top w:val="single" w:sz="4" w:space="0" w:color="auto"/>
              <w:left w:val="single" w:sz="4" w:space="0" w:color="auto"/>
              <w:bottom w:val="single" w:sz="4" w:space="0" w:color="auto"/>
              <w:right w:val="single" w:sz="4" w:space="0" w:color="auto"/>
            </w:tcBorders>
          </w:tcPr>
          <w:p w14:paraId="1B3DA997" w14:textId="77777777" w:rsidR="000B1D0E" w:rsidRPr="00791A09" w:rsidRDefault="000B1D0E" w:rsidP="001106E0">
            <w:pPr>
              <w:tabs>
                <w:tab w:val="center" w:pos="4513"/>
                <w:tab w:val="right" w:pos="9026"/>
              </w:tabs>
              <w:spacing w:after="0"/>
              <w:rPr>
                <w:rFonts w:ascii="Arial" w:hAnsi="Arial"/>
                <w:bCs/>
              </w:rPr>
            </w:pPr>
            <w:r w:rsidRPr="00791A09">
              <w:rPr>
                <w:rFonts w:ascii="Arial" w:hAnsi="Arial"/>
                <w:bCs/>
              </w:rPr>
              <w:t>15</w:t>
            </w:r>
          </w:p>
        </w:tc>
        <w:tc>
          <w:tcPr>
            <w:tcW w:w="4252" w:type="dxa"/>
            <w:tcBorders>
              <w:top w:val="single" w:sz="4" w:space="0" w:color="auto"/>
              <w:left w:val="single" w:sz="4" w:space="0" w:color="auto"/>
              <w:bottom w:val="single" w:sz="4" w:space="0" w:color="auto"/>
              <w:right w:val="single" w:sz="4" w:space="0" w:color="auto"/>
            </w:tcBorders>
          </w:tcPr>
          <w:p w14:paraId="279FBF07" w14:textId="77777777" w:rsidR="000B1D0E" w:rsidRDefault="000B1D0E" w:rsidP="001106E0">
            <w:pPr>
              <w:tabs>
                <w:tab w:val="center" w:pos="4513"/>
                <w:tab w:val="right" w:pos="9026"/>
              </w:tabs>
              <w:spacing w:after="0"/>
              <w:rPr>
                <w:rFonts w:ascii="Arial" w:hAnsi="Arial"/>
              </w:rPr>
            </w:pPr>
            <w:r w:rsidRPr="00B16C23">
              <w:rPr>
                <w:rFonts w:ascii="Arial" w:hAnsi="Arial"/>
              </w:rPr>
              <w:t xml:space="preserve">Cities4Forests has provided deep-dive technical </w:t>
            </w:r>
            <w:r w:rsidRPr="002C7FC2">
              <w:rPr>
                <w:rFonts w:ascii="Arial" w:hAnsi="Arial"/>
                <w:b/>
              </w:rPr>
              <w:t>support to 56 cities</w:t>
            </w:r>
            <w:r w:rsidRPr="00B16C23">
              <w:rPr>
                <w:rFonts w:ascii="Arial" w:hAnsi="Arial"/>
              </w:rPr>
              <w:t xml:space="preserve"> across key geographies to improve their capacity for </w:t>
            </w:r>
            <w:proofErr w:type="spellStart"/>
            <w:r w:rsidRPr="00B16C23">
              <w:rPr>
                <w:rFonts w:ascii="Arial" w:hAnsi="Arial"/>
              </w:rPr>
              <w:t>N</w:t>
            </w:r>
            <w:r>
              <w:rPr>
                <w:rFonts w:ascii="Arial" w:hAnsi="Arial"/>
              </w:rPr>
              <w:t>b</w:t>
            </w:r>
            <w:r w:rsidRPr="00B16C23">
              <w:rPr>
                <w:rFonts w:ascii="Arial" w:hAnsi="Arial"/>
              </w:rPr>
              <w:t>S</w:t>
            </w:r>
            <w:proofErr w:type="spellEnd"/>
            <w:r w:rsidRPr="00B16C23">
              <w:rPr>
                <w:rFonts w:ascii="Arial" w:hAnsi="Arial"/>
              </w:rPr>
              <w:t xml:space="preserve"> implementation, their baseline assessments, and policy/regulatory environments towards first-of-their-kind </w:t>
            </w:r>
            <w:proofErr w:type="spellStart"/>
            <w:r w:rsidRPr="00B16C23">
              <w:rPr>
                <w:rFonts w:ascii="Arial" w:hAnsi="Arial"/>
              </w:rPr>
              <w:t>NbS</w:t>
            </w:r>
            <w:proofErr w:type="spellEnd"/>
            <w:r w:rsidRPr="00B16C23">
              <w:rPr>
                <w:rFonts w:ascii="Arial" w:hAnsi="Arial"/>
              </w:rPr>
              <w:t xml:space="preserve"> outcomes. In addition, Cities4Forests </w:t>
            </w:r>
            <w:proofErr w:type="gramStart"/>
            <w:r w:rsidRPr="00B16C23">
              <w:rPr>
                <w:rFonts w:ascii="Arial" w:hAnsi="Arial"/>
              </w:rPr>
              <w:t>provid</w:t>
            </w:r>
            <w:r>
              <w:rPr>
                <w:rFonts w:ascii="Arial" w:hAnsi="Arial"/>
              </w:rPr>
              <w:t xml:space="preserve">ed </w:t>
            </w:r>
            <w:r w:rsidRPr="00B16C23">
              <w:rPr>
                <w:rFonts w:ascii="Arial" w:hAnsi="Arial"/>
              </w:rPr>
              <w:t>assistance</w:t>
            </w:r>
            <w:proofErr w:type="gramEnd"/>
            <w:r w:rsidRPr="00B16C23">
              <w:rPr>
                <w:rFonts w:ascii="Arial" w:hAnsi="Arial"/>
              </w:rPr>
              <w:t xml:space="preserve"> on advancing gender and social equity goals.</w:t>
            </w:r>
          </w:p>
          <w:p w14:paraId="367039B9" w14:textId="77777777" w:rsidR="000B1D0E" w:rsidRPr="00791A09" w:rsidRDefault="000B1D0E" w:rsidP="001106E0">
            <w:pPr>
              <w:tabs>
                <w:tab w:val="center" w:pos="4513"/>
                <w:tab w:val="right" w:pos="9026"/>
              </w:tabs>
              <w:spacing w:after="0"/>
              <w:rPr>
                <w:rFonts w:ascii="Arial" w:hAnsi="Arial"/>
              </w:rPr>
            </w:pPr>
          </w:p>
        </w:tc>
        <w:tc>
          <w:tcPr>
            <w:tcW w:w="1843" w:type="dxa"/>
            <w:tcBorders>
              <w:top w:val="single" w:sz="4" w:space="0" w:color="auto"/>
              <w:left w:val="single" w:sz="4" w:space="0" w:color="auto"/>
              <w:bottom w:val="single" w:sz="4" w:space="0" w:color="auto"/>
              <w:right w:val="single" w:sz="4" w:space="0" w:color="auto"/>
            </w:tcBorders>
          </w:tcPr>
          <w:p w14:paraId="0A63414E" w14:textId="77777777" w:rsidR="000B1D0E" w:rsidRPr="00791A09" w:rsidRDefault="000B1D0E" w:rsidP="001106E0">
            <w:pPr>
              <w:tabs>
                <w:tab w:val="center" w:pos="4513"/>
                <w:tab w:val="right" w:pos="9026"/>
              </w:tabs>
              <w:spacing w:after="0"/>
              <w:rPr>
                <w:rFonts w:ascii="Arial" w:hAnsi="Arial"/>
                <w:bCs/>
              </w:rPr>
            </w:pPr>
            <w:r>
              <w:rPr>
                <w:rFonts w:ascii="Arial" w:hAnsi="Arial"/>
                <w:bCs/>
              </w:rPr>
              <w:t>A+</w:t>
            </w:r>
          </w:p>
        </w:tc>
      </w:tr>
      <w:tr w:rsidR="000B1D0E" w:rsidRPr="00791A09" w14:paraId="1671BBD1" w14:textId="77777777" w:rsidTr="001106E0">
        <w:tc>
          <w:tcPr>
            <w:tcW w:w="1564" w:type="dxa"/>
            <w:tcBorders>
              <w:top w:val="single" w:sz="4" w:space="0" w:color="auto"/>
              <w:left w:val="single" w:sz="4" w:space="0" w:color="auto"/>
              <w:bottom w:val="single" w:sz="4" w:space="0" w:color="auto"/>
              <w:right w:val="single" w:sz="4" w:space="0" w:color="auto"/>
            </w:tcBorders>
          </w:tcPr>
          <w:p w14:paraId="022BC024" w14:textId="77777777" w:rsidR="000B1D0E" w:rsidRPr="00791A09" w:rsidRDefault="000B1D0E" w:rsidP="001106E0">
            <w:pPr>
              <w:tabs>
                <w:tab w:val="center" w:pos="4513"/>
                <w:tab w:val="right" w:pos="9026"/>
              </w:tabs>
              <w:spacing w:after="0"/>
              <w:rPr>
                <w:rFonts w:ascii="Arial" w:hAnsi="Arial"/>
                <w:bCs/>
              </w:rPr>
            </w:pPr>
            <w:proofErr w:type="gramStart"/>
            <w:r w:rsidRPr="00791A09">
              <w:rPr>
                <w:rFonts w:ascii="Arial" w:hAnsi="Arial"/>
                <w:bCs/>
              </w:rPr>
              <w:t xml:space="preserve">2.2 </w:t>
            </w:r>
            <w:r w:rsidRPr="00791A09">
              <w:rPr>
                <w:rFonts w:ascii="Arial" w:hAnsi="Arial"/>
              </w:rPr>
              <w:t xml:space="preserve"> </w:t>
            </w:r>
            <w:r w:rsidRPr="00791A09">
              <w:rPr>
                <w:rFonts w:ascii="Arial" w:hAnsi="Arial"/>
                <w:bCs/>
              </w:rPr>
              <w:t>Number</w:t>
            </w:r>
            <w:proofErr w:type="gramEnd"/>
            <w:r w:rsidRPr="00791A09">
              <w:rPr>
                <w:rFonts w:ascii="Arial" w:hAnsi="Arial"/>
                <w:bCs/>
              </w:rPr>
              <w:t xml:space="preserve"> of new technical tools developed, curated, or applied by Cities4Forests that strengthen city capacity to implement </w:t>
            </w:r>
            <w:proofErr w:type="spellStart"/>
            <w:r w:rsidRPr="00791A09">
              <w:rPr>
                <w:rFonts w:ascii="Arial" w:hAnsi="Arial"/>
                <w:bCs/>
              </w:rPr>
              <w:t>N</w:t>
            </w:r>
            <w:r>
              <w:rPr>
                <w:rFonts w:ascii="Arial" w:hAnsi="Arial"/>
                <w:bCs/>
              </w:rPr>
              <w:t>b</w:t>
            </w:r>
            <w:r w:rsidRPr="00791A09">
              <w:rPr>
                <w:rFonts w:ascii="Arial" w:hAnsi="Arial"/>
                <w:bCs/>
              </w:rPr>
              <w:t>S</w:t>
            </w:r>
            <w:proofErr w:type="spellEnd"/>
            <w:r w:rsidRPr="00791A09">
              <w:rPr>
                <w:rFonts w:ascii="Arial" w:hAnsi="Arial"/>
                <w:bCs/>
              </w:rPr>
              <w:t xml:space="preserve">   </w:t>
            </w:r>
          </w:p>
        </w:tc>
        <w:tc>
          <w:tcPr>
            <w:tcW w:w="1692" w:type="dxa"/>
            <w:tcBorders>
              <w:top w:val="single" w:sz="4" w:space="0" w:color="auto"/>
              <w:left w:val="single" w:sz="4" w:space="0" w:color="auto"/>
              <w:bottom w:val="single" w:sz="4" w:space="0" w:color="auto"/>
              <w:right w:val="single" w:sz="4" w:space="0" w:color="auto"/>
            </w:tcBorders>
          </w:tcPr>
          <w:p w14:paraId="6376D195" w14:textId="77777777" w:rsidR="000B1D0E" w:rsidRPr="00791A09" w:rsidRDefault="000B1D0E" w:rsidP="001106E0">
            <w:pPr>
              <w:tabs>
                <w:tab w:val="center" w:pos="4513"/>
                <w:tab w:val="right" w:pos="9026"/>
              </w:tabs>
              <w:spacing w:after="0"/>
              <w:rPr>
                <w:rFonts w:ascii="Arial" w:hAnsi="Arial"/>
              </w:rPr>
            </w:pPr>
            <w:r w:rsidRPr="00791A09">
              <w:rPr>
                <w:rFonts w:ascii="Arial" w:hAnsi="Arial"/>
              </w:rPr>
              <w:t>4</w:t>
            </w:r>
          </w:p>
        </w:tc>
        <w:tc>
          <w:tcPr>
            <w:tcW w:w="4252" w:type="dxa"/>
            <w:tcBorders>
              <w:top w:val="single" w:sz="4" w:space="0" w:color="auto"/>
              <w:left w:val="single" w:sz="4" w:space="0" w:color="auto"/>
              <w:bottom w:val="single" w:sz="4" w:space="0" w:color="auto"/>
              <w:right w:val="single" w:sz="4" w:space="0" w:color="auto"/>
            </w:tcBorders>
          </w:tcPr>
          <w:p w14:paraId="60533D49" w14:textId="77777777" w:rsidR="000B1D0E" w:rsidRPr="00791A09" w:rsidRDefault="000B1D0E" w:rsidP="001106E0">
            <w:pPr>
              <w:rPr>
                <w:rFonts w:ascii="Arial" w:hAnsi="Arial"/>
              </w:rPr>
            </w:pPr>
            <w:r w:rsidRPr="00791A09">
              <w:rPr>
                <w:rFonts w:ascii="Arial" w:hAnsi="Arial"/>
              </w:rPr>
              <w:t xml:space="preserve">Cities4Forests has produced </w:t>
            </w:r>
            <w:r w:rsidRPr="00791A09">
              <w:rPr>
                <w:rFonts w:ascii="Arial" w:hAnsi="Arial"/>
                <w:b/>
                <w:bCs/>
              </w:rPr>
              <w:t>4 first-of-their-kind technical tools</w:t>
            </w:r>
            <w:r w:rsidRPr="00791A09">
              <w:rPr>
                <w:rFonts w:ascii="Arial" w:hAnsi="Arial"/>
              </w:rPr>
              <w:t xml:space="preserve"> to empower cities across multiple geographies and local contexts to implement </w:t>
            </w:r>
            <w:proofErr w:type="spellStart"/>
            <w:r w:rsidRPr="00791A09">
              <w:rPr>
                <w:rFonts w:ascii="Arial" w:hAnsi="Arial"/>
              </w:rPr>
              <w:t>N</w:t>
            </w:r>
            <w:r>
              <w:rPr>
                <w:rFonts w:ascii="Arial" w:hAnsi="Arial"/>
              </w:rPr>
              <w:t>b</w:t>
            </w:r>
            <w:r w:rsidRPr="00791A09">
              <w:rPr>
                <w:rFonts w:ascii="Arial" w:hAnsi="Arial"/>
              </w:rPr>
              <w:t>S</w:t>
            </w:r>
            <w:proofErr w:type="spellEnd"/>
            <w:r w:rsidRPr="00791A09">
              <w:rPr>
                <w:rFonts w:ascii="Arial" w:hAnsi="Arial"/>
              </w:rPr>
              <w:t xml:space="preserve">. </w:t>
            </w:r>
          </w:p>
        </w:tc>
        <w:tc>
          <w:tcPr>
            <w:tcW w:w="1843" w:type="dxa"/>
            <w:tcBorders>
              <w:top w:val="single" w:sz="4" w:space="0" w:color="auto"/>
              <w:left w:val="single" w:sz="4" w:space="0" w:color="auto"/>
              <w:bottom w:val="single" w:sz="4" w:space="0" w:color="auto"/>
              <w:right w:val="single" w:sz="4" w:space="0" w:color="auto"/>
            </w:tcBorders>
          </w:tcPr>
          <w:p w14:paraId="74630989" w14:textId="77777777" w:rsidR="000B1D0E" w:rsidRPr="00791A09" w:rsidRDefault="000B1D0E" w:rsidP="001106E0">
            <w:pPr>
              <w:tabs>
                <w:tab w:val="center" w:pos="4513"/>
                <w:tab w:val="right" w:pos="9026"/>
              </w:tabs>
              <w:spacing w:after="0"/>
              <w:rPr>
                <w:rFonts w:ascii="Arial" w:hAnsi="Arial"/>
                <w:bCs/>
              </w:rPr>
            </w:pPr>
            <w:r>
              <w:rPr>
                <w:rFonts w:ascii="Arial" w:hAnsi="Arial"/>
                <w:bCs/>
              </w:rPr>
              <w:t>A</w:t>
            </w:r>
          </w:p>
        </w:tc>
      </w:tr>
    </w:tbl>
    <w:p w14:paraId="243EFBE5" w14:textId="77777777" w:rsidR="000B1D0E" w:rsidRPr="00791A09" w:rsidRDefault="000B1D0E" w:rsidP="000B1D0E">
      <w:pPr>
        <w:spacing w:after="0" w:line="240" w:lineRule="auto"/>
        <w:jc w:val="both"/>
        <w:rPr>
          <w:rFonts w:ascii="Arial" w:eastAsia="Times New Roman" w:hAnsi="Arial" w:cs="Arial"/>
          <w:b/>
          <w:bCs/>
          <w:sz w:val="20"/>
          <w:szCs w:val="20"/>
        </w:rPr>
      </w:pPr>
    </w:p>
    <w:p w14:paraId="1F525829" w14:textId="77777777" w:rsidR="000B1D0E" w:rsidRPr="00791A09" w:rsidRDefault="000B1D0E" w:rsidP="000B1D0E">
      <w:pPr>
        <w:spacing w:after="0" w:line="240" w:lineRule="auto"/>
        <w:jc w:val="both"/>
        <w:rPr>
          <w:rFonts w:ascii="Arial" w:eastAsia="Times New Roman" w:hAnsi="Arial" w:cs="Arial"/>
          <w:sz w:val="20"/>
          <w:szCs w:val="20"/>
        </w:rPr>
      </w:pPr>
      <w:r w:rsidRPr="00791A09">
        <w:rPr>
          <w:rFonts w:ascii="Arial" w:eastAsia="Times New Roman" w:hAnsi="Arial" w:cs="Arial"/>
          <w:b/>
          <w:bCs/>
          <w:sz w:val="20"/>
          <w:szCs w:val="20"/>
        </w:rPr>
        <w:t xml:space="preserve">Briefly describe the output’s activities and provide supporting narrative for the </w:t>
      </w:r>
      <w:proofErr w:type="gramStart"/>
      <w:r w:rsidRPr="00791A09">
        <w:rPr>
          <w:rFonts w:ascii="Arial" w:eastAsia="Times New Roman" w:hAnsi="Arial" w:cs="Arial"/>
          <w:b/>
          <w:bCs/>
          <w:sz w:val="20"/>
          <w:szCs w:val="20"/>
        </w:rPr>
        <w:t>score</w:t>
      </w:r>
      <w:proofErr w:type="gramEnd"/>
    </w:p>
    <w:p w14:paraId="350CD9D0" w14:textId="77777777" w:rsidR="000B1D0E" w:rsidRPr="00791A09" w:rsidRDefault="000B1D0E" w:rsidP="000B1D0E">
      <w:pPr>
        <w:spacing w:after="0" w:line="240" w:lineRule="auto"/>
        <w:jc w:val="both"/>
        <w:rPr>
          <w:rFonts w:ascii="Arial" w:eastAsia="Times New Roman" w:hAnsi="Arial" w:cs="Arial"/>
          <w:sz w:val="20"/>
          <w:szCs w:val="20"/>
        </w:rPr>
      </w:pPr>
    </w:p>
    <w:p w14:paraId="490CCDE3" w14:textId="77777777" w:rsidR="000B1D0E" w:rsidRPr="00791A09" w:rsidRDefault="000B1D0E" w:rsidP="000B1D0E">
      <w:pPr>
        <w:spacing w:after="0" w:line="240" w:lineRule="auto"/>
        <w:jc w:val="both"/>
        <w:rPr>
          <w:rFonts w:ascii="Arial" w:eastAsia="Times New Roman" w:hAnsi="Arial" w:cs="Arial"/>
          <w:sz w:val="20"/>
          <w:szCs w:val="20"/>
        </w:rPr>
      </w:pPr>
      <w:r w:rsidRPr="00791A09">
        <w:rPr>
          <w:rFonts w:ascii="Arial" w:eastAsia="Times New Roman" w:hAnsi="Arial" w:cs="Arial"/>
          <w:sz w:val="20"/>
          <w:szCs w:val="20"/>
        </w:rPr>
        <w:t xml:space="preserve">Ninety-one cities around the world have joined Cities4Forests and they have been successfully recruiting and engaging additional cities in priority geographies, including 13 new members in this review period. With deep-dive technical support provided to </w:t>
      </w:r>
      <w:r>
        <w:rPr>
          <w:rFonts w:ascii="Arial" w:eastAsia="Times New Roman" w:hAnsi="Arial" w:cs="Arial"/>
          <w:sz w:val="20"/>
          <w:szCs w:val="20"/>
        </w:rPr>
        <w:t>56</w:t>
      </w:r>
      <w:r w:rsidRPr="00791A09">
        <w:rPr>
          <w:rFonts w:ascii="Arial" w:eastAsia="Times New Roman" w:hAnsi="Arial" w:cs="Arial"/>
          <w:sz w:val="20"/>
          <w:szCs w:val="20"/>
        </w:rPr>
        <w:t xml:space="preserve"> cities in this period, there are a range of examples of Cities4Forests empowering cities to design and implement new </w:t>
      </w:r>
      <w:proofErr w:type="spellStart"/>
      <w:r w:rsidRPr="00791A09">
        <w:rPr>
          <w:rFonts w:ascii="Arial" w:eastAsia="Times New Roman" w:hAnsi="Arial" w:cs="Arial"/>
          <w:sz w:val="20"/>
          <w:szCs w:val="20"/>
        </w:rPr>
        <w:t>NbS</w:t>
      </w:r>
      <w:proofErr w:type="spellEnd"/>
      <w:r w:rsidRPr="00791A09">
        <w:rPr>
          <w:rFonts w:ascii="Arial" w:eastAsia="Times New Roman" w:hAnsi="Arial" w:cs="Arial"/>
          <w:sz w:val="20"/>
          <w:szCs w:val="20"/>
        </w:rPr>
        <w:t xml:space="preserve"> programmes. For example: </w:t>
      </w:r>
    </w:p>
    <w:p w14:paraId="0B4368B1" w14:textId="77777777" w:rsidR="000B1D0E" w:rsidRPr="00791A09" w:rsidRDefault="000B1D0E" w:rsidP="000B1D0E">
      <w:pPr>
        <w:spacing w:after="0" w:line="240" w:lineRule="auto"/>
        <w:jc w:val="both"/>
        <w:rPr>
          <w:rFonts w:ascii="Arial" w:eastAsia="Times New Roman" w:hAnsi="Arial" w:cs="Arial"/>
          <w:sz w:val="20"/>
          <w:szCs w:val="20"/>
        </w:rPr>
      </w:pPr>
    </w:p>
    <w:p w14:paraId="3413FF01" w14:textId="77777777" w:rsidR="000B1D0E" w:rsidRPr="00791A09" w:rsidRDefault="000B1D0E" w:rsidP="000B1D0E">
      <w:pPr>
        <w:pStyle w:val="ListParagraph"/>
        <w:framePr w:hSpace="180" w:wrap="around" w:vAnchor="text" w:hAnchor="page" w:x="1325" w:y="-10"/>
        <w:numPr>
          <w:ilvl w:val="0"/>
          <w:numId w:val="2"/>
        </w:numPr>
        <w:tabs>
          <w:tab w:val="center" w:pos="4513"/>
          <w:tab w:val="right" w:pos="9026"/>
        </w:tabs>
        <w:spacing w:after="0"/>
        <w:suppressOverlap/>
        <w:rPr>
          <w:rFonts w:ascii="Arial" w:hAnsi="Arial"/>
          <w:sz w:val="20"/>
          <w:szCs w:val="20"/>
        </w:rPr>
      </w:pPr>
      <w:r w:rsidRPr="00791A09">
        <w:rPr>
          <w:rFonts w:ascii="Arial" w:hAnsi="Arial"/>
          <w:sz w:val="20"/>
          <w:szCs w:val="20"/>
        </w:rPr>
        <w:t xml:space="preserve">In Campinas, Brazil, Cities4Forests has delivered an </w:t>
      </w:r>
      <w:proofErr w:type="spellStart"/>
      <w:r w:rsidRPr="00791A09">
        <w:rPr>
          <w:rFonts w:ascii="Arial" w:hAnsi="Arial"/>
          <w:sz w:val="20"/>
          <w:szCs w:val="20"/>
        </w:rPr>
        <w:t>N</w:t>
      </w:r>
      <w:r>
        <w:rPr>
          <w:rFonts w:ascii="Arial" w:hAnsi="Arial"/>
          <w:sz w:val="20"/>
          <w:szCs w:val="20"/>
        </w:rPr>
        <w:t>b</w:t>
      </w:r>
      <w:r w:rsidRPr="00791A09">
        <w:rPr>
          <w:rFonts w:ascii="Arial" w:hAnsi="Arial"/>
          <w:sz w:val="20"/>
          <w:szCs w:val="20"/>
        </w:rPr>
        <w:t>S</w:t>
      </w:r>
      <w:proofErr w:type="spellEnd"/>
      <w:r w:rsidRPr="00791A09">
        <w:rPr>
          <w:rFonts w:ascii="Arial" w:hAnsi="Arial"/>
          <w:sz w:val="20"/>
          <w:szCs w:val="20"/>
        </w:rPr>
        <w:t xml:space="preserve"> Strategy to inform the city’s Municipal Environmental Plans and climate adaptation goals. The strategy was issued through formal decree in the city’s 2022 Municipal Environmental Plans and provides an </w:t>
      </w:r>
      <w:proofErr w:type="spellStart"/>
      <w:r w:rsidRPr="00791A09">
        <w:rPr>
          <w:rFonts w:ascii="Arial" w:hAnsi="Arial"/>
          <w:sz w:val="20"/>
          <w:szCs w:val="20"/>
        </w:rPr>
        <w:t>NbS</w:t>
      </w:r>
      <w:proofErr w:type="spellEnd"/>
      <w:r w:rsidRPr="00791A09">
        <w:rPr>
          <w:rFonts w:ascii="Arial" w:hAnsi="Arial"/>
          <w:sz w:val="20"/>
          <w:szCs w:val="20"/>
        </w:rPr>
        <w:t xml:space="preserve"> suitability assessment with 11 priority actions to increase urban resilience and enhance the management of green areas. Priorities include planning and building the city’s first linear park and </w:t>
      </w:r>
      <w:r>
        <w:rPr>
          <w:rFonts w:ascii="Arial" w:hAnsi="Arial"/>
          <w:sz w:val="20"/>
          <w:szCs w:val="20"/>
        </w:rPr>
        <w:t>restoring</w:t>
      </w:r>
      <w:r w:rsidRPr="00791A09">
        <w:rPr>
          <w:rFonts w:ascii="Arial" w:hAnsi="Arial"/>
          <w:sz w:val="20"/>
          <w:szCs w:val="20"/>
        </w:rPr>
        <w:t xml:space="preserve"> 100 hectares of degraded land.</w:t>
      </w:r>
      <w:r w:rsidRPr="00791A09" w:rsidDel="00A4671C">
        <w:rPr>
          <w:rFonts w:ascii="Arial" w:hAnsi="Arial"/>
          <w:sz w:val="20"/>
          <w:szCs w:val="20"/>
        </w:rPr>
        <w:t xml:space="preserve"> </w:t>
      </w:r>
    </w:p>
    <w:p w14:paraId="7E2AA5BF" w14:textId="77777777" w:rsidR="000B1D0E" w:rsidRPr="00791A09" w:rsidRDefault="000B1D0E" w:rsidP="000B1D0E">
      <w:pPr>
        <w:pStyle w:val="ListParagraph"/>
        <w:framePr w:hSpace="180" w:wrap="around" w:vAnchor="text" w:hAnchor="page" w:x="1325" w:y="-10"/>
        <w:numPr>
          <w:ilvl w:val="0"/>
          <w:numId w:val="2"/>
        </w:numPr>
        <w:tabs>
          <w:tab w:val="center" w:pos="4513"/>
          <w:tab w:val="right" w:pos="9026"/>
        </w:tabs>
        <w:spacing w:after="0"/>
        <w:suppressOverlap/>
        <w:rPr>
          <w:rFonts w:ascii="Arial" w:hAnsi="Arial"/>
          <w:sz w:val="20"/>
          <w:szCs w:val="20"/>
        </w:rPr>
      </w:pPr>
      <w:r w:rsidRPr="00791A09">
        <w:rPr>
          <w:rFonts w:ascii="Arial" w:hAnsi="Arial"/>
          <w:sz w:val="20"/>
          <w:szCs w:val="20"/>
        </w:rPr>
        <w:t xml:space="preserve">In Kochi, India, Cities4Forests co-developed the city’s official </w:t>
      </w:r>
      <w:r w:rsidRPr="00791A09">
        <w:rPr>
          <w:rFonts w:ascii="Arial" w:eastAsia="Times New Roman" w:hAnsi="Arial" w:cs="Arial"/>
          <w:sz w:val="20"/>
          <w:szCs w:val="20"/>
        </w:rPr>
        <w:t>City Disaster Management Plan</w:t>
      </w:r>
      <w:r w:rsidRPr="00791A09">
        <w:rPr>
          <w:rFonts w:ascii="Arial" w:hAnsi="Arial"/>
          <w:sz w:val="20"/>
          <w:szCs w:val="20"/>
        </w:rPr>
        <w:t xml:space="preserve">, which builds on contributions to the city’s Climate Action Plan. </w:t>
      </w:r>
      <w:r w:rsidRPr="00791A09">
        <w:rPr>
          <w:sz w:val="20"/>
          <w:szCs w:val="20"/>
        </w:rPr>
        <w:t xml:space="preserve"> </w:t>
      </w:r>
      <w:r w:rsidRPr="00791A09">
        <w:rPr>
          <w:rFonts w:ascii="Arial" w:hAnsi="Arial"/>
          <w:sz w:val="20"/>
          <w:szCs w:val="20"/>
        </w:rPr>
        <w:t>Cities4Forests is leading the implementation of action-based targets regarding the role of urban green spaces to mitigate extreme heat.</w:t>
      </w:r>
    </w:p>
    <w:p w14:paraId="45258F2A" w14:textId="77777777" w:rsidR="000B1D0E" w:rsidRDefault="000B1D0E" w:rsidP="000B1D0E">
      <w:pPr>
        <w:spacing w:after="0" w:line="240" w:lineRule="auto"/>
        <w:jc w:val="both"/>
        <w:rPr>
          <w:rFonts w:ascii="Arial" w:eastAsia="Times New Roman" w:hAnsi="Arial" w:cs="Arial"/>
          <w:sz w:val="20"/>
          <w:szCs w:val="20"/>
        </w:rPr>
      </w:pPr>
      <w:r w:rsidRPr="00791A09">
        <w:rPr>
          <w:rFonts w:ascii="Arial" w:eastAsia="Times New Roman" w:hAnsi="Arial" w:cs="Arial"/>
          <w:sz w:val="20"/>
          <w:szCs w:val="20"/>
        </w:rPr>
        <w:t>In addition, Cities4Forests has developed four key technical tools to strengthen cities’ capacity</w:t>
      </w:r>
      <w:r>
        <w:rPr>
          <w:rFonts w:ascii="Arial" w:eastAsia="Times New Roman" w:hAnsi="Arial" w:cs="Arial"/>
          <w:sz w:val="20"/>
          <w:szCs w:val="20"/>
        </w:rPr>
        <w:t xml:space="preserve"> to </w:t>
      </w:r>
      <w:r w:rsidRPr="00791A09">
        <w:rPr>
          <w:rFonts w:ascii="Arial" w:eastAsia="Times New Roman" w:hAnsi="Arial" w:cs="Arial"/>
          <w:sz w:val="20"/>
          <w:szCs w:val="20"/>
        </w:rPr>
        <w:t xml:space="preserve">plan and implement </w:t>
      </w:r>
      <w:proofErr w:type="spellStart"/>
      <w:r w:rsidRPr="00791A09">
        <w:rPr>
          <w:rFonts w:ascii="Arial" w:eastAsia="Times New Roman" w:hAnsi="Arial" w:cs="Arial"/>
          <w:sz w:val="20"/>
          <w:szCs w:val="20"/>
        </w:rPr>
        <w:t>N</w:t>
      </w:r>
      <w:r>
        <w:rPr>
          <w:rFonts w:ascii="Arial" w:eastAsia="Times New Roman" w:hAnsi="Arial" w:cs="Arial"/>
          <w:sz w:val="20"/>
          <w:szCs w:val="20"/>
        </w:rPr>
        <w:t>b</w:t>
      </w:r>
      <w:r w:rsidRPr="00791A09">
        <w:rPr>
          <w:rFonts w:ascii="Arial" w:eastAsia="Times New Roman" w:hAnsi="Arial" w:cs="Arial"/>
          <w:sz w:val="20"/>
          <w:szCs w:val="20"/>
        </w:rPr>
        <w:t>S</w:t>
      </w:r>
      <w:proofErr w:type="spellEnd"/>
      <w:r w:rsidRPr="00791A09">
        <w:rPr>
          <w:rFonts w:ascii="Arial" w:eastAsia="Times New Roman" w:hAnsi="Arial" w:cs="Arial"/>
          <w:sz w:val="20"/>
          <w:szCs w:val="20"/>
        </w:rPr>
        <w:t>. For example:</w:t>
      </w:r>
    </w:p>
    <w:p w14:paraId="4CF224FC" w14:textId="77777777" w:rsidR="000B1D0E" w:rsidRDefault="000B1D0E" w:rsidP="000B1D0E">
      <w:pPr>
        <w:spacing w:after="0" w:line="240" w:lineRule="auto"/>
        <w:jc w:val="both"/>
        <w:rPr>
          <w:rFonts w:ascii="Arial" w:eastAsia="Times New Roman" w:hAnsi="Arial" w:cs="Arial"/>
          <w:sz w:val="20"/>
          <w:szCs w:val="20"/>
        </w:rPr>
      </w:pPr>
    </w:p>
    <w:p w14:paraId="0081B284" w14:textId="77777777" w:rsidR="000B1D0E" w:rsidRPr="0085233B" w:rsidRDefault="000B1D0E" w:rsidP="000B1D0E">
      <w:pPr>
        <w:pStyle w:val="ListParagraph"/>
        <w:numPr>
          <w:ilvl w:val="0"/>
          <w:numId w:val="19"/>
        </w:numPr>
        <w:spacing w:after="0" w:line="240" w:lineRule="auto"/>
        <w:jc w:val="both"/>
        <w:rPr>
          <w:rFonts w:ascii="Arial" w:eastAsia="Times New Roman" w:hAnsi="Arial" w:cs="Arial"/>
          <w:sz w:val="20"/>
          <w:szCs w:val="20"/>
        </w:rPr>
      </w:pPr>
      <w:r w:rsidRPr="0085233B">
        <w:rPr>
          <w:rFonts w:ascii="Arial" w:eastAsia="Times New Roman" w:hAnsi="Arial" w:cs="Arial"/>
          <w:sz w:val="20"/>
          <w:szCs w:val="20"/>
        </w:rPr>
        <w:t>The Cities4Forests Forest Footprint Tool has been developed to support multiple cities’ forest impact monitoring and baseline assessments. The first-of-its-kind tool takes literature on forest risk consumption and impacts, filters them through a framework with city specific data, and populates a live online Forest Footprint Dashboard</w:t>
      </w:r>
      <w:r>
        <w:rPr>
          <w:rStyle w:val="FootnoteReference"/>
          <w:rFonts w:ascii="Arial" w:eastAsia="Times New Roman" w:hAnsi="Arial" w:cs="Arial"/>
          <w:sz w:val="20"/>
          <w:szCs w:val="20"/>
        </w:rPr>
        <w:footnoteReference w:id="6"/>
      </w:r>
      <w:r w:rsidRPr="0085233B">
        <w:rPr>
          <w:rFonts w:ascii="Arial" w:eastAsia="Times New Roman" w:hAnsi="Arial" w:cs="Arial"/>
          <w:sz w:val="20"/>
          <w:szCs w:val="20"/>
        </w:rPr>
        <w:t xml:space="preserve"> that shows cities their total annual </w:t>
      </w:r>
      <w:r w:rsidRPr="0085233B">
        <w:rPr>
          <w:rFonts w:ascii="Arial" w:eastAsia="Times New Roman" w:hAnsi="Arial" w:cs="Arial"/>
          <w:sz w:val="20"/>
          <w:szCs w:val="20"/>
        </w:rPr>
        <w:lastRenderedPageBreak/>
        <w:t>deforestation footprint, as well as a breakdown with user-controllable inputs on future consumption and impact targets.</w:t>
      </w:r>
    </w:p>
    <w:p w14:paraId="0AAA12B3" w14:textId="77777777" w:rsidR="000B1D0E" w:rsidRPr="0085233B" w:rsidRDefault="000B1D0E" w:rsidP="000B1D0E">
      <w:pPr>
        <w:pStyle w:val="ListParagraph"/>
        <w:numPr>
          <w:ilvl w:val="0"/>
          <w:numId w:val="19"/>
        </w:numPr>
        <w:spacing w:after="0" w:line="240" w:lineRule="auto"/>
        <w:jc w:val="both"/>
        <w:rPr>
          <w:rFonts w:ascii="Arial" w:eastAsia="Times New Roman" w:hAnsi="Arial" w:cs="Arial"/>
          <w:sz w:val="20"/>
          <w:szCs w:val="20"/>
        </w:rPr>
      </w:pPr>
      <w:r w:rsidRPr="0085233B">
        <w:rPr>
          <w:rFonts w:ascii="Arial" w:eastAsia="Times New Roman" w:hAnsi="Arial" w:cs="Arial"/>
          <w:sz w:val="20"/>
          <w:szCs w:val="20"/>
        </w:rPr>
        <w:t xml:space="preserve">Cities4Forests, C40 Cities Climate Leadership Group (C40), and ICLEI partnered to create the Global Protocol for Community-scale Greenhouse Gas Inventories: Supplemental Guidance for Forests and Trees. It provides a widely applicable framework for including GHG emissions and removals (sequestration) by forests and trees in </w:t>
      </w:r>
      <w:proofErr w:type="gramStart"/>
      <w:r w:rsidRPr="0085233B">
        <w:rPr>
          <w:rFonts w:ascii="Arial" w:eastAsia="Times New Roman" w:hAnsi="Arial" w:cs="Arial"/>
          <w:sz w:val="20"/>
          <w:szCs w:val="20"/>
        </w:rPr>
        <w:t>cities’</w:t>
      </w:r>
      <w:proofErr w:type="gramEnd"/>
      <w:r w:rsidRPr="0085233B">
        <w:rPr>
          <w:rFonts w:ascii="Arial" w:eastAsia="Times New Roman" w:hAnsi="Arial" w:cs="Arial"/>
          <w:sz w:val="20"/>
          <w:szCs w:val="20"/>
        </w:rPr>
        <w:t xml:space="preserve"> and communities’ GHG inventories. This tool has been piloted in six Cities4Forests member cities (Mexico City, Mexico; Salvador, Brazil; Mumbai, India; and Jakarta, Denpasar and Medan, Indonesia) and is currently being deployed in Cartagena, Colombia and Denpasar and Medan, Indonesia.  </w:t>
      </w:r>
    </w:p>
    <w:p w14:paraId="399C1EF7" w14:textId="77777777" w:rsidR="000B1D0E" w:rsidRPr="00791A09" w:rsidRDefault="000B1D0E" w:rsidP="000B1D0E">
      <w:pPr>
        <w:spacing w:after="0" w:line="240" w:lineRule="auto"/>
        <w:jc w:val="both"/>
        <w:rPr>
          <w:rFonts w:ascii="Arial" w:eastAsia="Times New Roman" w:hAnsi="Arial" w:cs="Arial"/>
          <w:sz w:val="20"/>
          <w:szCs w:val="20"/>
        </w:rPr>
      </w:pPr>
    </w:p>
    <w:p w14:paraId="355CC914" w14:textId="77777777" w:rsidR="000B1D0E" w:rsidRPr="00791A09" w:rsidRDefault="000B1D0E" w:rsidP="000B1D0E">
      <w:pPr>
        <w:spacing w:after="0" w:line="240" w:lineRule="auto"/>
        <w:jc w:val="both"/>
        <w:rPr>
          <w:rFonts w:ascii="Arial" w:eastAsia="Times New Roman" w:hAnsi="Arial" w:cs="Arial"/>
          <w:sz w:val="20"/>
          <w:szCs w:val="20"/>
        </w:rPr>
      </w:pPr>
      <w:r w:rsidRPr="00791A09">
        <w:rPr>
          <w:rFonts w:ascii="Arial" w:eastAsia="Times New Roman" w:hAnsi="Arial" w:cs="Arial"/>
          <w:sz w:val="20"/>
          <w:szCs w:val="20"/>
        </w:rPr>
        <w:t xml:space="preserve">Furthermore, Cities4Forests has advanced efforts to mainstream gender and social equity (GSE) considerations throughout its project portfolio. Seven of WRI’s international offices participated in this effort, which included a literature review on GSE as it relates to </w:t>
      </w:r>
      <w:proofErr w:type="spellStart"/>
      <w:r w:rsidRPr="00791A09">
        <w:rPr>
          <w:rFonts w:ascii="Arial" w:eastAsia="Times New Roman" w:hAnsi="Arial" w:cs="Arial"/>
          <w:sz w:val="20"/>
          <w:szCs w:val="20"/>
        </w:rPr>
        <w:t>NbS</w:t>
      </w:r>
      <w:proofErr w:type="spellEnd"/>
      <w:r w:rsidRPr="00791A09">
        <w:rPr>
          <w:rFonts w:ascii="Arial" w:eastAsia="Times New Roman" w:hAnsi="Arial" w:cs="Arial"/>
          <w:sz w:val="20"/>
          <w:szCs w:val="20"/>
        </w:rPr>
        <w:t xml:space="preserve">, Cities4Forests project assessments and staff interviews. Through this process, Cities4Forests created the Cities4Forests Social Equity Learning Guide (a knowledge product funded under a previous Defra grant) which presents recommendations highlighting the possible ways, tools, and approaches to meaningfully integrate GSE into each of their project activities to achieve both ecological and GSE outcomes. In Jayapura, Indonesia, the Cities4Forests team is providing guidance to integrate GSE considerations into the city’s new spatial plan. In Africa, GSE is being mainstreamed into the stakeholder consultation decisions and methodology for green open space accessibility analyses in Addis Ababa, Ethiopia; Musanze, Rwanda; and Kumasi, Ghana. </w:t>
      </w:r>
    </w:p>
    <w:p w14:paraId="439AD03E" w14:textId="77777777" w:rsidR="000B1D0E" w:rsidRPr="00791A09" w:rsidRDefault="000B1D0E" w:rsidP="000B1D0E">
      <w:pPr>
        <w:spacing w:after="0" w:line="240" w:lineRule="auto"/>
        <w:jc w:val="both"/>
        <w:rPr>
          <w:rFonts w:ascii="Arial" w:eastAsia="Times New Roman" w:hAnsi="Arial" w:cs="Arial"/>
          <w:sz w:val="20"/>
          <w:szCs w:val="20"/>
        </w:rPr>
      </w:pPr>
    </w:p>
    <w:p w14:paraId="2533BB68" w14:textId="77777777" w:rsidR="000B1D0E" w:rsidRPr="00791A09" w:rsidRDefault="000B1D0E" w:rsidP="000B1D0E">
      <w:pPr>
        <w:spacing w:after="0" w:line="240" w:lineRule="auto"/>
        <w:rPr>
          <w:rFonts w:ascii="Arial" w:eastAsia="Times New Roman" w:hAnsi="Arial" w:cs="Arial"/>
          <w:sz w:val="20"/>
          <w:szCs w:val="20"/>
        </w:rPr>
      </w:pPr>
      <w:r w:rsidRPr="00791A09">
        <w:rPr>
          <w:rFonts w:ascii="Arial" w:eastAsia="Times New Roman" w:hAnsi="Arial" w:cs="Times New Roman"/>
          <w:b/>
          <w:bCs/>
          <w:sz w:val="20"/>
          <w:szCs w:val="20"/>
        </w:rPr>
        <w:t xml:space="preserve">Describe any changes to this output during the past year, and any planned changes </w:t>
      </w:r>
      <w:proofErr w:type="gramStart"/>
      <w:r w:rsidRPr="00791A09">
        <w:rPr>
          <w:rFonts w:ascii="Arial" w:eastAsia="Times New Roman" w:hAnsi="Arial" w:cs="Times New Roman"/>
          <w:b/>
          <w:bCs/>
          <w:sz w:val="20"/>
          <w:szCs w:val="20"/>
        </w:rPr>
        <w:t>as a result of</w:t>
      </w:r>
      <w:proofErr w:type="gramEnd"/>
      <w:r w:rsidRPr="00791A09">
        <w:rPr>
          <w:rFonts w:ascii="Arial" w:eastAsia="Times New Roman" w:hAnsi="Arial" w:cs="Times New Roman"/>
          <w:b/>
          <w:bCs/>
          <w:sz w:val="20"/>
          <w:szCs w:val="20"/>
        </w:rPr>
        <w:t xml:space="preserve"> this review. </w:t>
      </w:r>
    </w:p>
    <w:p w14:paraId="4CA9594D" w14:textId="77777777" w:rsidR="000B1D0E" w:rsidRPr="00791A09" w:rsidRDefault="000B1D0E" w:rsidP="000B1D0E">
      <w:pPr>
        <w:spacing w:after="0" w:line="240" w:lineRule="auto"/>
        <w:rPr>
          <w:rFonts w:ascii="Arial" w:eastAsia="Times New Roman" w:hAnsi="Arial" w:cs="Arial"/>
          <w:sz w:val="20"/>
          <w:szCs w:val="20"/>
        </w:rPr>
      </w:pPr>
    </w:p>
    <w:p w14:paraId="17D3B49E" w14:textId="77777777" w:rsidR="000B1D0E" w:rsidRPr="00791A09" w:rsidRDefault="000B1D0E" w:rsidP="000B1D0E">
      <w:pPr>
        <w:spacing w:after="0" w:line="240" w:lineRule="auto"/>
        <w:rPr>
          <w:rFonts w:ascii="Arial" w:eastAsia="Times New Roman" w:hAnsi="Arial" w:cs="Arial"/>
          <w:sz w:val="20"/>
          <w:szCs w:val="20"/>
        </w:rPr>
      </w:pPr>
      <w:r w:rsidRPr="00791A09">
        <w:rPr>
          <w:rFonts w:ascii="Arial" w:eastAsia="Times New Roman" w:hAnsi="Arial" w:cs="Arial"/>
          <w:sz w:val="20"/>
          <w:szCs w:val="20"/>
        </w:rPr>
        <w:t>There are no major changes to this output. In the year ahead, Cities4Forests plans to continue to ensure that the research findings are sociali</w:t>
      </w:r>
      <w:r>
        <w:rPr>
          <w:rFonts w:ascii="Arial" w:eastAsia="Times New Roman" w:hAnsi="Arial" w:cs="Arial"/>
          <w:sz w:val="20"/>
          <w:szCs w:val="20"/>
        </w:rPr>
        <w:t>s</w:t>
      </w:r>
      <w:r w:rsidRPr="00791A09">
        <w:rPr>
          <w:rFonts w:ascii="Arial" w:eastAsia="Times New Roman" w:hAnsi="Arial" w:cs="Arial"/>
          <w:sz w:val="20"/>
          <w:szCs w:val="20"/>
        </w:rPr>
        <w:t xml:space="preserve">ed among city leaders and technical experts and that they are oriented towards the influence of and incorporation in city plans, policies, and strategies that protect and restore nature. </w:t>
      </w:r>
    </w:p>
    <w:p w14:paraId="2FC4DC7A" w14:textId="77777777" w:rsidR="000B1D0E" w:rsidRPr="00791A09" w:rsidRDefault="000B1D0E" w:rsidP="000B1D0E">
      <w:pPr>
        <w:spacing w:after="0" w:line="240" w:lineRule="auto"/>
        <w:rPr>
          <w:rFonts w:ascii="Arial" w:eastAsia="Times New Roman" w:hAnsi="Arial" w:cs="Arial"/>
          <w:sz w:val="20"/>
          <w:szCs w:val="20"/>
        </w:rPr>
      </w:pPr>
    </w:p>
    <w:p w14:paraId="2E4B0E50" w14:textId="77777777" w:rsidR="000B1D0E" w:rsidRPr="00791A09" w:rsidRDefault="000B1D0E" w:rsidP="000B1D0E">
      <w:pPr>
        <w:spacing w:after="0" w:line="240" w:lineRule="auto"/>
        <w:jc w:val="both"/>
        <w:rPr>
          <w:rFonts w:ascii="Arial" w:eastAsia="Times New Roman" w:hAnsi="Arial" w:cs="Arial"/>
          <w:sz w:val="20"/>
          <w:szCs w:val="20"/>
        </w:rPr>
      </w:pPr>
      <w:r w:rsidRPr="00791A09">
        <w:rPr>
          <w:rFonts w:ascii="Arial" w:eastAsia="Times New Roman" w:hAnsi="Arial" w:cs="Arial"/>
          <w:b/>
          <w:bCs/>
          <w:sz w:val="20"/>
          <w:szCs w:val="20"/>
        </w:rPr>
        <w:t xml:space="preserve">Progress on recommendations from the previous AR (if completed), lessons learned this year and recommendations for the year </w:t>
      </w:r>
      <w:proofErr w:type="gramStart"/>
      <w:r w:rsidRPr="00791A09">
        <w:rPr>
          <w:rFonts w:ascii="Arial" w:eastAsia="Times New Roman" w:hAnsi="Arial" w:cs="Arial"/>
          <w:b/>
          <w:bCs/>
          <w:sz w:val="20"/>
          <w:szCs w:val="20"/>
        </w:rPr>
        <w:t>ahead</w:t>
      </w:r>
      <w:proofErr w:type="gramEnd"/>
      <w:r w:rsidRPr="00791A09">
        <w:rPr>
          <w:rFonts w:ascii="Arial" w:eastAsia="Times New Roman" w:hAnsi="Arial" w:cs="Arial"/>
          <w:b/>
          <w:bCs/>
          <w:sz w:val="20"/>
          <w:szCs w:val="20"/>
        </w:rPr>
        <w:t xml:space="preserve"> </w:t>
      </w:r>
    </w:p>
    <w:p w14:paraId="1070CC50" w14:textId="77777777" w:rsidR="000B1D0E" w:rsidRPr="00791A09" w:rsidRDefault="000B1D0E" w:rsidP="000B1D0E">
      <w:pPr>
        <w:spacing w:after="0" w:line="240" w:lineRule="auto"/>
        <w:jc w:val="both"/>
        <w:rPr>
          <w:rFonts w:ascii="Arial" w:eastAsia="Times New Roman" w:hAnsi="Arial" w:cs="Arial"/>
          <w:color w:val="00B050"/>
          <w:sz w:val="20"/>
          <w:szCs w:val="20"/>
        </w:rPr>
      </w:pPr>
    </w:p>
    <w:p w14:paraId="525AC3D9" w14:textId="77777777" w:rsidR="000B1D0E" w:rsidRPr="00791A09" w:rsidRDefault="000B1D0E" w:rsidP="000B1D0E">
      <w:pPr>
        <w:spacing w:after="0" w:line="240" w:lineRule="auto"/>
        <w:rPr>
          <w:rFonts w:ascii="Arial" w:eastAsia="Times New Roman" w:hAnsi="Arial" w:cs="Arial"/>
          <w:bCs/>
          <w:sz w:val="20"/>
          <w:szCs w:val="20"/>
          <w:lang w:val="en-US"/>
        </w:rPr>
      </w:pPr>
      <w:r w:rsidRPr="00791A09">
        <w:rPr>
          <w:rFonts w:ascii="Arial" w:eastAsia="Times New Roman" w:hAnsi="Arial" w:cs="Arial"/>
          <w:bCs/>
          <w:sz w:val="20"/>
          <w:szCs w:val="20"/>
          <w:lang w:val="en-US"/>
        </w:rPr>
        <w:t>This is Cities4Forests first annual review by Defra</w:t>
      </w:r>
      <w:r>
        <w:rPr>
          <w:rFonts w:ascii="Arial" w:eastAsia="Times New Roman" w:hAnsi="Arial" w:cs="Arial"/>
          <w:bCs/>
          <w:sz w:val="20"/>
          <w:szCs w:val="20"/>
          <w:lang w:val="en-US"/>
        </w:rPr>
        <w:t>. We have noted that</w:t>
      </w:r>
      <w:r w:rsidRPr="00791A09">
        <w:rPr>
          <w:rFonts w:ascii="Arial" w:eastAsia="Times New Roman" w:hAnsi="Arial" w:cs="Arial"/>
          <w:bCs/>
          <w:sz w:val="20"/>
          <w:szCs w:val="20"/>
          <w:lang w:val="en-US"/>
        </w:rPr>
        <w:t xml:space="preserve"> there is high demand for technical assistance from Cities4Forests’ 90+ members and other cities. Cities4Forests can potentially scale impact with limited resources by continuing to explore collaboration with mayoral networks across various geographies, especially in tropical forest regions, and to deepen their existing engagement with global city networks such as </w:t>
      </w:r>
      <w:r>
        <w:rPr>
          <w:rFonts w:ascii="Arial" w:eastAsia="Times New Roman" w:hAnsi="Arial" w:cs="Arial"/>
          <w:bCs/>
          <w:sz w:val="20"/>
          <w:szCs w:val="20"/>
          <w:lang w:val="en-US"/>
        </w:rPr>
        <w:t>C40</w:t>
      </w:r>
      <w:r w:rsidRPr="00791A09">
        <w:rPr>
          <w:rFonts w:ascii="Arial" w:eastAsia="Times New Roman" w:hAnsi="Arial" w:cs="Arial"/>
          <w:bCs/>
          <w:sz w:val="20"/>
          <w:szCs w:val="20"/>
          <w:lang w:val="en-US"/>
        </w:rPr>
        <w:t>, Global Covenant of Mayors and International Council for Local Environmental Initiatives</w:t>
      </w:r>
      <w:r>
        <w:rPr>
          <w:rFonts w:ascii="Arial" w:eastAsia="Times New Roman" w:hAnsi="Arial" w:cs="Arial"/>
          <w:bCs/>
          <w:sz w:val="20"/>
          <w:szCs w:val="20"/>
          <w:lang w:val="en-US"/>
        </w:rPr>
        <w:t xml:space="preserve"> (ICLEI)</w:t>
      </w:r>
      <w:r w:rsidRPr="00791A09">
        <w:rPr>
          <w:rFonts w:ascii="Arial" w:eastAsia="Times New Roman" w:hAnsi="Arial" w:cs="Arial"/>
          <w:bCs/>
          <w:sz w:val="20"/>
          <w:szCs w:val="20"/>
          <w:lang w:val="en-US"/>
        </w:rPr>
        <w:t>.</w:t>
      </w:r>
    </w:p>
    <w:p w14:paraId="7F182ACE" w14:textId="77777777" w:rsidR="000B1D0E" w:rsidRPr="00791A09" w:rsidRDefault="000B1D0E" w:rsidP="000B1D0E">
      <w:pPr>
        <w:spacing w:after="0" w:line="240" w:lineRule="auto"/>
        <w:rPr>
          <w:rFonts w:ascii="Arial" w:eastAsia="Times New Roman" w:hAnsi="Arial" w:cs="Times New Roman"/>
          <w:sz w:val="20"/>
          <w:szCs w:val="20"/>
          <w:lang w:val="en-US"/>
        </w:rPr>
      </w:pPr>
    </w:p>
    <w:tbl>
      <w:tblPr>
        <w:tblStyle w:val="TableGrid"/>
        <w:tblW w:w="9356" w:type="dxa"/>
        <w:tblInd w:w="-147" w:type="dxa"/>
        <w:tblLook w:val="04A0" w:firstRow="1" w:lastRow="0" w:firstColumn="1" w:lastColumn="0" w:noHBand="0" w:noVBand="1"/>
      </w:tblPr>
      <w:tblGrid>
        <w:gridCol w:w="1708"/>
        <w:gridCol w:w="616"/>
        <w:gridCol w:w="937"/>
        <w:gridCol w:w="3283"/>
        <w:gridCol w:w="2812"/>
      </w:tblGrid>
      <w:tr w:rsidR="000B1D0E" w:rsidRPr="00791A09" w14:paraId="2A221A6E" w14:textId="77777777" w:rsidTr="001106E0">
        <w:trPr>
          <w:trHeight w:val="489"/>
        </w:trPr>
        <w:tc>
          <w:tcPr>
            <w:tcW w:w="1708"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5D2F0BE8" w14:textId="77777777" w:rsidR="000B1D0E" w:rsidRPr="00791A09" w:rsidRDefault="000B1D0E" w:rsidP="001106E0">
            <w:pPr>
              <w:tabs>
                <w:tab w:val="center" w:pos="4513"/>
                <w:tab w:val="right" w:pos="9026"/>
              </w:tabs>
              <w:spacing w:after="0"/>
              <w:rPr>
                <w:rFonts w:ascii="Arial" w:hAnsi="Arial"/>
                <w:b/>
                <w:bCs/>
              </w:rPr>
            </w:pPr>
            <w:r w:rsidRPr="00791A09">
              <w:rPr>
                <w:rFonts w:ascii="Arial" w:hAnsi="Arial"/>
                <w:b/>
                <w:bCs/>
              </w:rPr>
              <w:t xml:space="preserve">Output Title </w:t>
            </w:r>
          </w:p>
        </w:tc>
        <w:tc>
          <w:tcPr>
            <w:tcW w:w="7648"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70E8B2D9" w14:textId="77777777" w:rsidR="000B1D0E" w:rsidRPr="00791A09" w:rsidRDefault="000B1D0E" w:rsidP="001106E0">
            <w:pPr>
              <w:tabs>
                <w:tab w:val="center" w:pos="4513"/>
                <w:tab w:val="right" w:pos="9026"/>
              </w:tabs>
              <w:spacing w:after="0"/>
              <w:rPr>
                <w:rFonts w:ascii="Arial" w:hAnsi="Arial"/>
                <w:bCs/>
                <w:i/>
              </w:rPr>
            </w:pPr>
            <w:r w:rsidRPr="00791A09">
              <w:rPr>
                <w:rFonts w:ascii="Arial" w:hAnsi="Arial"/>
                <w:b/>
                <w:bCs/>
              </w:rPr>
              <w:t>3. FINANCE:</w:t>
            </w:r>
            <w:r w:rsidRPr="00791A09">
              <w:rPr>
                <w:rFonts w:ascii="Arial" w:hAnsi="Arial"/>
              </w:rPr>
              <w:t xml:space="preserve"> Cities4Forests supports cities to unlock finance for </w:t>
            </w:r>
            <w:proofErr w:type="spellStart"/>
            <w:r w:rsidRPr="00791A09">
              <w:rPr>
                <w:rFonts w:ascii="Arial" w:hAnsi="Arial"/>
              </w:rPr>
              <w:t>N</w:t>
            </w:r>
            <w:r>
              <w:rPr>
                <w:rFonts w:ascii="Arial" w:hAnsi="Arial"/>
              </w:rPr>
              <w:t>b</w:t>
            </w:r>
            <w:r w:rsidRPr="00791A09">
              <w:rPr>
                <w:rFonts w:ascii="Arial" w:hAnsi="Arial"/>
              </w:rPr>
              <w:t>S</w:t>
            </w:r>
            <w:proofErr w:type="spellEnd"/>
            <w:r w:rsidRPr="00791A09">
              <w:rPr>
                <w:rFonts w:ascii="Arial" w:hAnsi="Arial"/>
              </w:rPr>
              <w:t>, through public, private, or blended sources</w:t>
            </w:r>
            <w:r>
              <w:rPr>
                <w:rFonts w:ascii="Arial" w:hAnsi="Arial"/>
              </w:rPr>
              <w:t>.</w:t>
            </w:r>
          </w:p>
        </w:tc>
      </w:tr>
      <w:tr w:rsidR="000B1D0E" w:rsidRPr="00791A09" w14:paraId="515FF0B8" w14:textId="77777777" w:rsidTr="001106E0">
        <w:trPr>
          <w:trHeight w:val="347"/>
        </w:trPr>
        <w:tc>
          <w:tcPr>
            <w:tcW w:w="2324"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795CC181" w14:textId="77777777" w:rsidR="000B1D0E" w:rsidRPr="00791A09" w:rsidRDefault="000B1D0E" w:rsidP="001106E0">
            <w:pPr>
              <w:tabs>
                <w:tab w:val="center" w:pos="4513"/>
                <w:tab w:val="right" w:pos="9026"/>
              </w:tabs>
              <w:spacing w:after="0"/>
              <w:rPr>
                <w:rFonts w:ascii="Arial" w:hAnsi="Arial"/>
                <w:bCs/>
              </w:rPr>
            </w:pPr>
            <w:r w:rsidRPr="00791A09">
              <w:rPr>
                <w:rFonts w:ascii="Arial" w:hAnsi="Arial"/>
                <w:bCs/>
              </w:rPr>
              <w:t xml:space="preserve">Output number: </w:t>
            </w:r>
          </w:p>
        </w:tc>
        <w:tc>
          <w:tcPr>
            <w:tcW w:w="937" w:type="dxa"/>
            <w:tcBorders>
              <w:top w:val="single" w:sz="4" w:space="0" w:color="auto"/>
              <w:left w:val="single" w:sz="4" w:space="0" w:color="auto"/>
              <w:bottom w:val="single" w:sz="4" w:space="0" w:color="auto"/>
              <w:right w:val="single" w:sz="4" w:space="0" w:color="auto"/>
            </w:tcBorders>
          </w:tcPr>
          <w:p w14:paraId="76786001" w14:textId="77777777" w:rsidR="000B1D0E" w:rsidRPr="00791A09" w:rsidRDefault="000B1D0E" w:rsidP="001106E0">
            <w:pPr>
              <w:tabs>
                <w:tab w:val="center" w:pos="4513"/>
                <w:tab w:val="right" w:pos="9026"/>
              </w:tabs>
              <w:spacing w:after="0"/>
              <w:rPr>
                <w:rFonts w:ascii="Arial" w:hAnsi="Arial"/>
              </w:rPr>
            </w:pPr>
            <w:r w:rsidRPr="00791A09">
              <w:rPr>
                <w:rFonts w:ascii="Arial" w:hAnsi="Arial"/>
              </w:rPr>
              <w:t>3</w:t>
            </w:r>
          </w:p>
        </w:tc>
        <w:tc>
          <w:tcPr>
            <w:tcW w:w="3283"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0308072B" w14:textId="77777777" w:rsidR="000B1D0E" w:rsidRPr="00791A09" w:rsidRDefault="000B1D0E" w:rsidP="001106E0">
            <w:pPr>
              <w:tabs>
                <w:tab w:val="center" w:pos="4513"/>
                <w:tab w:val="right" w:pos="9026"/>
              </w:tabs>
              <w:spacing w:after="0"/>
              <w:rPr>
                <w:rFonts w:ascii="Arial" w:hAnsi="Arial"/>
              </w:rPr>
            </w:pPr>
            <w:r w:rsidRPr="00791A09">
              <w:rPr>
                <w:rFonts w:ascii="Arial" w:hAnsi="Arial"/>
                <w:bCs/>
              </w:rPr>
              <w:t xml:space="preserve">Output Score: </w:t>
            </w:r>
          </w:p>
        </w:tc>
        <w:tc>
          <w:tcPr>
            <w:tcW w:w="2812" w:type="dxa"/>
            <w:tcBorders>
              <w:top w:val="single" w:sz="4" w:space="0" w:color="auto"/>
              <w:left w:val="single" w:sz="4" w:space="0" w:color="auto"/>
              <w:bottom w:val="single" w:sz="4" w:space="0" w:color="auto"/>
              <w:right w:val="single" w:sz="4" w:space="0" w:color="auto"/>
            </w:tcBorders>
          </w:tcPr>
          <w:p w14:paraId="6607B963" w14:textId="77777777" w:rsidR="000B1D0E" w:rsidRPr="00791A09" w:rsidRDefault="000B1D0E" w:rsidP="001106E0">
            <w:pPr>
              <w:tabs>
                <w:tab w:val="center" w:pos="4513"/>
                <w:tab w:val="right" w:pos="9026"/>
              </w:tabs>
              <w:spacing w:after="0"/>
              <w:rPr>
                <w:rFonts w:ascii="Arial" w:hAnsi="Arial"/>
                <w:iCs/>
              </w:rPr>
            </w:pPr>
            <w:r w:rsidRPr="00791A09">
              <w:rPr>
                <w:rFonts w:ascii="Arial" w:hAnsi="Arial"/>
                <w:iCs/>
              </w:rPr>
              <w:t>A</w:t>
            </w:r>
          </w:p>
        </w:tc>
      </w:tr>
      <w:tr w:rsidR="000B1D0E" w:rsidRPr="00791A09" w14:paraId="5B93E41F" w14:textId="77777777" w:rsidTr="001106E0">
        <w:trPr>
          <w:trHeight w:val="345"/>
        </w:trPr>
        <w:tc>
          <w:tcPr>
            <w:tcW w:w="2324"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68A2A6F2" w14:textId="77777777" w:rsidR="000B1D0E" w:rsidRPr="00791A09" w:rsidRDefault="000B1D0E" w:rsidP="001106E0">
            <w:pPr>
              <w:tabs>
                <w:tab w:val="center" w:pos="4513"/>
                <w:tab w:val="right" w:pos="9026"/>
              </w:tabs>
              <w:spacing w:after="0"/>
              <w:rPr>
                <w:rFonts w:ascii="Arial" w:hAnsi="Arial"/>
              </w:rPr>
            </w:pPr>
            <w:r w:rsidRPr="00791A09">
              <w:rPr>
                <w:rFonts w:ascii="Arial" w:hAnsi="Arial"/>
                <w:bCs/>
              </w:rPr>
              <w:t xml:space="preserve">Impact weighting (%):  </w:t>
            </w:r>
          </w:p>
        </w:tc>
        <w:tc>
          <w:tcPr>
            <w:tcW w:w="937" w:type="dxa"/>
            <w:tcBorders>
              <w:top w:val="single" w:sz="4" w:space="0" w:color="auto"/>
              <w:left w:val="single" w:sz="4" w:space="0" w:color="auto"/>
              <w:bottom w:val="single" w:sz="4" w:space="0" w:color="auto"/>
              <w:right w:val="single" w:sz="4" w:space="0" w:color="auto"/>
            </w:tcBorders>
            <w:hideMark/>
          </w:tcPr>
          <w:p w14:paraId="42EB8587" w14:textId="77777777" w:rsidR="000B1D0E" w:rsidRPr="00791A09" w:rsidRDefault="000B1D0E" w:rsidP="001106E0">
            <w:pPr>
              <w:tabs>
                <w:tab w:val="center" w:pos="4513"/>
                <w:tab w:val="right" w:pos="9026"/>
              </w:tabs>
              <w:spacing w:after="0"/>
              <w:rPr>
                <w:rFonts w:ascii="Arial" w:hAnsi="Arial"/>
                <w:bCs/>
              </w:rPr>
            </w:pPr>
            <w:r w:rsidRPr="00791A09">
              <w:rPr>
                <w:rFonts w:ascii="Arial" w:hAnsi="Arial"/>
                <w:bCs/>
              </w:rPr>
              <w:t>40%</w:t>
            </w:r>
          </w:p>
        </w:tc>
        <w:tc>
          <w:tcPr>
            <w:tcW w:w="3283"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606E704C" w14:textId="77777777" w:rsidR="000B1D0E" w:rsidRPr="00791A09" w:rsidRDefault="000B1D0E" w:rsidP="001106E0">
            <w:pPr>
              <w:tabs>
                <w:tab w:val="center" w:pos="4513"/>
                <w:tab w:val="right" w:pos="9026"/>
              </w:tabs>
              <w:spacing w:after="0"/>
              <w:rPr>
                <w:rFonts w:ascii="Arial" w:hAnsi="Arial"/>
                <w:bCs/>
              </w:rPr>
            </w:pPr>
            <w:r w:rsidRPr="00791A09">
              <w:rPr>
                <w:rFonts w:ascii="Arial" w:hAnsi="Arial"/>
                <w:bCs/>
              </w:rPr>
              <w:t xml:space="preserve">Weighting revised since last </w:t>
            </w:r>
            <w:proofErr w:type="gramStart"/>
            <w:r w:rsidRPr="00791A09">
              <w:rPr>
                <w:rFonts w:ascii="Arial" w:hAnsi="Arial"/>
                <w:bCs/>
              </w:rPr>
              <w:t>AR?</w:t>
            </w:r>
            <w:proofErr w:type="gramEnd"/>
            <w:r w:rsidRPr="00791A09">
              <w:rPr>
                <w:rFonts w:ascii="Arial" w:hAnsi="Arial"/>
                <w:bCs/>
              </w:rPr>
              <w:t xml:space="preserve"> </w:t>
            </w:r>
          </w:p>
        </w:tc>
        <w:tc>
          <w:tcPr>
            <w:tcW w:w="2812" w:type="dxa"/>
            <w:tcBorders>
              <w:top w:val="single" w:sz="4" w:space="0" w:color="auto"/>
              <w:left w:val="single" w:sz="4" w:space="0" w:color="auto"/>
              <w:bottom w:val="single" w:sz="4" w:space="0" w:color="auto"/>
              <w:right w:val="single" w:sz="4" w:space="0" w:color="auto"/>
            </w:tcBorders>
          </w:tcPr>
          <w:p w14:paraId="07D6EECD" w14:textId="77777777" w:rsidR="000B1D0E" w:rsidRPr="00791A09" w:rsidRDefault="000B1D0E" w:rsidP="001106E0">
            <w:pPr>
              <w:tabs>
                <w:tab w:val="center" w:pos="4513"/>
                <w:tab w:val="right" w:pos="9026"/>
              </w:tabs>
              <w:spacing w:after="0"/>
              <w:rPr>
                <w:rFonts w:ascii="Arial" w:hAnsi="Arial"/>
                <w:bCs/>
              </w:rPr>
            </w:pPr>
            <w:r w:rsidRPr="00791A09">
              <w:rPr>
                <w:rFonts w:ascii="Arial" w:hAnsi="Arial"/>
                <w:bCs/>
              </w:rPr>
              <w:t>No</w:t>
            </w:r>
          </w:p>
        </w:tc>
      </w:tr>
    </w:tbl>
    <w:p w14:paraId="53A35533" w14:textId="77777777" w:rsidR="000B1D0E" w:rsidRPr="00791A09" w:rsidRDefault="000B1D0E" w:rsidP="000B1D0E">
      <w:pPr>
        <w:spacing w:after="0" w:line="240" w:lineRule="auto"/>
        <w:rPr>
          <w:rFonts w:ascii="Arial" w:eastAsia="Times New Roman" w:hAnsi="Arial" w:cs="Times New Roman"/>
          <w:b/>
          <w:sz w:val="20"/>
          <w:szCs w:val="20"/>
        </w:rPr>
      </w:pPr>
    </w:p>
    <w:tbl>
      <w:tblPr>
        <w:tblStyle w:val="TableGrid"/>
        <w:tblpPr w:leftFromText="180" w:rightFromText="180" w:vertAnchor="text" w:horzAnchor="page" w:tblpX="1325" w:tblpY="-10"/>
        <w:tblOverlap w:val="never"/>
        <w:tblW w:w="9776" w:type="dxa"/>
        <w:tblLook w:val="04A0" w:firstRow="1" w:lastRow="0" w:firstColumn="1" w:lastColumn="0" w:noHBand="0" w:noVBand="1"/>
      </w:tblPr>
      <w:tblGrid>
        <w:gridCol w:w="1563"/>
        <w:gridCol w:w="1139"/>
        <w:gridCol w:w="4667"/>
        <w:gridCol w:w="2407"/>
      </w:tblGrid>
      <w:tr w:rsidR="000B1D0E" w:rsidRPr="00791A09" w14:paraId="3D724D75" w14:textId="77777777" w:rsidTr="001106E0">
        <w:trPr>
          <w:trHeight w:val="273"/>
        </w:trPr>
        <w:tc>
          <w:tcPr>
            <w:tcW w:w="1564"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3C085A7F" w14:textId="77777777" w:rsidR="000B1D0E" w:rsidRPr="00791A09" w:rsidRDefault="000B1D0E" w:rsidP="001106E0">
            <w:pPr>
              <w:tabs>
                <w:tab w:val="center" w:pos="4513"/>
                <w:tab w:val="right" w:pos="9026"/>
              </w:tabs>
              <w:spacing w:after="0"/>
              <w:rPr>
                <w:rFonts w:ascii="Arial" w:hAnsi="Arial"/>
                <w:b/>
                <w:bCs/>
              </w:rPr>
            </w:pPr>
            <w:r w:rsidRPr="00791A09">
              <w:rPr>
                <w:rFonts w:ascii="Arial" w:hAnsi="Arial"/>
                <w:b/>
                <w:bCs/>
              </w:rPr>
              <w:lastRenderedPageBreak/>
              <w:t>Indicator(s)</w:t>
            </w:r>
          </w:p>
        </w:tc>
        <w:tc>
          <w:tcPr>
            <w:tcW w:w="1129"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2784933A" w14:textId="77777777" w:rsidR="000B1D0E" w:rsidRPr="00791A09" w:rsidRDefault="000B1D0E" w:rsidP="001106E0">
            <w:pPr>
              <w:tabs>
                <w:tab w:val="center" w:pos="4513"/>
                <w:tab w:val="right" w:pos="9026"/>
              </w:tabs>
              <w:spacing w:after="0"/>
              <w:rPr>
                <w:rFonts w:ascii="Arial" w:hAnsi="Arial"/>
                <w:b/>
                <w:bCs/>
              </w:rPr>
            </w:pPr>
            <w:r w:rsidRPr="00791A09">
              <w:rPr>
                <w:rFonts w:ascii="Arial" w:hAnsi="Arial"/>
                <w:b/>
                <w:bCs/>
              </w:rPr>
              <w:t>Milestone 2023</w:t>
            </w:r>
            <w:r w:rsidRPr="00791A09">
              <w:rPr>
                <w:rStyle w:val="FootnoteReference"/>
                <w:rFonts w:ascii="Arial" w:hAnsi="Arial"/>
                <w:b/>
                <w:bCs/>
              </w:rPr>
              <w:footnoteReference w:id="7"/>
            </w:r>
          </w:p>
        </w:tc>
        <w:tc>
          <w:tcPr>
            <w:tcW w:w="4673"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2410F0CA" w14:textId="77777777" w:rsidR="000B1D0E" w:rsidRPr="00791A09" w:rsidRDefault="000B1D0E" w:rsidP="001106E0">
            <w:pPr>
              <w:tabs>
                <w:tab w:val="center" w:pos="4513"/>
                <w:tab w:val="right" w:pos="9026"/>
              </w:tabs>
              <w:spacing w:after="0"/>
              <w:rPr>
                <w:rFonts w:ascii="Arial" w:hAnsi="Arial"/>
                <w:b/>
                <w:bCs/>
              </w:rPr>
            </w:pPr>
            <w:r w:rsidRPr="00791A09">
              <w:rPr>
                <w:rFonts w:ascii="Arial" w:hAnsi="Arial"/>
                <w:b/>
                <w:bCs/>
              </w:rPr>
              <w:t>Progress summary for this review</w:t>
            </w:r>
          </w:p>
        </w:tc>
        <w:tc>
          <w:tcPr>
            <w:tcW w:w="241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8F22B42" w14:textId="77777777" w:rsidR="000B1D0E" w:rsidRPr="00791A09" w:rsidRDefault="000B1D0E" w:rsidP="001106E0">
            <w:pPr>
              <w:tabs>
                <w:tab w:val="center" w:pos="4513"/>
                <w:tab w:val="right" w:pos="9026"/>
              </w:tabs>
              <w:spacing w:after="0"/>
              <w:rPr>
                <w:rFonts w:ascii="Arial" w:hAnsi="Arial"/>
                <w:b/>
                <w:bCs/>
              </w:rPr>
            </w:pPr>
            <w:r w:rsidRPr="00791A09">
              <w:rPr>
                <w:rFonts w:ascii="Arial" w:hAnsi="Arial"/>
                <w:b/>
                <w:bCs/>
              </w:rPr>
              <w:t>Score</w:t>
            </w:r>
          </w:p>
        </w:tc>
      </w:tr>
      <w:tr w:rsidR="000B1D0E" w:rsidRPr="00791A09" w14:paraId="74E8D050" w14:textId="77777777" w:rsidTr="001106E0">
        <w:tc>
          <w:tcPr>
            <w:tcW w:w="1564" w:type="dxa"/>
            <w:tcBorders>
              <w:top w:val="single" w:sz="4" w:space="0" w:color="auto"/>
              <w:left w:val="single" w:sz="4" w:space="0" w:color="auto"/>
              <w:bottom w:val="single" w:sz="4" w:space="0" w:color="auto"/>
              <w:right w:val="single" w:sz="4" w:space="0" w:color="auto"/>
            </w:tcBorders>
          </w:tcPr>
          <w:p w14:paraId="65124A1C" w14:textId="77777777" w:rsidR="000B1D0E" w:rsidRPr="00791A09" w:rsidRDefault="000B1D0E" w:rsidP="001106E0">
            <w:pPr>
              <w:tabs>
                <w:tab w:val="center" w:pos="4513"/>
                <w:tab w:val="right" w:pos="9026"/>
              </w:tabs>
              <w:spacing w:after="0"/>
              <w:rPr>
                <w:rFonts w:ascii="Arial" w:hAnsi="Arial"/>
                <w:bCs/>
              </w:rPr>
            </w:pPr>
            <w:proofErr w:type="gramStart"/>
            <w:r w:rsidRPr="00791A09">
              <w:rPr>
                <w:rFonts w:ascii="Arial" w:hAnsi="Arial"/>
                <w:bCs/>
              </w:rPr>
              <w:t xml:space="preserve">3.1 </w:t>
            </w:r>
            <w:r w:rsidRPr="00791A09">
              <w:rPr>
                <w:rFonts w:ascii="Arial" w:hAnsi="Arial"/>
              </w:rPr>
              <w:t xml:space="preserve"> </w:t>
            </w:r>
            <w:r w:rsidRPr="00791A09">
              <w:rPr>
                <w:rFonts w:ascii="Arial" w:hAnsi="Arial"/>
                <w:bCs/>
              </w:rPr>
              <w:t>Number</w:t>
            </w:r>
            <w:proofErr w:type="gramEnd"/>
            <w:r w:rsidRPr="00791A09">
              <w:rPr>
                <w:rFonts w:ascii="Arial" w:hAnsi="Arial"/>
                <w:bCs/>
              </w:rPr>
              <w:t xml:space="preserve"> of Cities4Forests finance-focused technical advisory engagements that support </w:t>
            </w:r>
            <w:proofErr w:type="spellStart"/>
            <w:r w:rsidRPr="00791A09">
              <w:rPr>
                <w:rFonts w:ascii="Arial" w:hAnsi="Arial"/>
                <w:bCs/>
              </w:rPr>
              <w:t>N</w:t>
            </w:r>
            <w:r>
              <w:rPr>
                <w:rFonts w:ascii="Arial" w:hAnsi="Arial"/>
                <w:bCs/>
              </w:rPr>
              <w:t>b</w:t>
            </w:r>
            <w:r w:rsidRPr="00791A09">
              <w:rPr>
                <w:rFonts w:ascii="Arial" w:hAnsi="Arial"/>
                <w:bCs/>
              </w:rPr>
              <w:t>S</w:t>
            </w:r>
            <w:proofErr w:type="spellEnd"/>
            <w:r w:rsidRPr="00791A09">
              <w:rPr>
                <w:rFonts w:ascii="Arial" w:hAnsi="Arial"/>
                <w:bCs/>
              </w:rPr>
              <w:t xml:space="preserve"> projects</w:t>
            </w:r>
          </w:p>
        </w:tc>
        <w:tc>
          <w:tcPr>
            <w:tcW w:w="1129" w:type="dxa"/>
            <w:tcBorders>
              <w:top w:val="single" w:sz="4" w:space="0" w:color="auto"/>
              <w:left w:val="single" w:sz="4" w:space="0" w:color="auto"/>
              <w:bottom w:val="single" w:sz="4" w:space="0" w:color="auto"/>
              <w:right w:val="single" w:sz="4" w:space="0" w:color="auto"/>
            </w:tcBorders>
          </w:tcPr>
          <w:p w14:paraId="09B1EE64" w14:textId="77777777" w:rsidR="000B1D0E" w:rsidRPr="00791A09" w:rsidRDefault="000B1D0E" w:rsidP="001106E0">
            <w:pPr>
              <w:tabs>
                <w:tab w:val="center" w:pos="4513"/>
                <w:tab w:val="right" w:pos="9026"/>
              </w:tabs>
              <w:spacing w:after="0"/>
              <w:rPr>
                <w:rFonts w:ascii="Arial" w:hAnsi="Arial"/>
              </w:rPr>
            </w:pPr>
            <w:r w:rsidRPr="00791A09">
              <w:rPr>
                <w:rFonts w:ascii="Arial" w:hAnsi="Arial"/>
              </w:rPr>
              <w:t>8</w:t>
            </w:r>
          </w:p>
        </w:tc>
        <w:tc>
          <w:tcPr>
            <w:tcW w:w="4673" w:type="dxa"/>
            <w:tcBorders>
              <w:top w:val="single" w:sz="4" w:space="0" w:color="auto"/>
              <w:left w:val="single" w:sz="4" w:space="0" w:color="auto"/>
              <w:bottom w:val="single" w:sz="4" w:space="0" w:color="auto"/>
              <w:right w:val="single" w:sz="4" w:space="0" w:color="auto"/>
            </w:tcBorders>
          </w:tcPr>
          <w:p w14:paraId="0A131A1E" w14:textId="77777777" w:rsidR="000B1D0E" w:rsidRDefault="000B1D0E" w:rsidP="001106E0">
            <w:pPr>
              <w:spacing w:after="0" w:line="259" w:lineRule="auto"/>
              <w:rPr>
                <w:rFonts w:ascii="Arial" w:hAnsi="Arial"/>
              </w:rPr>
            </w:pPr>
          </w:p>
          <w:p w14:paraId="19DDB5AF" w14:textId="77777777" w:rsidR="000B1D0E" w:rsidRDefault="000B1D0E" w:rsidP="001106E0">
            <w:pPr>
              <w:spacing w:after="0" w:line="259" w:lineRule="auto"/>
              <w:rPr>
                <w:rFonts w:ascii="Arial" w:hAnsi="Arial"/>
              </w:rPr>
            </w:pPr>
            <w:r w:rsidRPr="00B16C23">
              <w:rPr>
                <w:rFonts w:ascii="Arial" w:hAnsi="Arial"/>
              </w:rPr>
              <w:t xml:space="preserve">Cities4Forests has led </w:t>
            </w:r>
            <w:r w:rsidRPr="00F229A8">
              <w:rPr>
                <w:rFonts w:ascii="Arial" w:hAnsi="Arial"/>
                <w:b/>
              </w:rPr>
              <w:t>14 finance-focused technical advisory engagements</w:t>
            </w:r>
            <w:r w:rsidRPr="00B16C23">
              <w:rPr>
                <w:rFonts w:ascii="Arial" w:hAnsi="Arial"/>
              </w:rPr>
              <w:t xml:space="preserve">, including webinars, workshops, and panel discussions during this reporting period, including 3 highlighted in the annual report. </w:t>
            </w:r>
            <w:r>
              <w:rPr>
                <w:rFonts w:ascii="Arial" w:hAnsi="Arial"/>
              </w:rPr>
              <w:t>O</w:t>
            </w:r>
            <w:r w:rsidRPr="00B16C23">
              <w:rPr>
                <w:rFonts w:ascii="Arial" w:hAnsi="Arial"/>
              </w:rPr>
              <w:t xml:space="preserve">n these occasions, Cities4Forests brought together </w:t>
            </w:r>
            <w:proofErr w:type="spellStart"/>
            <w:r w:rsidRPr="00B16C23">
              <w:rPr>
                <w:rFonts w:ascii="Arial" w:hAnsi="Arial"/>
              </w:rPr>
              <w:t>N</w:t>
            </w:r>
            <w:r>
              <w:rPr>
                <w:rFonts w:ascii="Arial" w:hAnsi="Arial"/>
              </w:rPr>
              <w:t>b</w:t>
            </w:r>
            <w:r w:rsidRPr="00B16C23">
              <w:rPr>
                <w:rFonts w:ascii="Arial" w:hAnsi="Arial"/>
              </w:rPr>
              <w:t>S</w:t>
            </w:r>
            <w:proofErr w:type="spellEnd"/>
            <w:r w:rsidRPr="00B16C23">
              <w:rPr>
                <w:rFonts w:ascii="Arial" w:hAnsi="Arial"/>
              </w:rPr>
              <w:t xml:space="preserve"> practitioners, project developers, city officials, investors, and other key stakeholders to help catalyse and unlock large-scale investments for </w:t>
            </w:r>
            <w:proofErr w:type="spellStart"/>
            <w:r w:rsidRPr="00B16C23">
              <w:rPr>
                <w:rFonts w:ascii="Arial" w:hAnsi="Arial"/>
              </w:rPr>
              <w:t>N</w:t>
            </w:r>
            <w:r>
              <w:rPr>
                <w:rFonts w:ascii="Arial" w:hAnsi="Arial"/>
              </w:rPr>
              <w:t>b</w:t>
            </w:r>
            <w:r w:rsidRPr="00B16C23">
              <w:rPr>
                <w:rFonts w:ascii="Arial" w:hAnsi="Arial"/>
              </w:rPr>
              <w:t>S</w:t>
            </w:r>
            <w:proofErr w:type="spellEnd"/>
            <w:r w:rsidRPr="00B16C23">
              <w:rPr>
                <w:rFonts w:ascii="Arial" w:hAnsi="Arial"/>
              </w:rPr>
              <w:t>.</w:t>
            </w:r>
          </w:p>
          <w:p w14:paraId="698FCAAC" w14:textId="77777777" w:rsidR="000B1D0E" w:rsidRPr="00791A09" w:rsidRDefault="000B1D0E" w:rsidP="001106E0">
            <w:pPr>
              <w:spacing w:after="0" w:line="259" w:lineRule="auto"/>
              <w:rPr>
                <w:rFonts w:ascii="Arial" w:hAnsi="Arial"/>
              </w:rPr>
            </w:pPr>
          </w:p>
        </w:tc>
        <w:tc>
          <w:tcPr>
            <w:tcW w:w="2410" w:type="dxa"/>
            <w:tcBorders>
              <w:top w:val="single" w:sz="4" w:space="0" w:color="auto"/>
              <w:left w:val="single" w:sz="4" w:space="0" w:color="auto"/>
              <w:bottom w:val="single" w:sz="4" w:space="0" w:color="auto"/>
              <w:right w:val="single" w:sz="4" w:space="0" w:color="auto"/>
            </w:tcBorders>
          </w:tcPr>
          <w:p w14:paraId="4C5F08FE" w14:textId="77777777" w:rsidR="000B1D0E" w:rsidRPr="00791A09" w:rsidRDefault="000B1D0E" w:rsidP="001106E0">
            <w:pPr>
              <w:tabs>
                <w:tab w:val="center" w:pos="4513"/>
                <w:tab w:val="right" w:pos="9026"/>
              </w:tabs>
              <w:spacing w:after="0"/>
              <w:rPr>
                <w:rFonts w:ascii="Arial" w:hAnsi="Arial"/>
                <w:bCs/>
              </w:rPr>
            </w:pPr>
            <w:r>
              <w:rPr>
                <w:rFonts w:ascii="Arial" w:hAnsi="Arial"/>
                <w:bCs/>
              </w:rPr>
              <w:t>A</w:t>
            </w:r>
          </w:p>
        </w:tc>
      </w:tr>
      <w:tr w:rsidR="000B1D0E" w:rsidRPr="00791A09" w14:paraId="4325A907" w14:textId="77777777" w:rsidTr="001106E0">
        <w:tc>
          <w:tcPr>
            <w:tcW w:w="1564" w:type="dxa"/>
            <w:tcBorders>
              <w:top w:val="single" w:sz="4" w:space="0" w:color="auto"/>
              <w:left w:val="single" w:sz="4" w:space="0" w:color="auto"/>
              <w:bottom w:val="single" w:sz="4" w:space="0" w:color="auto"/>
              <w:right w:val="single" w:sz="4" w:space="0" w:color="auto"/>
            </w:tcBorders>
          </w:tcPr>
          <w:p w14:paraId="228C7750" w14:textId="77777777" w:rsidR="000B1D0E" w:rsidRPr="00791A09" w:rsidRDefault="000B1D0E" w:rsidP="001106E0">
            <w:pPr>
              <w:tabs>
                <w:tab w:val="center" w:pos="4513"/>
                <w:tab w:val="right" w:pos="9026"/>
              </w:tabs>
              <w:spacing w:after="0"/>
              <w:rPr>
                <w:rFonts w:ascii="Arial" w:hAnsi="Arial"/>
                <w:bCs/>
              </w:rPr>
            </w:pPr>
            <w:proofErr w:type="gramStart"/>
            <w:r w:rsidRPr="00791A09">
              <w:rPr>
                <w:rFonts w:ascii="Arial" w:hAnsi="Arial"/>
                <w:bCs/>
              </w:rPr>
              <w:t xml:space="preserve">3.2 </w:t>
            </w:r>
            <w:r w:rsidRPr="00791A09">
              <w:rPr>
                <w:rFonts w:ascii="Arial" w:hAnsi="Arial"/>
              </w:rPr>
              <w:t xml:space="preserve"> </w:t>
            </w:r>
            <w:r w:rsidRPr="00791A09">
              <w:rPr>
                <w:rFonts w:ascii="Arial" w:hAnsi="Arial"/>
                <w:bCs/>
              </w:rPr>
              <w:t>Number</w:t>
            </w:r>
            <w:proofErr w:type="gramEnd"/>
            <w:r w:rsidRPr="00791A09">
              <w:rPr>
                <w:rFonts w:ascii="Arial" w:hAnsi="Arial"/>
                <w:bCs/>
              </w:rPr>
              <w:t xml:space="preserve"> of institutions with revised or updated financial strategies / commitments for supporting </w:t>
            </w:r>
            <w:proofErr w:type="spellStart"/>
            <w:r w:rsidRPr="00791A09">
              <w:rPr>
                <w:rFonts w:ascii="Arial" w:hAnsi="Arial"/>
                <w:bCs/>
              </w:rPr>
              <w:t>N</w:t>
            </w:r>
            <w:r>
              <w:rPr>
                <w:rFonts w:ascii="Arial" w:hAnsi="Arial"/>
                <w:bCs/>
              </w:rPr>
              <w:t>b</w:t>
            </w:r>
            <w:r w:rsidRPr="00791A09">
              <w:rPr>
                <w:rFonts w:ascii="Arial" w:hAnsi="Arial"/>
                <w:bCs/>
              </w:rPr>
              <w:t>S</w:t>
            </w:r>
            <w:proofErr w:type="spellEnd"/>
            <w:r w:rsidRPr="00791A09">
              <w:rPr>
                <w:rFonts w:ascii="Arial" w:hAnsi="Arial"/>
                <w:bCs/>
              </w:rPr>
              <w:t xml:space="preserve"> as a result of Cities4Forests</w:t>
            </w:r>
          </w:p>
        </w:tc>
        <w:tc>
          <w:tcPr>
            <w:tcW w:w="1129" w:type="dxa"/>
            <w:tcBorders>
              <w:top w:val="single" w:sz="4" w:space="0" w:color="auto"/>
              <w:left w:val="single" w:sz="4" w:space="0" w:color="auto"/>
              <w:bottom w:val="single" w:sz="4" w:space="0" w:color="auto"/>
              <w:right w:val="single" w:sz="4" w:space="0" w:color="auto"/>
            </w:tcBorders>
          </w:tcPr>
          <w:p w14:paraId="01CA016C" w14:textId="77777777" w:rsidR="000B1D0E" w:rsidRPr="00791A09" w:rsidRDefault="000B1D0E" w:rsidP="001106E0">
            <w:pPr>
              <w:tabs>
                <w:tab w:val="center" w:pos="4513"/>
                <w:tab w:val="right" w:pos="9026"/>
              </w:tabs>
              <w:spacing w:after="0"/>
              <w:rPr>
                <w:rFonts w:ascii="Arial" w:hAnsi="Arial"/>
                <w:bCs/>
              </w:rPr>
            </w:pPr>
            <w:r w:rsidRPr="00791A09">
              <w:rPr>
                <w:rFonts w:ascii="Arial" w:hAnsi="Arial"/>
                <w:bCs/>
              </w:rPr>
              <w:t>3</w:t>
            </w:r>
          </w:p>
        </w:tc>
        <w:tc>
          <w:tcPr>
            <w:tcW w:w="4673" w:type="dxa"/>
            <w:tcBorders>
              <w:top w:val="single" w:sz="4" w:space="0" w:color="auto"/>
              <w:left w:val="single" w:sz="4" w:space="0" w:color="auto"/>
              <w:bottom w:val="single" w:sz="4" w:space="0" w:color="auto"/>
              <w:right w:val="single" w:sz="4" w:space="0" w:color="auto"/>
            </w:tcBorders>
          </w:tcPr>
          <w:p w14:paraId="3DA5390B" w14:textId="77777777" w:rsidR="000B1D0E" w:rsidRDefault="000B1D0E" w:rsidP="001106E0">
            <w:pPr>
              <w:tabs>
                <w:tab w:val="center" w:pos="4513"/>
                <w:tab w:val="right" w:pos="9026"/>
              </w:tabs>
              <w:spacing w:after="0"/>
              <w:rPr>
                <w:rFonts w:ascii="Arial" w:eastAsia="Arial" w:hAnsi="Arial" w:cs="Arial"/>
              </w:rPr>
            </w:pPr>
          </w:p>
          <w:p w14:paraId="068A264E" w14:textId="77777777" w:rsidR="000B1D0E" w:rsidRDefault="000B1D0E" w:rsidP="001106E0">
            <w:pPr>
              <w:tabs>
                <w:tab w:val="center" w:pos="4513"/>
                <w:tab w:val="right" w:pos="9026"/>
              </w:tabs>
              <w:spacing w:after="0"/>
              <w:rPr>
                <w:rFonts w:ascii="Arial" w:hAnsi="Arial" w:cs="Arial"/>
              </w:rPr>
            </w:pPr>
            <w:r w:rsidRPr="00B16C23">
              <w:rPr>
                <w:rFonts w:ascii="Arial" w:hAnsi="Arial" w:cs="Arial"/>
              </w:rPr>
              <w:t xml:space="preserve">Cities4Forests has </w:t>
            </w:r>
            <w:r w:rsidRPr="00F229A8">
              <w:rPr>
                <w:rFonts w:ascii="Arial" w:hAnsi="Arial" w:cs="Arial"/>
                <w:b/>
              </w:rPr>
              <w:t xml:space="preserve">supported 9 institutions to revise or update their financial strategies / commitments for </w:t>
            </w:r>
            <w:proofErr w:type="spellStart"/>
            <w:r w:rsidRPr="00F229A8">
              <w:rPr>
                <w:rFonts w:ascii="Arial" w:hAnsi="Arial" w:cs="Arial"/>
                <w:b/>
              </w:rPr>
              <w:t>NbS</w:t>
            </w:r>
            <w:proofErr w:type="spellEnd"/>
            <w:r w:rsidRPr="00B16C23">
              <w:rPr>
                <w:rFonts w:ascii="Arial" w:hAnsi="Arial" w:cs="Arial"/>
              </w:rPr>
              <w:t xml:space="preserve">. This includes supporting cities in the Global South to blueprint strategies to generate cash flows from nature protection and restoration. </w:t>
            </w:r>
            <w:r w:rsidRPr="00913121">
              <w:rPr>
                <w:rFonts w:ascii="Arial" w:hAnsi="Arial" w:cs="Arial"/>
              </w:rPr>
              <w:t>Cities4Forests</w:t>
            </w:r>
            <w:r w:rsidRPr="00B16C23">
              <w:rPr>
                <w:rFonts w:ascii="Arial" w:hAnsi="Arial" w:cs="Arial"/>
              </w:rPr>
              <w:t xml:space="preserve"> engaged with M</w:t>
            </w:r>
            <w:r>
              <w:rPr>
                <w:rFonts w:ascii="Arial" w:hAnsi="Arial" w:cs="Arial"/>
              </w:rPr>
              <w:t xml:space="preserve">ultilateral </w:t>
            </w:r>
            <w:r w:rsidRPr="00B16C23">
              <w:rPr>
                <w:rFonts w:ascii="Arial" w:hAnsi="Arial" w:cs="Arial"/>
              </w:rPr>
              <w:t>D</w:t>
            </w:r>
            <w:r>
              <w:rPr>
                <w:rFonts w:ascii="Arial" w:hAnsi="Arial" w:cs="Arial"/>
              </w:rPr>
              <w:t xml:space="preserve">evelopment </w:t>
            </w:r>
            <w:r w:rsidRPr="00B16C23">
              <w:rPr>
                <w:rFonts w:ascii="Arial" w:hAnsi="Arial" w:cs="Arial"/>
              </w:rPr>
              <w:t>B</w:t>
            </w:r>
            <w:r>
              <w:rPr>
                <w:rFonts w:ascii="Arial" w:hAnsi="Arial" w:cs="Arial"/>
              </w:rPr>
              <w:t>ank</w:t>
            </w:r>
            <w:r w:rsidRPr="00B16C23">
              <w:rPr>
                <w:rFonts w:ascii="Arial" w:hAnsi="Arial" w:cs="Arial"/>
              </w:rPr>
              <w:t xml:space="preserve">s </w:t>
            </w:r>
            <w:r>
              <w:rPr>
                <w:rFonts w:ascii="Arial" w:hAnsi="Arial" w:cs="Arial"/>
              </w:rPr>
              <w:t xml:space="preserve">(MDBs) </w:t>
            </w:r>
            <w:r w:rsidRPr="00B16C23">
              <w:rPr>
                <w:rFonts w:ascii="Arial" w:hAnsi="Arial" w:cs="Arial"/>
              </w:rPr>
              <w:t>to accelerate nature mainstreaming into operations and investments. Cities4Forests also published finance-focused publications such as Financing Sustainable Watershed Management in Ethiopia</w:t>
            </w:r>
            <w:r>
              <w:rPr>
                <w:rFonts w:ascii="Arial" w:hAnsi="Arial" w:cs="Arial"/>
              </w:rPr>
              <w:t xml:space="preserve"> </w:t>
            </w:r>
            <w:r w:rsidRPr="00B16C23">
              <w:rPr>
                <w:rFonts w:ascii="Arial" w:hAnsi="Arial" w:cs="Arial"/>
              </w:rPr>
              <w:t>and Natural Infrastructure in Campinas’ Water System. Follow up work will create promising opportunities for influence in updating financial strategies and commitments in various institutions.</w:t>
            </w:r>
          </w:p>
          <w:p w14:paraId="7CEC3781" w14:textId="77777777" w:rsidR="000B1D0E" w:rsidRPr="00791A09" w:rsidRDefault="000B1D0E" w:rsidP="001106E0">
            <w:pPr>
              <w:tabs>
                <w:tab w:val="center" w:pos="4513"/>
                <w:tab w:val="right" w:pos="9026"/>
              </w:tabs>
              <w:spacing w:after="0"/>
              <w:rPr>
                <w:rFonts w:ascii="Arial" w:hAnsi="Arial" w:cs="Arial"/>
              </w:rPr>
            </w:pPr>
          </w:p>
        </w:tc>
        <w:tc>
          <w:tcPr>
            <w:tcW w:w="2410" w:type="dxa"/>
            <w:tcBorders>
              <w:top w:val="single" w:sz="4" w:space="0" w:color="auto"/>
              <w:left w:val="single" w:sz="4" w:space="0" w:color="auto"/>
              <w:bottom w:val="single" w:sz="4" w:space="0" w:color="auto"/>
              <w:right w:val="single" w:sz="4" w:space="0" w:color="auto"/>
            </w:tcBorders>
          </w:tcPr>
          <w:p w14:paraId="0D1A4069" w14:textId="77777777" w:rsidR="000B1D0E" w:rsidRPr="00791A09" w:rsidRDefault="000B1D0E" w:rsidP="001106E0">
            <w:pPr>
              <w:tabs>
                <w:tab w:val="center" w:pos="4513"/>
                <w:tab w:val="right" w:pos="9026"/>
              </w:tabs>
              <w:spacing w:after="0"/>
              <w:rPr>
                <w:rFonts w:ascii="Arial" w:hAnsi="Arial"/>
                <w:bCs/>
              </w:rPr>
            </w:pPr>
            <w:r>
              <w:rPr>
                <w:rFonts w:ascii="Arial" w:hAnsi="Arial"/>
                <w:bCs/>
              </w:rPr>
              <w:t>A+</w:t>
            </w:r>
          </w:p>
        </w:tc>
      </w:tr>
    </w:tbl>
    <w:p w14:paraId="16D243D1" w14:textId="77777777" w:rsidR="000B1D0E" w:rsidRPr="00791A09" w:rsidRDefault="000B1D0E" w:rsidP="000B1D0E">
      <w:pPr>
        <w:spacing w:after="0" w:line="240" w:lineRule="auto"/>
        <w:jc w:val="both"/>
        <w:rPr>
          <w:rFonts w:ascii="Arial" w:eastAsia="Times New Roman" w:hAnsi="Arial" w:cs="Arial"/>
          <w:b/>
          <w:bCs/>
          <w:sz w:val="20"/>
          <w:szCs w:val="20"/>
        </w:rPr>
      </w:pPr>
    </w:p>
    <w:p w14:paraId="1B806D56" w14:textId="77777777" w:rsidR="000B1D0E" w:rsidRPr="00791A09" w:rsidRDefault="000B1D0E" w:rsidP="000B1D0E">
      <w:pPr>
        <w:spacing w:after="0" w:line="240" w:lineRule="auto"/>
        <w:jc w:val="both"/>
        <w:rPr>
          <w:rFonts w:ascii="Arial" w:eastAsia="Times New Roman" w:hAnsi="Arial" w:cs="Arial"/>
          <w:sz w:val="20"/>
          <w:szCs w:val="20"/>
        </w:rPr>
      </w:pPr>
      <w:r w:rsidRPr="00791A09">
        <w:rPr>
          <w:rFonts w:ascii="Arial" w:eastAsia="Times New Roman" w:hAnsi="Arial" w:cs="Arial"/>
          <w:b/>
          <w:bCs/>
          <w:sz w:val="20"/>
          <w:szCs w:val="20"/>
        </w:rPr>
        <w:t xml:space="preserve">Briefly describe the output’s activities and provide supporting narrative for the score. </w:t>
      </w:r>
    </w:p>
    <w:p w14:paraId="28EF4FDD" w14:textId="77777777" w:rsidR="000B1D0E" w:rsidRPr="00791A09" w:rsidRDefault="000B1D0E" w:rsidP="000B1D0E">
      <w:pPr>
        <w:spacing w:after="0" w:line="240" w:lineRule="auto"/>
        <w:jc w:val="both"/>
        <w:rPr>
          <w:rFonts w:ascii="Arial" w:eastAsia="Times New Roman" w:hAnsi="Arial" w:cs="Arial"/>
          <w:sz w:val="20"/>
          <w:szCs w:val="20"/>
        </w:rPr>
      </w:pPr>
    </w:p>
    <w:p w14:paraId="7FD7A008" w14:textId="77777777" w:rsidR="000B1D0E" w:rsidRPr="00791A09" w:rsidRDefault="000B1D0E" w:rsidP="000B1D0E">
      <w:pPr>
        <w:spacing w:after="0" w:line="240" w:lineRule="auto"/>
        <w:jc w:val="both"/>
        <w:rPr>
          <w:rFonts w:ascii="Arial" w:eastAsia="Times New Roman" w:hAnsi="Arial" w:cs="Arial"/>
          <w:sz w:val="20"/>
          <w:szCs w:val="20"/>
        </w:rPr>
      </w:pPr>
      <w:r w:rsidRPr="00791A09">
        <w:rPr>
          <w:rFonts w:ascii="Arial" w:eastAsia="Times New Roman" w:hAnsi="Arial" w:cs="Arial"/>
          <w:sz w:val="20"/>
          <w:szCs w:val="20"/>
        </w:rPr>
        <w:t>Cities4Forests has organi</w:t>
      </w:r>
      <w:r>
        <w:rPr>
          <w:rFonts w:ascii="Arial" w:eastAsia="Times New Roman" w:hAnsi="Arial" w:cs="Arial"/>
          <w:sz w:val="20"/>
          <w:szCs w:val="20"/>
        </w:rPr>
        <w:t>s</w:t>
      </w:r>
      <w:r w:rsidRPr="00791A09">
        <w:rPr>
          <w:rFonts w:ascii="Arial" w:eastAsia="Times New Roman" w:hAnsi="Arial" w:cs="Arial"/>
          <w:sz w:val="20"/>
          <w:szCs w:val="20"/>
        </w:rPr>
        <w:t xml:space="preserve">ed and hosted </w:t>
      </w:r>
      <w:r>
        <w:rPr>
          <w:rFonts w:ascii="Arial" w:eastAsia="Times New Roman" w:hAnsi="Arial" w:cs="Arial"/>
          <w:sz w:val="20"/>
          <w:szCs w:val="20"/>
        </w:rPr>
        <w:t xml:space="preserve">14 </w:t>
      </w:r>
      <w:r w:rsidRPr="00791A09">
        <w:rPr>
          <w:rFonts w:ascii="Arial" w:eastAsia="Times New Roman" w:hAnsi="Arial" w:cs="Arial"/>
          <w:sz w:val="20"/>
          <w:szCs w:val="20"/>
        </w:rPr>
        <w:t xml:space="preserve">global and regional finance-focused technical advisory engagements </w:t>
      </w:r>
      <w:r>
        <w:rPr>
          <w:rFonts w:ascii="Arial" w:eastAsia="Times New Roman" w:hAnsi="Arial" w:cs="Arial"/>
          <w:sz w:val="20"/>
          <w:szCs w:val="20"/>
        </w:rPr>
        <w:t>since the beginning of Defra’s investment</w:t>
      </w:r>
      <w:r w:rsidRPr="00791A09">
        <w:rPr>
          <w:rFonts w:ascii="Arial" w:eastAsia="Times New Roman" w:hAnsi="Arial" w:cs="Arial"/>
          <w:sz w:val="20"/>
          <w:szCs w:val="20"/>
        </w:rPr>
        <w:t xml:space="preserve"> and supported organizations with their financial strategies for </w:t>
      </w:r>
      <w:proofErr w:type="spellStart"/>
      <w:r w:rsidRPr="00791A09">
        <w:rPr>
          <w:rFonts w:ascii="Arial" w:eastAsia="Times New Roman" w:hAnsi="Arial" w:cs="Arial"/>
          <w:sz w:val="20"/>
          <w:szCs w:val="20"/>
        </w:rPr>
        <w:t>NbS</w:t>
      </w:r>
      <w:proofErr w:type="spellEnd"/>
      <w:r w:rsidRPr="00791A09">
        <w:rPr>
          <w:rFonts w:ascii="Arial" w:eastAsia="Times New Roman" w:hAnsi="Arial" w:cs="Arial"/>
          <w:sz w:val="20"/>
          <w:szCs w:val="20"/>
        </w:rPr>
        <w:t>. For example:</w:t>
      </w:r>
    </w:p>
    <w:p w14:paraId="0E234F71" w14:textId="77777777" w:rsidR="000B1D0E" w:rsidRPr="00791A09" w:rsidRDefault="000B1D0E" w:rsidP="000B1D0E">
      <w:pPr>
        <w:pStyle w:val="ListParagraph"/>
        <w:numPr>
          <w:ilvl w:val="0"/>
          <w:numId w:val="16"/>
        </w:numPr>
        <w:spacing w:after="0" w:line="240" w:lineRule="auto"/>
        <w:jc w:val="both"/>
        <w:rPr>
          <w:rFonts w:ascii="Arial" w:eastAsia="Arial" w:hAnsi="Arial" w:cs="Arial"/>
          <w:sz w:val="20"/>
          <w:szCs w:val="20"/>
        </w:rPr>
      </w:pPr>
      <w:r w:rsidRPr="00791A09">
        <w:rPr>
          <w:rFonts w:ascii="Arial" w:eastAsia="Times New Roman" w:hAnsi="Arial" w:cs="Arial"/>
          <w:sz w:val="20"/>
          <w:szCs w:val="20"/>
        </w:rPr>
        <w:t>In Latin America, Cities4Forests organi</w:t>
      </w:r>
      <w:r>
        <w:rPr>
          <w:rFonts w:ascii="Arial" w:eastAsia="Times New Roman" w:hAnsi="Arial" w:cs="Arial"/>
          <w:sz w:val="20"/>
          <w:szCs w:val="20"/>
        </w:rPr>
        <w:t>s</w:t>
      </w:r>
      <w:r w:rsidRPr="00791A09">
        <w:rPr>
          <w:rFonts w:ascii="Arial" w:eastAsia="Times New Roman" w:hAnsi="Arial" w:cs="Arial"/>
          <w:sz w:val="20"/>
          <w:szCs w:val="20"/>
        </w:rPr>
        <w:t xml:space="preserve">ed </w:t>
      </w:r>
      <w:r>
        <w:rPr>
          <w:rFonts w:ascii="Arial" w:eastAsia="Times New Roman" w:hAnsi="Arial" w:cs="Arial"/>
          <w:sz w:val="20"/>
          <w:szCs w:val="20"/>
        </w:rPr>
        <w:t>two</w:t>
      </w:r>
      <w:r w:rsidRPr="00791A09">
        <w:rPr>
          <w:rFonts w:ascii="Arial" w:eastAsia="Times New Roman" w:hAnsi="Arial" w:cs="Arial"/>
          <w:sz w:val="20"/>
          <w:szCs w:val="20"/>
        </w:rPr>
        <w:t xml:space="preserve"> community of practice sessions on innovating </w:t>
      </w:r>
      <w:proofErr w:type="spellStart"/>
      <w:r w:rsidRPr="00791A09">
        <w:rPr>
          <w:rFonts w:ascii="Arial" w:eastAsia="Times New Roman" w:hAnsi="Arial" w:cs="Arial"/>
          <w:sz w:val="20"/>
          <w:szCs w:val="20"/>
        </w:rPr>
        <w:t>NbS</w:t>
      </w:r>
      <w:proofErr w:type="spellEnd"/>
      <w:r w:rsidRPr="00791A09">
        <w:rPr>
          <w:rFonts w:ascii="Arial" w:eastAsia="Times New Roman" w:hAnsi="Arial" w:cs="Arial"/>
          <w:sz w:val="20"/>
          <w:szCs w:val="20"/>
        </w:rPr>
        <w:t xml:space="preserve"> financing strategies with project developers, national and subnational governments, utilities, academia, and NGO representatives from over</w:t>
      </w:r>
      <w:r>
        <w:rPr>
          <w:rFonts w:ascii="Arial" w:eastAsia="Times New Roman" w:hAnsi="Arial" w:cs="Arial"/>
          <w:sz w:val="20"/>
          <w:szCs w:val="20"/>
        </w:rPr>
        <w:t xml:space="preserve"> </w:t>
      </w:r>
      <w:r w:rsidRPr="00791A09">
        <w:rPr>
          <w:rFonts w:ascii="Arial" w:eastAsia="Times New Roman" w:hAnsi="Arial" w:cs="Arial"/>
          <w:sz w:val="20"/>
          <w:szCs w:val="20"/>
        </w:rPr>
        <w:t xml:space="preserve">18 countries in Latin America and the Caribbean. </w:t>
      </w:r>
      <w:r w:rsidRPr="00791A09" w:rsidDel="46EBB198">
        <w:rPr>
          <w:rFonts w:ascii="Arial" w:eastAsia="Times New Roman" w:hAnsi="Arial" w:cs="Arial"/>
          <w:sz w:val="20"/>
          <w:szCs w:val="20"/>
        </w:rPr>
        <w:t xml:space="preserve"> </w:t>
      </w:r>
      <w:r w:rsidRPr="00791A09">
        <w:rPr>
          <w:rFonts w:ascii="Arial" w:eastAsia="Times New Roman" w:hAnsi="Arial" w:cs="Arial"/>
          <w:sz w:val="20"/>
          <w:szCs w:val="20"/>
        </w:rPr>
        <w:t xml:space="preserve">These engagements </w:t>
      </w:r>
      <w:r w:rsidRPr="00791A09" w:rsidDel="46EBB198">
        <w:rPr>
          <w:rFonts w:ascii="Arial" w:eastAsia="Times New Roman" w:hAnsi="Arial" w:cs="Arial"/>
          <w:sz w:val="20"/>
          <w:szCs w:val="20"/>
        </w:rPr>
        <w:t xml:space="preserve">focused on increasing understanding about why and how to invest in </w:t>
      </w:r>
      <w:proofErr w:type="spellStart"/>
      <w:r w:rsidRPr="00791A09" w:rsidDel="46EBB198">
        <w:rPr>
          <w:rFonts w:ascii="Arial" w:eastAsia="Times New Roman" w:hAnsi="Arial" w:cs="Arial"/>
          <w:sz w:val="20"/>
          <w:szCs w:val="20"/>
        </w:rPr>
        <w:t>NbS</w:t>
      </w:r>
      <w:proofErr w:type="spellEnd"/>
      <w:r w:rsidRPr="00791A09" w:rsidDel="46EBB198">
        <w:rPr>
          <w:rFonts w:ascii="Arial" w:eastAsia="Times New Roman" w:hAnsi="Arial" w:cs="Arial"/>
          <w:sz w:val="20"/>
          <w:szCs w:val="20"/>
        </w:rPr>
        <w:t xml:space="preserve"> for climate resilience and how to effectively articulate an economic business case.  </w:t>
      </w:r>
      <w:r w:rsidRPr="00791A09">
        <w:rPr>
          <w:rFonts w:ascii="Arial" w:eastAsia="Times New Roman" w:hAnsi="Arial" w:cs="Arial"/>
          <w:sz w:val="20"/>
          <w:szCs w:val="20"/>
        </w:rPr>
        <w:t xml:space="preserve">They </w:t>
      </w:r>
      <w:r w:rsidRPr="00791A09" w:rsidDel="46EBB198">
        <w:rPr>
          <w:rFonts w:ascii="Arial" w:eastAsia="Times New Roman" w:hAnsi="Arial" w:cs="Arial"/>
          <w:sz w:val="20"/>
          <w:szCs w:val="20"/>
        </w:rPr>
        <w:t xml:space="preserve">brought together project developers that have attempted novel financing strategies, </w:t>
      </w:r>
      <w:proofErr w:type="gramStart"/>
      <w:r w:rsidRPr="00791A09" w:rsidDel="46EBB198">
        <w:rPr>
          <w:rFonts w:ascii="Arial" w:eastAsia="Times New Roman" w:hAnsi="Arial" w:cs="Arial"/>
          <w:sz w:val="20"/>
          <w:szCs w:val="20"/>
        </w:rPr>
        <w:t>investors</w:t>
      </w:r>
      <w:proofErr w:type="gramEnd"/>
      <w:r w:rsidRPr="00791A09" w:rsidDel="46EBB198">
        <w:rPr>
          <w:rFonts w:ascii="Arial" w:eastAsia="Times New Roman" w:hAnsi="Arial" w:cs="Arial"/>
          <w:sz w:val="20"/>
          <w:szCs w:val="20"/>
        </w:rPr>
        <w:t xml:space="preserve"> and donors with commitments to </w:t>
      </w:r>
      <w:proofErr w:type="spellStart"/>
      <w:r w:rsidRPr="00791A09" w:rsidDel="46EBB198">
        <w:rPr>
          <w:rFonts w:ascii="Arial" w:eastAsia="Times New Roman" w:hAnsi="Arial" w:cs="Arial"/>
          <w:sz w:val="20"/>
          <w:szCs w:val="20"/>
        </w:rPr>
        <w:t>NbS</w:t>
      </w:r>
      <w:proofErr w:type="spellEnd"/>
      <w:r w:rsidRPr="00791A09" w:rsidDel="46EBB198">
        <w:rPr>
          <w:rFonts w:ascii="Arial" w:eastAsia="Times New Roman" w:hAnsi="Arial" w:cs="Arial"/>
          <w:sz w:val="20"/>
          <w:szCs w:val="20"/>
        </w:rPr>
        <w:t xml:space="preserve"> and impact and mission-driven funders seeking to scale blended financing approaches. </w:t>
      </w:r>
      <w:r w:rsidRPr="00791A09">
        <w:rPr>
          <w:rFonts w:ascii="Arial" w:eastAsia="Times New Roman" w:hAnsi="Arial" w:cs="Arial"/>
          <w:sz w:val="20"/>
          <w:szCs w:val="20"/>
        </w:rPr>
        <w:t xml:space="preserve"> </w:t>
      </w:r>
    </w:p>
    <w:p w14:paraId="7BAB5154" w14:textId="77777777" w:rsidR="000B1D0E" w:rsidRPr="00791A09" w:rsidRDefault="000B1D0E" w:rsidP="000B1D0E">
      <w:pPr>
        <w:pStyle w:val="ListParagraph"/>
        <w:numPr>
          <w:ilvl w:val="0"/>
          <w:numId w:val="16"/>
        </w:numPr>
        <w:jc w:val="both"/>
        <w:rPr>
          <w:rFonts w:ascii="Arial" w:eastAsia="Arial" w:hAnsi="Arial" w:cs="Arial"/>
          <w:sz w:val="20"/>
          <w:szCs w:val="20"/>
        </w:rPr>
      </w:pPr>
      <w:r w:rsidRPr="00791A09">
        <w:rPr>
          <w:rFonts w:ascii="Arial" w:eastAsia="Times New Roman" w:hAnsi="Arial" w:cs="Arial"/>
          <w:sz w:val="20"/>
          <w:szCs w:val="20"/>
        </w:rPr>
        <w:t xml:space="preserve">In Ethiopia, Cities4Forests has been working on unlocking finance for </w:t>
      </w:r>
      <w:proofErr w:type="spellStart"/>
      <w:r w:rsidRPr="00791A09">
        <w:rPr>
          <w:rFonts w:ascii="Arial" w:eastAsia="Times New Roman" w:hAnsi="Arial" w:cs="Arial"/>
          <w:sz w:val="20"/>
          <w:szCs w:val="20"/>
        </w:rPr>
        <w:t>NbS</w:t>
      </w:r>
      <w:proofErr w:type="spellEnd"/>
      <w:r w:rsidRPr="00791A09">
        <w:rPr>
          <w:rFonts w:ascii="Arial" w:eastAsia="Times New Roman" w:hAnsi="Arial" w:cs="Arial"/>
          <w:sz w:val="20"/>
          <w:szCs w:val="20"/>
        </w:rPr>
        <w:t xml:space="preserve"> to increase public and private investments. Cities4Forests co-developed a </w:t>
      </w:r>
      <w:r>
        <w:rPr>
          <w:rFonts w:ascii="Arial" w:eastAsia="Times New Roman" w:hAnsi="Arial" w:cs="Arial"/>
          <w:sz w:val="20"/>
          <w:szCs w:val="20"/>
        </w:rPr>
        <w:t>publication</w:t>
      </w:r>
      <w:r w:rsidRPr="00791A09">
        <w:rPr>
          <w:rFonts w:ascii="Arial" w:eastAsia="Times New Roman" w:hAnsi="Arial" w:cs="Arial"/>
          <w:sz w:val="20"/>
          <w:szCs w:val="20"/>
        </w:rPr>
        <w:t xml:space="preserve"> about financing sustainable watershed management in Ethiopia. The publication examines three innovative financing mechanisms, including water funds, debt-for-nature swaps, and payments for ecosystems (PES), that offer promising avenues for investing in water-related </w:t>
      </w:r>
      <w:proofErr w:type="spellStart"/>
      <w:r w:rsidRPr="00791A09">
        <w:rPr>
          <w:rFonts w:ascii="Arial" w:eastAsia="Times New Roman" w:hAnsi="Arial" w:cs="Arial"/>
          <w:sz w:val="20"/>
          <w:szCs w:val="20"/>
        </w:rPr>
        <w:t>NbS</w:t>
      </w:r>
      <w:proofErr w:type="spellEnd"/>
      <w:r w:rsidRPr="00791A09">
        <w:rPr>
          <w:rFonts w:ascii="Arial" w:eastAsia="Times New Roman" w:hAnsi="Arial" w:cs="Arial"/>
          <w:sz w:val="20"/>
          <w:szCs w:val="20"/>
        </w:rPr>
        <w:t xml:space="preserve">. The report will be showcased at WRI’s </w:t>
      </w:r>
      <w:proofErr w:type="spellStart"/>
      <w:r w:rsidRPr="00791A09">
        <w:rPr>
          <w:rFonts w:ascii="Arial" w:eastAsia="Times New Roman" w:hAnsi="Arial" w:cs="Arial"/>
          <w:sz w:val="20"/>
          <w:szCs w:val="20"/>
        </w:rPr>
        <w:t>NbS</w:t>
      </w:r>
      <w:proofErr w:type="spellEnd"/>
      <w:r w:rsidRPr="00791A09">
        <w:rPr>
          <w:rFonts w:ascii="Arial" w:eastAsia="Times New Roman" w:hAnsi="Arial" w:cs="Arial"/>
          <w:sz w:val="20"/>
          <w:szCs w:val="20"/>
        </w:rPr>
        <w:t xml:space="preserve"> in Sub-Saharan Africa workshop which is projected to result in at least three national media hits, elevating the recommendations to key national and subnational audiences, private sector investors, and multilateral development bank actors.</w:t>
      </w:r>
    </w:p>
    <w:p w14:paraId="765BF4F4" w14:textId="77777777" w:rsidR="000B1D0E" w:rsidRPr="00791A09" w:rsidRDefault="000B1D0E" w:rsidP="000B1D0E">
      <w:pPr>
        <w:pStyle w:val="ListParagraph"/>
        <w:numPr>
          <w:ilvl w:val="0"/>
          <w:numId w:val="16"/>
        </w:numPr>
        <w:jc w:val="both"/>
        <w:rPr>
          <w:rFonts w:ascii="Arial" w:eastAsia="Arial" w:hAnsi="Arial" w:cs="Arial"/>
          <w:sz w:val="20"/>
          <w:szCs w:val="20"/>
        </w:rPr>
      </w:pPr>
      <w:r w:rsidRPr="00791A09">
        <w:rPr>
          <w:rFonts w:ascii="Arial" w:eastAsia="Arial" w:hAnsi="Arial" w:cs="Arial"/>
          <w:sz w:val="20"/>
          <w:szCs w:val="20"/>
        </w:rPr>
        <w:t>In Indonesia, Cities4Forests and WRI have established partnerships with several private sector actors and scaled forest restoration through the crowdfunding platform “</w:t>
      </w:r>
      <w:proofErr w:type="spellStart"/>
      <w:r w:rsidRPr="00791A09">
        <w:rPr>
          <w:rFonts w:ascii="Arial" w:eastAsia="Arial" w:hAnsi="Arial" w:cs="Arial"/>
          <w:sz w:val="20"/>
          <w:szCs w:val="20"/>
        </w:rPr>
        <w:t>Emisi</w:t>
      </w:r>
      <w:proofErr w:type="spellEnd"/>
      <w:r w:rsidRPr="00791A09">
        <w:rPr>
          <w:rFonts w:ascii="Arial" w:eastAsia="Arial" w:hAnsi="Arial" w:cs="Arial"/>
          <w:sz w:val="20"/>
          <w:szCs w:val="20"/>
        </w:rPr>
        <w:t>”. By May 2022, Cities4Forests had secured US$376,500 to plant 161,800 trees in Indonesia.</w:t>
      </w:r>
    </w:p>
    <w:p w14:paraId="40D13525" w14:textId="77777777" w:rsidR="000B1D0E" w:rsidRPr="00791A09" w:rsidRDefault="000B1D0E" w:rsidP="000B1D0E">
      <w:pPr>
        <w:pStyle w:val="ListParagraph"/>
        <w:numPr>
          <w:ilvl w:val="0"/>
          <w:numId w:val="16"/>
        </w:numPr>
        <w:spacing w:after="0" w:line="240" w:lineRule="auto"/>
        <w:jc w:val="both"/>
        <w:rPr>
          <w:rFonts w:ascii="Arial" w:eastAsia="Arial" w:hAnsi="Arial" w:cs="Arial"/>
          <w:sz w:val="20"/>
          <w:szCs w:val="20"/>
        </w:rPr>
      </w:pPr>
      <w:r w:rsidRPr="00791A09">
        <w:rPr>
          <w:rFonts w:ascii="Arial" w:eastAsia="Arial" w:hAnsi="Arial" w:cs="Arial"/>
          <w:sz w:val="20"/>
          <w:szCs w:val="20"/>
        </w:rPr>
        <w:t xml:space="preserve">Globally, Cities4Forests has strengthened ongoing partnerships and collaborations with </w:t>
      </w:r>
      <w:r>
        <w:rPr>
          <w:rFonts w:ascii="Arial" w:eastAsia="Arial" w:hAnsi="Arial" w:cs="Arial"/>
          <w:sz w:val="20"/>
          <w:szCs w:val="20"/>
        </w:rPr>
        <w:t xml:space="preserve">MDBs </w:t>
      </w:r>
      <w:r w:rsidRPr="00791A09">
        <w:rPr>
          <w:rFonts w:ascii="Arial" w:eastAsia="Arial" w:hAnsi="Arial" w:cs="Arial"/>
          <w:sz w:val="20"/>
          <w:szCs w:val="20"/>
        </w:rPr>
        <w:t xml:space="preserve">to close the nature finance gap. In 2022, Cities4Forets engaged with the 9 MDBs that signed </w:t>
      </w:r>
      <w:r w:rsidRPr="00791A09">
        <w:rPr>
          <w:rFonts w:ascii="Arial" w:eastAsia="Arial" w:hAnsi="Arial" w:cs="Arial"/>
          <w:sz w:val="20"/>
          <w:szCs w:val="20"/>
        </w:rPr>
        <w:lastRenderedPageBreak/>
        <w:t>the MDB Joint Statement on Nature, People, and Planet at COP26</w:t>
      </w:r>
      <w:r>
        <w:rPr>
          <w:rStyle w:val="FootnoteReference"/>
          <w:rFonts w:ascii="Arial" w:eastAsia="Arial" w:hAnsi="Arial" w:cs="Arial"/>
          <w:sz w:val="20"/>
          <w:szCs w:val="20"/>
        </w:rPr>
        <w:footnoteReference w:id="8"/>
      </w:r>
      <w:r w:rsidRPr="00791A09">
        <w:rPr>
          <w:rFonts w:ascii="Arial" w:eastAsia="Arial" w:hAnsi="Arial" w:cs="Arial"/>
          <w:sz w:val="20"/>
          <w:szCs w:val="20"/>
        </w:rPr>
        <w:t xml:space="preserve"> to develop a set of priorities to accelerate progress on the global nature agenda. In October 2022, Cities4Forests co-organi</w:t>
      </w:r>
      <w:r>
        <w:rPr>
          <w:rFonts w:ascii="Arial" w:eastAsia="Arial" w:hAnsi="Arial" w:cs="Arial"/>
          <w:sz w:val="20"/>
          <w:szCs w:val="20"/>
        </w:rPr>
        <w:t>s</w:t>
      </w:r>
      <w:r w:rsidRPr="00791A09">
        <w:rPr>
          <w:rFonts w:ascii="Arial" w:eastAsia="Arial" w:hAnsi="Arial" w:cs="Arial"/>
          <w:sz w:val="20"/>
          <w:szCs w:val="20"/>
        </w:rPr>
        <w:t>ed a meeting with the</w:t>
      </w:r>
      <w:r>
        <w:rPr>
          <w:rFonts w:ascii="Arial" w:eastAsia="Arial" w:hAnsi="Arial" w:cs="Arial"/>
          <w:sz w:val="20"/>
          <w:szCs w:val="20"/>
        </w:rPr>
        <w:t xml:space="preserve"> governments of the</w:t>
      </w:r>
      <w:r w:rsidRPr="00791A09">
        <w:rPr>
          <w:rFonts w:ascii="Arial" w:eastAsia="Arial" w:hAnsi="Arial" w:cs="Arial"/>
          <w:sz w:val="20"/>
          <w:szCs w:val="20"/>
        </w:rPr>
        <w:t xml:space="preserve"> United Kingdom, France, Germany where the nature heads of the MDBs and shareholder governments discussed these priorities and next steps. </w:t>
      </w:r>
    </w:p>
    <w:p w14:paraId="34F093B3" w14:textId="77777777" w:rsidR="000B1D0E" w:rsidRPr="00791A09" w:rsidRDefault="000B1D0E" w:rsidP="000B1D0E">
      <w:pPr>
        <w:spacing w:after="0" w:line="240" w:lineRule="auto"/>
        <w:jc w:val="both"/>
        <w:rPr>
          <w:rFonts w:ascii="Arial" w:eastAsia="Times New Roman" w:hAnsi="Arial" w:cs="Arial"/>
          <w:sz w:val="20"/>
          <w:szCs w:val="20"/>
        </w:rPr>
      </w:pPr>
    </w:p>
    <w:p w14:paraId="0C5F09E8" w14:textId="77777777" w:rsidR="000B1D0E" w:rsidRPr="00791A09" w:rsidRDefault="000B1D0E" w:rsidP="000B1D0E">
      <w:pPr>
        <w:spacing w:after="0" w:line="240" w:lineRule="auto"/>
        <w:rPr>
          <w:rFonts w:ascii="Arial" w:eastAsia="Times New Roman" w:hAnsi="Arial" w:cs="Arial"/>
          <w:sz w:val="20"/>
          <w:szCs w:val="20"/>
        </w:rPr>
      </w:pPr>
      <w:r w:rsidRPr="00791A09">
        <w:rPr>
          <w:rFonts w:ascii="Arial" w:eastAsia="Times New Roman" w:hAnsi="Arial" w:cs="Times New Roman"/>
          <w:b/>
          <w:bCs/>
          <w:sz w:val="20"/>
          <w:szCs w:val="20"/>
        </w:rPr>
        <w:t xml:space="preserve">Describe any changes to this output during the past year, and any planned changes </w:t>
      </w:r>
      <w:proofErr w:type="gramStart"/>
      <w:r w:rsidRPr="00791A09">
        <w:rPr>
          <w:rFonts w:ascii="Arial" w:eastAsia="Times New Roman" w:hAnsi="Arial" w:cs="Times New Roman"/>
          <w:b/>
          <w:bCs/>
          <w:sz w:val="20"/>
          <w:szCs w:val="20"/>
        </w:rPr>
        <w:t>as a result of</w:t>
      </w:r>
      <w:proofErr w:type="gramEnd"/>
      <w:r w:rsidRPr="00791A09">
        <w:rPr>
          <w:rFonts w:ascii="Arial" w:eastAsia="Times New Roman" w:hAnsi="Arial" w:cs="Times New Roman"/>
          <w:b/>
          <w:bCs/>
          <w:sz w:val="20"/>
          <w:szCs w:val="20"/>
        </w:rPr>
        <w:t xml:space="preserve"> this review. </w:t>
      </w:r>
    </w:p>
    <w:p w14:paraId="350BAE86" w14:textId="77777777" w:rsidR="000B1D0E" w:rsidRPr="00791A09" w:rsidRDefault="000B1D0E" w:rsidP="000B1D0E">
      <w:pPr>
        <w:spacing w:after="0" w:line="240" w:lineRule="auto"/>
        <w:rPr>
          <w:rFonts w:ascii="Arial" w:eastAsia="Times New Roman" w:hAnsi="Arial" w:cs="Arial"/>
          <w:sz w:val="20"/>
          <w:szCs w:val="20"/>
        </w:rPr>
      </w:pPr>
      <w:r w:rsidRPr="00791A09">
        <w:rPr>
          <w:rFonts w:ascii="Arial" w:eastAsia="Arial" w:hAnsi="Arial" w:cs="Arial"/>
          <w:color w:val="000000" w:themeColor="text1"/>
          <w:sz w:val="20"/>
          <w:szCs w:val="20"/>
          <w:lang w:val="en-US"/>
        </w:rPr>
        <w:t xml:space="preserve">In the year ahead, Cities4Forests </w:t>
      </w:r>
      <w:r>
        <w:rPr>
          <w:rFonts w:ascii="Arial" w:eastAsia="Arial" w:hAnsi="Arial" w:cs="Arial"/>
          <w:color w:val="000000" w:themeColor="text1"/>
          <w:sz w:val="20"/>
          <w:szCs w:val="20"/>
          <w:lang w:val="en-US"/>
        </w:rPr>
        <w:t>intends to deepen</w:t>
      </w:r>
      <w:r w:rsidRPr="00791A09">
        <w:rPr>
          <w:rFonts w:ascii="Arial" w:eastAsia="Arial" w:hAnsi="Arial" w:cs="Arial"/>
          <w:color w:val="000000" w:themeColor="text1"/>
          <w:sz w:val="20"/>
          <w:szCs w:val="20"/>
          <w:lang w:val="en-US"/>
        </w:rPr>
        <w:t xml:space="preserve"> its engagement with multilateral financial institutions. Building on </w:t>
      </w:r>
      <w:r>
        <w:rPr>
          <w:rFonts w:ascii="Arial" w:eastAsia="Arial" w:hAnsi="Arial" w:cs="Arial"/>
          <w:color w:val="000000" w:themeColor="text1"/>
          <w:sz w:val="20"/>
          <w:szCs w:val="20"/>
          <w:lang w:val="en-US"/>
        </w:rPr>
        <w:t>their</w:t>
      </w:r>
      <w:r w:rsidRPr="00791A09">
        <w:rPr>
          <w:rFonts w:ascii="Arial" w:eastAsia="Arial" w:hAnsi="Arial" w:cs="Arial"/>
          <w:color w:val="000000" w:themeColor="text1"/>
          <w:sz w:val="20"/>
          <w:szCs w:val="20"/>
          <w:lang w:val="en-US"/>
        </w:rPr>
        <w:t xml:space="preserve"> success with </w:t>
      </w:r>
      <w:r w:rsidRPr="007A4E97">
        <w:rPr>
          <w:rFonts w:ascii="Arial" w:eastAsia="Arial" w:hAnsi="Arial" w:cs="Arial"/>
          <w:color w:val="000000" w:themeColor="text1"/>
          <w:sz w:val="20"/>
          <w:szCs w:val="20"/>
          <w:lang w:val="en-US"/>
        </w:rPr>
        <w:t xml:space="preserve">their coalition of </w:t>
      </w:r>
      <w:proofErr w:type="gramStart"/>
      <w:r w:rsidRPr="007A4E97">
        <w:rPr>
          <w:rFonts w:ascii="Arial" w:eastAsia="Arial" w:hAnsi="Arial" w:cs="Arial"/>
          <w:color w:val="000000" w:themeColor="text1"/>
          <w:sz w:val="20"/>
          <w:szCs w:val="20"/>
          <w:lang w:val="en-US"/>
        </w:rPr>
        <w:t>MDBs</w:t>
      </w:r>
      <w:r>
        <w:rPr>
          <w:rFonts w:ascii="Arial" w:eastAsia="Arial" w:hAnsi="Arial" w:cs="Arial"/>
          <w:color w:val="000000" w:themeColor="text1"/>
          <w:sz w:val="20"/>
          <w:szCs w:val="20"/>
          <w:lang w:val="en-US"/>
        </w:rPr>
        <w:t>,</w:t>
      </w:r>
      <w:r w:rsidRPr="007A4E97">
        <w:rPr>
          <w:rFonts w:ascii="Arial" w:eastAsia="Arial" w:hAnsi="Arial" w:cs="Arial"/>
          <w:color w:val="000000" w:themeColor="text1"/>
          <w:sz w:val="20"/>
          <w:szCs w:val="20"/>
          <w:lang w:val="en-US"/>
        </w:rPr>
        <w:t xml:space="preserve"> and</w:t>
      </w:r>
      <w:proofErr w:type="gramEnd"/>
      <w:r w:rsidRPr="007A4E97">
        <w:rPr>
          <w:rFonts w:ascii="Arial" w:eastAsia="Arial" w:hAnsi="Arial" w:cs="Arial"/>
          <w:color w:val="000000" w:themeColor="text1"/>
          <w:sz w:val="20"/>
          <w:szCs w:val="20"/>
          <w:lang w:val="en-US"/>
        </w:rPr>
        <w:t xml:space="preserve"> leveraging WRI’s expertise on technical assistance for </w:t>
      </w:r>
      <w:proofErr w:type="spellStart"/>
      <w:r w:rsidRPr="007A4E97">
        <w:rPr>
          <w:rFonts w:ascii="Arial" w:eastAsia="Arial" w:hAnsi="Arial" w:cs="Arial"/>
          <w:color w:val="000000" w:themeColor="text1"/>
          <w:sz w:val="20"/>
          <w:szCs w:val="20"/>
          <w:lang w:val="en-US"/>
        </w:rPr>
        <w:t>N</w:t>
      </w:r>
      <w:r>
        <w:rPr>
          <w:rFonts w:ascii="Arial" w:eastAsia="Arial" w:hAnsi="Arial" w:cs="Arial"/>
          <w:color w:val="000000" w:themeColor="text1"/>
          <w:sz w:val="20"/>
          <w:szCs w:val="20"/>
          <w:lang w:val="en-US"/>
        </w:rPr>
        <w:t>b</w:t>
      </w:r>
      <w:r w:rsidRPr="007A4E97">
        <w:rPr>
          <w:rFonts w:ascii="Arial" w:eastAsia="Arial" w:hAnsi="Arial" w:cs="Arial"/>
          <w:color w:val="000000" w:themeColor="text1"/>
          <w:sz w:val="20"/>
          <w:szCs w:val="20"/>
          <w:lang w:val="en-US"/>
        </w:rPr>
        <w:t>S</w:t>
      </w:r>
      <w:proofErr w:type="spellEnd"/>
      <w:r w:rsidRPr="007A4E97">
        <w:rPr>
          <w:rFonts w:ascii="Arial" w:eastAsia="Arial" w:hAnsi="Arial" w:cs="Arial"/>
          <w:color w:val="000000" w:themeColor="text1"/>
          <w:sz w:val="20"/>
          <w:szCs w:val="20"/>
          <w:lang w:val="en-US"/>
        </w:rPr>
        <w:t xml:space="preserve"> finance, they will continue to cat</w:t>
      </w:r>
      <w:r>
        <w:rPr>
          <w:rFonts w:ascii="Arial" w:eastAsia="Arial" w:hAnsi="Arial" w:cs="Arial"/>
          <w:color w:val="000000" w:themeColor="text1"/>
          <w:sz w:val="20"/>
          <w:szCs w:val="20"/>
          <w:lang w:val="en-US"/>
        </w:rPr>
        <w:t>alyze</w:t>
      </w:r>
      <w:r w:rsidRPr="007A4E97">
        <w:rPr>
          <w:rFonts w:ascii="Arial" w:eastAsia="Arial" w:hAnsi="Arial" w:cs="Arial"/>
          <w:color w:val="000000" w:themeColor="text1"/>
          <w:sz w:val="20"/>
          <w:szCs w:val="20"/>
          <w:lang w:val="en-US"/>
        </w:rPr>
        <w:t xml:space="preserve"> action for nature by facilitating multi-stakeholder exchanges, blueprinting new strategies to generate cash flows from nature protection and restoration, and </w:t>
      </w:r>
      <w:proofErr w:type="spellStart"/>
      <w:r w:rsidRPr="007A4E97">
        <w:rPr>
          <w:rFonts w:ascii="Arial" w:eastAsia="Arial" w:hAnsi="Arial" w:cs="Arial"/>
          <w:color w:val="000000" w:themeColor="text1"/>
          <w:sz w:val="20"/>
          <w:szCs w:val="20"/>
          <w:lang w:val="en-US"/>
        </w:rPr>
        <w:t>sociali</w:t>
      </w:r>
      <w:r>
        <w:rPr>
          <w:rFonts w:ascii="Arial" w:eastAsia="Arial" w:hAnsi="Arial" w:cs="Arial"/>
          <w:color w:val="000000" w:themeColor="text1"/>
          <w:sz w:val="20"/>
          <w:szCs w:val="20"/>
          <w:lang w:val="en-US"/>
        </w:rPr>
        <w:t>s</w:t>
      </w:r>
      <w:r w:rsidRPr="007A4E97">
        <w:rPr>
          <w:rFonts w:ascii="Arial" w:eastAsia="Arial" w:hAnsi="Arial" w:cs="Arial"/>
          <w:color w:val="000000" w:themeColor="text1"/>
          <w:sz w:val="20"/>
          <w:szCs w:val="20"/>
          <w:lang w:val="en-US"/>
        </w:rPr>
        <w:t>ing</w:t>
      </w:r>
      <w:proofErr w:type="spellEnd"/>
      <w:r w:rsidRPr="007A4E97">
        <w:rPr>
          <w:rFonts w:ascii="Arial" w:eastAsia="Arial" w:hAnsi="Arial" w:cs="Arial"/>
          <w:color w:val="000000" w:themeColor="text1"/>
          <w:sz w:val="20"/>
          <w:szCs w:val="20"/>
          <w:lang w:val="en-US"/>
        </w:rPr>
        <w:t xml:space="preserve"> MDB staff members</w:t>
      </w:r>
      <w:r w:rsidRPr="008774F9">
        <w:rPr>
          <w:rFonts w:ascii="Arial" w:eastAsia="Arial" w:hAnsi="Arial" w:cs="Arial"/>
          <w:color w:val="000000" w:themeColor="text1"/>
          <w:sz w:val="20"/>
          <w:szCs w:val="20"/>
          <w:lang w:val="en-US"/>
        </w:rPr>
        <w:t xml:space="preserve"> with the benefits of </w:t>
      </w:r>
      <w:proofErr w:type="spellStart"/>
      <w:r w:rsidRPr="008774F9">
        <w:rPr>
          <w:rFonts w:ascii="Arial" w:eastAsia="Arial" w:hAnsi="Arial" w:cs="Arial"/>
          <w:color w:val="000000" w:themeColor="text1"/>
          <w:sz w:val="20"/>
          <w:szCs w:val="20"/>
          <w:lang w:val="en-US"/>
        </w:rPr>
        <w:t>N</w:t>
      </w:r>
      <w:r>
        <w:rPr>
          <w:rFonts w:ascii="Arial" w:eastAsia="Arial" w:hAnsi="Arial" w:cs="Arial"/>
          <w:color w:val="000000" w:themeColor="text1"/>
          <w:sz w:val="20"/>
          <w:szCs w:val="20"/>
          <w:lang w:val="en-US"/>
        </w:rPr>
        <w:t>b</w:t>
      </w:r>
      <w:r w:rsidRPr="008774F9">
        <w:rPr>
          <w:rFonts w:ascii="Arial" w:eastAsia="Arial" w:hAnsi="Arial" w:cs="Arial"/>
          <w:color w:val="000000" w:themeColor="text1"/>
          <w:sz w:val="20"/>
          <w:szCs w:val="20"/>
          <w:lang w:val="en-US"/>
        </w:rPr>
        <w:t>S</w:t>
      </w:r>
      <w:proofErr w:type="spellEnd"/>
      <w:r w:rsidRPr="008774F9">
        <w:rPr>
          <w:rFonts w:ascii="Arial" w:eastAsia="Arial" w:hAnsi="Arial" w:cs="Arial"/>
          <w:color w:val="000000" w:themeColor="text1"/>
          <w:sz w:val="20"/>
          <w:szCs w:val="20"/>
          <w:lang w:val="en-US"/>
        </w:rPr>
        <w:t xml:space="preserve"> for climate resilience and adaptation.</w:t>
      </w:r>
      <w:r w:rsidRPr="00791A09">
        <w:rPr>
          <w:rFonts w:ascii="Arial" w:eastAsia="Arial" w:hAnsi="Arial" w:cs="Arial"/>
          <w:color w:val="000000" w:themeColor="text1"/>
          <w:sz w:val="20"/>
          <w:szCs w:val="20"/>
          <w:shd w:val="clear" w:color="auto" w:fill="E6E6E6"/>
          <w:lang w:val="en-US"/>
        </w:rPr>
        <w:t xml:space="preserve"> </w:t>
      </w:r>
    </w:p>
    <w:p w14:paraId="1C3308B9" w14:textId="77777777" w:rsidR="000B1D0E" w:rsidRPr="00791A09" w:rsidRDefault="000B1D0E" w:rsidP="000B1D0E">
      <w:pPr>
        <w:spacing w:after="0" w:line="240" w:lineRule="auto"/>
        <w:jc w:val="both"/>
        <w:rPr>
          <w:rFonts w:ascii="Arial" w:eastAsia="Times New Roman" w:hAnsi="Arial" w:cs="Arial"/>
          <w:b/>
          <w:bCs/>
          <w:sz w:val="20"/>
          <w:szCs w:val="20"/>
        </w:rPr>
      </w:pPr>
    </w:p>
    <w:p w14:paraId="6CE263F7" w14:textId="77777777" w:rsidR="000B1D0E" w:rsidRPr="00791A09" w:rsidRDefault="000B1D0E" w:rsidP="000B1D0E">
      <w:pPr>
        <w:spacing w:after="0" w:line="240" w:lineRule="auto"/>
        <w:jc w:val="both"/>
        <w:rPr>
          <w:rFonts w:ascii="Arial" w:eastAsia="Times New Roman" w:hAnsi="Arial" w:cs="Arial"/>
          <w:sz w:val="20"/>
          <w:szCs w:val="20"/>
        </w:rPr>
      </w:pPr>
      <w:r w:rsidRPr="00791A09">
        <w:rPr>
          <w:rFonts w:ascii="Arial" w:eastAsia="Times New Roman" w:hAnsi="Arial" w:cs="Arial"/>
          <w:b/>
          <w:bCs/>
          <w:sz w:val="20"/>
          <w:szCs w:val="20"/>
        </w:rPr>
        <w:t xml:space="preserve">Progress on recommendations from the previous AR (if completed), lessons learned this year and recommendations for the year </w:t>
      </w:r>
      <w:proofErr w:type="gramStart"/>
      <w:r w:rsidRPr="00791A09">
        <w:rPr>
          <w:rFonts w:ascii="Arial" w:eastAsia="Times New Roman" w:hAnsi="Arial" w:cs="Arial"/>
          <w:b/>
          <w:bCs/>
          <w:sz w:val="20"/>
          <w:szCs w:val="20"/>
        </w:rPr>
        <w:t>ahead</w:t>
      </w:r>
      <w:proofErr w:type="gramEnd"/>
    </w:p>
    <w:p w14:paraId="4421F4DD" w14:textId="77777777" w:rsidR="000B1D0E" w:rsidRPr="00791A09" w:rsidRDefault="000B1D0E" w:rsidP="000B1D0E">
      <w:pPr>
        <w:spacing w:after="0" w:line="240" w:lineRule="auto"/>
        <w:jc w:val="both"/>
        <w:rPr>
          <w:rFonts w:ascii="Arial" w:eastAsia="Times New Roman" w:hAnsi="Arial" w:cs="Arial"/>
          <w:bCs/>
          <w:sz w:val="20"/>
          <w:szCs w:val="20"/>
          <w:lang w:val="en-US"/>
        </w:rPr>
      </w:pPr>
    </w:p>
    <w:p w14:paraId="65BB9F1F" w14:textId="77777777" w:rsidR="000B1D0E" w:rsidRPr="00791A09" w:rsidRDefault="000B1D0E" w:rsidP="000B1D0E">
      <w:pPr>
        <w:spacing w:after="0" w:line="240" w:lineRule="auto"/>
        <w:jc w:val="both"/>
        <w:rPr>
          <w:rFonts w:ascii="Arial" w:eastAsia="Times New Roman" w:hAnsi="Arial" w:cs="Arial"/>
          <w:sz w:val="20"/>
          <w:szCs w:val="20"/>
        </w:rPr>
      </w:pPr>
      <w:r w:rsidRPr="00791A09">
        <w:rPr>
          <w:rFonts w:ascii="Arial" w:eastAsia="Times New Roman" w:hAnsi="Arial" w:cs="Arial"/>
          <w:bCs/>
          <w:sz w:val="20"/>
          <w:szCs w:val="20"/>
          <w:lang w:val="en-US"/>
        </w:rPr>
        <w:t>This is Cities4Forests first annual review by Defra, but they have noted that they will aim to leverage funder and partner networks to reach a larger target audience and scale its programs.</w:t>
      </w:r>
    </w:p>
    <w:p w14:paraId="69D4441F" w14:textId="77777777" w:rsidR="000B1D0E" w:rsidRPr="00791A09" w:rsidRDefault="000B1D0E" w:rsidP="000B1D0E">
      <w:pPr>
        <w:spacing w:after="0" w:line="240" w:lineRule="auto"/>
        <w:rPr>
          <w:rFonts w:ascii="Arial" w:eastAsia="Times New Roman" w:hAnsi="Arial" w:cs="Times New Roman"/>
          <w:sz w:val="20"/>
          <w:szCs w:val="20"/>
        </w:rPr>
      </w:pPr>
    </w:p>
    <w:p w14:paraId="0F464DA1" w14:textId="77777777" w:rsidR="000B1D0E" w:rsidRPr="00791A09" w:rsidRDefault="000B1D0E" w:rsidP="000B1D0E">
      <w:pPr>
        <w:pBdr>
          <w:top w:val="single" w:sz="4" w:space="1" w:color="auto"/>
          <w:left w:val="single" w:sz="4" w:space="4" w:color="auto"/>
          <w:bottom w:val="single" w:sz="4" w:space="1" w:color="auto"/>
          <w:right w:val="single" w:sz="4" w:space="4" w:color="auto"/>
        </w:pBdr>
        <w:shd w:val="clear" w:color="auto" w:fill="D9E2F3" w:themeFill="accent1" w:themeFillTint="33"/>
        <w:spacing w:after="0" w:line="240" w:lineRule="auto"/>
        <w:rPr>
          <w:rFonts w:ascii="Arial" w:eastAsia="Times New Roman" w:hAnsi="Arial" w:cs="Arial"/>
          <w:bCs/>
          <w:sz w:val="20"/>
          <w:szCs w:val="20"/>
        </w:rPr>
      </w:pPr>
      <w:r w:rsidRPr="00791A09">
        <w:rPr>
          <w:rFonts w:ascii="Arial" w:eastAsia="Times New Roman" w:hAnsi="Arial" w:cs="Arial"/>
          <w:b/>
          <w:bCs/>
          <w:sz w:val="20"/>
          <w:szCs w:val="20"/>
        </w:rPr>
        <w:t xml:space="preserve">D: RISK </w:t>
      </w:r>
    </w:p>
    <w:p w14:paraId="171CD057" w14:textId="77777777" w:rsidR="000B1D0E" w:rsidRPr="00791A09" w:rsidRDefault="000B1D0E" w:rsidP="000B1D0E">
      <w:pPr>
        <w:spacing w:after="0" w:line="240" w:lineRule="auto"/>
        <w:rPr>
          <w:rFonts w:ascii="Arial" w:eastAsia="Times New Roman" w:hAnsi="Arial" w:cs="Times New Roman"/>
          <w:b/>
          <w:bCs/>
          <w:sz w:val="20"/>
          <w:szCs w:val="20"/>
        </w:rPr>
      </w:pPr>
    </w:p>
    <w:p w14:paraId="47714B95" w14:textId="77777777" w:rsidR="000B1D0E" w:rsidRPr="00791A09" w:rsidRDefault="000B1D0E" w:rsidP="000B1D0E">
      <w:pPr>
        <w:spacing w:after="0" w:line="240" w:lineRule="auto"/>
        <w:rPr>
          <w:rFonts w:ascii="Arial" w:eastAsia="Times New Roman" w:hAnsi="Arial" w:cs="Arial"/>
          <w:sz w:val="20"/>
          <w:szCs w:val="20"/>
        </w:rPr>
      </w:pPr>
      <w:r w:rsidRPr="00791A09">
        <w:rPr>
          <w:rFonts w:ascii="Arial" w:eastAsia="Times New Roman" w:hAnsi="Arial" w:cs="Times New Roman"/>
          <w:b/>
          <w:bCs/>
          <w:sz w:val="20"/>
          <w:szCs w:val="20"/>
        </w:rPr>
        <w:t>Overview of risk management</w:t>
      </w:r>
      <w:r w:rsidRPr="00791A09">
        <w:rPr>
          <w:rFonts w:ascii="Arial" w:eastAsia="Times New Roman" w:hAnsi="Arial" w:cs="Arial"/>
          <w:sz w:val="20"/>
          <w:szCs w:val="20"/>
        </w:rPr>
        <w:t xml:space="preserve"> </w:t>
      </w:r>
    </w:p>
    <w:p w14:paraId="606D72E3" w14:textId="77777777" w:rsidR="000B1D0E" w:rsidRPr="00791A09" w:rsidRDefault="000B1D0E" w:rsidP="000B1D0E">
      <w:pPr>
        <w:spacing w:before="40" w:after="40" w:line="240" w:lineRule="auto"/>
        <w:rPr>
          <w:rFonts w:ascii="Arial" w:eastAsia="Times New Roman" w:hAnsi="Arial" w:cs="Arial"/>
          <w:sz w:val="20"/>
          <w:szCs w:val="20"/>
        </w:rPr>
      </w:pPr>
    </w:p>
    <w:p w14:paraId="61DD4D8C" w14:textId="77777777" w:rsidR="000B1D0E" w:rsidRPr="00791A09" w:rsidRDefault="000B1D0E" w:rsidP="000B1D0E">
      <w:pPr>
        <w:spacing w:before="40" w:after="40" w:line="240" w:lineRule="auto"/>
        <w:rPr>
          <w:rFonts w:ascii="Arial" w:eastAsia="Times New Roman" w:hAnsi="Arial" w:cs="Arial"/>
          <w:sz w:val="20"/>
          <w:szCs w:val="20"/>
        </w:rPr>
      </w:pPr>
      <w:r w:rsidRPr="00791A09">
        <w:rPr>
          <w:rFonts w:ascii="Arial" w:eastAsia="Times New Roman" w:hAnsi="Arial" w:cs="Arial"/>
          <w:sz w:val="20"/>
          <w:szCs w:val="20"/>
        </w:rPr>
        <w:t>Cities4Forests updated the risk register in October 2022, based on the original risk register created during the design and initiation of the voluntary agreement</w:t>
      </w:r>
      <w:r>
        <w:rPr>
          <w:rFonts w:ascii="Arial" w:eastAsia="Times New Roman" w:hAnsi="Arial" w:cs="Arial"/>
          <w:sz w:val="20"/>
          <w:szCs w:val="20"/>
        </w:rPr>
        <w:t xml:space="preserve"> [See Annex B]</w:t>
      </w:r>
      <w:r w:rsidRPr="00791A09">
        <w:rPr>
          <w:rFonts w:ascii="Arial" w:eastAsia="Times New Roman" w:hAnsi="Arial" w:cs="Arial"/>
          <w:sz w:val="20"/>
          <w:szCs w:val="20"/>
        </w:rPr>
        <w:t xml:space="preserve">.  Since the beginning of the voluntary agreement, </w:t>
      </w:r>
      <w:proofErr w:type="gramStart"/>
      <w:r w:rsidRPr="00791A09">
        <w:rPr>
          <w:rFonts w:ascii="Arial" w:eastAsia="Times New Roman" w:hAnsi="Arial" w:cs="Arial"/>
          <w:sz w:val="20"/>
          <w:szCs w:val="20"/>
        </w:rPr>
        <w:t>a number of</w:t>
      </w:r>
      <w:proofErr w:type="gramEnd"/>
      <w:r w:rsidRPr="00791A09">
        <w:rPr>
          <w:rFonts w:ascii="Arial" w:eastAsia="Times New Roman" w:hAnsi="Arial" w:cs="Arial"/>
          <w:sz w:val="20"/>
          <w:szCs w:val="20"/>
        </w:rPr>
        <w:t xml:space="preserve"> risks have shifted and Cities4Forests has adjusted ratings and mitigation measures accordingly. For example, the risk of operational disruption due to the COVID-19 pandemic has decreased</w:t>
      </w:r>
      <w:r>
        <w:rPr>
          <w:rFonts w:ascii="Arial" w:eastAsia="Times New Roman" w:hAnsi="Arial" w:cs="Arial"/>
          <w:sz w:val="20"/>
          <w:szCs w:val="20"/>
        </w:rPr>
        <w:t>,</w:t>
      </w:r>
      <w:r w:rsidRPr="00791A09">
        <w:rPr>
          <w:rFonts w:ascii="Arial" w:eastAsia="Times New Roman" w:hAnsi="Arial" w:cs="Arial"/>
          <w:sz w:val="20"/>
          <w:szCs w:val="20"/>
        </w:rPr>
        <w:t xml:space="preserve"> as cases have declined and restrictions are lifted, allowing for more face-to-face work with city partners. However, they have flagged new financial and operational risks that have emerged relating to high levels of </w:t>
      </w:r>
      <w:r>
        <w:rPr>
          <w:rFonts w:ascii="Arial" w:eastAsia="Times New Roman" w:hAnsi="Arial" w:cs="Arial"/>
          <w:sz w:val="20"/>
          <w:szCs w:val="20"/>
        </w:rPr>
        <w:t xml:space="preserve">global </w:t>
      </w:r>
      <w:r w:rsidRPr="00791A09">
        <w:rPr>
          <w:rFonts w:ascii="Arial" w:eastAsia="Times New Roman" w:hAnsi="Arial" w:cs="Arial"/>
          <w:sz w:val="20"/>
          <w:szCs w:val="20"/>
        </w:rPr>
        <w:t>inflation.  Cities4Forests are taking steps to review activities and costs to minimi</w:t>
      </w:r>
      <w:r>
        <w:rPr>
          <w:rFonts w:ascii="Arial" w:eastAsia="Times New Roman" w:hAnsi="Arial" w:cs="Arial"/>
          <w:sz w:val="20"/>
          <w:szCs w:val="20"/>
        </w:rPr>
        <w:t>s</w:t>
      </w:r>
      <w:r w:rsidRPr="00791A09">
        <w:rPr>
          <w:rFonts w:ascii="Arial" w:eastAsia="Times New Roman" w:hAnsi="Arial" w:cs="Arial"/>
          <w:sz w:val="20"/>
          <w:szCs w:val="20"/>
        </w:rPr>
        <w:t>e disruption.</w:t>
      </w:r>
    </w:p>
    <w:p w14:paraId="01F4E0F6" w14:textId="77777777" w:rsidR="000B1D0E" w:rsidRPr="00791A09" w:rsidRDefault="000B1D0E" w:rsidP="000B1D0E">
      <w:pPr>
        <w:spacing w:before="40" w:after="40" w:line="240" w:lineRule="auto"/>
        <w:rPr>
          <w:rFonts w:ascii="Arial" w:eastAsia="Times New Roman" w:hAnsi="Arial" w:cs="Arial"/>
          <w:sz w:val="20"/>
          <w:szCs w:val="20"/>
        </w:rPr>
      </w:pPr>
    </w:p>
    <w:p w14:paraId="2A66DC77" w14:textId="77777777" w:rsidR="000B1D0E" w:rsidRPr="00791A09" w:rsidRDefault="000B1D0E" w:rsidP="000B1D0E">
      <w:pPr>
        <w:spacing w:before="40" w:after="40" w:line="240" w:lineRule="auto"/>
        <w:rPr>
          <w:rFonts w:ascii="Arial" w:eastAsia="Times New Roman" w:hAnsi="Arial" w:cs="Arial"/>
          <w:sz w:val="20"/>
          <w:szCs w:val="20"/>
        </w:rPr>
      </w:pPr>
      <w:r w:rsidRPr="00791A09">
        <w:rPr>
          <w:rFonts w:ascii="Arial" w:eastAsia="Times New Roman" w:hAnsi="Arial" w:cs="Arial"/>
          <w:sz w:val="20"/>
          <w:szCs w:val="20"/>
        </w:rPr>
        <w:t xml:space="preserve">Another new risk was around </w:t>
      </w:r>
      <w:r>
        <w:rPr>
          <w:rFonts w:ascii="Arial" w:eastAsia="Times New Roman" w:hAnsi="Arial" w:cs="Arial"/>
          <w:sz w:val="20"/>
          <w:szCs w:val="20"/>
        </w:rPr>
        <w:t xml:space="preserve">the </w:t>
      </w:r>
      <w:r w:rsidRPr="00791A09">
        <w:rPr>
          <w:rFonts w:ascii="Arial" w:eastAsia="Times New Roman" w:hAnsi="Arial" w:cs="Arial"/>
          <w:sz w:val="20"/>
          <w:szCs w:val="20"/>
        </w:rPr>
        <w:t>high demand for technical assistance from Cities4Forests’ members</w:t>
      </w:r>
      <w:r>
        <w:rPr>
          <w:rFonts w:ascii="Arial" w:eastAsia="Times New Roman" w:hAnsi="Arial" w:cs="Arial"/>
          <w:sz w:val="20"/>
          <w:szCs w:val="20"/>
        </w:rPr>
        <w:t>,</w:t>
      </w:r>
      <w:r w:rsidRPr="00791A09">
        <w:rPr>
          <w:rFonts w:ascii="Arial" w:eastAsia="Times New Roman" w:hAnsi="Arial" w:cs="Arial"/>
          <w:sz w:val="20"/>
          <w:szCs w:val="20"/>
        </w:rPr>
        <w:t xml:space="preserve"> which could exceed their </w:t>
      </w:r>
      <w:r>
        <w:rPr>
          <w:rFonts w:ascii="Arial" w:eastAsia="Times New Roman" w:hAnsi="Arial" w:cs="Arial"/>
          <w:sz w:val="20"/>
          <w:szCs w:val="20"/>
        </w:rPr>
        <w:t>capacity</w:t>
      </w:r>
      <w:r w:rsidRPr="00791A09">
        <w:rPr>
          <w:rFonts w:ascii="Arial" w:eastAsia="Times New Roman" w:hAnsi="Arial" w:cs="Arial"/>
          <w:sz w:val="20"/>
          <w:szCs w:val="20"/>
        </w:rPr>
        <w:t xml:space="preserve">. However, the impact was minor, and the rating was low, as Cities4Forests </w:t>
      </w:r>
      <w:r>
        <w:rPr>
          <w:rFonts w:ascii="Arial" w:eastAsia="Times New Roman" w:hAnsi="Arial" w:cs="Arial"/>
          <w:sz w:val="20"/>
          <w:szCs w:val="20"/>
        </w:rPr>
        <w:t>has provided</w:t>
      </w:r>
      <w:r w:rsidRPr="00791A09">
        <w:rPr>
          <w:rFonts w:ascii="Arial" w:eastAsia="Times New Roman" w:hAnsi="Arial" w:cs="Arial"/>
          <w:sz w:val="20"/>
          <w:szCs w:val="20"/>
        </w:rPr>
        <w:t xml:space="preserve"> reassurance that</w:t>
      </w:r>
      <w:r>
        <w:rPr>
          <w:rFonts w:ascii="Arial" w:eastAsia="Times New Roman" w:hAnsi="Arial" w:cs="Arial"/>
          <w:sz w:val="20"/>
          <w:szCs w:val="20"/>
        </w:rPr>
        <w:t xml:space="preserve"> it is</w:t>
      </w:r>
      <w:r w:rsidRPr="006F41B7">
        <w:rPr>
          <w:rFonts w:ascii="Arial" w:eastAsia="Times New Roman" w:hAnsi="Arial" w:cs="Arial"/>
          <w:sz w:val="20"/>
          <w:szCs w:val="20"/>
        </w:rPr>
        <w:t xml:space="preserve"> </w:t>
      </w:r>
      <w:r w:rsidRPr="00791A09">
        <w:rPr>
          <w:rFonts w:ascii="Arial" w:eastAsia="Times New Roman" w:hAnsi="Arial" w:cs="Arial"/>
          <w:sz w:val="20"/>
          <w:szCs w:val="20"/>
        </w:rPr>
        <w:t>set</w:t>
      </w:r>
      <w:r>
        <w:rPr>
          <w:rFonts w:ascii="Arial" w:eastAsia="Times New Roman" w:hAnsi="Arial" w:cs="Arial"/>
          <w:sz w:val="20"/>
          <w:szCs w:val="20"/>
        </w:rPr>
        <w:t>ting</w:t>
      </w:r>
      <w:r w:rsidRPr="00791A09">
        <w:rPr>
          <w:rFonts w:ascii="Arial" w:eastAsia="Times New Roman" w:hAnsi="Arial" w:cs="Arial"/>
          <w:sz w:val="20"/>
          <w:szCs w:val="20"/>
        </w:rPr>
        <w:t xml:space="preserve"> realistic expectations</w:t>
      </w:r>
      <w:r>
        <w:rPr>
          <w:rFonts w:ascii="Arial" w:eastAsia="Times New Roman" w:hAnsi="Arial" w:cs="Arial"/>
          <w:sz w:val="20"/>
          <w:szCs w:val="20"/>
        </w:rPr>
        <w:t xml:space="preserve"> and not taking on too much and that it operates </w:t>
      </w:r>
      <w:r w:rsidRPr="00791A09">
        <w:rPr>
          <w:rFonts w:ascii="Arial" w:eastAsia="Times New Roman" w:hAnsi="Arial" w:cs="Arial"/>
          <w:sz w:val="20"/>
          <w:szCs w:val="20"/>
        </w:rPr>
        <w:t>with transparency and directness</w:t>
      </w:r>
      <w:r>
        <w:rPr>
          <w:rFonts w:ascii="Arial" w:eastAsia="Times New Roman" w:hAnsi="Arial" w:cs="Arial"/>
          <w:sz w:val="20"/>
          <w:szCs w:val="20"/>
        </w:rPr>
        <w:t>, rather than over-promising to prospective partners. Cities4Forests has been able to respond flexibly to requests for assistance from cities, drawing on its</w:t>
      </w:r>
      <w:r w:rsidRPr="00791A09">
        <w:rPr>
          <w:rFonts w:ascii="Arial" w:eastAsia="Times New Roman" w:hAnsi="Arial" w:cs="Arial"/>
          <w:sz w:val="20"/>
          <w:szCs w:val="20"/>
        </w:rPr>
        <w:t xml:space="preserve"> fundraising model that is agile</w:t>
      </w:r>
      <w:r>
        <w:rPr>
          <w:rFonts w:ascii="Arial" w:eastAsia="Times New Roman" w:hAnsi="Arial" w:cs="Arial"/>
          <w:sz w:val="20"/>
          <w:szCs w:val="20"/>
        </w:rPr>
        <w:t xml:space="preserve"> and </w:t>
      </w:r>
      <w:r w:rsidRPr="00791A09">
        <w:rPr>
          <w:rFonts w:ascii="Arial" w:eastAsia="Times New Roman" w:hAnsi="Arial" w:cs="Arial"/>
          <w:sz w:val="20"/>
          <w:szCs w:val="20"/>
        </w:rPr>
        <w:t>strategic</w:t>
      </w:r>
      <w:r>
        <w:rPr>
          <w:rFonts w:ascii="Arial" w:eastAsia="Times New Roman" w:hAnsi="Arial" w:cs="Arial"/>
          <w:sz w:val="20"/>
          <w:szCs w:val="20"/>
        </w:rPr>
        <w:t>.</w:t>
      </w:r>
      <w:r w:rsidRPr="00791A09">
        <w:rPr>
          <w:rFonts w:ascii="Arial" w:eastAsia="Times New Roman" w:hAnsi="Arial" w:cs="Arial"/>
          <w:sz w:val="20"/>
          <w:szCs w:val="20"/>
        </w:rPr>
        <w:t xml:space="preserve"> For example, some donors fund work in specific countries, others fund specific technical aspects in different geographies, while others are focused on replicating successful pilots to additional locations. The alternate side of this risk – that technical assistance products are not relevant or needed by cities in the network – has been downgraded from possible to unlikely, as Cities4Forests has received significant interest in and demand for its services, demonstrated through the detailed survey they carried out to identify the technical assistance needs of each member city.  Cities4Forests also maintains frequent engagement with cities to capture evolving needs and priorities.</w:t>
      </w:r>
    </w:p>
    <w:p w14:paraId="47248352" w14:textId="77777777" w:rsidR="000B1D0E" w:rsidRPr="00791A09" w:rsidRDefault="000B1D0E" w:rsidP="000B1D0E">
      <w:pPr>
        <w:spacing w:before="40" w:after="40" w:line="240" w:lineRule="auto"/>
        <w:rPr>
          <w:rFonts w:ascii="Arial" w:eastAsia="Times New Roman" w:hAnsi="Arial" w:cs="Arial"/>
          <w:color w:val="00B050"/>
          <w:sz w:val="20"/>
          <w:szCs w:val="20"/>
        </w:rPr>
      </w:pPr>
    </w:p>
    <w:p w14:paraId="5ECEB335" w14:textId="77777777" w:rsidR="000B1D0E" w:rsidRPr="00791A09" w:rsidRDefault="000B1D0E" w:rsidP="000B1D0E">
      <w:pPr>
        <w:spacing w:before="40" w:after="40" w:line="240" w:lineRule="auto"/>
        <w:rPr>
          <w:rFonts w:ascii="Arial" w:eastAsia="Times New Roman" w:hAnsi="Arial" w:cs="Arial"/>
          <w:sz w:val="20"/>
          <w:szCs w:val="20"/>
        </w:rPr>
      </w:pPr>
      <w:r w:rsidRPr="00791A09">
        <w:rPr>
          <w:rFonts w:ascii="Arial" w:eastAsia="Times New Roman" w:hAnsi="Arial" w:cs="Arial"/>
          <w:sz w:val="20"/>
          <w:szCs w:val="20"/>
        </w:rPr>
        <w:t xml:space="preserve">Also downgraded from possible to unlikely was the risk around lack of support/political buy-in from city leaders, residents, and local forest communities for the programme due to lack of incentives and/or awareness of the benefits of the programme.  Cities4Forests has mitigated this risk </w:t>
      </w:r>
      <w:r>
        <w:rPr>
          <w:rFonts w:ascii="Arial" w:eastAsia="Times New Roman" w:hAnsi="Arial" w:cs="Arial"/>
          <w:sz w:val="20"/>
          <w:szCs w:val="20"/>
        </w:rPr>
        <w:t xml:space="preserve">through </w:t>
      </w:r>
      <w:r w:rsidRPr="00791A09">
        <w:rPr>
          <w:rFonts w:ascii="Arial" w:eastAsia="Times New Roman" w:hAnsi="Arial" w:cs="Arial"/>
          <w:sz w:val="20"/>
          <w:szCs w:val="20"/>
        </w:rPr>
        <w:t>effective engagement before cities sign up for the programme, including ensuring that city leaders demonstrate their commitment to the aims and objectives of the project, that they use the tools and resources produced, and that leaders work closely with assigned Cities4Forests advisors to understand city priorities and develop a plan of action.</w:t>
      </w:r>
    </w:p>
    <w:p w14:paraId="3ABDF0F7" w14:textId="77777777" w:rsidR="000B1D0E" w:rsidRPr="00791A09" w:rsidRDefault="000B1D0E" w:rsidP="000B1D0E">
      <w:pPr>
        <w:spacing w:before="40" w:after="40" w:line="240" w:lineRule="auto"/>
        <w:rPr>
          <w:rFonts w:ascii="Arial" w:eastAsia="Times New Roman" w:hAnsi="Arial" w:cs="Arial"/>
          <w:sz w:val="20"/>
          <w:szCs w:val="20"/>
        </w:rPr>
      </w:pPr>
    </w:p>
    <w:p w14:paraId="23D1FF1C" w14:textId="77777777" w:rsidR="000B1D0E" w:rsidRDefault="000B1D0E" w:rsidP="000B1D0E">
      <w:pPr>
        <w:spacing w:before="40" w:after="40" w:line="240" w:lineRule="auto"/>
        <w:rPr>
          <w:rFonts w:ascii="Arial" w:eastAsia="Times New Roman" w:hAnsi="Arial" w:cs="Arial"/>
          <w:sz w:val="20"/>
          <w:szCs w:val="20"/>
        </w:rPr>
      </w:pPr>
      <w:r w:rsidRPr="00791A09">
        <w:rPr>
          <w:rFonts w:ascii="Arial" w:eastAsia="Times New Roman" w:hAnsi="Arial" w:cs="Arial"/>
          <w:sz w:val="20"/>
          <w:szCs w:val="20"/>
        </w:rPr>
        <w:t xml:space="preserve">Cities4Forests also downgraded from medium to low the risk around city leadership changing over time and political support for the project declining. Cities4Forests has worked to improve their ability to navigate political turnover, designing </w:t>
      </w:r>
      <w:r>
        <w:rPr>
          <w:rFonts w:ascii="Arial" w:eastAsia="Times New Roman" w:hAnsi="Arial" w:cs="Arial"/>
          <w:sz w:val="20"/>
          <w:szCs w:val="20"/>
        </w:rPr>
        <w:t xml:space="preserve">the </w:t>
      </w:r>
      <w:r w:rsidRPr="00791A09">
        <w:rPr>
          <w:rFonts w:ascii="Arial" w:eastAsia="Times New Roman" w:hAnsi="Arial" w:cs="Arial"/>
          <w:sz w:val="20"/>
          <w:szCs w:val="20"/>
        </w:rPr>
        <w:t xml:space="preserve">programme in such a way to ensure relationships extend </w:t>
      </w:r>
      <w:r w:rsidRPr="00791A09">
        <w:rPr>
          <w:rFonts w:ascii="Arial" w:eastAsia="Times New Roman" w:hAnsi="Arial" w:cs="Arial"/>
          <w:sz w:val="20"/>
          <w:szCs w:val="20"/>
        </w:rPr>
        <w:lastRenderedPageBreak/>
        <w:t xml:space="preserve">beyond the </w:t>
      </w:r>
      <w:r>
        <w:rPr>
          <w:rFonts w:ascii="Arial" w:eastAsia="Times New Roman" w:hAnsi="Arial" w:cs="Arial"/>
          <w:sz w:val="20"/>
          <w:szCs w:val="20"/>
        </w:rPr>
        <w:t>m</w:t>
      </w:r>
      <w:r w:rsidRPr="00791A09">
        <w:rPr>
          <w:rFonts w:ascii="Arial" w:eastAsia="Times New Roman" w:hAnsi="Arial" w:cs="Arial"/>
          <w:sz w:val="20"/>
          <w:szCs w:val="20"/>
        </w:rPr>
        <w:t>ayor’s office</w:t>
      </w:r>
      <w:r>
        <w:rPr>
          <w:rFonts w:ascii="Arial" w:eastAsia="Times New Roman" w:hAnsi="Arial" w:cs="Arial"/>
          <w:sz w:val="20"/>
          <w:szCs w:val="20"/>
        </w:rPr>
        <w:t xml:space="preserve"> to officials (who have lower turnover)</w:t>
      </w:r>
      <w:r w:rsidRPr="00791A09">
        <w:rPr>
          <w:rFonts w:ascii="Arial" w:eastAsia="Times New Roman" w:hAnsi="Arial" w:cs="Arial"/>
          <w:sz w:val="20"/>
          <w:szCs w:val="20"/>
        </w:rPr>
        <w:t xml:space="preserve"> and that Cities4Forests is not seen as aligned with a</w:t>
      </w:r>
      <w:r>
        <w:rPr>
          <w:rFonts w:ascii="Arial" w:eastAsia="Times New Roman" w:hAnsi="Arial" w:cs="Arial"/>
          <w:sz w:val="20"/>
          <w:szCs w:val="20"/>
        </w:rPr>
        <w:t>ny</w:t>
      </w:r>
      <w:r w:rsidRPr="00791A09">
        <w:rPr>
          <w:rFonts w:ascii="Arial" w:eastAsia="Times New Roman" w:hAnsi="Arial" w:cs="Arial"/>
          <w:sz w:val="20"/>
          <w:szCs w:val="20"/>
        </w:rPr>
        <w:t xml:space="preserve"> political party</w:t>
      </w:r>
      <w:r>
        <w:rPr>
          <w:rFonts w:ascii="Arial" w:eastAsia="Times New Roman" w:hAnsi="Arial" w:cs="Arial"/>
          <w:sz w:val="20"/>
          <w:szCs w:val="20"/>
        </w:rPr>
        <w:t xml:space="preserve"> or individual</w:t>
      </w:r>
      <w:r w:rsidRPr="00791A09">
        <w:rPr>
          <w:rFonts w:ascii="Arial" w:eastAsia="Times New Roman" w:hAnsi="Arial" w:cs="Arial"/>
          <w:sz w:val="20"/>
          <w:szCs w:val="20"/>
        </w:rPr>
        <w:t xml:space="preserve">. </w:t>
      </w:r>
    </w:p>
    <w:p w14:paraId="4A34A4AC" w14:textId="77777777" w:rsidR="000B1D0E" w:rsidRPr="00791A09" w:rsidRDefault="000B1D0E" w:rsidP="000B1D0E">
      <w:pPr>
        <w:spacing w:before="40" w:after="40" w:line="240" w:lineRule="auto"/>
        <w:rPr>
          <w:rFonts w:ascii="Arial" w:eastAsia="Times New Roman" w:hAnsi="Arial" w:cs="Arial"/>
          <w:sz w:val="20"/>
          <w:szCs w:val="20"/>
        </w:rPr>
      </w:pPr>
    </w:p>
    <w:p w14:paraId="0E44C2AE" w14:textId="77777777" w:rsidR="000B1D0E" w:rsidRPr="00791A09" w:rsidRDefault="000B1D0E" w:rsidP="000B1D0E">
      <w:pPr>
        <w:spacing w:after="0" w:line="240" w:lineRule="auto"/>
        <w:rPr>
          <w:rFonts w:ascii="Arial" w:eastAsia="Times New Roman" w:hAnsi="Arial" w:cs="Times New Roman"/>
          <w:b/>
          <w:bCs/>
          <w:sz w:val="20"/>
          <w:szCs w:val="20"/>
        </w:rPr>
      </w:pPr>
      <w:r w:rsidRPr="00791A09">
        <w:rPr>
          <w:rFonts w:ascii="Arial" w:eastAsia="Times New Roman" w:hAnsi="Arial" w:cs="Times New Roman"/>
          <w:b/>
          <w:bCs/>
          <w:sz w:val="20"/>
          <w:szCs w:val="20"/>
        </w:rPr>
        <w:t>Overall, have you been able to deliver comfortably within risk appetite, or have there been areas of pressure?</w:t>
      </w:r>
    </w:p>
    <w:p w14:paraId="7EED4C39" w14:textId="77777777" w:rsidR="000B1D0E" w:rsidRPr="00791A09" w:rsidRDefault="000B1D0E" w:rsidP="000B1D0E">
      <w:pPr>
        <w:spacing w:after="0" w:line="240" w:lineRule="auto"/>
        <w:rPr>
          <w:rFonts w:ascii="Arial" w:eastAsia="Times New Roman" w:hAnsi="Arial" w:cs="Times New Roman"/>
          <w:sz w:val="20"/>
          <w:szCs w:val="20"/>
        </w:rPr>
      </w:pPr>
    </w:p>
    <w:p w14:paraId="70921DB1" w14:textId="77777777" w:rsidR="000B1D0E" w:rsidRPr="00791A09" w:rsidRDefault="000B1D0E" w:rsidP="000B1D0E">
      <w:pPr>
        <w:spacing w:after="0" w:line="240" w:lineRule="auto"/>
        <w:rPr>
          <w:rFonts w:ascii="Arial" w:eastAsia="Times New Roman" w:hAnsi="Arial" w:cs="Times New Roman"/>
          <w:sz w:val="20"/>
          <w:szCs w:val="20"/>
        </w:rPr>
      </w:pPr>
      <w:r w:rsidRPr="00791A09">
        <w:rPr>
          <w:rFonts w:ascii="Arial" w:eastAsia="Times New Roman" w:hAnsi="Arial" w:cs="Times New Roman"/>
          <w:sz w:val="20"/>
          <w:szCs w:val="20"/>
        </w:rPr>
        <w:t>Defra has been able to deliver within risk appetite</w:t>
      </w:r>
      <w:r>
        <w:rPr>
          <w:rFonts w:ascii="Arial" w:eastAsia="Times New Roman" w:hAnsi="Arial" w:cs="Times New Roman"/>
          <w:sz w:val="20"/>
          <w:szCs w:val="20"/>
        </w:rPr>
        <w:t xml:space="preserve"> </w:t>
      </w:r>
      <w:r w:rsidRPr="00791A09">
        <w:rPr>
          <w:rFonts w:ascii="Arial" w:eastAsia="Times New Roman" w:hAnsi="Arial" w:cs="Times New Roman"/>
          <w:sz w:val="20"/>
          <w:szCs w:val="20"/>
        </w:rPr>
        <w:t>although</w:t>
      </w:r>
      <w:r>
        <w:rPr>
          <w:rFonts w:ascii="Arial" w:eastAsia="Times New Roman" w:hAnsi="Arial" w:cs="Times New Roman"/>
          <w:sz w:val="20"/>
          <w:szCs w:val="20"/>
        </w:rPr>
        <w:t>, as above,</w:t>
      </w:r>
      <w:r w:rsidRPr="00791A09">
        <w:rPr>
          <w:rFonts w:ascii="Arial" w:eastAsia="Times New Roman" w:hAnsi="Arial" w:cs="Times New Roman"/>
          <w:sz w:val="20"/>
          <w:szCs w:val="20"/>
        </w:rPr>
        <w:t xml:space="preserve"> </w:t>
      </w:r>
      <w:r>
        <w:rPr>
          <w:rFonts w:ascii="Arial" w:eastAsia="Times New Roman" w:hAnsi="Arial" w:cs="Times New Roman"/>
          <w:sz w:val="20"/>
          <w:szCs w:val="20"/>
        </w:rPr>
        <w:t>there was a transition of programme management responsibilities within Defra</w:t>
      </w:r>
      <w:r w:rsidRPr="00791A09">
        <w:rPr>
          <w:rFonts w:ascii="Arial" w:eastAsia="Times New Roman" w:hAnsi="Arial" w:cs="Times New Roman"/>
          <w:sz w:val="20"/>
          <w:szCs w:val="20"/>
        </w:rPr>
        <w:t>.</w:t>
      </w:r>
    </w:p>
    <w:p w14:paraId="3089FA3A" w14:textId="77777777" w:rsidR="000B1D0E" w:rsidRPr="00791A09" w:rsidRDefault="000B1D0E" w:rsidP="000B1D0E">
      <w:pPr>
        <w:spacing w:after="0" w:line="240" w:lineRule="auto"/>
        <w:rPr>
          <w:rFonts w:ascii="Arial" w:eastAsia="Times New Roman" w:hAnsi="Arial" w:cs="Arial"/>
          <w:sz w:val="20"/>
          <w:szCs w:val="20"/>
        </w:rPr>
      </w:pPr>
    </w:p>
    <w:p w14:paraId="38513E57" w14:textId="65612309" w:rsidR="000B1D0E" w:rsidRPr="00791A09" w:rsidRDefault="000B1D0E" w:rsidP="000B1D0E">
      <w:pPr>
        <w:spacing w:after="0" w:line="240" w:lineRule="auto"/>
        <w:rPr>
          <w:rFonts w:ascii="Arial" w:eastAsia="Times New Roman" w:hAnsi="Arial" w:cs="Arial"/>
          <w:bCs/>
          <w:sz w:val="20"/>
          <w:szCs w:val="20"/>
        </w:rPr>
      </w:pPr>
      <w:r w:rsidRPr="00BA534C">
        <w:rPr>
          <w:rFonts w:ascii="Arial" w:eastAsia="Times New Roman" w:hAnsi="Arial" w:cs="Times New Roman"/>
          <w:sz w:val="20"/>
          <w:szCs w:val="20"/>
        </w:rPr>
        <w:t xml:space="preserve">Cities4Forests </w:t>
      </w:r>
      <w:r w:rsidRPr="00BA534C">
        <w:rPr>
          <w:rFonts w:ascii="Arial" w:eastAsia="Times New Roman" w:hAnsi="Arial" w:cs="Arial"/>
          <w:sz w:val="20"/>
          <w:szCs w:val="20"/>
        </w:rPr>
        <w:t>have</w:t>
      </w:r>
      <w:r w:rsidRPr="00BA534C">
        <w:rPr>
          <w:rFonts w:ascii="Arial" w:eastAsia="Times New Roman" w:hAnsi="Arial" w:cs="Times New Roman"/>
          <w:sz w:val="20"/>
          <w:szCs w:val="20"/>
        </w:rPr>
        <w:t xml:space="preserve"> </w:t>
      </w:r>
      <w:r w:rsidRPr="00BA534C">
        <w:rPr>
          <w:rFonts w:ascii="Arial" w:eastAsia="Times New Roman" w:hAnsi="Arial" w:cs="Arial"/>
          <w:sz w:val="20"/>
          <w:szCs w:val="20"/>
        </w:rPr>
        <w:t>been able to deliver outputs and outcomes and outputs reliably and consistently and manage key risk areas</w:t>
      </w:r>
      <w:r w:rsidR="00BA534C">
        <w:rPr>
          <w:rFonts w:ascii="Arial" w:eastAsia="Times New Roman" w:hAnsi="Arial" w:cs="Arial"/>
          <w:sz w:val="20"/>
          <w:szCs w:val="20"/>
        </w:rPr>
        <w:t xml:space="preserve">. </w:t>
      </w:r>
      <w:r w:rsidRPr="00BA534C">
        <w:rPr>
          <w:rFonts w:ascii="Arial" w:eastAsia="Times New Roman" w:hAnsi="Arial" w:cs="Arial"/>
          <w:sz w:val="20"/>
          <w:szCs w:val="20"/>
        </w:rPr>
        <w:t>The team has enhanced its abilit</w:t>
      </w:r>
      <w:r w:rsidR="00BA534C">
        <w:rPr>
          <w:rFonts w:ascii="Arial" w:eastAsia="Times New Roman" w:hAnsi="Arial" w:cs="Arial"/>
          <w:sz w:val="20"/>
          <w:szCs w:val="20"/>
        </w:rPr>
        <w:t xml:space="preserve">y to </w:t>
      </w:r>
      <w:r w:rsidRPr="00BA534C">
        <w:rPr>
          <w:rFonts w:ascii="Arial" w:eastAsia="Times New Roman" w:hAnsi="Arial" w:cs="Arial"/>
          <w:sz w:val="20"/>
          <w:szCs w:val="20"/>
        </w:rPr>
        <w:t>effectively collaborate and drive results</w:t>
      </w:r>
      <w:r w:rsidR="00BA534C">
        <w:rPr>
          <w:rFonts w:ascii="Arial" w:eastAsia="Times New Roman" w:hAnsi="Arial" w:cs="Arial"/>
          <w:sz w:val="20"/>
          <w:szCs w:val="20"/>
        </w:rPr>
        <w:t xml:space="preserve"> in </w:t>
      </w:r>
      <w:r w:rsidRPr="00BA534C">
        <w:rPr>
          <w:rFonts w:ascii="Arial" w:eastAsia="Times New Roman" w:hAnsi="Arial" w:cs="Arial"/>
          <w:sz w:val="20"/>
          <w:szCs w:val="20"/>
        </w:rPr>
        <w:t>the hybri</w:t>
      </w:r>
      <w:r w:rsidR="00BA534C">
        <w:rPr>
          <w:rFonts w:ascii="Arial" w:eastAsia="Times New Roman" w:hAnsi="Arial" w:cs="Arial"/>
          <w:sz w:val="20"/>
          <w:szCs w:val="20"/>
        </w:rPr>
        <w:t xml:space="preserve">d </w:t>
      </w:r>
      <w:r w:rsidRPr="00BA534C">
        <w:rPr>
          <w:rFonts w:ascii="Arial" w:eastAsia="Times New Roman" w:hAnsi="Arial" w:cs="Arial"/>
          <w:sz w:val="20"/>
          <w:szCs w:val="20"/>
        </w:rPr>
        <w:t xml:space="preserve">setting. Cities4Forests operations were able to account for financial uncertainties such as high inflation, driving increased prices for key services, by maximising the use of resources and channelling efforts in priority areas such as the Congo Basin and the Amazon. Finally, the team has effectively navigated the complexity of working in different geographies, with unique socio-political characteristics, </w:t>
      </w:r>
      <w:r w:rsidRPr="00BA534C">
        <w:rPr>
          <w:rFonts w:ascii="Arial" w:eastAsia="Times New Roman" w:hAnsi="Arial" w:cs="Arial"/>
          <w:sz w:val="20"/>
          <w:szCs w:val="20"/>
          <w:shd w:val="clear" w:color="auto" w:fill="FFFFFF" w:themeFill="background1"/>
        </w:rPr>
        <w:t>and</w:t>
      </w:r>
      <w:r w:rsidRPr="00BA534C">
        <w:rPr>
          <w:rFonts w:ascii="Arial" w:eastAsia="Times New Roman" w:hAnsi="Arial" w:cs="Arial"/>
          <w:sz w:val="20"/>
          <w:szCs w:val="20"/>
        </w:rPr>
        <w:t xml:space="preserve"> th</w:t>
      </w:r>
      <w:r w:rsidR="00BA534C">
        <w:rPr>
          <w:rFonts w:ascii="Arial" w:eastAsia="Times New Roman" w:hAnsi="Arial" w:cs="Arial"/>
          <w:sz w:val="20"/>
          <w:szCs w:val="20"/>
        </w:rPr>
        <w:t xml:space="preserve">e variance around project </w:t>
      </w:r>
      <w:r w:rsidRPr="00BA534C">
        <w:rPr>
          <w:rFonts w:ascii="Arial" w:eastAsia="Times New Roman" w:hAnsi="Arial" w:cs="Arial"/>
          <w:sz w:val="20"/>
          <w:szCs w:val="20"/>
        </w:rPr>
        <w:t>maturities by empowering WRI local staff members to significantly influence the direction of the work, by strategically forging long-lasting relationships with technical bodies of local governments, and by constantly communicating with stakeholders.</w:t>
      </w:r>
    </w:p>
    <w:p w14:paraId="1FD15D15" w14:textId="77777777" w:rsidR="000B1D0E" w:rsidRPr="00791A09" w:rsidRDefault="000B1D0E" w:rsidP="000B1D0E">
      <w:pPr>
        <w:shd w:val="clear" w:color="auto" w:fill="FFFFFF" w:themeFill="background1"/>
        <w:spacing w:after="0" w:line="240" w:lineRule="auto"/>
        <w:rPr>
          <w:rFonts w:ascii="Arial" w:eastAsia="Times New Roman" w:hAnsi="Arial" w:cs="Times New Roman"/>
          <w:bCs/>
          <w:sz w:val="20"/>
          <w:szCs w:val="20"/>
        </w:rPr>
      </w:pPr>
    </w:p>
    <w:p w14:paraId="3DECC16D" w14:textId="77777777" w:rsidR="000B1D0E" w:rsidRPr="00791A09" w:rsidRDefault="000B1D0E" w:rsidP="000B1D0E">
      <w:pPr>
        <w:pBdr>
          <w:top w:val="single" w:sz="4" w:space="1" w:color="auto"/>
          <w:left w:val="single" w:sz="4" w:space="4" w:color="auto"/>
          <w:bottom w:val="single" w:sz="4" w:space="1" w:color="auto"/>
          <w:right w:val="single" w:sz="4" w:space="4" w:color="auto"/>
        </w:pBdr>
        <w:shd w:val="clear" w:color="auto" w:fill="D9E2F3" w:themeFill="accent1" w:themeFillTint="33"/>
        <w:spacing w:after="0" w:line="240" w:lineRule="auto"/>
        <w:rPr>
          <w:rFonts w:ascii="Arial" w:eastAsia="Times New Roman" w:hAnsi="Arial" w:cs="Arial"/>
          <w:sz w:val="20"/>
          <w:szCs w:val="20"/>
        </w:rPr>
      </w:pPr>
      <w:r w:rsidRPr="00791A09">
        <w:rPr>
          <w:rFonts w:ascii="Arial" w:eastAsia="Times New Roman" w:hAnsi="Arial" w:cs="Times New Roman"/>
          <w:b/>
          <w:sz w:val="20"/>
          <w:szCs w:val="20"/>
        </w:rPr>
        <w:t xml:space="preserve">E: PROGRAMME MANAGEMENT: </w:t>
      </w:r>
      <w:bookmarkStart w:id="0" w:name="_Hlk21353049"/>
      <w:r w:rsidRPr="00791A09">
        <w:rPr>
          <w:rFonts w:ascii="Arial" w:eastAsia="Times New Roman" w:hAnsi="Arial" w:cs="Times New Roman"/>
          <w:b/>
          <w:sz w:val="20"/>
          <w:szCs w:val="20"/>
        </w:rPr>
        <w:t xml:space="preserve">DELIVERY, COMMERCIAL &amp; FINANCIAL PERFORMANCE </w:t>
      </w:r>
      <w:bookmarkEnd w:id="0"/>
    </w:p>
    <w:p w14:paraId="3EC5416C" w14:textId="77777777" w:rsidR="000B1D0E" w:rsidRPr="00791A09" w:rsidRDefault="000B1D0E" w:rsidP="000B1D0E">
      <w:pPr>
        <w:spacing w:after="0" w:line="240" w:lineRule="auto"/>
        <w:rPr>
          <w:rFonts w:ascii="Arial" w:eastAsia="Times New Roman" w:hAnsi="Arial" w:cs="Arial"/>
          <w:b/>
          <w:sz w:val="20"/>
          <w:szCs w:val="20"/>
        </w:rPr>
      </w:pPr>
    </w:p>
    <w:p w14:paraId="306BA95F" w14:textId="77777777" w:rsidR="000B1D0E" w:rsidRPr="00791A09" w:rsidRDefault="000B1D0E" w:rsidP="000B1D0E">
      <w:pPr>
        <w:spacing w:after="0" w:line="240" w:lineRule="auto"/>
        <w:rPr>
          <w:rFonts w:ascii="Arial" w:eastAsia="Times New Roman" w:hAnsi="Arial" w:cs="Arial"/>
          <w:b/>
          <w:bCs/>
          <w:sz w:val="20"/>
          <w:szCs w:val="20"/>
        </w:rPr>
      </w:pPr>
      <w:r w:rsidRPr="00791A09">
        <w:rPr>
          <w:rFonts w:ascii="Arial" w:eastAsia="Times New Roman" w:hAnsi="Arial" w:cs="Arial"/>
          <w:b/>
          <w:bCs/>
          <w:sz w:val="20"/>
          <w:szCs w:val="20"/>
        </w:rPr>
        <w:t xml:space="preserve">Summarise the performance of partners and Defra, notably on commercial and financial issues, and including consideration of </w:t>
      </w:r>
      <w:proofErr w:type="spellStart"/>
      <w:r w:rsidRPr="00791A09">
        <w:rPr>
          <w:rFonts w:ascii="Arial" w:eastAsia="Times New Roman" w:hAnsi="Arial" w:cs="Arial"/>
          <w:b/>
          <w:bCs/>
          <w:sz w:val="20"/>
          <w:szCs w:val="20"/>
        </w:rPr>
        <w:t>VfM</w:t>
      </w:r>
      <w:proofErr w:type="spellEnd"/>
      <w:r w:rsidRPr="00791A09">
        <w:rPr>
          <w:rFonts w:ascii="Arial" w:eastAsia="Times New Roman" w:hAnsi="Arial" w:cs="Arial"/>
          <w:b/>
          <w:bCs/>
          <w:sz w:val="20"/>
          <w:szCs w:val="20"/>
        </w:rPr>
        <w:t xml:space="preserve"> measures of economy and </w:t>
      </w:r>
      <w:proofErr w:type="gramStart"/>
      <w:r w:rsidRPr="00791A09">
        <w:rPr>
          <w:rFonts w:ascii="Arial" w:eastAsia="Times New Roman" w:hAnsi="Arial" w:cs="Arial"/>
          <w:b/>
          <w:bCs/>
          <w:sz w:val="20"/>
          <w:szCs w:val="20"/>
        </w:rPr>
        <w:t>efficiency</w:t>
      </w:r>
      <w:proofErr w:type="gramEnd"/>
    </w:p>
    <w:p w14:paraId="2D4D72E3" w14:textId="77777777" w:rsidR="000B1D0E" w:rsidRPr="00791A09" w:rsidRDefault="000B1D0E" w:rsidP="000B1D0E">
      <w:pPr>
        <w:spacing w:after="0" w:line="240" w:lineRule="auto"/>
        <w:rPr>
          <w:rFonts w:ascii="Arial" w:eastAsia="Times New Roman" w:hAnsi="Arial" w:cs="Times New Roman"/>
          <w:bCs/>
          <w:sz w:val="20"/>
          <w:szCs w:val="20"/>
        </w:rPr>
      </w:pPr>
    </w:p>
    <w:p w14:paraId="0F3D2BFC" w14:textId="77777777" w:rsidR="000B1D0E" w:rsidRPr="00791A09" w:rsidRDefault="000B1D0E" w:rsidP="000B1D0E">
      <w:pPr>
        <w:spacing w:after="0" w:line="240" w:lineRule="auto"/>
        <w:rPr>
          <w:rFonts w:ascii="Arial" w:eastAsia="Times New Roman" w:hAnsi="Arial" w:cs="Times New Roman"/>
          <w:sz w:val="20"/>
          <w:szCs w:val="20"/>
        </w:rPr>
      </w:pPr>
      <w:r w:rsidRPr="00791A09">
        <w:rPr>
          <w:rFonts w:ascii="Arial" w:eastAsia="Times New Roman" w:hAnsi="Arial" w:cs="Times New Roman"/>
          <w:sz w:val="20"/>
          <w:szCs w:val="20"/>
        </w:rPr>
        <w:t>In the first year of the programme, WRI and Defra have worked together on the following deliverables:</w:t>
      </w:r>
    </w:p>
    <w:p w14:paraId="38CD1AE5" w14:textId="77777777" w:rsidR="000B1D0E" w:rsidRPr="00791A09" w:rsidRDefault="000B1D0E" w:rsidP="000B1D0E">
      <w:pPr>
        <w:numPr>
          <w:ilvl w:val="0"/>
          <w:numId w:val="6"/>
        </w:numPr>
        <w:spacing w:after="0" w:line="240" w:lineRule="auto"/>
        <w:rPr>
          <w:rFonts w:ascii="Arial" w:eastAsia="Times New Roman" w:hAnsi="Arial" w:cs="Times New Roman"/>
          <w:sz w:val="20"/>
          <w:szCs w:val="20"/>
        </w:rPr>
      </w:pPr>
      <w:r w:rsidRPr="00791A09">
        <w:rPr>
          <w:rFonts w:ascii="Arial" w:eastAsia="Times New Roman" w:hAnsi="Arial" w:cs="Times New Roman"/>
          <w:sz w:val="20"/>
          <w:szCs w:val="20"/>
        </w:rPr>
        <w:t xml:space="preserve">Completed the business case and </w:t>
      </w:r>
      <w:r>
        <w:rPr>
          <w:rFonts w:ascii="Arial" w:eastAsia="Times New Roman" w:hAnsi="Arial" w:cs="Times New Roman"/>
          <w:sz w:val="20"/>
          <w:szCs w:val="20"/>
        </w:rPr>
        <w:t xml:space="preserve">obtained </w:t>
      </w:r>
      <w:proofErr w:type="gramStart"/>
      <w:r>
        <w:rPr>
          <w:rFonts w:ascii="Arial" w:eastAsia="Times New Roman" w:hAnsi="Arial" w:cs="Times New Roman"/>
          <w:sz w:val="20"/>
          <w:szCs w:val="20"/>
        </w:rPr>
        <w:t>approval</w:t>
      </w:r>
      <w:proofErr w:type="gramEnd"/>
    </w:p>
    <w:p w14:paraId="2F8D8D72" w14:textId="77777777" w:rsidR="000B1D0E" w:rsidRPr="00791A09" w:rsidRDefault="000B1D0E" w:rsidP="000B1D0E">
      <w:pPr>
        <w:numPr>
          <w:ilvl w:val="0"/>
          <w:numId w:val="6"/>
        </w:numPr>
        <w:spacing w:after="0" w:line="240" w:lineRule="auto"/>
        <w:rPr>
          <w:rFonts w:ascii="Arial" w:eastAsia="Times New Roman" w:hAnsi="Arial" w:cs="Times New Roman"/>
          <w:sz w:val="20"/>
          <w:szCs w:val="20"/>
        </w:rPr>
      </w:pPr>
      <w:r>
        <w:rPr>
          <w:rFonts w:ascii="Arial" w:eastAsia="Times New Roman" w:hAnsi="Arial" w:cs="Times New Roman"/>
          <w:sz w:val="20"/>
          <w:szCs w:val="20"/>
        </w:rPr>
        <w:t xml:space="preserve">Established </w:t>
      </w:r>
      <w:r w:rsidRPr="00791A09">
        <w:rPr>
          <w:rFonts w:ascii="Arial" w:eastAsia="Times New Roman" w:hAnsi="Arial" w:cs="Times New Roman"/>
          <w:sz w:val="20"/>
          <w:szCs w:val="20"/>
        </w:rPr>
        <w:t xml:space="preserve">quarterly programme management and reporting group (PMRG) meetings and agreed </w:t>
      </w:r>
      <w:proofErr w:type="gramStart"/>
      <w:r w:rsidRPr="00791A09">
        <w:rPr>
          <w:rFonts w:ascii="Arial" w:eastAsia="Times New Roman" w:hAnsi="Arial" w:cs="Times New Roman"/>
          <w:sz w:val="20"/>
          <w:szCs w:val="20"/>
        </w:rPr>
        <w:t>ToRs</w:t>
      </w:r>
      <w:proofErr w:type="gramEnd"/>
    </w:p>
    <w:p w14:paraId="6478287A" w14:textId="77777777" w:rsidR="000B1D0E" w:rsidRPr="00791A09" w:rsidRDefault="000B1D0E" w:rsidP="000B1D0E">
      <w:pPr>
        <w:numPr>
          <w:ilvl w:val="0"/>
          <w:numId w:val="6"/>
        </w:numPr>
        <w:spacing w:after="0" w:line="240" w:lineRule="auto"/>
        <w:rPr>
          <w:rFonts w:ascii="Arial" w:eastAsia="Times New Roman" w:hAnsi="Arial" w:cs="Times New Roman"/>
          <w:sz w:val="20"/>
          <w:szCs w:val="20"/>
        </w:rPr>
      </w:pPr>
      <w:r w:rsidRPr="00791A09">
        <w:rPr>
          <w:rFonts w:ascii="Arial" w:eastAsia="Times New Roman" w:hAnsi="Arial" w:cs="Times New Roman"/>
          <w:sz w:val="20"/>
          <w:szCs w:val="20"/>
        </w:rPr>
        <w:t xml:space="preserve">WRI submitted annual report for Defra review and </w:t>
      </w:r>
      <w:proofErr w:type="gramStart"/>
      <w:r w:rsidRPr="00791A09">
        <w:rPr>
          <w:rFonts w:ascii="Arial" w:eastAsia="Times New Roman" w:hAnsi="Arial" w:cs="Times New Roman"/>
          <w:sz w:val="20"/>
          <w:szCs w:val="20"/>
        </w:rPr>
        <w:t>comment</w:t>
      </w:r>
      <w:proofErr w:type="gramEnd"/>
    </w:p>
    <w:p w14:paraId="70B5B6E5" w14:textId="77777777" w:rsidR="000B1D0E" w:rsidRPr="00791A09" w:rsidRDefault="000B1D0E" w:rsidP="000B1D0E">
      <w:pPr>
        <w:numPr>
          <w:ilvl w:val="0"/>
          <w:numId w:val="6"/>
        </w:numPr>
        <w:spacing w:after="0" w:line="240" w:lineRule="auto"/>
        <w:rPr>
          <w:rFonts w:ascii="Arial" w:eastAsia="Times New Roman" w:hAnsi="Arial" w:cs="Times New Roman"/>
          <w:sz w:val="20"/>
          <w:szCs w:val="20"/>
        </w:rPr>
      </w:pPr>
      <w:r w:rsidRPr="00791A09">
        <w:rPr>
          <w:rFonts w:ascii="Arial" w:eastAsia="Times New Roman" w:hAnsi="Arial" w:cs="Times New Roman"/>
          <w:sz w:val="20"/>
          <w:szCs w:val="20"/>
        </w:rPr>
        <w:t>WRI drafted a risk register and updated in Oct 2022</w:t>
      </w:r>
    </w:p>
    <w:p w14:paraId="06366296" w14:textId="77777777" w:rsidR="000B1D0E" w:rsidRPr="00791A09" w:rsidRDefault="000B1D0E" w:rsidP="000B1D0E">
      <w:pPr>
        <w:numPr>
          <w:ilvl w:val="0"/>
          <w:numId w:val="6"/>
        </w:numPr>
        <w:spacing w:after="0" w:line="240" w:lineRule="auto"/>
        <w:rPr>
          <w:rFonts w:ascii="Arial" w:eastAsia="Times New Roman" w:hAnsi="Arial" w:cs="Times New Roman"/>
          <w:sz w:val="20"/>
          <w:szCs w:val="20"/>
        </w:rPr>
      </w:pPr>
      <w:r w:rsidRPr="00791A09">
        <w:rPr>
          <w:rFonts w:ascii="Arial" w:eastAsia="Times New Roman" w:hAnsi="Arial" w:cs="Times New Roman"/>
          <w:sz w:val="20"/>
          <w:szCs w:val="20"/>
        </w:rPr>
        <w:t>WRI submitted financial reports (April, October 2022)</w:t>
      </w:r>
    </w:p>
    <w:p w14:paraId="6F70BD7A" w14:textId="77777777" w:rsidR="000B1D0E" w:rsidRPr="00791A09" w:rsidRDefault="000B1D0E" w:rsidP="000B1D0E">
      <w:pPr>
        <w:numPr>
          <w:ilvl w:val="0"/>
          <w:numId w:val="6"/>
        </w:numPr>
        <w:spacing w:after="0" w:line="240" w:lineRule="auto"/>
        <w:rPr>
          <w:rFonts w:ascii="Arial" w:eastAsia="Times New Roman" w:hAnsi="Arial" w:cs="Times New Roman"/>
          <w:sz w:val="20"/>
          <w:szCs w:val="20"/>
        </w:rPr>
      </w:pPr>
      <w:r w:rsidRPr="00791A09">
        <w:rPr>
          <w:rFonts w:ascii="Arial" w:eastAsia="Times New Roman" w:hAnsi="Arial" w:cs="Times New Roman"/>
          <w:sz w:val="20"/>
          <w:szCs w:val="20"/>
        </w:rPr>
        <w:t xml:space="preserve">WRI visited Defra office in London and delivered a presentation on Cities4Forests to the </w:t>
      </w:r>
      <w:r>
        <w:rPr>
          <w:rFonts w:ascii="Arial" w:eastAsia="Times New Roman" w:hAnsi="Arial" w:cs="Times New Roman"/>
          <w:sz w:val="20"/>
          <w:szCs w:val="20"/>
        </w:rPr>
        <w:t xml:space="preserve">International Biodiversity &amp; Climate </w:t>
      </w:r>
      <w:r w:rsidRPr="00791A09">
        <w:rPr>
          <w:rFonts w:ascii="Arial" w:eastAsia="Times New Roman" w:hAnsi="Arial" w:cs="Times New Roman"/>
          <w:sz w:val="20"/>
          <w:szCs w:val="20"/>
        </w:rPr>
        <w:t xml:space="preserve">Directorate </w:t>
      </w:r>
    </w:p>
    <w:p w14:paraId="5321D8DF" w14:textId="77777777" w:rsidR="000B1D0E" w:rsidRPr="00791A09" w:rsidRDefault="000B1D0E" w:rsidP="000B1D0E">
      <w:pPr>
        <w:numPr>
          <w:ilvl w:val="0"/>
          <w:numId w:val="6"/>
        </w:numPr>
        <w:spacing w:after="0" w:line="240" w:lineRule="auto"/>
        <w:rPr>
          <w:rFonts w:ascii="Arial" w:eastAsia="Times New Roman" w:hAnsi="Arial" w:cs="Times New Roman"/>
          <w:sz w:val="20"/>
          <w:szCs w:val="20"/>
        </w:rPr>
      </w:pPr>
      <w:r w:rsidRPr="00791A09">
        <w:rPr>
          <w:rFonts w:ascii="Arial" w:eastAsia="Times New Roman" w:hAnsi="Arial" w:cs="Times New Roman"/>
          <w:sz w:val="20"/>
          <w:szCs w:val="20"/>
        </w:rPr>
        <w:t xml:space="preserve">WRI and Defra collaborated to finalize the </w:t>
      </w:r>
      <w:proofErr w:type="gramStart"/>
      <w:r w:rsidRPr="00791A09">
        <w:rPr>
          <w:rFonts w:ascii="Arial" w:eastAsia="Times New Roman" w:hAnsi="Arial" w:cs="Times New Roman"/>
          <w:sz w:val="20"/>
          <w:szCs w:val="20"/>
        </w:rPr>
        <w:t>logframe</w:t>
      </w:r>
      <w:proofErr w:type="gramEnd"/>
      <w:r w:rsidRPr="00791A09">
        <w:rPr>
          <w:rFonts w:ascii="Arial" w:eastAsia="Times New Roman" w:hAnsi="Arial" w:cs="Times New Roman"/>
          <w:sz w:val="20"/>
          <w:szCs w:val="20"/>
        </w:rPr>
        <w:t xml:space="preserve"> </w:t>
      </w:r>
    </w:p>
    <w:p w14:paraId="5489BE0C" w14:textId="77777777" w:rsidR="000B1D0E" w:rsidRPr="00791A09" w:rsidRDefault="000B1D0E" w:rsidP="000B1D0E">
      <w:pPr>
        <w:numPr>
          <w:ilvl w:val="0"/>
          <w:numId w:val="6"/>
        </w:numPr>
        <w:spacing w:after="0" w:line="240" w:lineRule="auto"/>
        <w:rPr>
          <w:rFonts w:ascii="Arial" w:eastAsia="Times New Roman" w:hAnsi="Arial" w:cs="Times New Roman"/>
          <w:sz w:val="20"/>
          <w:szCs w:val="20"/>
        </w:rPr>
      </w:pPr>
      <w:r w:rsidRPr="00791A09">
        <w:rPr>
          <w:rFonts w:ascii="Arial" w:eastAsia="Times New Roman" w:hAnsi="Arial" w:cs="Times New Roman"/>
          <w:sz w:val="20"/>
          <w:szCs w:val="20"/>
        </w:rPr>
        <w:t xml:space="preserve">WRI arranged periodic donor advisory committee </w:t>
      </w:r>
      <w:proofErr w:type="gramStart"/>
      <w:r w:rsidRPr="00791A09">
        <w:rPr>
          <w:rFonts w:ascii="Arial" w:eastAsia="Times New Roman" w:hAnsi="Arial" w:cs="Times New Roman"/>
          <w:sz w:val="20"/>
          <w:szCs w:val="20"/>
        </w:rPr>
        <w:t>meetings</w:t>
      </w:r>
      <w:proofErr w:type="gramEnd"/>
    </w:p>
    <w:p w14:paraId="434CC6CC" w14:textId="77777777" w:rsidR="000B1D0E" w:rsidRPr="00791A09" w:rsidRDefault="000B1D0E" w:rsidP="000B1D0E">
      <w:pPr>
        <w:spacing w:after="0" w:line="240" w:lineRule="auto"/>
        <w:rPr>
          <w:rFonts w:ascii="Arial" w:eastAsia="Times New Roman" w:hAnsi="Arial" w:cs="Times New Roman"/>
          <w:sz w:val="20"/>
          <w:szCs w:val="20"/>
        </w:rPr>
      </w:pPr>
    </w:p>
    <w:p w14:paraId="73736449" w14:textId="77777777" w:rsidR="000B1D0E" w:rsidRPr="00791A09" w:rsidRDefault="000B1D0E" w:rsidP="000B1D0E">
      <w:pPr>
        <w:spacing w:after="0" w:line="240" w:lineRule="auto"/>
        <w:rPr>
          <w:rFonts w:ascii="Arial" w:eastAsia="Times New Roman" w:hAnsi="Arial" w:cs="Times New Roman"/>
          <w:sz w:val="20"/>
          <w:szCs w:val="20"/>
        </w:rPr>
      </w:pPr>
      <w:r w:rsidRPr="00791A09">
        <w:rPr>
          <w:rFonts w:ascii="Arial" w:eastAsia="Times New Roman" w:hAnsi="Arial" w:cs="Times New Roman"/>
          <w:sz w:val="20"/>
          <w:szCs w:val="20"/>
        </w:rPr>
        <w:t>In the coming year:</w:t>
      </w:r>
    </w:p>
    <w:p w14:paraId="2CDB3F1B" w14:textId="77777777" w:rsidR="000B1D0E" w:rsidRPr="00791A09" w:rsidRDefault="000B1D0E" w:rsidP="000B1D0E">
      <w:pPr>
        <w:numPr>
          <w:ilvl w:val="0"/>
          <w:numId w:val="6"/>
        </w:numPr>
        <w:spacing w:after="0" w:line="240" w:lineRule="auto"/>
        <w:rPr>
          <w:rFonts w:ascii="Arial" w:eastAsia="Times New Roman" w:hAnsi="Arial" w:cs="Times New Roman"/>
          <w:sz w:val="20"/>
          <w:szCs w:val="20"/>
        </w:rPr>
      </w:pPr>
      <w:r w:rsidRPr="00791A09">
        <w:rPr>
          <w:rFonts w:ascii="Arial" w:eastAsia="Times New Roman" w:hAnsi="Arial" w:cs="Times New Roman"/>
          <w:sz w:val="20"/>
          <w:szCs w:val="20"/>
        </w:rPr>
        <w:t xml:space="preserve">Defra/WRI to draft </w:t>
      </w:r>
      <w:r>
        <w:rPr>
          <w:rFonts w:ascii="Arial" w:eastAsia="Times New Roman" w:hAnsi="Arial" w:cs="Times New Roman"/>
          <w:sz w:val="20"/>
          <w:szCs w:val="20"/>
        </w:rPr>
        <w:t>key engagement</w:t>
      </w:r>
      <w:r w:rsidRPr="00791A09">
        <w:rPr>
          <w:rFonts w:ascii="Arial" w:eastAsia="Times New Roman" w:hAnsi="Arial" w:cs="Times New Roman"/>
          <w:sz w:val="20"/>
          <w:szCs w:val="20"/>
        </w:rPr>
        <w:t xml:space="preserve"> lines and comms products</w:t>
      </w:r>
      <w:r>
        <w:rPr>
          <w:rFonts w:ascii="Arial" w:eastAsia="Times New Roman" w:hAnsi="Arial" w:cs="Times New Roman"/>
          <w:sz w:val="20"/>
          <w:szCs w:val="20"/>
        </w:rPr>
        <w:t xml:space="preserve"> for Defra’s </w:t>
      </w:r>
      <w:proofErr w:type="gramStart"/>
      <w:r>
        <w:rPr>
          <w:rFonts w:ascii="Arial" w:eastAsia="Times New Roman" w:hAnsi="Arial" w:cs="Times New Roman"/>
          <w:sz w:val="20"/>
          <w:szCs w:val="20"/>
        </w:rPr>
        <w:t>use</w:t>
      </w:r>
      <w:proofErr w:type="gramEnd"/>
    </w:p>
    <w:p w14:paraId="7210A893" w14:textId="77777777" w:rsidR="000B1D0E" w:rsidRPr="00791A09" w:rsidRDefault="000B1D0E" w:rsidP="000B1D0E">
      <w:pPr>
        <w:numPr>
          <w:ilvl w:val="0"/>
          <w:numId w:val="6"/>
        </w:numPr>
        <w:spacing w:after="0" w:line="240" w:lineRule="auto"/>
        <w:rPr>
          <w:rFonts w:ascii="Arial" w:eastAsia="Times New Roman" w:hAnsi="Arial" w:cs="Times New Roman"/>
          <w:sz w:val="20"/>
          <w:szCs w:val="20"/>
        </w:rPr>
      </w:pPr>
      <w:r w:rsidRPr="00791A09">
        <w:rPr>
          <w:rFonts w:ascii="Arial" w:eastAsia="Times New Roman" w:hAnsi="Arial" w:cs="Times New Roman"/>
          <w:sz w:val="20"/>
          <w:szCs w:val="20"/>
        </w:rPr>
        <w:t xml:space="preserve">Defra/WRI to prepare for donor advisory committee </w:t>
      </w:r>
      <w:proofErr w:type="gramStart"/>
      <w:r w:rsidRPr="00791A09">
        <w:rPr>
          <w:rFonts w:ascii="Arial" w:eastAsia="Times New Roman" w:hAnsi="Arial" w:cs="Times New Roman"/>
          <w:sz w:val="20"/>
          <w:szCs w:val="20"/>
        </w:rPr>
        <w:t>meeting</w:t>
      </w:r>
      <w:r>
        <w:rPr>
          <w:rFonts w:ascii="Arial" w:eastAsia="Times New Roman" w:hAnsi="Arial" w:cs="Times New Roman"/>
          <w:sz w:val="20"/>
          <w:szCs w:val="20"/>
        </w:rPr>
        <w:t>s</w:t>
      </w:r>
      <w:proofErr w:type="gramEnd"/>
    </w:p>
    <w:p w14:paraId="04201155" w14:textId="77777777" w:rsidR="000B1D0E" w:rsidRDefault="000B1D0E" w:rsidP="000B1D0E">
      <w:pPr>
        <w:numPr>
          <w:ilvl w:val="0"/>
          <w:numId w:val="6"/>
        </w:numPr>
        <w:spacing w:after="0" w:line="240" w:lineRule="auto"/>
        <w:rPr>
          <w:rFonts w:ascii="Arial" w:eastAsia="Times New Roman" w:hAnsi="Arial" w:cs="Times New Roman"/>
          <w:sz w:val="20"/>
          <w:szCs w:val="20"/>
        </w:rPr>
      </w:pPr>
      <w:r w:rsidRPr="00791A09">
        <w:rPr>
          <w:rFonts w:ascii="Arial" w:eastAsia="Times New Roman" w:hAnsi="Arial" w:cs="Times New Roman"/>
          <w:sz w:val="20"/>
          <w:szCs w:val="20"/>
        </w:rPr>
        <w:t>Defra</w:t>
      </w:r>
      <w:r>
        <w:rPr>
          <w:rFonts w:ascii="Arial" w:eastAsia="Times New Roman" w:hAnsi="Arial" w:cs="Times New Roman"/>
          <w:sz w:val="20"/>
          <w:szCs w:val="20"/>
        </w:rPr>
        <w:t xml:space="preserve">/WRI to hold quarterly PMRG meetings; </w:t>
      </w:r>
      <w:r w:rsidRPr="00791A09">
        <w:rPr>
          <w:rFonts w:ascii="Arial" w:eastAsia="Times New Roman" w:hAnsi="Arial" w:cs="Times New Roman"/>
          <w:sz w:val="20"/>
          <w:szCs w:val="20"/>
        </w:rPr>
        <w:t>include standing agenda points to discuss any lessons learnt</w:t>
      </w:r>
      <w:r>
        <w:rPr>
          <w:rFonts w:ascii="Arial" w:eastAsia="Times New Roman" w:hAnsi="Arial" w:cs="Times New Roman"/>
          <w:sz w:val="20"/>
          <w:szCs w:val="20"/>
        </w:rPr>
        <w:t>, evidence sharing,</w:t>
      </w:r>
      <w:r w:rsidRPr="00791A09">
        <w:rPr>
          <w:rFonts w:ascii="Arial" w:eastAsia="Times New Roman" w:hAnsi="Arial" w:cs="Times New Roman"/>
          <w:sz w:val="20"/>
          <w:szCs w:val="20"/>
        </w:rPr>
        <w:t xml:space="preserve"> and any positive and negative feedback/complaints from </w:t>
      </w:r>
      <w:proofErr w:type="gramStart"/>
      <w:r w:rsidRPr="00791A09">
        <w:rPr>
          <w:rFonts w:ascii="Arial" w:eastAsia="Times New Roman" w:hAnsi="Arial" w:cs="Times New Roman"/>
          <w:sz w:val="20"/>
          <w:szCs w:val="20"/>
        </w:rPr>
        <w:t>stakeholders</w:t>
      </w:r>
      <w:proofErr w:type="gramEnd"/>
    </w:p>
    <w:p w14:paraId="5D459C28" w14:textId="77777777" w:rsidR="000B1D0E" w:rsidRPr="00791A09" w:rsidRDefault="000B1D0E" w:rsidP="000B1D0E">
      <w:pPr>
        <w:numPr>
          <w:ilvl w:val="0"/>
          <w:numId w:val="6"/>
        </w:numPr>
        <w:spacing w:after="0" w:line="240" w:lineRule="auto"/>
        <w:rPr>
          <w:rFonts w:ascii="Arial" w:eastAsia="Times New Roman" w:hAnsi="Arial" w:cs="Times New Roman"/>
          <w:sz w:val="20"/>
          <w:szCs w:val="20"/>
        </w:rPr>
      </w:pPr>
      <w:r w:rsidRPr="00791A09">
        <w:rPr>
          <w:rFonts w:ascii="Arial" w:eastAsia="Times New Roman" w:hAnsi="Arial" w:cs="Times New Roman"/>
          <w:sz w:val="20"/>
          <w:szCs w:val="20"/>
        </w:rPr>
        <w:t>In 2023, in coordination with Cifies4Forests team, Defra to further develop knowledge of programme implementation, potentially through project visits, and look for p</w:t>
      </w:r>
      <w:r>
        <w:rPr>
          <w:rFonts w:ascii="Arial" w:eastAsia="Times New Roman" w:hAnsi="Arial" w:cs="Times New Roman"/>
          <w:sz w:val="20"/>
          <w:szCs w:val="20"/>
        </w:rPr>
        <w:t>rospective</w:t>
      </w:r>
      <w:r w:rsidRPr="00791A09">
        <w:rPr>
          <w:rFonts w:ascii="Arial" w:eastAsia="Times New Roman" w:hAnsi="Arial" w:cs="Times New Roman"/>
          <w:sz w:val="20"/>
          <w:szCs w:val="20"/>
        </w:rPr>
        <w:t xml:space="preserve"> synergies with existing and emerging Defra ODA </w:t>
      </w:r>
      <w:proofErr w:type="gramStart"/>
      <w:r w:rsidRPr="00791A09">
        <w:rPr>
          <w:rFonts w:ascii="Arial" w:eastAsia="Times New Roman" w:hAnsi="Arial" w:cs="Times New Roman"/>
          <w:sz w:val="20"/>
          <w:szCs w:val="20"/>
        </w:rPr>
        <w:t>programming</w:t>
      </w:r>
      <w:proofErr w:type="gramEnd"/>
    </w:p>
    <w:p w14:paraId="52847FCD" w14:textId="77777777" w:rsidR="000B1D0E" w:rsidRPr="00791A09" w:rsidRDefault="000B1D0E" w:rsidP="000B1D0E">
      <w:pPr>
        <w:numPr>
          <w:ilvl w:val="0"/>
          <w:numId w:val="6"/>
        </w:numPr>
        <w:tabs>
          <w:tab w:val="left" w:pos="6915"/>
          <w:tab w:val="left" w:pos="9495"/>
        </w:tabs>
        <w:spacing w:after="0" w:line="240" w:lineRule="auto"/>
        <w:contextualSpacing/>
        <w:jc w:val="both"/>
        <w:rPr>
          <w:rFonts w:ascii="Arial" w:eastAsia="Times New Roman" w:hAnsi="Arial" w:cs="Arial"/>
          <w:sz w:val="20"/>
          <w:szCs w:val="20"/>
        </w:rPr>
      </w:pPr>
      <w:r w:rsidRPr="00791A09">
        <w:rPr>
          <w:rFonts w:ascii="Arial" w:eastAsia="Times New Roman" w:hAnsi="Arial" w:cs="Times New Roman"/>
          <w:sz w:val="20"/>
          <w:szCs w:val="20"/>
          <w:lang w:eastAsia="en-GB"/>
        </w:rPr>
        <w:t>Cities4Forests and Defra to develop a plan for dissemination of the programme with relevant UK country posts</w:t>
      </w:r>
      <w:r>
        <w:rPr>
          <w:rFonts w:ascii="Arial" w:eastAsia="Times New Roman" w:hAnsi="Arial" w:cs="Times New Roman"/>
          <w:sz w:val="20"/>
          <w:szCs w:val="20"/>
          <w:lang w:eastAsia="en-GB"/>
        </w:rPr>
        <w:t xml:space="preserve"> and across </w:t>
      </w:r>
      <w:proofErr w:type="gramStart"/>
      <w:r>
        <w:rPr>
          <w:rFonts w:ascii="Arial" w:eastAsia="Times New Roman" w:hAnsi="Arial" w:cs="Times New Roman"/>
          <w:sz w:val="20"/>
          <w:szCs w:val="20"/>
          <w:lang w:eastAsia="en-GB"/>
        </w:rPr>
        <w:t>HMG</w:t>
      </w:r>
      <w:proofErr w:type="gramEnd"/>
    </w:p>
    <w:p w14:paraId="4027AA13" w14:textId="77777777" w:rsidR="000B1D0E" w:rsidRPr="00791A09" w:rsidRDefault="000B1D0E" w:rsidP="000B1D0E">
      <w:pPr>
        <w:spacing w:after="0" w:line="240" w:lineRule="auto"/>
        <w:ind w:left="720"/>
        <w:rPr>
          <w:rFonts w:ascii="Arial" w:eastAsia="Times New Roman" w:hAnsi="Arial" w:cs="Times New Roman"/>
          <w:sz w:val="20"/>
          <w:szCs w:val="20"/>
        </w:rPr>
      </w:pPr>
    </w:p>
    <w:p w14:paraId="4CB46322" w14:textId="77777777" w:rsidR="000B1D0E" w:rsidRPr="00791A09" w:rsidRDefault="000B1D0E" w:rsidP="000B1D0E">
      <w:pPr>
        <w:spacing w:after="0" w:line="240" w:lineRule="auto"/>
        <w:rPr>
          <w:rFonts w:ascii="Arial" w:eastAsia="Times New Roman" w:hAnsi="Arial" w:cs="Times New Roman"/>
          <w:sz w:val="20"/>
          <w:szCs w:val="20"/>
        </w:rPr>
      </w:pPr>
      <w:r w:rsidRPr="00791A09">
        <w:rPr>
          <w:rFonts w:ascii="Arial" w:eastAsia="Times New Roman" w:hAnsi="Arial" w:cs="Times New Roman"/>
          <w:sz w:val="20"/>
          <w:szCs w:val="20"/>
        </w:rPr>
        <w:t>The resourcing challenges noted earlier led to some delays with programme management activities including tracking and reporting and review of Cities4Forests products.  We are working to mitigate this</w:t>
      </w:r>
      <w:r>
        <w:rPr>
          <w:rFonts w:ascii="Arial" w:eastAsia="Times New Roman" w:hAnsi="Arial" w:cs="Times New Roman"/>
          <w:sz w:val="20"/>
          <w:szCs w:val="20"/>
        </w:rPr>
        <w:t xml:space="preserve"> in </w:t>
      </w:r>
      <w:r w:rsidRPr="00791A09">
        <w:rPr>
          <w:rFonts w:ascii="Arial" w:eastAsia="Times New Roman" w:hAnsi="Arial" w:cs="Times New Roman"/>
          <w:sz w:val="20"/>
          <w:szCs w:val="20"/>
        </w:rPr>
        <w:t xml:space="preserve">2023. </w:t>
      </w:r>
    </w:p>
    <w:p w14:paraId="3F4BED16" w14:textId="77777777" w:rsidR="000B1D0E" w:rsidRPr="00791A09" w:rsidRDefault="000B1D0E" w:rsidP="000B1D0E">
      <w:pPr>
        <w:spacing w:after="0" w:line="240" w:lineRule="auto"/>
        <w:rPr>
          <w:rFonts w:ascii="Arial" w:eastAsia="Times New Roman" w:hAnsi="Arial" w:cs="Times New Roman"/>
          <w:sz w:val="20"/>
          <w:szCs w:val="20"/>
        </w:rPr>
      </w:pPr>
    </w:p>
    <w:p w14:paraId="5ED347BF" w14:textId="77777777" w:rsidR="000B1D0E" w:rsidRPr="00791A09" w:rsidRDefault="000B1D0E" w:rsidP="000B1D0E">
      <w:pPr>
        <w:spacing w:after="0" w:line="240" w:lineRule="auto"/>
        <w:rPr>
          <w:rFonts w:ascii="Arial" w:eastAsia="Times New Roman" w:hAnsi="Arial" w:cs="Times New Roman"/>
          <w:sz w:val="20"/>
          <w:szCs w:val="20"/>
        </w:rPr>
      </w:pPr>
      <w:r w:rsidRPr="00791A09">
        <w:rPr>
          <w:rFonts w:ascii="Arial" w:eastAsia="Times New Roman" w:hAnsi="Arial" w:cs="Times New Roman"/>
          <w:sz w:val="20"/>
          <w:szCs w:val="20"/>
        </w:rPr>
        <w:t>WRI have been timely in delivering all products and helpful and responsive in</w:t>
      </w:r>
      <w:r>
        <w:rPr>
          <w:rFonts w:ascii="Arial" w:eastAsia="Times New Roman" w:hAnsi="Arial" w:cs="Times New Roman"/>
          <w:sz w:val="20"/>
          <w:szCs w:val="20"/>
        </w:rPr>
        <w:t xml:space="preserve"> onboarding</w:t>
      </w:r>
      <w:r w:rsidRPr="00791A09">
        <w:rPr>
          <w:rFonts w:ascii="Arial" w:eastAsia="Times New Roman" w:hAnsi="Arial" w:cs="Times New Roman"/>
          <w:sz w:val="20"/>
          <w:szCs w:val="20"/>
        </w:rPr>
        <w:t xml:space="preserve"> new Defra staff with programme objectives and milestones. Defra welcomes discussions on lessons learnt by the programme and appreciates hearing any positive and negative feedback/complaints from stakeholders</w:t>
      </w:r>
      <w:r>
        <w:rPr>
          <w:rFonts w:ascii="Arial" w:eastAsia="Times New Roman" w:hAnsi="Arial" w:cs="Times New Roman"/>
          <w:sz w:val="20"/>
          <w:szCs w:val="20"/>
        </w:rPr>
        <w:t>.</w:t>
      </w:r>
    </w:p>
    <w:p w14:paraId="6A7453A9" w14:textId="77777777" w:rsidR="000B1D0E" w:rsidRDefault="000B1D0E" w:rsidP="000B1D0E">
      <w:pPr>
        <w:spacing w:after="0" w:line="240" w:lineRule="auto"/>
        <w:rPr>
          <w:rFonts w:ascii="Arial" w:eastAsia="Times New Roman" w:hAnsi="Arial" w:cs="Times New Roman"/>
          <w:sz w:val="20"/>
          <w:szCs w:val="20"/>
        </w:rPr>
      </w:pPr>
    </w:p>
    <w:p w14:paraId="0BBA5C1B" w14:textId="77777777" w:rsidR="000B1D0E" w:rsidRPr="00122DE3" w:rsidRDefault="000B1D0E" w:rsidP="000B1D0E">
      <w:pPr>
        <w:spacing w:after="0" w:line="240" w:lineRule="auto"/>
        <w:rPr>
          <w:rFonts w:ascii="Arial" w:eastAsia="Times New Roman" w:hAnsi="Arial" w:cs="Times New Roman"/>
          <w:sz w:val="20"/>
          <w:szCs w:val="20"/>
          <w:highlight w:val="yellow"/>
        </w:rPr>
      </w:pPr>
    </w:p>
    <w:p w14:paraId="076C25E5" w14:textId="77777777" w:rsidR="000B1D0E" w:rsidRPr="005F3AFB" w:rsidRDefault="000B1D0E" w:rsidP="000B1D0E">
      <w:pPr>
        <w:rPr>
          <w:rFonts w:ascii="Arial" w:hAnsi="Arial" w:cs="Arial"/>
          <w:sz w:val="20"/>
          <w:szCs w:val="20"/>
        </w:rPr>
      </w:pPr>
      <w:r w:rsidRPr="005F3AFB">
        <w:rPr>
          <w:rFonts w:ascii="Arial" w:hAnsi="Arial" w:cs="Arial"/>
          <w:b/>
          <w:bCs/>
          <w:sz w:val="20"/>
          <w:szCs w:val="20"/>
        </w:rPr>
        <w:t xml:space="preserve">Assess </w:t>
      </w:r>
      <w:proofErr w:type="spellStart"/>
      <w:r w:rsidRPr="005F3AFB">
        <w:rPr>
          <w:rFonts w:ascii="Arial" w:hAnsi="Arial" w:cs="Arial"/>
          <w:b/>
          <w:bCs/>
          <w:sz w:val="20"/>
          <w:szCs w:val="20"/>
        </w:rPr>
        <w:t>VfM</w:t>
      </w:r>
      <w:proofErr w:type="spellEnd"/>
      <w:r w:rsidRPr="005F3AFB">
        <w:rPr>
          <w:rFonts w:ascii="Arial" w:hAnsi="Arial" w:cs="Arial"/>
          <w:b/>
          <w:bCs/>
          <w:sz w:val="20"/>
          <w:szCs w:val="20"/>
        </w:rPr>
        <w:t xml:space="preserve"> compared to the proposition in the Business Case, based on performance over the past </w:t>
      </w:r>
      <w:proofErr w:type="gramStart"/>
      <w:r w:rsidRPr="005F3AFB">
        <w:rPr>
          <w:rFonts w:ascii="Arial" w:hAnsi="Arial" w:cs="Arial"/>
          <w:b/>
          <w:bCs/>
          <w:sz w:val="20"/>
          <w:szCs w:val="20"/>
        </w:rPr>
        <w:t>year</w:t>
      </w:r>
      <w:proofErr w:type="gramEnd"/>
    </w:p>
    <w:p w14:paraId="5AF66A80" w14:textId="460D60F4" w:rsidR="000B1D0E" w:rsidRPr="005F3AFB" w:rsidRDefault="000B1D0E" w:rsidP="000B1D0E">
      <w:pPr>
        <w:rPr>
          <w:rFonts w:ascii="Arial" w:hAnsi="Arial" w:cs="Arial"/>
          <w:sz w:val="20"/>
          <w:szCs w:val="20"/>
        </w:rPr>
      </w:pPr>
      <w:r w:rsidRPr="005F3AFB">
        <w:rPr>
          <w:rFonts w:ascii="Arial" w:hAnsi="Arial" w:cs="Arial"/>
          <w:sz w:val="20"/>
          <w:szCs w:val="20"/>
        </w:rPr>
        <w:t>The following section refers to the original £560</w:t>
      </w:r>
      <w:r>
        <w:rPr>
          <w:rFonts w:ascii="Arial" w:hAnsi="Arial" w:cs="Arial"/>
          <w:sz w:val="20"/>
          <w:szCs w:val="20"/>
        </w:rPr>
        <w:t>,000</w:t>
      </w:r>
      <w:r w:rsidRPr="005F3AFB">
        <w:rPr>
          <w:rFonts w:ascii="Arial" w:hAnsi="Arial" w:cs="Arial"/>
          <w:sz w:val="20"/>
          <w:szCs w:val="20"/>
        </w:rPr>
        <w:t xml:space="preserve"> grant business case (completed in late 2019) and the subsequent addendum </w:t>
      </w:r>
      <w:r>
        <w:rPr>
          <w:rFonts w:ascii="Arial" w:hAnsi="Arial" w:cs="Arial"/>
          <w:sz w:val="20"/>
          <w:szCs w:val="20"/>
        </w:rPr>
        <w:t>for £4,400,000</w:t>
      </w:r>
      <w:r w:rsidRPr="005F3AFB">
        <w:rPr>
          <w:rFonts w:ascii="Arial" w:hAnsi="Arial" w:cs="Arial"/>
          <w:sz w:val="20"/>
          <w:szCs w:val="20"/>
        </w:rPr>
        <w:t xml:space="preserve"> (completed </w:t>
      </w:r>
      <w:proofErr w:type="gramStart"/>
      <w:r w:rsidRPr="005F3AFB">
        <w:rPr>
          <w:rFonts w:ascii="Arial" w:hAnsi="Arial" w:cs="Arial"/>
          <w:sz w:val="20"/>
          <w:szCs w:val="20"/>
        </w:rPr>
        <w:t>Nov,</w:t>
      </w:r>
      <w:proofErr w:type="gramEnd"/>
      <w:r w:rsidRPr="005F3AFB">
        <w:rPr>
          <w:rFonts w:ascii="Arial" w:hAnsi="Arial" w:cs="Arial"/>
          <w:sz w:val="20"/>
          <w:szCs w:val="20"/>
        </w:rPr>
        <w:t xml:space="preserve"> 2021) for the voluntary contribution </w:t>
      </w:r>
      <w:r w:rsidRPr="005F3AFB">
        <w:rPr>
          <w:rFonts w:ascii="Arial" w:hAnsi="Arial" w:cs="Arial"/>
          <w:sz w:val="20"/>
          <w:szCs w:val="20"/>
        </w:rPr>
        <w:lastRenderedPageBreak/>
        <w:t xml:space="preserve">funding activities in this annual review. The </w:t>
      </w:r>
      <w:proofErr w:type="spellStart"/>
      <w:r w:rsidRPr="005F3AFB">
        <w:rPr>
          <w:rFonts w:ascii="Arial" w:hAnsi="Arial" w:cs="Arial"/>
          <w:sz w:val="20"/>
          <w:szCs w:val="20"/>
        </w:rPr>
        <w:t>VfM</w:t>
      </w:r>
      <w:proofErr w:type="spellEnd"/>
      <w:r w:rsidRPr="005F3AFB">
        <w:rPr>
          <w:rFonts w:ascii="Arial" w:hAnsi="Arial" w:cs="Arial"/>
          <w:sz w:val="20"/>
          <w:szCs w:val="20"/>
        </w:rPr>
        <w:t xml:space="preserve"> references in the</w:t>
      </w:r>
      <w:r w:rsidRPr="00CA78CA">
        <w:rPr>
          <w:rFonts w:ascii="Arial" w:hAnsi="Arial" w:cs="Arial"/>
          <w:sz w:val="20"/>
          <w:szCs w:val="20"/>
        </w:rPr>
        <w:t xml:space="preserve"> business case addendum are</w:t>
      </w:r>
      <w:r w:rsidRPr="005F3AFB">
        <w:rPr>
          <w:rFonts w:ascii="Arial" w:hAnsi="Arial" w:cs="Arial"/>
          <w:sz w:val="20"/>
          <w:szCs w:val="20"/>
        </w:rPr>
        <w:t xml:space="preserve"> high level, with an absence of cost-benefit analysis and specific metrics such as a</w:t>
      </w:r>
      <w:r>
        <w:rPr>
          <w:rFonts w:ascii="Arial" w:hAnsi="Arial" w:cs="Arial"/>
          <w:sz w:val="20"/>
          <w:szCs w:val="20"/>
        </w:rPr>
        <w:t xml:space="preserve"> ‘net present value’</w:t>
      </w:r>
      <w:r w:rsidRPr="005F3AFB">
        <w:rPr>
          <w:rFonts w:ascii="Arial" w:hAnsi="Arial" w:cs="Arial"/>
          <w:sz w:val="20"/>
          <w:szCs w:val="20"/>
        </w:rPr>
        <w:t xml:space="preserve"> which potentially could be used to demonstrate and subsequently monitor how value for money compares to what was anticipated. A similar approach has necessarily been taken for this Annual Review. The expected benefits are presented as high-level outcomes in the addendum where there are also indicative results. </w:t>
      </w:r>
    </w:p>
    <w:p w14:paraId="3A60A610" w14:textId="77777777" w:rsidR="000B1D0E" w:rsidRPr="005F3AFB" w:rsidRDefault="000B1D0E" w:rsidP="000B1D0E">
      <w:pPr>
        <w:rPr>
          <w:rFonts w:ascii="Arial" w:hAnsi="Arial" w:cs="Arial"/>
          <w:sz w:val="20"/>
          <w:szCs w:val="20"/>
        </w:rPr>
      </w:pPr>
      <w:r w:rsidRPr="005F3AFB">
        <w:rPr>
          <w:rFonts w:ascii="Arial" w:hAnsi="Arial" w:cs="Arial"/>
          <w:sz w:val="20"/>
          <w:szCs w:val="20"/>
        </w:rPr>
        <w:t>Expected outcomes in the business case addendum were:</w:t>
      </w:r>
    </w:p>
    <w:p w14:paraId="28CF8D6E" w14:textId="77777777" w:rsidR="000B1D0E" w:rsidRPr="005F3AFB" w:rsidRDefault="000B1D0E" w:rsidP="000B1D0E">
      <w:pPr>
        <w:numPr>
          <w:ilvl w:val="0"/>
          <w:numId w:val="18"/>
        </w:numPr>
        <w:rPr>
          <w:rFonts w:ascii="Arial" w:hAnsi="Arial" w:cs="Arial"/>
          <w:sz w:val="20"/>
          <w:szCs w:val="20"/>
        </w:rPr>
      </w:pPr>
      <w:r w:rsidRPr="005F3AFB">
        <w:rPr>
          <w:rFonts w:ascii="Arial" w:hAnsi="Arial" w:cs="Arial"/>
          <w:sz w:val="20"/>
          <w:szCs w:val="20"/>
        </w:rPr>
        <w:t>Cities develop new and/or improved policies and projects to protect and restore forests.</w:t>
      </w:r>
    </w:p>
    <w:p w14:paraId="3D7171BA" w14:textId="77777777" w:rsidR="000B1D0E" w:rsidRPr="005F3AFB" w:rsidRDefault="000B1D0E" w:rsidP="000B1D0E">
      <w:pPr>
        <w:numPr>
          <w:ilvl w:val="0"/>
          <w:numId w:val="18"/>
        </w:numPr>
        <w:rPr>
          <w:rFonts w:ascii="Arial" w:hAnsi="Arial" w:cs="Arial"/>
          <w:sz w:val="20"/>
          <w:szCs w:val="20"/>
        </w:rPr>
      </w:pPr>
      <w:r w:rsidRPr="005F3AFB">
        <w:rPr>
          <w:rFonts w:ascii="Arial" w:hAnsi="Arial" w:cs="Arial"/>
          <w:sz w:val="20"/>
          <w:szCs w:val="20"/>
        </w:rPr>
        <w:t>Increased resident awareness and support for forests reduces cities’ impact on inner, nearby, and faraway forests.</w:t>
      </w:r>
    </w:p>
    <w:p w14:paraId="4424D253" w14:textId="77777777" w:rsidR="000B1D0E" w:rsidRPr="005F3AFB" w:rsidRDefault="000B1D0E" w:rsidP="000B1D0E">
      <w:pPr>
        <w:numPr>
          <w:ilvl w:val="0"/>
          <w:numId w:val="18"/>
        </w:numPr>
        <w:rPr>
          <w:rFonts w:ascii="Arial" w:hAnsi="Arial" w:cs="Arial"/>
          <w:sz w:val="20"/>
          <w:szCs w:val="20"/>
        </w:rPr>
      </w:pPr>
      <w:r w:rsidRPr="005F3AFB">
        <w:rPr>
          <w:rFonts w:ascii="Arial" w:hAnsi="Arial" w:cs="Arial"/>
          <w:sz w:val="20"/>
          <w:szCs w:val="20"/>
        </w:rPr>
        <w:t xml:space="preserve">Increased public and private finance earmarked for and/or invested in innovative financing approaches, enabling cities to increase and scale investment in forests, green infrastructure and </w:t>
      </w:r>
      <w:proofErr w:type="spellStart"/>
      <w:r w:rsidRPr="005F3AFB">
        <w:rPr>
          <w:rFonts w:ascii="Arial" w:hAnsi="Arial" w:cs="Arial"/>
          <w:sz w:val="20"/>
          <w:szCs w:val="20"/>
        </w:rPr>
        <w:t>NbS</w:t>
      </w:r>
      <w:proofErr w:type="spellEnd"/>
      <w:r w:rsidRPr="005F3AFB">
        <w:rPr>
          <w:rFonts w:ascii="Arial" w:hAnsi="Arial" w:cs="Arial"/>
          <w:sz w:val="20"/>
          <w:szCs w:val="20"/>
        </w:rPr>
        <w:t>.</w:t>
      </w:r>
    </w:p>
    <w:p w14:paraId="53A58741" w14:textId="77777777" w:rsidR="000B1D0E" w:rsidRPr="005F3AFB" w:rsidRDefault="000B1D0E" w:rsidP="000B1D0E">
      <w:pPr>
        <w:numPr>
          <w:ilvl w:val="0"/>
          <w:numId w:val="18"/>
        </w:numPr>
        <w:rPr>
          <w:rFonts w:ascii="Arial" w:hAnsi="Arial" w:cs="Arial"/>
          <w:sz w:val="20"/>
          <w:szCs w:val="20"/>
        </w:rPr>
      </w:pPr>
      <w:r w:rsidRPr="005F3AFB">
        <w:rPr>
          <w:rFonts w:ascii="Arial" w:hAnsi="Arial" w:cs="Arial"/>
          <w:sz w:val="20"/>
          <w:szCs w:val="20"/>
        </w:rPr>
        <w:t>Cities in the Cities4Forests Network work with businesses to create sustainable business models.</w:t>
      </w:r>
    </w:p>
    <w:p w14:paraId="10429EEF" w14:textId="77777777" w:rsidR="000B1D0E" w:rsidRPr="005F3AFB" w:rsidRDefault="000B1D0E" w:rsidP="000B1D0E">
      <w:pPr>
        <w:numPr>
          <w:ilvl w:val="0"/>
          <w:numId w:val="18"/>
        </w:numPr>
        <w:rPr>
          <w:rFonts w:ascii="Arial" w:hAnsi="Arial" w:cs="Arial"/>
          <w:sz w:val="20"/>
          <w:szCs w:val="20"/>
        </w:rPr>
      </w:pPr>
      <w:r w:rsidRPr="005F3AFB">
        <w:rPr>
          <w:rFonts w:ascii="Arial" w:hAnsi="Arial" w:cs="Arial"/>
          <w:sz w:val="20"/>
          <w:szCs w:val="20"/>
        </w:rPr>
        <w:t>City-led initiatives to protect and restore nearby and faraway forests increases benefits for biodiversity.</w:t>
      </w:r>
    </w:p>
    <w:p w14:paraId="66D7F3E4" w14:textId="77777777" w:rsidR="000B1D0E" w:rsidRPr="005F3AFB" w:rsidRDefault="000B1D0E" w:rsidP="000B1D0E">
      <w:pPr>
        <w:rPr>
          <w:rFonts w:ascii="Arial" w:hAnsi="Arial" w:cs="Arial"/>
          <w:sz w:val="20"/>
          <w:szCs w:val="20"/>
        </w:rPr>
      </w:pPr>
      <w:r w:rsidRPr="005F3AFB">
        <w:rPr>
          <w:rFonts w:ascii="Arial" w:hAnsi="Arial" w:cs="Arial"/>
          <w:sz w:val="20"/>
          <w:szCs w:val="20"/>
        </w:rPr>
        <w:t xml:space="preserve">Output indicators, descriptions of each output’s activities and initial results covered in Section C of this review give good evidence that Cities4Forests is on track to deliver these expected outcomes (please also see Section B for examples of progress towards these). Below we consider </w:t>
      </w:r>
      <w:proofErr w:type="spellStart"/>
      <w:r w:rsidRPr="005F3AFB">
        <w:rPr>
          <w:rFonts w:ascii="Arial" w:hAnsi="Arial" w:cs="Arial"/>
          <w:sz w:val="20"/>
          <w:szCs w:val="20"/>
        </w:rPr>
        <w:t>VfM</w:t>
      </w:r>
      <w:proofErr w:type="spellEnd"/>
      <w:r w:rsidRPr="005F3AFB">
        <w:rPr>
          <w:rFonts w:ascii="Arial" w:hAnsi="Arial" w:cs="Arial"/>
          <w:sz w:val="20"/>
          <w:szCs w:val="20"/>
        </w:rPr>
        <w:t xml:space="preserve"> through the lens of the 4 E Framework.</w:t>
      </w:r>
    </w:p>
    <w:p w14:paraId="05B44D18" w14:textId="77777777" w:rsidR="000B1D0E" w:rsidRPr="005F3AFB" w:rsidRDefault="000B1D0E" w:rsidP="000B1D0E">
      <w:pPr>
        <w:rPr>
          <w:rFonts w:ascii="Arial" w:hAnsi="Arial" w:cs="Arial"/>
          <w:sz w:val="20"/>
          <w:szCs w:val="20"/>
        </w:rPr>
      </w:pPr>
      <w:r w:rsidRPr="005F3AFB">
        <w:rPr>
          <w:rFonts w:ascii="Arial" w:hAnsi="Arial" w:cs="Arial"/>
          <w:b/>
          <w:bCs/>
          <w:sz w:val="20"/>
          <w:szCs w:val="20"/>
          <w:u w:val="single"/>
        </w:rPr>
        <w:t>Economy</w:t>
      </w:r>
      <w:r w:rsidRPr="005F3AFB">
        <w:rPr>
          <w:rFonts w:ascii="Arial" w:hAnsi="Arial" w:cs="Arial"/>
          <w:sz w:val="20"/>
          <w:szCs w:val="20"/>
        </w:rPr>
        <w:t xml:space="preserve">: As noted in the original business case, Defra has benefited through investing in an existing initiative (efficiencies of scale) which has already incurred setup costs meaning our funding can directly support implementation. </w:t>
      </w:r>
    </w:p>
    <w:p w14:paraId="70FE4E55" w14:textId="77777777" w:rsidR="000B1D0E" w:rsidRPr="00D94093" w:rsidRDefault="000B1D0E" w:rsidP="000B1D0E">
      <w:pPr>
        <w:rPr>
          <w:rFonts w:ascii="Arial" w:hAnsi="Arial" w:cs="Arial"/>
          <w:sz w:val="20"/>
          <w:szCs w:val="20"/>
        </w:rPr>
      </w:pPr>
      <w:r w:rsidRPr="005F3AFB">
        <w:rPr>
          <w:rFonts w:ascii="Arial" w:hAnsi="Arial" w:cs="Arial"/>
          <w:sz w:val="20"/>
          <w:szCs w:val="20"/>
        </w:rPr>
        <w:t xml:space="preserve">In terms of costs, Cities4Forests benefits from being housed within </w:t>
      </w:r>
      <w:r>
        <w:rPr>
          <w:rFonts w:ascii="Arial" w:hAnsi="Arial" w:cs="Arial"/>
          <w:sz w:val="20"/>
          <w:szCs w:val="20"/>
        </w:rPr>
        <w:t>WRI</w:t>
      </w:r>
      <w:r w:rsidRPr="005F3AFB">
        <w:rPr>
          <w:rFonts w:ascii="Arial" w:hAnsi="Arial" w:cs="Arial"/>
          <w:sz w:val="20"/>
          <w:szCs w:val="20"/>
        </w:rPr>
        <w:t>, a 2,000+ person organi</w:t>
      </w:r>
      <w:r>
        <w:rPr>
          <w:rFonts w:ascii="Arial" w:hAnsi="Arial" w:cs="Arial"/>
          <w:sz w:val="20"/>
          <w:szCs w:val="20"/>
        </w:rPr>
        <w:t>s</w:t>
      </w:r>
      <w:r w:rsidRPr="005F3AFB">
        <w:rPr>
          <w:rFonts w:ascii="Arial" w:hAnsi="Arial" w:cs="Arial"/>
          <w:sz w:val="20"/>
          <w:szCs w:val="20"/>
        </w:rPr>
        <w:t xml:space="preserve">ation, which helps it benefit from economies of scale and quality-control processes. For example, WRI has a procurement policy </w:t>
      </w:r>
      <w:r w:rsidRPr="00D94093">
        <w:rPr>
          <w:rFonts w:ascii="Arial" w:hAnsi="Arial" w:cs="Arial"/>
          <w:sz w:val="20"/>
          <w:szCs w:val="20"/>
        </w:rPr>
        <w:t>which guides how spending decisions are made and ensures good value for money is sought during contracting / purchasing (WRI’s procurement policy requires a competitive procurement process or a sole source justification to be provided for any contractual agreement with a value over USD 25,000). There is an Employee Handbook which covers HR policies and includes staff recruitment and selection processes.</w:t>
      </w:r>
      <w:r w:rsidRPr="00D94093">
        <w:rPr>
          <w:rFonts w:ascii="Arial" w:hAnsi="Arial" w:cs="Arial"/>
          <w:color w:val="000000"/>
          <w:sz w:val="20"/>
          <w:szCs w:val="20"/>
          <w:shd w:val="clear" w:color="auto" w:fill="FFFFFF"/>
        </w:rPr>
        <w:t xml:space="preserve"> Salaries are benchmarked against a range of peer organi</w:t>
      </w:r>
      <w:r>
        <w:rPr>
          <w:rFonts w:ascii="Arial" w:hAnsi="Arial" w:cs="Arial"/>
          <w:color w:val="000000"/>
          <w:sz w:val="20"/>
          <w:szCs w:val="20"/>
          <w:shd w:val="clear" w:color="auto" w:fill="FFFFFF"/>
        </w:rPr>
        <w:t>s</w:t>
      </w:r>
      <w:r w:rsidRPr="00D94093">
        <w:rPr>
          <w:rFonts w:ascii="Arial" w:hAnsi="Arial" w:cs="Arial"/>
          <w:color w:val="000000"/>
          <w:sz w:val="20"/>
          <w:szCs w:val="20"/>
          <w:shd w:val="clear" w:color="auto" w:fill="FFFFFF"/>
        </w:rPr>
        <w:t>ations. WRI has a robust set of accounting and financial management safeguards in place, including layers of review by project-level accounting teams, central accounting teams, managers, and external auditors. WRI’s regular audit reports and independent external reviews are available for review</w:t>
      </w:r>
      <w:r w:rsidRPr="00D94093">
        <w:rPr>
          <w:rFonts w:ascii="Arial" w:hAnsi="Arial" w:cs="Arial"/>
          <w:sz w:val="20"/>
          <w:szCs w:val="20"/>
        </w:rPr>
        <w:t>, and all major subgrantees are required to submit regular audit reports</w:t>
      </w:r>
      <w:r w:rsidRPr="00D94093">
        <w:rPr>
          <w:rFonts w:ascii="Arial" w:hAnsi="Arial" w:cs="Arial"/>
          <w:color w:val="000000"/>
          <w:sz w:val="20"/>
          <w:szCs w:val="20"/>
          <w:shd w:val="clear" w:color="auto" w:fill="FFFFFF"/>
        </w:rPr>
        <w:t xml:space="preserve">. WRI also reports its programmatic </w:t>
      </w:r>
      <w:hyperlink r:id="rId13" w:tgtFrame="_blank" w:history="1">
        <w:r w:rsidRPr="00D94093">
          <w:rPr>
            <w:rFonts w:ascii="Arial" w:hAnsi="Arial" w:cs="Arial"/>
            <w:color w:val="0000FF"/>
            <w:sz w:val="20"/>
            <w:szCs w:val="20"/>
            <w:u w:val="single"/>
            <w:shd w:val="clear" w:color="auto" w:fill="FFFFFF"/>
          </w:rPr>
          <w:t>results</w:t>
        </w:r>
      </w:hyperlink>
      <w:r w:rsidRPr="00D94093">
        <w:rPr>
          <w:rFonts w:ascii="Arial" w:hAnsi="Arial" w:cs="Arial"/>
          <w:color w:val="000000"/>
          <w:sz w:val="20"/>
          <w:szCs w:val="20"/>
          <w:shd w:val="clear" w:color="auto" w:fill="FFFFFF"/>
        </w:rPr>
        <w:t xml:space="preserve"> on a bi-annual basis to the International Aid Transparency Initiative (IATI) and has received the maximum </w:t>
      </w:r>
      <w:hyperlink r:id="rId14" w:tgtFrame="_blank" w:history="1">
        <w:r w:rsidRPr="00D94093">
          <w:rPr>
            <w:rFonts w:ascii="Arial" w:hAnsi="Arial" w:cs="Arial"/>
            <w:color w:val="0000FF"/>
            <w:sz w:val="20"/>
            <w:szCs w:val="20"/>
            <w:u w:val="single"/>
            <w:shd w:val="clear" w:color="auto" w:fill="FFFFFF"/>
          </w:rPr>
          <w:t xml:space="preserve">five-star rating from </w:t>
        </w:r>
        <w:proofErr w:type="spellStart"/>
        <w:r w:rsidRPr="00D94093">
          <w:rPr>
            <w:rFonts w:ascii="Arial" w:hAnsi="Arial" w:cs="Arial"/>
            <w:color w:val="0000FF"/>
            <w:sz w:val="20"/>
            <w:szCs w:val="20"/>
            <w:u w:val="single"/>
            <w:shd w:val="clear" w:color="auto" w:fill="FFFFFF"/>
          </w:rPr>
          <w:t>Transparify</w:t>
        </w:r>
        <w:proofErr w:type="spellEnd"/>
      </w:hyperlink>
      <w:r w:rsidRPr="00D94093">
        <w:rPr>
          <w:rFonts w:ascii="Arial" w:hAnsi="Arial" w:cs="Arial"/>
          <w:color w:val="000000"/>
          <w:sz w:val="20"/>
          <w:szCs w:val="20"/>
          <w:shd w:val="clear" w:color="auto" w:fill="FFFFFF"/>
        </w:rPr>
        <w:t>, for the transparency of its sources of funding. </w:t>
      </w:r>
    </w:p>
    <w:p w14:paraId="6710110E" w14:textId="77777777" w:rsidR="000B1D0E" w:rsidRPr="00D94093" w:rsidRDefault="000B1D0E" w:rsidP="000B1D0E">
      <w:pPr>
        <w:rPr>
          <w:rFonts w:ascii="Arial" w:hAnsi="Arial" w:cs="Arial"/>
          <w:sz w:val="20"/>
          <w:szCs w:val="20"/>
        </w:rPr>
      </w:pPr>
      <w:r w:rsidRPr="00D94093">
        <w:rPr>
          <w:rFonts w:ascii="Arial" w:hAnsi="Arial" w:cs="Arial"/>
          <w:sz w:val="20"/>
          <w:szCs w:val="20"/>
        </w:rPr>
        <w:t xml:space="preserve">Cities4Forests provided an expenditure report to October 2022 with projections to December 2023; budget lines align well with the budget breakdown presented by WRI for the business case addendum covering this investment.  </w:t>
      </w:r>
    </w:p>
    <w:p w14:paraId="6E6B41CA" w14:textId="77777777" w:rsidR="000B1D0E" w:rsidRPr="00D94093" w:rsidRDefault="000B1D0E" w:rsidP="000B1D0E">
      <w:pPr>
        <w:rPr>
          <w:rFonts w:ascii="Arial" w:hAnsi="Arial" w:cs="Arial"/>
          <w:sz w:val="20"/>
          <w:szCs w:val="20"/>
        </w:rPr>
      </w:pPr>
      <w:r w:rsidRPr="00D94093">
        <w:rPr>
          <w:rFonts w:ascii="Arial" w:hAnsi="Arial" w:cs="Arial"/>
          <w:b/>
          <w:bCs/>
          <w:sz w:val="20"/>
          <w:szCs w:val="20"/>
          <w:u w:val="single"/>
        </w:rPr>
        <w:t>Efficiency</w:t>
      </w:r>
      <w:r w:rsidRPr="00D94093">
        <w:rPr>
          <w:rFonts w:ascii="Arial" w:hAnsi="Arial" w:cs="Arial"/>
          <w:sz w:val="20"/>
          <w:szCs w:val="20"/>
        </w:rPr>
        <w:t xml:space="preserve">: The Year 1 output results described above (Section C) indicate that many </w:t>
      </w:r>
      <w:proofErr w:type="gramStart"/>
      <w:r w:rsidRPr="00D94093">
        <w:rPr>
          <w:rFonts w:ascii="Arial" w:hAnsi="Arial" w:cs="Arial"/>
          <w:sz w:val="20"/>
          <w:szCs w:val="20"/>
        </w:rPr>
        <w:t>Year</w:t>
      </w:r>
      <w:proofErr w:type="gramEnd"/>
      <w:r w:rsidRPr="00D94093">
        <w:rPr>
          <w:rFonts w:ascii="Arial" w:hAnsi="Arial" w:cs="Arial"/>
          <w:sz w:val="20"/>
          <w:szCs w:val="20"/>
        </w:rPr>
        <w:t xml:space="preserve"> 2 targets have already been exceeded, demonstrating their success in converting inputs into outputs. Two pertinent examples to illustrate efficiency are </w:t>
      </w:r>
      <w:r>
        <w:rPr>
          <w:rFonts w:ascii="Arial" w:hAnsi="Arial" w:cs="Arial"/>
          <w:sz w:val="20"/>
          <w:szCs w:val="20"/>
        </w:rPr>
        <w:t>a)</w:t>
      </w:r>
      <w:r w:rsidRPr="00D94093">
        <w:rPr>
          <w:rFonts w:ascii="Arial" w:hAnsi="Arial" w:cs="Arial"/>
          <w:sz w:val="20"/>
          <w:szCs w:val="20"/>
        </w:rPr>
        <w:t xml:space="preserve"> </w:t>
      </w:r>
      <w:r w:rsidRPr="00D94093">
        <w:rPr>
          <w:rFonts w:ascii="Arial" w:hAnsi="Arial" w:cs="Arial"/>
          <w:i/>
          <w:iCs/>
          <w:sz w:val="20"/>
          <w:szCs w:val="20"/>
        </w:rPr>
        <w:t xml:space="preserve">the </w:t>
      </w:r>
      <w:r>
        <w:rPr>
          <w:rFonts w:ascii="Arial" w:hAnsi="Arial" w:cs="Arial"/>
          <w:i/>
          <w:iCs/>
          <w:sz w:val="20"/>
          <w:szCs w:val="20"/>
        </w:rPr>
        <w:t>n</w:t>
      </w:r>
      <w:r w:rsidRPr="00D94093">
        <w:rPr>
          <w:rFonts w:ascii="Arial" w:hAnsi="Arial" w:cs="Arial"/>
          <w:i/>
          <w:iCs/>
          <w:sz w:val="20"/>
          <w:szCs w:val="20"/>
        </w:rPr>
        <w:t xml:space="preserve">umber of cities designing / implementing new or improved </w:t>
      </w:r>
      <w:proofErr w:type="spellStart"/>
      <w:r w:rsidRPr="00D94093">
        <w:rPr>
          <w:rFonts w:ascii="Arial" w:hAnsi="Arial" w:cs="Arial"/>
          <w:i/>
          <w:iCs/>
          <w:sz w:val="20"/>
          <w:szCs w:val="20"/>
        </w:rPr>
        <w:t>N</w:t>
      </w:r>
      <w:r>
        <w:rPr>
          <w:rFonts w:ascii="Arial" w:hAnsi="Arial" w:cs="Arial"/>
          <w:i/>
          <w:iCs/>
          <w:sz w:val="20"/>
          <w:szCs w:val="20"/>
        </w:rPr>
        <w:t>b</w:t>
      </w:r>
      <w:r w:rsidRPr="00D94093">
        <w:rPr>
          <w:rFonts w:ascii="Arial" w:hAnsi="Arial" w:cs="Arial"/>
          <w:i/>
          <w:iCs/>
          <w:sz w:val="20"/>
          <w:szCs w:val="20"/>
        </w:rPr>
        <w:t>S</w:t>
      </w:r>
      <w:proofErr w:type="spellEnd"/>
      <w:r w:rsidRPr="00D94093">
        <w:rPr>
          <w:rFonts w:ascii="Arial" w:hAnsi="Arial" w:cs="Arial"/>
          <w:i/>
          <w:iCs/>
          <w:sz w:val="20"/>
          <w:szCs w:val="20"/>
        </w:rPr>
        <w:t xml:space="preserve"> programs as a result of Cities4Forests support</w:t>
      </w:r>
      <w:r w:rsidRPr="00D94093">
        <w:rPr>
          <w:rFonts w:ascii="Arial" w:hAnsi="Arial" w:cs="Arial"/>
          <w:sz w:val="20"/>
          <w:szCs w:val="20"/>
        </w:rPr>
        <w:t xml:space="preserve"> – </w:t>
      </w:r>
      <w:r>
        <w:rPr>
          <w:rFonts w:ascii="Arial" w:hAnsi="Arial" w:cs="Arial"/>
          <w:sz w:val="20"/>
          <w:szCs w:val="20"/>
        </w:rPr>
        <w:t xml:space="preserve">the </w:t>
      </w:r>
      <w:r w:rsidRPr="00D94093">
        <w:rPr>
          <w:rFonts w:ascii="Arial" w:hAnsi="Arial" w:cs="Arial"/>
          <w:sz w:val="20"/>
          <w:szCs w:val="20"/>
        </w:rPr>
        <w:t>target for Year 2 is 15 but 56 have already been supported by the end of Year 1</w:t>
      </w:r>
      <w:r>
        <w:rPr>
          <w:rFonts w:ascii="Arial" w:hAnsi="Arial" w:cs="Arial"/>
          <w:sz w:val="20"/>
          <w:szCs w:val="20"/>
        </w:rPr>
        <w:t xml:space="preserve">, and b) </w:t>
      </w:r>
      <w:r w:rsidRPr="009A3DD5">
        <w:rPr>
          <w:rFonts w:ascii="Arial" w:hAnsi="Arial" w:cs="Arial"/>
          <w:i/>
          <w:iCs/>
          <w:sz w:val="20"/>
          <w:szCs w:val="20"/>
        </w:rPr>
        <w:t>the number of Cities4Forests supported events showcasing city leaders as advocates for forests</w:t>
      </w:r>
      <w:r w:rsidRPr="00D94093">
        <w:rPr>
          <w:rFonts w:ascii="Arial" w:hAnsi="Arial" w:cs="Arial"/>
          <w:sz w:val="20"/>
          <w:szCs w:val="20"/>
        </w:rPr>
        <w:t xml:space="preserve"> - target for Year 2 is 8 but 44 have already been supported. Cities4Forests has successfully leveraged more than £10.6 million ($12.9 million USD) funding from a range of both public and private donors in Year 1 (See the table below and Annex C for more detail). </w:t>
      </w:r>
    </w:p>
    <w:tbl>
      <w:tblPr>
        <w:tblW w:w="8815" w:type="dxa"/>
        <w:tblLook w:val="04A0" w:firstRow="1" w:lastRow="0" w:firstColumn="1" w:lastColumn="0" w:noHBand="0" w:noVBand="1"/>
      </w:tblPr>
      <w:tblGrid>
        <w:gridCol w:w="5100"/>
        <w:gridCol w:w="1480"/>
        <w:gridCol w:w="2235"/>
      </w:tblGrid>
      <w:tr w:rsidR="000B1D0E" w:rsidRPr="00D94093" w14:paraId="1C4AD0C2" w14:textId="77777777" w:rsidTr="001106E0">
        <w:trPr>
          <w:trHeight w:val="465"/>
        </w:trPr>
        <w:tc>
          <w:tcPr>
            <w:tcW w:w="5100" w:type="dxa"/>
            <w:tcBorders>
              <w:top w:val="single" w:sz="4" w:space="0" w:color="auto"/>
              <w:left w:val="single" w:sz="4" w:space="0" w:color="auto"/>
              <w:bottom w:val="single" w:sz="4" w:space="0" w:color="auto"/>
              <w:right w:val="single" w:sz="4" w:space="0" w:color="auto"/>
            </w:tcBorders>
            <w:shd w:val="clear" w:color="000000" w:fill="BFD2E2"/>
            <w:vAlign w:val="center"/>
            <w:hideMark/>
          </w:tcPr>
          <w:p w14:paraId="23C7DE51" w14:textId="77777777" w:rsidR="000B1D0E" w:rsidRPr="00D94093" w:rsidRDefault="000B1D0E" w:rsidP="001106E0">
            <w:pPr>
              <w:spacing w:after="0" w:line="240" w:lineRule="auto"/>
              <w:jc w:val="center"/>
              <w:rPr>
                <w:rFonts w:ascii="Arial" w:eastAsia="Times New Roman" w:hAnsi="Arial" w:cs="Arial"/>
                <w:b/>
                <w:bCs/>
                <w:color w:val="000000"/>
                <w:sz w:val="20"/>
                <w:szCs w:val="20"/>
                <w:lang w:val="en-US" w:eastAsia="zh-TW" w:bidi="bn-IN"/>
              </w:rPr>
            </w:pPr>
            <w:r w:rsidRPr="00D94093">
              <w:rPr>
                <w:rFonts w:ascii="Arial" w:eastAsia="Times New Roman" w:hAnsi="Arial" w:cs="Arial"/>
                <w:b/>
                <w:bCs/>
                <w:color w:val="000000"/>
                <w:sz w:val="20"/>
                <w:szCs w:val="20"/>
                <w:lang w:val="en-US" w:eastAsia="zh-TW" w:bidi="bn-IN"/>
              </w:rPr>
              <w:lastRenderedPageBreak/>
              <w:t>Leveraged Funds Raised by Cities4Forests (Public/Private)</w:t>
            </w:r>
          </w:p>
        </w:tc>
        <w:tc>
          <w:tcPr>
            <w:tcW w:w="1480" w:type="dxa"/>
            <w:tcBorders>
              <w:top w:val="single" w:sz="4" w:space="0" w:color="auto"/>
              <w:left w:val="nil"/>
              <w:bottom w:val="single" w:sz="4" w:space="0" w:color="auto"/>
              <w:right w:val="single" w:sz="4" w:space="0" w:color="auto"/>
            </w:tcBorders>
            <w:shd w:val="clear" w:color="000000" w:fill="BFD2E2"/>
            <w:vAlign w:val="center"/>
            <w:hideMark/>
          </w:tcPr>
          <w:p w14:paraId="45A88DAF" w14:textId="77777777" w:rsidR="000B1D0E" w:rsidRPr="00D94093" w:rsidRDefault="000B1D0E" w:rsidP="001106E0">
            <w:pPr>
              <w:spacing w:after="0" w:line="240" w:lineRule="auto"/>
              <w:jc w:val="center"/>
              <w:rPr>
                <w:rFonts w:ascii="Arial" w:eastAsia="Times New Roman" w:hAnsi="Arial" w:cs="Arial"/>
                <w:b/>
                <w:bCs/>
                <w:color w:val="000000"/>
                <w:sz w:val="20"/>
                <w:szCs w:val="20"/>
                <w:lang w:val="en-US" w:eastAsia="zh-TW" w:bidi="bn-IN"/>
              </w:rPr>
            </w:pPr>
            <w:r w:rsidRPr="00D94093">
              <w:rPr>
                <w:rFonts w:ascii="Arial" w:eastAsia="Times New Roman" w:hAnsi="Arial" w:cs="Arial"/>
                <w:b/>
                <w:bCs/>
                <w:color w:val="000000"/>
                <w:sz w:val="20"/>
                <w:szCs w:val="20"/>
                <w:lang w:val="en-US" w:eastAsia="zh-TW" w:bidi="bn-IN"/>
              </w:rPr>
              <w:t>ODA/</w:t>
            </w:r>
            <w:proofErr w:type="gramStart"/>
            <w:r w:rsidRPr="00D94093">
              <w:rPr>
                <w:rFonts w:ascii="Arial" w:eastAsia="Times New Roman" w:hAnsi="Arial" w:cs="Arial"/>
                <w:b/>
                <w:bCs/>
                <w:color w:val="000000"/>
                <w:sz w:val="20"/>
                <w:szCs w:val="20"/>
                <w:lang w:val="en-US" w:eastAsia="zh-TW" w:bidi="bn-IN"/>
              </w:rPr>
              <w:t>Non-ODA</w:t>
            </w:r>
            <w:proofErr w:type="gramEnd"/>
            <w:r w:rsidRPr="00D94093">
              <w:rPr>
                <w:rFonts w:ascii="Arial" w:eastAsia="Times New Roman" w:hAnsi="Arial" w:cs="Arial"/>
                <w:b/>
                <w:bCs/>
                <w:color w:val="000000"/>
                <w:sz w:val="20"/>
                <w:szCs w:val="20"/>
                <w:lang w:val="en-US" w:eastAsia="zh-TW" w:bidi="bn-IN"/>
              </w:rPr>
              <w:t xml:space="preserve"> countries</w:t>
            </w:r>
          </w:p>
        </w:tc>
        <w:tc>
          <w:tcPr>
            <w:tcW w:w="2235" w:type="dxa"/>
            <w:tcBorders>
              <w:top w:val="single" w:sz="4" w:space="0" w:color="auto"/>
              <w:left w:val="nil"/>
              <w:bottom w:val="single" w:sz="4" w:space="0" w:color="auto"/>
              <w:right w:val="single" w:sz="4" w:space="0" w:color="auto"/>
            </w:tcBorders>
            <w:shd w:val="clear" w:color="000000" w:fill="BFD2E2"/>
            <w:vAlign w:val="center"/>
            <w:hideMark/>
          </w:tcPr>
          <w:p w14:paraId="6E505E9E" w14:textId="77777777" w:rsidR="000B1D0E" w:rsidRPr="00D94093" w:rsidRDefault="000B1D0E" w:rsidP="001106E0">
            <w:pPr>
              <w:spacing w:after="0" w:line="240" w:lineRule="auto"/>
              <w:jc w:val="center"/>
              <w:rPr>
                <w:rFonts w:ascii="Arial" w:eastAsia="Times New Roman" w:hAnsi="Arial" w:cs="Arial"/>
                <w:b/>
                <w:bCs/>
                <w:color w:val="000000"/>
                <w:sz w:val="20"/>
                <w:szCs w:val="20"/>
                <w:lang w:val="en-US" w:eastAsia="zh-TW" w:bidi="bn-IN"/>
              </w:rPr>
            </w:pPr>
            <w:r w:rsidRPr="00D94093">
              <w:rPr>
                <w:rFonts w:ascii="Arial" w:eastAsia="Times New Roman" w:hAnsi="Arial" w:cs="Arial"/>
                <w:b/>
                <w:bCs/>
                <w:color w:val="000000"/>
                <w:sz w:val="20"/>
                <w:szCs w:val="20"/>
                <w:lang w:val="en-US" w:eastAsia="zh-TW" w:bidi="bn-IN"/>
              </w:rPr>
              <w:t>Amount</w:t>
            </w:r>
          </w:p>
        </w:tc>
      </w:tr>
      <w:tr w:rsidR="000B1D0E" w:rsidRPr="00D94093" w14:paraId="3625DB80" w14:textId="77777777" w:rsidTr="001106E0">
        <w:trPr>
          <w:trHeight w:val="390"/>
        </w:trPr>
        <w:tc>
          <w:tcPr>
            <w:tcW w:w="5100" w:type="dxa"/>
            <w:vMerge w:val="restart"/>
            <w:tcBorders>
              <w:top w:val="nil"/>
              <w:left w:val="single" w:sz="4" w:space="0" w:color="auto"/>
              <w:right w:val="single" w:sz="4" w:space="0" w:color="auto"/>
            </w:tcBorders>
            <w:shd w:val="clear" w:color="000000" w:fill="F4B084"/>
            <w:vAlign w:val="center"/>
            <w:hideMark/>
          </w:tcPr>
          <w:p w14:paraId="7D37519A" w14:textId="77777777" w:rsidR="000B1D0E" w:rsidRPr="00D94093" w:rsidRDefault="000B1D0E" w:rsidP="001106E0">
            <w:pPr>
              <w:spacing w:after="0" w:line="240" w:lineRule="auto"/>
              <w:rPr>
                <w:rFonts w:ascii="Arial" w:eastAsia="Times New Roman" w:hAnsi="Arial" w:cs="Arial"/>
                <w:color w:val="000000"/>
                <w:sz w:val="20"/>
                <w:szCs w:val="20"/>
                <w:lang w:val="en-US" w:eastAsia="zh-TW" w:bidi="bn-IN"/>
              </w:rPr>
            </w:pPr>
            <w:r w:rsidRPr="00D94093">
              <w:rPr>
                <w:rFonts w:ascii="Arial" w:eastAsia="Times New Roman" w:hAnsi="Arial" w:cs="Arial"/>
                <w:color w:val="000000"/>
                <w:sz w:val="20"/>
                <w:szCs w:val="20"/>
                <w:lang w:val="en-US" w:eastAsia="zh-TW" w:bidi="bn-IN"/>
              </w:rPr>
              <w:t>Public</w:t>
            </w:r>
          </w:p>
          <w:p w14:paraId="4E428AD0" w14:textId="77777777" w:rsidR="000B1D0E" w:rsidRPr="00D94093" w:rsidRDefault="000B1D0E" w:rsidP="001106E0">
            <w:pPr>
              <w:spacing w:after="0" w:line="240" w:lineRule="auto"/>
              <w:rPr>
                <w:rFonts w:ascii="Arial" w:eastAsia="Times New Roman" w:hAnsi="Arial" w:cs="Arial"/>
                <w:color w:val="000000"/>
                <w:sz w:val="20"/>
                <w:szCs w:val="20"/>
                <w:lang w:val="en-US" w:eastAsia="zh-TW" w:bidi="bn-IN"/>
              </w:rPr>
            </w:pPr>
          </w:p>
        </w:tc>
        <w:tc>
          <w:tcPr>
            <w:tcW w:w="1480" w:type="dxa"/>
            <w:tcBorders>
              <w:top w:val="nil"/>
              <w:left w:val="nil"/>
              <w:bottom w:val="single" w:sz="4" w:space="0" w:color="auto"/>
              <w:right w:val="single" w:sz="4" w:space="0" w:color="auto"/>
            </w:tcBorders>
            <w:shd w:val="clear" w:color="000000" w:fill="F4B084"/>
            <w:vAlign w:val="center"/>
            <w:hideMark/>
          </w:tcPr>
          <w:p w14:paraId="69D42FCB" w14:textId="77777777" w:rsidR="000B1D0E" w:rsidRPr="00D94093" w:rsidRDefault="000B1D0E" w:rsidP="001106E0">
            <w:pPr>
              <w:spacing w:after="0" w:line="240" w:lineRule="auto"/>
              <w:rPr>
                <w:rFonts w:ascii="Arial" w:eastAsia="Times New Roman" w:hAnsi="Arial" w:cs="Arial"/>
                <w:color w:val="000000"/>
                <w:sz w:val="20"/>
                <w:szCs w:val="20"/>
                <w:lang w:val="en-US" w:eastAsia="zh-TW" w:bidi="bn-IN"/>
              </w:rPr>
            </w:pPr>
            <w:r w:rsidRPr="00D94093">
              <w:rPr>
                <w:rFonts w:ascii="Arial" w:eastAsia="Times New Roman" w:hAnsi="Arial" w:cs="Arial"/>
                <w:color w:val="000000"/>
                <w:sz w:val="20"/>
                <w:szCs w:val="20"/>
                <w:lang w:val="en-US" w:eastAsia="zh-TW" w:bidi="bn-IN"/>
              </w:rPr>
              <w:t>ODA</w:t>
            </w:r>
          </w:p>
        </w:tc>
        <w:tc>
          <w:tcPr>
            <w:tcW w:w="2235" w:type="dxa"/>
            <w:tcBorders>
              <w:top w:val="nil"/>
              <w:left w:val="nil"/>
              <w:bottom w:val="single" w:sz="4" w:space="0" w:color="auto"/>
              <w:right w:val="single" w:sz="4" w:space="0" w:color="auto"/>
            </w:tcBorders>
            <w:shd w:val="clear" w:color="000000" w:fill="F4B084"/>
            <w:vAlign w:val="center"/>
            <w:hideMark/>
          </w:tcPr>
          <w:p w14:paraId="0C3A5D9C" w14:textId="77777777" w:rsidR="000B1D0E" w:rsidRPr="00D94093" w:rsidRDefault="000B1D0E" w:rsidP="001106E0">
            <w:pPr>
              <w:spacing w:after="0" w:line="240" w:lineRule="auto"/>
              <w:jc w:val="center"/>
              <w:rPr>
                <w:rFonts w:ascii="Arial" w:eastAsia="Times New Roman" w:hAnsi="Arial" w:cs="Arial"/>
                <w:color w:val="000000"/>
                <w:sz w:val="20"/>
                <w:szCs w:val="20"/>
                <w:lang w:val="en-US" w:eastAsia="zh-TW" w:bidi="bn-IN"/>
              </w:rPr>
            </w:pPr>
            <w:r w:rsidRPr="00D94093">
              <w:rPr>
                <w:rFonts w:ascii="Arial" w:eastAsia="Times New Roman" w:hAnsi="Arial" w:cs="Arial"/>
                <w:color w:val="000000"/>
                <w:sz w:val="20"/>
                <w:szCs w:val="20"/>
                <w:lang w:val="en-US" w:eastAsia="zh-TW" w:bidi="bn-IN"/>
              </w:rPr>
              <w:t>$         7,777,578</w:t>
            </w:r>
          </w:p>
        </w:tc>
      </w:tr>
      <w:tr w:rsidR="000B1D0E" w:rsidRPr="00D94093" w14:paraId="4725A29A" w14:textId="77777777" w:rsidTr="001106E0">
        <w:trPr>
          <w:trHeight w:val="390"/>
        </w:trPr>
        <w:tc>
          <w:tcPr>
            <w:tcW w:w="5100" w:type="dxa"/>
            <w:vMerge/>
            <w:tcBorders>
              <w:left w:val="single" w:sz="4" w:space="0" w:color="auto"/>
              <w:bottom w:val="single" w:sz="4" w:space="0" w:color="auto"/>
              <w:right w:val="single" w:sz="4" w:space="0" w:color="auto"/>
            </w:tcBorders>
            <w:shd w:val="clear" w:color="000000" w:fill="F4B084"/>
            <w:vAlign w:val="center"/>
            <w:hideMark/>
          </w:tcPr>
          <w:p w14:paraId="65628F52" w14:textId="77777777" w:rsidR="000B1D0E" w:rsidRPr="00D94093" w:rsidRDefault="000B1D0E" w:rsidP="001106E0">
            <w:pPr>
              <w:spacing w:after="0" w:line="240" w:lineRule="auto"/>
              <w:rPr>
                <w:rFonts w:ascii="Arial" w:eastAsia="Times New Roman" w:hAnsi="Arial" w:cs="Arial"/>
                <w:color w:val="000000"/>
                <w:sz w:val="20"/>
                <w:szCs w:val="20"/>
                <w:lang w:val="en-US" w:eastAsia="zh-TW" w:bidi="bn-IN"/>
              </w:rPr>
            </w:pPr>
          </w:p>
        </w:tc>
        <w:tc>
          <w:tcPr>
            <w:tcW w:w="1480" w:type="dxa"/>
            <w:tcBorders>
              <w:top w:val="nil"/>
              <w:left w:val="nil"/>
              <w:bottom w:val="single" w:sz="4" w:space="0" w:color="auto"/>
              <w:right w:val="single" w:sz="4" w:space="0" w:color="auto"/>
            </w:tcBorders>
            <w:shd w:val="clear" w:color="000000" w:fill="F4B084"/>
            <w:vAlign w:val="center"/>
            <w:hideMark/>
          </w:tcPr>
          <w:p w14:paraId="1121241E" w14:textId="77777777" w:rsidR="000B1D0E" w:rsidRPr="00D94093" w:rsidRDefault="000B1D0E" w:rsidP="001106E0">
            <w:pPr>
              <w:spacing w:after="0" w:line="240" w:lineRule="auto"/>
              <w:rPr>
                <w:rFonts w:ascii="Arial" w:eastAsia="Times New Roman" w:hAnsi="Arial" w:cs="Arial"/>
                <w:color w:val="000000"/>
                <w:sz w:val="20"/>
                <w:szCs w:val="20"/>
                <w:lang w:val="en-US" w:eastAsia="zh-TW" w:bidi="bn-IN"/>
              </w:rPr>
            </w:pPr>
            <w:r w:rsidRPr="00D94093">
              <w:rPr>
                <w:rFonts w:ascii="Arial" w:eastAsia="Times New Roman" w:hAnsi="Arial" w:cs="Arial"/>
                <w:color w:val="000000"/>
                <w:sz w:val="20"/>
                <w:szCs w:val="20"/>
                <w:lang w:val="en-US" w:eastAsia="zh-TW" w:bidi="bn-IN"/>
              </w:rPr>
              <w:t>Non-ODA</w:t>
            </w:r>
          </w:p>
        </w:tc>
        <w:tc>
          <w:tcPr>
            <w:tcW w:w="2235" w:type="dxa"/>
            <w:tcBorders>
              <w:top w:val="nil"/>
              <w:left w:val="nil"/>
              <w:bottom w:val="single" w:sz="4" w:space="0" w:color="auto"/>
              <w:right w:val="single" w:sz="4" w:space="0" w:color="auto"/>
            </w:tcBorders>
            <w:shd w:val="clear" w:color="000000" w:fill="F4B084"/>
            <w:vAlign w:val="center"/>
            <w:hideMark/>
          </w:tcPr>
          <w:p w14:paraId="3F7358E2" w14:textId="77777777" w:rsidR="000B1D0E" w:rsidRPr="00D94093" w:rsidRDefault="000B1D0E" w:rsidP="001106E0">
            <w:pPr>
              <w:spacing w:after="0" w:line="240" w:lineRule="auto"/>
              <w:jc w:val="center"/>
              <w:rPr>
                <w:rFonts w:ascii="Arial" w:eastAsia="Times New Roman" w:hAnsi="Arial" w:cs="Arial"/>
                <w:color w:val="000000"/>
                <w:sz w:val="20"/>
                <w:szCs w:val="20"/>
                <w:lang w:val="en-US" w:eastAsia="zh-TW" w:bidi="bn-IN"/>
              </w:rPr>
            </w:pPr>
            <w:r w:rsidRPr="00D94093">
              <w:rPr>
                <w:rFonts w:ascii="Arial" w:eastAsia="Times New Roman" w:hAnsi="Arial" w:cs="Arial"/>
                <w:color w:val="000000"/>
                <w:sz w:val="20"/>
                <w:szCs w:val="20"/>
                <w:lang w:val="en-US" w:eastAsia="zh-TW" w:bidi="bn-IN"/>
              </w:rPr>
              <w:t>$            824,586</w:t>
            </w:r>
          </w:p>
        </w:tc>
      </w:tr>
      <w:tr w:rsidR="000B1D0E" w:rsidRPr="00D94093" w14:paraId="58284DC5" w14:textId="77777777" w:rsidTr="001106E0">
        <w:trPr>
          <w:trHeight w:val="390"/>
        </w:trPr>
        <w:tc>
          <w:tcPr>
            <w:tcW w:w="5100" w:type="dxa"/>
            <w:vMerge w:val="restart"/>
            <w:tcBorders>
              <w:top w:val="nil"/>
              <w:left w:val="single" w:sz="4" w:space="0" w:color="auto"/>
              <w:right w:val="single" w:sz="4" w:space="0" w:color="auto"/>
            </w:tcBorders>
            <w:shd w:val="clear" w:color="000000" w:fill="8EA9DB"/>
            <w:vAlign w:val="center"/>
            <w:hideMark/>
          </w:tcPr>
          <w:p w14:paraId="09DBD93F" w14:textId="77777777" w:rsidR="000B1D0E" w:rsidRPr="00D94093" w:rsidRDefault="000B1D0E" w:rsidP="001106E0">
            <w:pPr>
              <w:spacing w:after="0" w:line="240" w:lineRule="auto"/>
              <w:rPr>
                <w:rFonts w:ascii="Arial" w:eastAsia="Times New Roman" w:hAnsi="Arial" w:cs="Arial"/>
                <w:color w:val="FFFFFF"/>
                <w:sz w:val="20"/>
                <w:szCs w:val="20"/>
                <w:lang w:val="en-US" w:eastAsia="zh-TW" w:bidi="bn-IN"/>
              </w:rPr>
            </w:pPr>
            <w:r w:rsidRPr="00D94093">
              <w:rPr>
                <w:rFonts w:ascii="Arial" w:eastAsia="Times New Roman" w:hAnsi="Arial" w:cs="Arial"/>
                <w:color w:val="FFFFFF"/>
                <w:sz w:val="20"/>
                <w:szCs w:val="20"/>
                <w:lang w:val="en-US" w:eastAsia="zh-TW" w:bidi="bn-IN"/>
              </w:rPr>
              <w:t>Private</w:t>
            </w:r>
          </w:p>
          <w:p w14:paraId="5229FD8F" w14:textId="77777777" w:rsidR="000B1D0E" w:rsidRPr="00D94093" w:rsidRDefault="000B1D0E" w:rsidP="001106E0">
            <w:pPr>
              <w:spacing w:after="0" w:line="240" w:lineRule="auto"/>
              <w:rPr>
                <w:rFonts w:ascii="Arial" w:eastAsia="Times New Roman" w:hAnsi="Arial" w:cs="Arial"/>
                <w:color w:val="FFFFFF"/>
                <w:sz w:val="20"/>
                <w:szCs w:val="20"/>
                <w:lang w:val="en-US" w:eastAsia="zh-TW" w:bidi="bn-IN"/>
              </w:rPr>
            </w:pPr>
          </w:p>
        </w:tc>
        <w:tc>
          <w:tcPr>
            <w:tcW w:w="1480" w:type="dxa"/>
            <w:tcBorders>
              <w:top w:val="nil"/>
              <w:left w:val="nil"/>
              <w:bottom w:val="single" w:sz="4" w:space="0" w:color="auto"/>
              <w:right w:val="single" w:sz="4" w:space="0" w:color="auto"/>
            </w:tcBorders>
            <w:shd w:val="clear" w:color="000000" w:fill="8EA9DB"/>
            <w:vAlign w:val="center"/>
            <w:hideMark/>
          </w:tcPr>
          <w:p w14:paraId="2FF12F37" w14:textId="77777777" w:rsidR="000B1D0E" w:rsidRPr="00D94093" w:rsidRDefault="000B1D0E" w:rsidP="001106E0">
            <w:pPr>
              <w:spacing w:after="0" w:line="240" w:lineRule="auto"/>
              <w:rPr>
                <w:rFonts w:ascii="Arial" w:eastAsia="Times New Roman" w:hAnsi="Arial" w:cs="Arial"/>
                <w:color w:val="FFFFFF"/>
                <w:sz w:val="20"/>
                <w:szCs w:val="20"/>
                <w:lang w:val="en-US" w:eastAsia="zh-TW" w:bidi="bn-IN"/>
              </w:rPr>
            </w:pPr>
            <w:r w:rsidRPr="00D94093">
              <w:rPr>
                <w:rFonts w:ascii="Arial" w:eastAsia="Times New Roman" w:hAnsi="Arial" w:cs="Arial"/>
                <w:color w:val="FFFFFF"/>
                <w:sz w:val="20"/>
                <w:szCs w:val="20"/>
                <w:lang w:val="en-US" w:eastAsia="zh-TW" w:bidi="bn-IN"/>
              </w:rPr>
              <w:t>ODA</w:t>
            </w:r>
          </w:p>
        </w:tc>
        <w:tc>
          <w:tcPr>
            <w:tcW w:w="2235" w:type="dxa"/>
            <w:tcBorders>
              <w:top w:val="nil"/>
              <w:left w:val="nil"/>
              <w:bottom w:val="single" w:sz="4" w:space="0" w:color="auto"/>
              <w:right w:val="single" w:sz="4" w:space="0" w:color="auto"/>
            </w:tcBorders>
            <w:shd w:val="clear" w:color="000000" w:fill="8EA9DB"/>
            <w:vAlign w:val="center"/>
            <w:hideMark/>
          </w:tcPr>
          <w:p w14:paraId="52AD29C5" w14:textId="77777777" w:rsidR="000B1D0E" w:rsidRPr="00D94093" w:rsidRDefault="000B1D0E" w:rsidP="001106E0">
            <w:pPr>
              <w:spacing w:after="0" w:line="240" w:lineRule="auto"/>
              <w:jc w:val="center"/>
              <w:rPr>
                <w:rFonts w:ascii="Arial" w:eastAsia="Times New Roman" w:hAnsi="Arial" w:cs="Arial"/>
                <w:color w:val="FFFFFF"/>
                <w:sz w:val="20"/>
                <w:szCs w:val="20"/>
                <w:lang w:val="en-US" w:eastAsia="zh-TW" w:bidi="bn-IN"/>
              </w:rPr>
            </w:pPr>
            <w:r w:rsidRPr="00D94093">
              <w:rPr>
                <w:rFonts w:ascii="Arial" w:eastAsia="Times New Roman" w:hAnsi="Arial" w:cs="Arial"/>
                <w:color w:val="FFFFFF"/>
                <w:sz w:val="20"/>
                <w:szCs w:val="20"/>
                <w:lang w:val="en-US" w:eastAsia="zh-TW" w:bidi="bn-IN"/>
              </w:rPr>
              <w:t>$         2,828,708</w:t>
            </w:r>
          </w:p>
        </w:tc>
      </w:tr>
      <w:tr w:rsidR="000B1D0E" w:rsidRPr="00D94093" w14:paraId="0A4328BB" w14:textId="77777777" w:rsidTr="001106E0">
        <w:trPr>
          <w:trHeight w:val="390"/>
        </w:trPr>
        <w:tc>
          <w:tcPr>
            <w:tcW w:w="5100" w:type="dxa"/>
            <w:vMerge/>
            <w:tcBorders>
              <w:left w:val="single" w:sz="4" w:space="0" w:color="auto"/>
              <w:bottom w:val="single" w:sz="4" w:space="0" w:color="auto"/>
              <w:right w:val="single" w:sz="4" w:space="0" w:color="auto"/>
            </w:tcBorders>
            <w:shd w:val="clear" w:color="000000" w:fill="8EA9DB"/>
            <w:vAlign w:val="center"/>
            <w:hideMark/>
          </w:tcPr>
          <w:p w14:paraId="1D3C6B4A" w14:textId="77777777" w:rsidR="000B1D0E" w:rsidRPr="00D94093" w:rsidRDefault="000B1D0E" w:rsidP="001106E0">
            <w:pPr>
              <w:spacing w:after="0" w:line="240" w:lineRule="auto"/>
              <w:rPr>
                <w:rFonts w:ascii="Arial" w:eastAsia="Times New Roman" w:hAnsi="Arial" w:cs="Arial"/>
                <w:color w:val="FFFFFF"/>
                <w:sz w:val="20"/>
                <w:szCs w:val="20"/>
                <w:lang w:val="en-US" w:eastAsia="zh-TW" w:bidi="bn-IN"/>
              </w:rPr>
            </w:pPr>
          </w:p>
        </w:tc>
        <w:tc>
          <w:tcPr>
            <w:tcW w:w="1480" w:type="dxa"/>
            <w:tcBorders>
              <w:top w:val="nil"/>
              <w:left w:val="nil"/>
              <w:bottom w:val="single" w:sz="4" w:space="0" w:color="auto"/>
              <w:right w:val="single" w:sz="4" w:space="0" w:color="auto"/>
            </w:tcBorders>
            <w:shd w:val="clear" w:color="000000" w:fill="8EA9DB"/>
            <w:vAlign w:val="center"/>
            <w:hideMark/>
          </w:tcPr>
          <w:p w14:paraId="31ECBEDD" w14:textId="77777777" w:rsidR="000B1D0E" w:rsidRPr="00D94093" w:rsidRDefault="000B1D0E" w:rsidP="001106E0">
            <w:pPr>
              <w:spacing w:after="0" w:line="240" w:lineRule="auto"/>
              <w:rPr>
                <w:rFonts w:ascii="Arial" w:eastAsia="Times New Roman" w:hAnsi="Arial" w:cs="Arial"/>
                <w:color w:val="FFFFFF"/>
                <w:sz w:val="20"/>
                <w:szCs w:val="20"/>
                <w:lang w:val="en-US" w:eastAsia="zh-TW" w:bidi="bn-IN"/>
              </w:rPr>
            </w:pPr>
            <w:r w:rsidRPr="00D94093">
              <w:rPr>
                <w:rFonts w:ascii="Arial" w:eastAsia="Times New Roman" w:hAnsi="Arial" w:cs="Arial"/>
                <w:color w:val="FFFFFF"/>
                <w:sz w:val="20"/>
                <w:szCs w:val="20"/>
                <w:lang w:val="en-US" w:eastAsia="zh-TW" w:bidi="bn-IN"/>
              </w:rPr>
              <w:t>Non-ODA</w:t>
            </w:r>
          </w:p>
        </w:tc>
        <w:tc>
          <w:tcPr>
            <w:tcW w:w="2235" w:type="dxa"/>
            <w:tcBorders>
              <w:top w:val="nil"/>
              <w:left w:val="nil"/>
              <w:bottom w:val="single" w:sz="4" w:space="0" w:color="auto"/>
              <w:right w:val="single" w:sz="4" w:space="0" w:color="auto"/>
            </w:tcBorders>
            <w:shd w:val="clear" w:color="000000" w:fill="8EA9DB"/>
            <w:vAlign w:val="center"/>
            <w:hideMark/>
          </w:tcPr>
          <w:p w14:paraId="6262FAFA" w14:textId="77777777" w:rsidR="000B1D0E" w:rsidRPr="00D94093" w:rsidRDefault="000B1D0E" w:rsidP="001106E0">
            <w:pPr>
              <w:spacing w:after="0" w:line="240" w:lineRule="auto"/>
              <w:jc w:val="center"/>
              <w:rPr>
                <w:rFonts w:ascii="Arial" w:eastAsia="Times New Roman" w:hAnsi="Arial" w:cs="Arial"/>
                <w:color w:val="FFFFFF"/>
                <w:sz w:val="20"/>
                <w:szCs w:val="20"/>
                <w:lang w:val="en-US" w:eastAsia="zh-TW" w:bidi="bn-IN"/>
              </w:rPr>
            </w:pPr>
            <w:r w:rsidRPr="00D94093">
              <w:rPr>
                <w:rFonts w:ascii="Arial" w:eastAsia="Times New Roman" w:hAnsi="Arial" w:cs="Arial"/>
                <w:color w:val="FFFFFF"/>
                <w:sz w:val="20"/>
                <w:szCs w:val="20"/>
                <w:lang w:val="en-US" w:eastAsia="zh-TW" w:bidi="bn-IN"/>
              </w:rPr>
              <w:t>$         1,481,560</w:t>
            </w:r>
          </w:p>
        </w:tc>
      </w:tr>
      <w:tr w:rsidR="000B1D0E" w:rsidRPr="00D94093" w14:paraId="1E99BE90" w14:textId="77777777" w:rsidTr="001106E0">
        <w:trPr>
          <w:trHeight w:val="390"/>
        </w:trPr>
        <w:tc>
          <w:tcPr>
            <w:tcW w:w="5100" w:type="dxa"/>
            <w:tcBorders>
              <w:top w:val="nil"/>
              <w:left w:val="single" w:sz="4" w:space="0" w:color="auto"/>
              <w:bottom w:val="single" w:sz="4" w:space="0" w:color="auto"/>
              <w:right w:val="single" w:sz="4" w:space="0" w:color="auto"/>
            </w:tcBorders>
            <w:shd w:val="clear" w:color="auto" w:fill="auto"/>
            <w:vAlign w:val="center"/>
            <w:hideMark/>
          </w:tcPr>
          <w:p w14:paraId="4D7E5497" w14:textId="77777777" w:rsidR="000B1D0E" w:rsidRPr="00D94093" w:rsidRDefault="000B1D0E" w:rsidP="001106E0">
            <w:pPr>
              <w:spacing w:after="0" w:line="240" w:lineRule="auto"/>
              <w:rPr>
                <w:rFonts w:ascii="Arial" w:eastAsia="Times New Roman" w:hAnsi="Arial" w:cs="Arial"/>
                <w:b/>
                <w:bCs/>
                <w:color w:val="000000"/>
                <w:sz w:val="20"/>
                <w:szCs w:val="20"/>
                <w:lang w:val="en-US" w:eastAsia="zh-TW" w:bidi="bn-IN"/>
              </w:rPr>
            </w:pPr>
            <w:r w:rsidRPr="00D94093">
              <w:rPr>
                <w:rFonts w:ascii="Arial" w:eastAsia="Times New Roman" w:hAnsi="Arial" w:cs="Arial"/>
                <w:b/>
                <w:bCs/>
                <w:color w:val="000000"/>
                <w:sz w:val="20"/>
                <w:szCs w:val="20"/>
                <w:lang w:val="en-US" w:eastAsia="zh-TW" w:bidi="bn-IN"/>
              </w:rPr>
              <w:t>TOTAL</w:t>
            </w:r>
          </w:p>
        </w:tc>
        <w:tc>
          <w:tcPr>
            <w:tcW w:w="1480" w:type="dxa"/>
            <w:tcBorders>
              <w:top w:val="nil"/>
              <w:left w:val="nil"/>
              <w:bottom w:val="single" w:sz="4" w:space="0" w:color="auto"/>
              <w:right w:val="single" w:sz="4" w:space="0" w:color="auto"/>
            </w:tcBorders>
            <w:shd w:val="clear" w:color="auto" w:fill="auto"/>
            <w:vAlign w:val="center"/>
            <w:hideMark/>
          </w:tcPr>
          <w:p w14:paraId="028009B7" w14:textId="77777777" w:rsidR="000B1D0E" w:rsidRPr="00D94093" w:rsidRDefault="000B1D0E" w:rsidP="001106E0">
            <w:pPr>
              <w:spacing w:after="0" w:line="240" w:lineRule="auto"/>
              <w:rPr>
                <w:rFonts w:ascii="Arial" w:eastAsia="Times New Roman" w:hAnsi="Arial" w:cs="Arial"/>
                <w:b/>
                <w:bCs/>
                <w:color w:val="000000"/>
                <w:sz w:val="20"/>
                <w:szCs w:val="20"/>
                <w:lang w:val="en-US" w:eastAsia="zh-TW" w:bidi="bn-IN"/>
              </w:rPr>
            </w:pPr>
          </w:p>
        </w:tc>
        <w:tc>
          <w:tcPr>
            <w:tcW w:w="2235" w:type="dxa"/>
            <w:tcBorders>
              <w:top w:val="nil"/>
              <w:left w:val="nil"/>
              <w:bottom w:val="single" w:sz="4" w:space="0" w:color="auto"/>
              <w:right w:val="single" w:sz="4" w:space="0" w:color="auto"/>
            </w:tcBorders>
            <w:shd w:val="clear" w:color="auto" w:fill="auto"/>
            <w:vAlign w:val="center"/>
            <w:hideMark/>
          </w:tcPr>
          <w:p w14:paraId="05015154" w14:textId="77777777" w:rsidR="000B1D0E" w:rsidRPr="00D94093" w:rsidRDefault="000B1D0E" w:rsidP="001106E0">
            <w:pPr>
              <w:spacing w:after="0" w:line="240" w:lineRule="auto"/>
              <w:jc w:val="center"/>
              <w:rPr>
                <w:rFonts w:ascii="Arial" w:eastAsia="Times New Roman" w:hAnsi="Arial" w:cs="Arial"/>
                <w:b/>
                <w:bCs/>
                <w:color w:val="000000"/>
                <w:sz w:val="20"/>
                <w:szCs w:val="20"/>
                <w:lang w:val="en-US" w:eastAsia="zh-TW" w:bidi="bn-IN"/>
              </w:rPr>
            </w:pPr>
            <w:proofErr w:type="gramStart"/>
            <w:r w:rsidRPr="00D94093">
              <w:rPr>
                <w:rFonts w:ascii="Arial" w:eastAsia="Times New Roman" w:hAnsi="Arial" w:cs="Arial"/>
                <w:b/>
                <w:bCs/>
                <w:color w:val="000000"/>
                <w:sz w:val="20"/>
                <w:szCs w:val="20"/>
                <w:lang w:val="en-US" w:eastAsia="zh-TW" w:bidi="bn-IN"/>
              </w:rPr>
              <w:t>$  12,912,432</w:t>
            </w:r>
            <w:proofErr w:type="gramEnd"/>
          </w:p>
        </w:tc>
      </w:tr>
      <w:tr w:rsidR="000B1D0E" w:rsidRPr="00D94093" w14:paraId="728B4FD4" w14:textId="77777777" w:rsidTr="001106E0">
        <w:trPr>
          <w:trHeight w:val="255"/>
        </w:trPr>
        <w:tc>
          <w:tcPr>
            <w:tcW w:w="5100" w:type="dxa"/>
            <w:tcBorders>
              <w:top w:val="nil"/>
              <w:left w:val="nil"/>
              <w:bottom w:val="nil"/>
              <w:right w:val="nil"/>
            </w:tcBorders>
            <w:shd w:val="clear" w:color="auto" w:fill="auto"/>
            <w:vAlign w:val="center"/>
            <w:hideMark/>
          </w:tcPr>
          <w:p w14:paraId="0B3069E1" w14:textId="77777777" w:rsidR="000B1D0E" w:rsidRPr="00D34C49" w:rsidRDefault="000B1D0E" w:rsidP="001106E0">
            <w:pPr>
              <w:spacing w:after="0" w:line="240" w:lineRule="auto"/>
              <w:rPr>
                <w:rFonts w:ascii="Arial" w:eastAsia="Times New Roman" w:hAnsi="Arial" w:cs="Arial"/>
                <w:b/>
                <w:bCs/>
                <w:color w:val="000000"/>
                <w:sz w:val="20"/>
                <w:szCs w:val="20"/>
                <w:lang w:val="en-US" w:eastAsia="zh-TW" w:bidi="bn-IN"/>
              </w:rPr>
            </w:pPr>
          </w:p>
        </w:tc>
        <w:tc>
          <w:tcPr>
            <w:tcW w:w="1480" w:type="dxa"/>
            <w:tcBorders>
              <w:top w:val="nil"/>
              <w:left w:val="nil"/>
              <w:bottom w:val="nil"/>
              <w:right w:val="nil"/>
            </w:tcBorders>
            <w:shd w:val="clear" w:color="auto" w:fill="auto"/>
            <w:noWrap/>
            <w:vAlign w:val="center"/>
            <w:hideMark/>
          </w:tcPr>
          <w:p w14:paraId="5B5AA395" w14:textId="77777777" w:rsidR="000B1D0E" w:rsidRPr="00D34C49" w:rsidRDefault="000B1D0E" w:rsidP="001106E0">
            <w:pPr>
              <w:spacing w:after="0" w:line="240" w:lineRule="auto"/>
              <w:rPr>
                <w:rFonts w:ascii="Arial" w:eastAsia="Times New Roman" w:hAnsi="Arial" w:cs="Arial"/>
                <w:sz w:val="20"/>
                <w:szCs w:val="20"/>
                <w:lang w:val="en-US" w:eastAsia="zh-TW" w:bidi="bn-IN"/>
              </w:rPr>
            </w:pPr>
          </w:p>
        </w:tc>
        <w:tc>
          <w:tcPr>
            <w:tcW w:w="2235" w:type="dxa"/>
            <w:tcBorders>
              <w:top w:val="nil"/>
              <w:left w:val="nil"/>
              <w:bottom w:val="nil"/>
              <w:right w:val="nil"/>
            </w:tcBorders>
            <w:shd w:val="clear" w:color="auto" w:fill="auto"/>
            <w:noWrap/>
            <w:vAlign w:val="center"/>
            <w:hideMark/>
          </w:tcPr>
          <w:p w14:paraId="3F426E39" w14:textId="77777777" w:rsidR="000B1D0E" w:rsidRPr="00D34C49" w:rsidRDefault="000B1D0E" w:rsidP="001106E0">
            <w:pPr>
              <w:spacing w:after="0" w:line="240" w:lineRule="auto"/>
              <w:rPr>
                <w:rFonts w:ascii="Arial" w:eastAsia="Times New Roman" w:hAnsi="Arial" w:cs="Arial"/>
                <w:sz w:val="20"/>
                <w:szCs w:val="20"/>
                <w:lang w:val="en-US" w:eastAsia="zh-TW" w:bidi="bn-IN"/>
              </w:rPr>
            </w:pPr>
          </w:p>
        </w:tc>
      </w:tr>
    </w:tbl>
    <w:p w14:paraId="65827106" w14:textId="77777777" w:rsidR="000B1D0E" w:rsidRPr="00D94093" w:rsidRDefault="000B1D0E" w:rsidP="000B1D0E">
      <w:pPr>
        <w:rPr>
          <w:rFonts w:ascii="Arial" w:hAnsi="Arial" w:cs="Arial"/>
          <w:sz w:val="20"/>
          <w:szCs w:val="20"/>
        </w:rPr>
      </w:pPr>
      <w:r w:rsidRPr="00D94093">
        <w:rPr>
          <w:rFonts w:ascii="Arial" w:hAnsi="Arial" w:cs="Arial"/>
          <w:sz w:val="20"/>
          <w:szCs w:val="20"/>
        </w:rPr>
        <w:t xml:space="preserve">This has allowed the programme to raise their profile internationally, build partnerships and scale their projects to increase impact. Further examples of efficiency, as noted in the business case, include the availability of internationally recognised WRI tools such as Global Forest Watch and WRI’s Land and Carbon </w:t>
      </w:r>
      <w:r>
        <w:rPr>
          <w:rFonts w:ascii="Arial" w:hAnsi="Arial" w:cs="Arial"/>
          <w:sz w:val="20"/>
          <w:szCs w:val="20"/>
        </w:rPr>
        <w:t>L</w:t>
      </w:r>
      <w:r w:rsidRPr="00D94093">
        <w:rPr>
          <w:rFonts w:ascii="Arial" w:hAnsi="Arial" w:cs="Arial"/>
          <w:sz w:val="20"/>
          <w:szCs w:val="20"/>
        </w:rPr>
        <w:t>ab for monitoring project impacts.</w:t>
      </w:r>
    </w:p>
    <w:p w14:paraId="5836DA81" w14:textId="77777777" w:rsidR="000B1D0E" w:rsidRPr="00D94093" w:rsidRDefault="000B1D0E" w:rsidP="000B1D0E">
      <w:pPr>
        <w:rPr>
          <w:rFonts w:ascii="Arial" w:hAnsi="Arial" w:cs="Arial"/>
          <w:sz w:val="20"/>
          <w:szCs w:val="20"/>
        </w:rPr>
      </w:pPr>
      <w:r w:rsidRPr="00D94093">
        <w:rPr>
          <w:rFonts w:ascii="Arial" w:hAnsi="Arial" w:cs="Arial"/>
          <w:b/>
          <w:bCs/>
          <w:sz w:val="20"/>
          <w:szCs w:val="20"/>
          <w:u w:val="single"/>
        </w:rPr>
        <w:t>Effectiveness</w:t>
      </w:r>
      <w:r w:rsidRPr="00D94093">
        <w:rPr>
          <w:rFonts w:ascii="Arial" w:hAnsi="Arial" w:cs="Arial"/>
          <w:sz w:val="20"/>
          <w:szCs w:val="20"/>
          <w:u w:val="single"/>
        </w:rPr>
        <w:t xml:space="preserve">: </w:t>
      </w:r>
      <w:r w:rsidRPr="00D94093">
        <w:rPr>
          <w:rFonts w:ascii="Arial" w:hAnsi="Arial" w:cs="Arial"/>
          <w:sz w:val="20"/>
          <w:szCs w:val="20"/>
        </w:rPr>
        <w:t xml:space="preserve">Cities4Forests and Defra will review and revise outcome and impact indicator logframe targets in March 2023. Early indications of effectiveness include the political traction that the programme demonstrates for example through the </w:t>
      </w:r>
      <w:r>
        <w:rPr>
          <w:rFonts w:ascii="Arial" w:hAnsi="Arial" w:cs="Arial"/>
          <w:sz w:val="20"/>
          <w:szCs w:val="20"/>
        </w:rPr>
        <w:t>‘</w:t>
      </w:r>
      <w:r w:rsidRPr="00D94093">
        <w:rPr>
          <w:rFonts w:ascii="Arial" w:hAnsi="Arial" w:cs="Arial"/>
          <w:sz w:val="20"/>
          <w:szCs w:val="20"/>
        </w:rPr>
        <w:t>Better Forests, Better Cities</w:t>
      </w:r>
      <w:r>
        <w:rPr>
          <w:rFonts w:ascii="Arial" w:hAnsi="Arial" w:cs="Arial"/>
          <w:sz w:val="20"/>
          <w:szCs w:val="20"/>
        </w:rPr>
        <w:t>’</w:t>
      </w:r>
      <w:r w:rsidRPr="00D94093">
        <w:rPr>
          <w:rFonts w:ascii="Arial" w:hAnsi="Arial" w:cs="Arial"/>
          <w:sz w:val="20"/>
          <w:szCs w:val="20"/>
        </w:rPr>
        <w:t xml:space="preserve"> report virtual launch joined by over 215 people followed up by an in-person launch event at CoP15 in Montreal, events hosted by WRI and Cities4Forests at CoP 27. Effectiveness is also illustrated by the rapid growth in the number of cities working with Cities4Forests (see </w:t>
      </w:r>
      <w:r>
        <w:rPr>
          <w:rFonts w:ascii="Arial" w:hAnsi="Arial" w:cs="Arial"/>
          <w:sz w:val="20"/>
          <w:szCs w:val="20"/>
        </w:rPr>
        <w:t>‘e</w:t>
      </w:r>
      <w:r w:rsidRPr="00D94093">
        <w:rPr>
          <w:rFonts w:ascii="Arial" w:hAnsi="Arial" w:cs="Arial"/>
          <w:sz w:val="20"/>
          <w:szCs w:val="20"/>
        </w:rPr>
        <w:t>fficiency</w:t>
      </w:r>
      <w:r>
        <w:rPr>
          <w:rFonts w:ascii="Arial" w:hAnsi="Arial" w:cs="Arial"/>
          <w:sz w:val="20"/>
          <w:szCs w:val="20"/>
        </w:rPr>
        <w:t>’ section</w:t>
      </w:r>
      <w:r w:rsidRPr="00D94093">
        <w:rPr>
          <w:rFonts w:ascii="Arial" w:hAnsi="Arial" w:cs="Arial"/>
          <w:sz w:val="20"/>
          <w:szCs w:val="20"/>
        </w:rPr>
        <w:t>).</w:t>
      </w:r>
    </w:p>
    <w:p w14:paraId="4B697336" w14:textId="77777777" w:rsidR="000B1D0E" w:rsidRPr="00D94093" w:rsidRDefault="000B1D0E" w:rsidP="000B1D0E">
      <w:pPr>
        <w:rPr>
          <w:rFonts w:ascii="Arial" w:hAnsi="Arial" w:cs="Arial"/>
          <w:sz w:val="20"/>
          <w:szCs w:val="20"/>
        </w:rPr>
      </w:pPr>
      <w:r w:rsidRPr="00D94093">
        <w:rPr>
          <w:rFonts w:ascii="Arial" w:hAnsi="Arial" w:cs="Arial"/>
          <w:sz w:val="20"/>
          <w:szCs w:val="20"/>
        </w:rPr>
        <w:t>Initial reporting of outcome indicators in the programme logframe, received early in 2023, shows good early progress towards targets (two out of three are being revised upwards) – please see below table - and further evidence</w:t>
      </w:r>
      <w:r>
        <w:rPr>
          <w:rFonts w:ascii="Arial" w:hAnsi="Arial" w:cs="Arial"/>
          <w:sz w:val="20"/>
          <w:szCs w:val="20"/>
        </w:rPr>
        <w:t xml:space="preserve"> of</w:t>
      </w:r>
      <w:r w:rsidRPr="00D94093">
        <w:rPr>
          <w:rFonts w:ascii="Arial" w:hAnsi="Arial" w:cs="Arial"/>
          <w:sz w:val="20"/>
          <w:szCs w:val="20"/>
        </w:rPr>
        <w:t xml:space="preserve"> effectiveness:</w:t>
      </w:r>
    </w:p>
    <w:tbl>
      <w:tblPr>
        <w:tblpPr w:leftFromText="180" w:rightFromText="180" w:vertAnchor="text"/>
        <w:tblW w:w="8779" w:type="dxa"/>
        <w:tblCellMar>
          <w:left w:w="0" w:type="dxa"/>
          <w:right w:w="0" w:type="dxa"/>
        </w:tblCellMar>
        <w:tblLook w:val="04A0" w:firstRow="1" w:lastRow="0" w:firstColumn="1" w:lastColumn="0" w:noHBand="0" w:noVBand="1"/>
      </w:tblPr>
      <w:tblGrid>
        <w:gridCol w:w="2366"/>
        <w:gridCol w:w="2444"/>
        <w:gridCol w:w="3969"/>
      </w:tblGrid>
      <w:tr w:rsidR="000B1D0E" w:rsidRPr="00D94093" w14:paraId="4CF479CB" w14:textId="77777777" w:rsidTr="001106E0">
        <w:trPr>
          <w:trHeight w:val="273"/>
        </w:trPr>
        <w:tc>
          <w:tcPr>
            <w:tcW w:w="2366" w:type="dxa"/>
            <w:tcBorders>
              <w:top w:val="single" w:sz="8" w:space="0" w:color="auto"/>
              <w:left w:val="single" w:sz="8" w:space="0" w:color="auto"/>
              <w:bottom w:val="single" w:sz="8" w:space="0" w:color="auto"/>
              <w:right w:val="single" w:sz="8" w:space="0" w:color="auto"/>
            </w:tcBorders>
            <w:shd w:val="clear" w:color="auto" w:fill="D9E2F3"/>
            <w:tcMar>
              <w:top w:w="0" w:type="dxa"/>
              <w:left w:w="108" w:type="dxa"/>
              <w:bottom w:w="0" w:type="dxa"/>
              <w:right w:w="108" w:type="dxa"/>
            </w:tcMar>
            <w:hideMark/>
          </w:tcPr>
          <w:p w14:paraId="2775AB1F" w14:textId="77777777" w:rsidR="000B1D0E" w:rsidRPr="00D94093" w:rsidRDefault="000B1D0E" w:rsidP="001106E0">
            <w:pPr>
              <w:rPr>
                <w:rFonts w:ascii="Arial" w:hAnsi="Arial" w:cs="Arial"/>
                <w:b/>
                <w:bCs/>
                <w:sz w:val="20"/>
                <w:szCs w:val="20"/>
              </w:rPr>
            </w:pPr>
            <w:r w:rsidRPr="00D94093">
              <w:rPr>
                <w:rFonts w:ascii="Arial" w:hAnsi="Arial" w:cs="Arial"/>
                <w:b/>
                <w:bCs/>
                <w:sz w:val="20"/>
                <w:szCs w:val="20"/>
              </w:rPr>
              <w:t>Indicator(s)</w:t>
            </w:r>
          </w:p>
        </w:tc>
        <w:tc>
          <w:tcPr>
            <w:tcW w:w="2444" w:type="dxa"/>
            <w:tcBorders>
              <w:top w:val="single" w:sz="8" w:space="0" w:color="auto"/>
              <w:left w:val="nil"/>
              <w:bottom w:val="single" w:sz="8" w:space="0" w:color="auto"/>
              <w:right w:val="single" w:sz="8" w:space="0" w:color="auto"/>
            </w:tcBorders>
            <w:shd w:val="clear" w:color="auto" w:fill="D9E2F3"/>
            <w:tcMar>
              <w:top w:w="0" w:type="dxa"/>
              <w:left w:w="108" w:type="dxa"/>
              <w:bottom w:w="0" w:type="dxa"/>
              <w:right w:w="108" w:type="dxa"/>
            </w:tcMar>
            <w:hideMark/>
          </w:tcPr>
          <w:p w14:paraId="68328932" w14:textId="77777777" w:rsidR="000B1D0E" w:rsidRPr="00D94093" w:rsidRDefault="000B1D0E" w:rsidP="001106E0">
            <w:pPr>
              <w:rPr>
                <w:rFonts w:ascii="Arial" w:hAnsi="Arial" w:cs="Arial"/>
                <w:b/>
                <w:bCs/>
                <w:sz w:val="20"/>
                <w:szCs w:val="20"/>
              </w:rPr>
            </w:pPr>
            <w:r w:rsidRPr="00D94093">
              <w:rPr>
                <w:rFonts w:ascii="Arial" w:hAnsi="Arial" w:cs="Arial"/>
                <w:b/>
                <w:bCs/>
                <w:sz w:val="20"/>
                <w:szCs w:val="20"/>
              </w:rPr>
              <w:t>Milestone 2023</w:t>
            </w:r>
            <w:r w:rsidRPr="00D94093">
              <w:rPr>
                <w:rFonts w:ascii="Arial" w:hAnsi="Arial" w:cs="Arial"/>
                <w:b/>
                <w:bCs/>
                <w:sz w:val="20"/>
                <w:szCs w:val="20"/>
                <w:vertAlign w:val="superscript"/>
              </w:rPr>
              <w:footnoteReference w:customMarkFollows="1" w:id="9"/>
              <w:t>[1]</w:t>
            </w:r>
          </w:p>
        </w:tc>
        <w:tc>
          <w:tcPr>
            <w:tcW w:w="3969" w:type="dxa"/>
            <w:tcBorders>
              <w:top w:val="single" w:sz="8" w:space="0" w:color="auto"/>
              <w:left w:val="nil"/>
              <w:bottom w:val="single" w:sz="8" w:space="0" w:color="auto"/>
              <w:right w:val="single" w:sz="8" w:space="0" w:color="auto"/>
            </w:tcBorders>
            <w:shd w:val="clear" w:color="auto" w:fill="D9E2F3"/>
            <w:tcMar>
              <w:top w:w="0" w:type="dxa"/>
              <w:left w:w="108" w:type="dxa"/>
              <w:bottom w:w="0" w:type="dxa"/>
              <w:right w:w="108" w:type="dxa"/>
            </w:tcMar>
            <w:hideMark/>
          </w:tcPr>
          <w:p w14:paraId="75C62132" w14:textId="77777777" w:rsidR="000B1D0E" w:rsidRPr="00D94093" w:rsidRDefault="000B1D0E" w:rsidP="001106E0">
            <w:pPr>
              <w:rPr>
                <w:rFonts w:ascii="Arial" w:hAnsi="Arial" w:cs="Arial"/>
                <w:b/>
                <w:bCs/>
                <w:sz w:val="20"/>
                <w:szCs w:val="20"/>
              </w:rPr>
            </w:pPr>
            <w:r w:rsidRPr="00D94093">
              <w:rPr>
                <w:rFonts w:ascii="Arial" w:hAnsi="Arial" w:cs="Arial"/>
                <w:b/>
                <w:bCs/>
                <w:sz w:val="20"/>
                <w:szCs w:val="20"/>
              </w:rPr>
              <w:t>Progress summary for this review</w:t>
            </w:r>
          </w:p>
        </w:tc>
      </w:tr>
      <w:tr w:rsidR="000B1D0E" w:rsidRPr="00D94093" w14:paraId="37B6CE19" w14:textId="77777777" w:rsidTr="001106E0">
        <w:tc>
          <w:tcPr>
            <w:tcW w:w="23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F139AF" w14:textId="77777777" w:rsidR="000B1D0E" w:rsidRPr="00D94093" w:rsidRDefault="000B1D0E" w:rsidP="001106E0">
            <w:pPr>
              <w:rPr>
                <w:rFonts w:ascii="Arial" w:hAnsi="Arial" w:cs="Arial"/>
                <w:sz w:val="20"/>
                <w:szCs w:val="20"/>
              </w:rPr>
            </w:pPr>
            <w:r w:rsidRPr="00D94093">
              <w:rPr>
                <w:rFonts w:ascii="Arial" w:hAnsi="Arial" w:cs="Arial"/>
                <w:sz w:val="20"/>
                <w:szCs w:val="20"/>
              </w:rPr>
              <w:t xml:space="preserve">Outcome 1. POLITICAL ACTION: Number of cities publicly issuing political statements supporting forests or nature </w:t>
            </w:r>
            <w:proofErr w:type="gramStart"/>
            <w:r w:rsidRPr="00D94093">
              <w:rPr>
                <w:rFonts w:ascii="Arial" w:hAnsi="Arial" w:cs="Arial"/>
                <w:sz w:val="20"/>
                <w:szCs w:val="20"/>
              </w:rPr>
              <w:t>as a result of</w:t>
            </w:r>
            <w:proofErr w:type="gramEnd"/>
            <w:r w:rsidRPr="00D94093">
              <w:rPr>
                <w:rFonts w:ascii="Arial" w:hAnsi="Arial" w:cs="Arial"/>
                <w:sz w:val="20"/>
                <w:szCs w:val="20"/>
              </w:rPr>
              <w:t xml:space="preserve"> Cities4Forests  </w:t>
            </w:r>
          </w:p>
        </w:tc>
        <w:tc>
          <w:tcPr>
            <w:tcW w:w="2444" w:type="dxa"/>
            <w:tcBorders>
              <w:top w:val="nil"/>
              <w:left w:val="nil"/>
              <w:bottom w:val="single" w:sz="8" w:space="0" w:color="auto"/>
              <w:right w:val="single" w:sz="8" w:space="0" w:color="auto"/>
            </w:tcBorders>
            <w:tcMar>
              <w:top w:w="0" w:type="dxa"/>
              <w:left w:w="108" w:type="dxa"/>
              <w:bottom w:w="0" w:type="dxa"/>
              <w:right w:w="108" w:type="dxa"/>
            </w:tcMar>
            <w:hideMark/>
          </w:tcPr>
          <w:p w14:paraId="163EDFB8" w14:textId="77777777" w:rsidR="000B1D0E" w:rsidRPr="00D94093" w:rsidRDefault="000B1D0E" w:rsidP="001106E0">
            <w:pPr>
              <w:rPr>
                <w:rFonts w:ascii="Arial" w:hAnsi="Arial" w:cs="Arial"/>
                <w:sz w:val="20"/>
                <w:szCs w:val="20"/>
              </w:rPr>
            </w:pPr>
            <w:r w:rsidRPr="00D94093">
              <w:rPr>
                <w:rFonts w:ascii="Arial" w:hAnsi="Arial" w:cs="Arial"/>
                <w:sz w:val="20"/>
                <w:szCs w:val="20"/>
              </w:rPr>
              <w:t xml:space="preserve">75 </w:t>
            </w:r>
            <w:r w:rsidRPr="00D94093">
              <w:rPr>
                <w:rFonts w:ascii="Arial" w:hAnsi="Arial" w:cs="Arial"/>
                <w:b/>
                <w:bCs/>
                <w:sz w:val="20"/>
                <w:szCs w:val="20"/>
              </w:rPr>
              <w:t>(revised Year 2 target – up from 10 in approved logframe)</w:t>
            </w:r>
          </w:p>
        </w:tc>
        <w:tc>
          <w:tcPr>
            <w:tcW w:w="3969" w:type="dxa"/>
            <w:tcBorders>
              <w:top w:val="nil"/>
              <w:left w:val="nil"/>
              <w:bottom w:val="single" w:sz="8" w:space="0" w:color="auto"/>
              <w:right w:val="single" w:sz="8" w:space="0" w:color="auto"/>
            </w:tcBorders>
            <w:tcMar>
              <w:top w:w="0" w:type="dxa"/>
              <w:left w:w="108" w:type="dxa"/>
              <w:bottom w:w="0" w:type="dxa"/>
              <w:right w:w="108" w:type="dxa"/>
            </w:tcMar>
            <w:hideMark/>
          </w:tcPr>
          <w:p w14:paraId="051953F7" w14:textId="77777777" w:rsidR="000B1D0E" w:rsidRPr="00D94093" w:rsidRDefault="000B1D0E" w:rsidP="001106E0">
            <w:pPr>
              <w:rPr>
                <w:rFonts w:ascii="Arial" w:hAnsi="Arial" w:cs="Arial"/>
                <w:sz w:val="20"/>
                <w:szCs w:val="20"/>
              </w:rPr>
            </w:pPr>
            <w:r w:rsidRPr="00D94093">
              <w:rPr>
                <w:rFonts w:ascii="Arial" w:hAnsi="Arial" w:cs="Arial"/>
                <w:sz w:val="20"/>
                <w:szCs w:val="20"/>
              </w:rPr>
              <w:t xml:space="preserve">Cities4Forests supported cities to issue </w:t>
            </w:r>
            <w:r w:rsidRPr="00D94093">
              <w:rPr>
                <w:rFonts w:ascii="Arial" w:hAnsi="Arial" w:cs="Arial"/>
                <w:b/>
                <w:bCs/>
                <w:sz w:val="20"/>
                <w:szCs w:val="20"/>
              </w:rPr>
              <w:t xml:space="preserve">70 political statements </w:t>
            </w:r>
            <w:r w:rsidRPr="00D94093">
              <w:rPr>
                <w:rFonts w:ascii="Arial" w:hAnsi="Arial" w:cs="Arial"/>
                <w:sz w:val="20"/>
                <w:szCs w:val="20"/>
              </w:rPr>
              <w:t xml:space="preserve">advocating for forests and nature, including the launch of a major political declaration </w:t>
            </w:r>
            <w:r>
              <w:rPr>
                <w:rFonts w:ascii="Arial" w:hAnsi="Arial" w:cs="Arial"/>
                <w:sz w:val="20"/>
                <w:szCs w:val="20"/>
              </w:rPr>
              <w:t>‘</w:t>
            </w:r>
            <w:r w:rsidRPr="00D94093">
              <w:rPr>
                <w:rFonts w:ascii="Arial" w:hAnsi="Arial" w:cs="Arial"/>
                <w:sz w:val="20"/>
                <w:szCs w:val="20"/>
              </w:rPr>
              <w:t>A Call to Action on Forests &amp; Climate</w:t>
            </w:r>
            <w:r>
              <w:rPr>
                <w:rFonts w:ascii="Arial" w:hAnsi="Arial" w:cs="Arial"/>
                <w:sz w:val="20"/>
                <w:szCs w:val="20"/>
              </w:rPr>
              <w:t>’</w:t>
            </w:r>
            <w:r w:rsidRPr="00D94093">
              <w:rPr>
                <w:rFonts w:ascii="Arial" w:hAnsi="Arial" w:cs="Arial"/>
                <w:sz w:val="20"/>
                <w:szCs w:val="20"/>
              </w:rPr>
              <w:t xml:space="preserve">  </w:t>
            </w:r>
          </w:p>
        </w:tc>
      </w:tr>
      <w:tr w:rsidR="000B1D0E" w:rsidRPr="00D94093" w14:paraId="7817EA5F" w14:textId="77777777" w:rsidTr="001106E0">
        <w:tc>
          <w:tcPr>
            <w:tcW w:w="23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0D64BA" w14:textId="77777777" w:rsidR="000B1D0E" w:rsidRPr="00D94093" w:rsidRDefault="000B1D0E" w:rsidP="001106E0">
            <w:pPr>
              <w:rPr>
                <w:rFonts w:ascii="Arial" w:hAnsi="Arial" w:cs="Arial"/>
                <w:sz w:val="20"/>
                <w:szCs w:val="20"/>
              </w:rPr>
            </w:pPr>
            <w:r w:rsidRPr="00D94093">
              <w:rPr>
                <w:rFonts w:ascii="Arial" w:hAnsi="Arial" w:cs="Arial"/>
                <w:sz w:val="20"/>
                <w:szCs w:val="20"/>
              </w:rPr>
              <w:t>Outcome 2</w:t>
            </w:r>
            <w:r>
              <w:rPr>
                <w:rFonts w:ascii="Arial" w:hAnsi="Arial" w:cs="Arial"/>
                <w:sz w:val="20"/>
                <w:szCs w:val="20"/>
              </w:rPr>
              <w:t>.</w:t>
            </w:r>
            <w:r w:rsidRPr="00D94093">
              <w:rPr>
                <w:rFonts w:ascii="Arial" w:hAnsi="Arial" w:cs="Arial"/>
                <w:sz w:val="20"/>
                <w:szCs w:val="20"/>
              </w:rPr>
              <w:t xml:space="preserve">  TECHNICAL ASSISTANCE: Number of policies, regulations, guidance, strategies, or commitments passed, enhanced, or informed by Cities4Forests </w:t>
            </w:r>
          </w:p>
        </w:tc>
        <w:tc>
          <w:tcPr>
            <w:tcW w:w="2444" w:type="dxa"/>
            <w:tcBorders>
              <w:top w:val="nil"/>
              <w:left w:val="nil"/>
              <w:bottom w:val="single" w:sz="8" w:space="0" w:color="auto"/>
              <w:right w:val="single" w:sz="8" w:space="0" w:color="auto"/>
            </w:tcBorders>
            <w:tcMar>
              <w:top w:w="0" w:type="dxa"/>
              <w:left w:w="108" w:type="dxa"/>
              <w:bottom w:w="0" w:type="dxa"/>
              <w:right w:w="108" w:type="dxa"/>
            </w:tcMar>
            <w:hideMark/>
          </w:tcPr>
          <w:p w14:paraId="4BDE36FF" w14:textId="77777777" w:rsidR="000B1D0E" w:rsidRPr="00D94093" w:rsidRDefault="000B1D0E" w:rsidP="001106E0">
            <w:pPr>
              <w:rPr>
                <w:rFonts w:ascii="Arial" w:hAnsi="Arial" w:cs="Arial"/>
                <w:sz w:val="20"/>
                <w:szCs w:val="20"/>
              </w:rPr>
            </w:pPr>
            <w:r w:rsidRPr="00D94093">
              <w:rPr>
                <w:rFonts w:ascii="Arial" w:hAnsi="Arial" w:cs="Arial"/>
                <w:sz w:val="20"/>
                <w:szCs w:val="20"/>
              </w:rPr>
              <w:t xml:space="preserve">14 </w:t>
            </w:r>
            <w:r w:rsidRPr="00D94093">
              <w:rPr>
                <w:rFonts w:ascii="Arial" w:hAnsi="Arial" w:cs="Arial"/>
                <w:b/>
                <w:bCs/>
                <w:sz w:val="20"/>
                <w:szCs w:val="20"/>
              </w:rPr>
              <w:t>(revised Year 2 target – up from 5 in approved logframe)</w:t>
            </w:r>
          </w:p>
        </w:tc>
        <w:tc>
          <w:tcPr>
            <w:tcW w:w="3969" w:type="dxa"/>
            <w:tcBorders>
              <w:top w:val="nil"/>
              <w:left w:val="nil"/>
              <w:bottom w:val="single" w:sz="8" w:space="0" w:color="auto"/>
              <w:right w:val="single" w:sz="8" w:space="0" w:color="auto"/>
            </w:tcBorders>
            <w:tcMar>
              <w:top w:w="0" w:type="dxa"/>
              <w:left w:w="108" w:type="dxa"/>
              <w:bottom w:w="0" w:type="dxa"/>
              <w:right w:w="108" w:type="dxa"/>
            </w:tcMar>
            <w:hideMark/>
          </w:tcPr>
          <w:p w14:paraId="26F09F31" w14:textId="77777777" w:rsidR="000B1D0E" w:rsidRPr="00D94093" w:rsidRDefault="000B1D0E" w:rsidP="001106E0">
            <w:pPr>
              <w:rPr>
                <w:rFonts w:ascii="Arial" w:hAnsi="Arial" w:cs="Arial"/>
                <w:sz w:val="20"/>
                <w:szCs w:val="20"/>
              </w:rPr>
            </w:pPr>
            <w:r w:rsidRPr="00D94093">
              <w:rPr>
                <w:rFonts w:ascii="Arial" w:hAnsi="Arial" w:cs="Arial"/>
                <w:sz w:val="20"/>
                <w:szCs w:val="20"/>
              </w:rPr>
              <w:t xml:space="preserve">Cities4Forests supported cities to pass or enhance </w:t>
            </w:r>
            <w:r w:rsidRPr="00D94093">
              <w:rPr>
                <w:rFonts w:ascii="Arial" w:hAnsi="Arial" w:cs="Arial"/>
                <w:b/>
                <w:bCs/>
                <w:sz w:val="20"/>
                <w:szCs w:val="20"/>
              </w:rPr>
              <w:t>13 policies, plans, and regulations</w:t>
            </w:r>
            <w:r w:rsidRPr="00D94093">
              <w:rPr>
                <w:rFonts w:ascii="Arial" w:hAnsi="Arial" w:cs="Arial"/>
                <w:sz w:val="20"/>
                <w:szCs w:val="20"/>
              </w:rPr>
              <w:t xml:space="preserve">. These include new urban forest policies in Jakarta, Indonesia and Brazzaville, Republic of Congo; and a major state-level payment-for-ecosystem services scheme in Brazil. </w:t>
            </w:r>
          </w:p>
        </w:tc>
      </w:tr>
      <w:tr w:rsidR="000B1D0E" w:rsidRPr="00D94093" w14:paraId="78042CEC" w14:textId="77777777" w:rsidTr="001106E0">
        <w:tc>
          <w:tcPr>
            <w:tcW w:w="23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873AF8" w14:textId="77777777" w:rsidR="000B1D0E" w:rsidRPr="00D94093" w:rsidRDefault="000B1D0E" w:rsidP="001106E0">
            <w:pPr>
              <w:rPr>
                <w:rFonts w:ascii="Arial" w:hAnsi="Arial" w:cs="Arial"/>
                <w:sz w:val="20"/>
                <w:szCs w:val="20"/>
              </w:rPr>
            </w:pPr>
            <w:r w:rsidRPr="00D94093">
              <w:rPr>
                <w:rFonts w:ascii="Arial" w:hAnsi="Arial" w:cs="Arial"/>
                <w:sz w:val="20"/>
                <w:szCs w:val="20"/>
              </w:rPr>
              <w:t>Outcome 3</w:t>
            </w:r>
            <w:r>
              <w:rPr>
                <w:rFonts w:ascii="Arial" w:hAnsi="Arial" w:cs="Arial"/>
                <w:sz w:val="20"/>
                <w:szCs w:val="20"/>
              </w:rPr>
              <w:t>.</w:t>
            </w:r>
            <w:r w:rsidRPr="00D94093">
              <w:rPr>
                <w:rFonts w:ascii="Arial" w:hAnsi="Arial" w:cs="Arial"/>
                <w:sz w:val="20"/>
                <w:szCs w:val="20"/>
              </w:rPr>
              <w:t xml:space="preserve">   FINANCE: Number of </w:t>
            </w:r>
            <w:proofErr w:type="spellStart"/>
            <w:r w:rsidRPr="00D94093">
              <w:rPr>
                <w:rFonts w:ascii="Arial" w:hAnsi="Arial" w:cs="Arial"/>
                <w:sz w:val="20"/>
                <w:szCs w:val="20"/>
              </w:rPr>
              <w:t>N</w:t>
            </w:r>
            <w:r>
              <w:rPr>
                <w:rFonts w:ascii="Arial" w:hAnsi="Arial" w:cs="Arial"/>
                <w:sz w:val="20"/>
                <w:szCs w:val="20"/>
              </w:rPr>
              <w:t>b</w:t>
            </w:r>
            <w:r w:rsidRPr="00D94093">
              <w:rPr>
                <w:rFonts w:ascii="Arial" w:hAnsi="Arial" w:cs="Arial"/>
                <w:sz w:val="20"/>
                <w:szCs w:val="20"/>
              </w:rPr>
              <w:t>S</w:t>
            </w:r>
            <w:proofErr w:type="spellEnd"/>
            <w:r w:rsidRPr="00D94093">
              <w:rPr>
                <w:rFonts w:ascii="Arial" w:hAnsi="Arial" w:cs="Arial"/>
                <w:sz w:val="20"/>
                <w:szCs w:val="20"/>
              </w:rPr>
              <w:t xml:space="preserve"> projects with improved financial access </w:t>
            </w:r>
            <w:proofErr w:type="gramStart"/>
            <w:r w:rsidRPr="00D94093">
              <w:rPr>
                <w:rFonts w:ascii="Arial" w:hAnsi="Arial" w:cs="Arial"/>
                <w:sz w:val="20"/>
                <w:szCs w:val="20"/>
              </w:rPr>
              <w:t>as a result of</w:t>
            </w:r>
            <w:proofErr w:type="gramEnd"/>
            <w:r w:rsidRPr="00D94093">
              <w:rPr>
                <w:rFonts w:ascii="Arial" w:hAnsi="Arial" w:cs="Arial"/>
                <w:sz w:val="20"/>
                <w:szCs w:val="20"/>
              </w:rPr>
              <w:t xml:space="preserve"> adopting </w:t>
            </w:r>
            <w:r w:rsidRPr="00913121">
              <w:rPr>
                <w:rFonts w:ascii="Arial" w:hAnsi="Arial" w:cs="Arial"/>
                <w:sz w:val="20"/>
                <w:szCs w:val="20"/>
              </w:rPr>
              <w:t>Cities4Forests</w:t>
            </w:r>
            <w:r>
              <w:rPr>
                <w:rFonts w:ascii="Arial" w:hAnsi="Arial" w:cs="Arial"/>
                <w:sz w:val="20"/>
                <w:szCs w:val="20"/>
              </w:rPr>
              <w:t xml:space="preserve"> </w:t>
            </w:r>
            <w:r w:rsidRPr="00D94093">
              <w:rPr>
                <w:rFonts w:ascii="Arial" w:hAnsi="Arial" w:cs="Arial"/>
                <w:sz w:val="20"/>
                <w:szCs w:val="20"/>
              </w:rPr>
              <w:t>instruments or recommendations</w:t>
            </w:r>
          </w:p>
        </w:tc>
        <w:tc>
          <w:tcPr>
            <w:tcW w:w="2444" w:type="dxa"/>
            <w:tcBorders>
              <w:top w:val="nil"/>
              <w:left w:val="nil"/>
              <w:bottom w:val="single" w:sz="8" w:space="0" w:color="auto"/>
              <w:right w:val="single" w:sz="8" w:space="0" w:color="auto"/>
            </w:tcBorders>
            <w:tcMar>
              <w:top w:w="0" w:type="dxa"/>
              <w:left w:w="108" w:type="dxa"/>
              <w:bottom w:w="0" w:type="dxa"/>
              <w:right w:w="108" w:type="dxa"/>
            </w:tcMar>
            <w:hideMark/>
          </w:tcPr>
          <w:p w14:paraId="06EE0AB3" w14:textId="77777777" w:rsidR="000B1D0E" w:rsidRPr="00D94093" w:rsidRDefault="000B1D0E" w:rsidP="001106E0">
            <w:pPr>
              <w:rPr>
                <w:rFonts w:ascii="Arial" w:hAnsi="Arial" w:cs="Arial"/>
                <w:sz w:val="20"/>
                <w:szCs w:val="20"/>
              </w:rPr>
            </w:pPr>
            <w:r w:rsidRPr="00D94093">
              <w:rPr>
                <w:rFonts w:ascii="Arial" w:hAnsi="Arial" w:cs="Arial"/>
                <w:sz w:val="20"/>
                <w:szCs w:val="20"/>
              </w:rPr>
              <w:t>5</w:t>
            </w:r>
          </w:p>
        </w:tc>
        <w:tc>
          <w:tcPr>
            <w:tcW w:w="3969" w:type="dxa"/>
            <w:tcBorders>
              <w:top w:val="nil"/>
              <w:left w:val="nil"/>
              <w:bottom w:val="single" w:sz="8" w:space="0" w:color="auto"/>
              <w:right w:val="single" w:sz="8" w:space="0" w:color="auto"/>
            </w:tcBorders>
            <w:tcMar>
              <w:top w:w="0" w:type="dxa"/>
              <w:left w:w="108" w:type="dxa"/>
              <w:bottom w:w="0" w:type="dxa"/>
              <w:right w:w="108" w:type="dxa"/>
            </w:tcMar>
            <w:hideMark/>
          </w:tcPr>
          <w:p w14:paraId="751D16E4" w14:textId="77777777" w:rsidR="000B1D0E" w:rsidRPr="00D94093" w:rsidRDefault="000B1D0E" w:rsidP="001106E0">
            <w:pPr>
              <w:rPr>
                <w:rFonts w:ascii="Arial" w:hAnsi="Arial" w:cs="Arial"/>
                <w:sz w:val="20"/>
                <w:szCs w:val="20"/>
              </w:rPr>
            </w:pPr>
            <w:r w:rsidRPr="00D94093">
              <w:rPr>
                <w:rFonts w:ascii="Arial" w:hAnsi="Arial" w:cs="Arial"/>
                <w:sz w:val="20"/>
                <w:szCs w:val="20"/>
              </w:rPr>
              <w:t xml:space="preserve">Cities4Forests helped </w:t>
            </w:r>
            <w:r w:rsidRPr="00D94093">
              <w:rPr>
                <w:rFonts w:ascii="Arial" w:hAnsi="Arial" w:cs="Arial"/>
                <w:b/>
                <w:bCs/>
                <w:sz w:val="20"/>
                <w:szCs w:val="20"/>
              </w:rPr>
              <w:t>1 project achieve increased access to finance</w:t>
            </w:r>
            <w:r w:rsidRPr="00D94093">
              <w:rPr>
                <w:rFonts w:ascii="Arial" w:hAnsi="Arial" w:cs="Arial"/>
                <w:sz w:val="20"/>
                <w:szCs w:val="20"/>
              </w:rPr>
              <w:t>. This has enabled restoration of degraded areas in high-conservation-value areas and created new livelihoods in Indonesia. Several more projects are expected to benefit from improved financial access in 2023.   </w:t>
            </w:r>
          </w:p>
        </w:tc>
      </w:tr>
    </w:tbl>
    <w:p w14:paraId="533C62ED" w14:textId="77777777" w:rsidR="000B1D0E" w:rsidRPr="00D94093" w:rsidRDefault="000B1D0E" w:rsidP="000B1D0E">
      <w:pPr>
        <w:rPr>
          <w:rFonts w:ascii="Arial" w:hAnsi="Arial" w:cs="Arial"/>
          <w:sz w:val="20"/>
          <w:szCs w:val="20"/>
        </w:rPr>
      </w:pPr>
    </w:p>
    <w:p w14:paraId="4EAC0E6A" w14:textId="77777777" w:rsidR="000B1D0E" w:rsidRPr="00D94093" w:rsidRDefault="000B1D0E" w:rsidP="000B1D0E">
      <w:pPr>
        <w:rPr>
          <w:rFonts w:ascii="Arial" w:hAnsi="Arial" w:cs="Arial"/>
          <w:sz w:val="20"/>
          <w:szCs w:val="20"/>
        </w:rPr>
      </w:pPr>
      <w:r w:rsidRPr="00D94093">
        <w:rPr>
          <w:rFonts w:ascii="Arial" w:hAnsi="Arial" w:cs="Arial"/>
          <w:b/>
          <w:bCs/>
          <w:sz w:val="20"/>
          <w:szCs w:val="20"/>
          <w:u w:val="single"/>
        </w:rPr>
        <w:lastRenderedPageBreak/>
        <w:t>Equity</w:t>
      </w:r>
      <w:r w:rsidRPr="00D94093">
        <w:rPr>
          <w:rFonts w:ascii="Arial" w:hAnsi="Arial" w:cs="Arial"/>
          <w:sz w:val="20"/>
          <w:szCs w:val="20"/>
        </w:rPr>
        <w:t>: A</w:t>
      </w:r>
      <w:r>
        <w:rPr>
          <w:rFonts w:ascii="Arial" w:hAnsi="Arial" w:cs="Arial"/>
          <w:sz w:val="20"/>
          <w:szCs w:val="20"/>
        </w:rPr>
        <w:t xml:space="preserve">n </w:t>
      </w:r>
      <w:r w:rsidRPr="00D94093">
        <w:rPr>
          <w:rFonts w:ascii="Arial" w:hAnsi="Arial" w:cs="Arial"/>
          <w:sz w:val="20"/>
          <w:szCs w:val="20"/>
        </w:rPr>
        <w:t xml:space="preserve">additional </w:t>
      </w:r>
      <w:r>
        <w:rPr>
          <w:rFonts w:ascii="Arial" w:hAnsi="Arial" w:cs="Arial"/>
          <w:sz w:val="20"/>
          <w:szCs w:val="20"/>
        </w:rPr>
        <w:t xml:space="preserve">logframe </w:t>
      </w:r>
      <w:r w:rsidRPr="00D94093">
        <w:rPr>
          <w:rFonts w:ascii="Arial" w:hAnsi="Arial" w:cs="Arial"/>
          <w:sz w:val="20"/>
          <w:szCs w:val="20"/>
        </w:rPr>
        <w:t>output</w:t>
      </w:r>
      <w:r>
        <w:rPr>
          <w:rFonts w:ascii="Arial" w:hAnsi="Arial" w:cs="Arial"/>
          <w:sz w:val="20"/>
          <w:szCs w:val="20"/>
        </w:rPr>
        <w:t xml:space="preserve"> has been proposed focused on </w:t>
      </w:r>
      <w:r w:rsidRPr="00C60A5A">
        <w:rPr>
          <w:rFonts w:ascii="Arial" w:hAnsi="Arial" w:cs="Arial"/>
          <w:sz w:val="20"/>
          <w:szCs w:val="20"/>
        </w:rPr>
        <w:t>Cities4Forests advanc</w:t>
      </w:r>
      <w:r>
        <w:rPr>
          <w:rFonts w:ascii="Arial" w:hAnsi="Arial" w:cs="Arial"/>
          <w:sz w:val="20"/>
          <w:szCs w:val="20"/>
        </w:rPr>
        <w:t>ing</w:t>
      </w:r>
      <w:r w:rsidRPr="00C60A5A">
        <w:rPr>
          <w:rFonts w:ascii="Arial" w:hAnsi="Arial" w:cs="Arial"/>
          <w:sz w:val="20"/>
          <w:szCs w:val="20"/>
        </w:rPr>
        <w:t xml:space="preserve"> social equity through </w:t>
      </w:r>
      <w:proofErr w:type="spellStart"/>
      <w:r w:rsidRPr="00C60A5A">
        <w:rPr>
          <w:rFonts w:ascii="Arial" w:hAnsi="Arial" w:cs="Arial"/>
          <w:sz w:val="20"/>
          <w:szCs w:val="20"/>
        </w:rPr>
        <w:t>NbS</w:t>
      </w:r>
      <w:proofErr w:type="spellEnd"/>
      <w:r w:rsidRPr="00C60A5A">
        <w:rPr>
          <w:rFonts w:ascii="Arial" w:hAnsi="Arial" w:cs="Arial"/>
          <w:sz w:val="20"/>
          <w:szCs w:val="20"/>
        </w:rPr>
        <w:t xml:space="preserve"> projects</w:t>
      </w:r>
      <w:r>
        <w:rPr>
          <w:rFonts w:ascii="Arial" w:hAnsi="Arial" w:cs="Arial"/>
          <w:sz w:val="20"/>
          <w:szCs w:val="20"/>
        </w:rPr>
        <w:t>. T</w:t>
      </w:r>
      <w:r w:rsidRPr="00C60A5A">
        <w:rPr>
          <w:rFonts w:ascii="Arial" w:hAnsi="Arial" w:cs="Arial"/>
          <w:sz w:val="20"/>
          <w:szCs w:val="20"/>
        </w:rPr>
        <w:t xml:space="preserve">he new output indicator will be agreed during a </w:t>
      </w:r>
      <w:r>
        <w:rPr>
          <w:rFonts w:ascii="Arial" w:hAnsi="Arial" w:cs="Arial"/>
          <w:sz w:val="20"/>
          <w:szCs w:val="20"/>
        </w:rPr>
        <w:t>forthcoming</w:t>
      </w:r>
      <w:r w:rsidRPr="00C60A5A">
        <w:rPr>
          <w:rFonts w:ascii="Arial" w:hAnsi="Arial" w:cs="Arial"/>
          <w:sz w:val="20"/>
          <w:szCs w:val="20"/>
        </w:rPr>
        <w:t xml:space="preserve"> review of the logframe. Cities4Forests is aiming to disaggregate result</w:t>
      </w:r>
      <w:r w:rsidRPr="00D94093">
        <w:rPr>
          <w:rFonts w:ascii="Arial" w:hAnsi="Arial" w:cs="Arial"/>
          <w:sz w:val="20"/>
          <w:szCs w:val="20"/>
        </w:rPr>
        <w:t xml:space="preserve">s where possible based on gender, age, disability status and other characteristics.  While they noted the difficulty of this, they are working to incorporate it into their initial data collection processes and will </w:t>
      </w:r>
      <w:r>
        <w:rPr>
          <w:rFonts w:ascii="Arial" w:hAnsi="Arial" w:cs="Arial"/>
          <w:sz w:val="20"/>
          <w:szCs w:val="20"/>
        </w:rPr>
        <w:t>report to</w:t>
      </w:r>
      <w:r w:rsidRPr="00D94093">
        <w:rPr>
          <w:rFonts w:ascii="Arial" w:hAnsi="Arial" w:cs="Arial"/>
          <w:sz w:val="20"/>
          <w:szCs w:val="20"/>
        </w:rPr>
        <w:t xml:space="preserve"> </w:t>
      </w:r>
      <w:r>
        <w:rPr>
          <w:rFonts w:ascii="Arial" w:hAnsi="Arial" w:cs="Arial"/>
          <w:sz w:val="20"/>
          <w:szCs w:val="20"/>
        </w:rPr>
        <w:t>Defra</w:t>
      </w:r>
      <w:r w:rsidRPr="00D94093">
        <w:rPr>
          <w:rFonts w:ascii="Arial" w:hAnsi="Arial" w:cs="Arial"/>
          <w:sz w:val="20"/>
          <w:szCs w:val="20"/>
        </w:rPr>
        <w:t xml:space="preserve"> on an ongoing basis about how this is going. This new output will help to capture Cities4Forests' broad range of equity-focused work,</w:t>
      </w:r>
      <w:r>
        <w:rPr>
          <w:rFonts w:ascii="Arial" w:hAnsi="Arial" w:cs="Arial"/>
          <w:sz w:val="20"/>
          <w:szCs w:val="20"/>
        </w:rPr>
        <w:t xml:space="preserve"> </w:t>
      </w:r>
      <w:r w:rsidRPr="00D94093">
        <w:rPr>
          <w:rFonts w:ascii="Arial" w:hAnsi="Arial" w:cs="Arial"/>
          <w:sz w:val="20"/>
          <w:szCs w:val="20"/>
        </w:rPr>
        <w:t>includ</w:t>
      </w:r>
      <w:r>
        <w:rPr>
          <w:rFonts w:ascii="Arial" w:hAnsi="Arial" w:cs="Arial"/>
          <w:sz w:val="20"/>
          <w:szCs w:val="20"/>
        </w:rPr>
        <w:t>ing</w:t>
      </w:r>
      <w:r w:rsidRPr="00D94093">
        <w:rPr>
          <w:rFonts w:ascii="Arial" w:hAnsi="Arial" w:cs="Arial"/>
          <w:sz w:val="20"/>
          <w:szCs w:val="20"/>
        </w:rPr>
        <w:t xml:space="preserve"> projects that focus on mapping public accessibility to urban green space in African cities</w:t>
      </w:r>
      <w:r>
        <w:rPr>
          <w:rFonts w:ascii="Arial" w:hAnsi="Arial" w:cs="Arial"/>
          <w:sz w:val="20"/>
          <w:szCs w:val="20"/>
        </w:rPr>
        <w:t xml:space="preserve">; that </w:t>
      </w:r>
      <w:r w:rsidRPr="00D94093">
        <w:rPr>
          <w:rFonts w:ascii="Arial" w:hAnsi="Arial" w:cs="Arial"/>
          <w:sz w:val="20"/>
          <w:szCs w:val="20"/>
        </w:rPr>
        <w:t>incorporat</w:t>
      </w:r>
      <w:r>
        <w:rPr>
          <w:rFonts w:ascii="Arial" w:hAnsi="Arial" w:cs="Arial"/>
          <w:sz w:val="20"/>
          <w:szCs w:val="20"/>
        </w:rPr>
        <w:t>e</w:t>
      </w:r>
      <w:r w:rsidRPr="00D94093">
        <w:rPr>
          <w:rFonts w:ascii="Arial" w:hAnsi="Arial" w:cs="Arial"/>
          <w:sz w:val="20"/>
          <w:szCs w:val="20"/>
        </w:rPr>
        <w:t xml:space="preserve"> Indigenous knowledge into public park plans in Indonesia</w:t>
      </w:r>
      <w:r>
        <w:rPr>
          <w:rFonts w:ascii="Arial" w:hAnsi="Arial" w:cs="Arial"/>
          <w:sz w:val="20"/>
          <w:szCs w:val="20"/>
        </w:rPr>
        <w:t xml:space="preserve">; and that include </w:t>
      </w:r>
      <w:r w:rsidRPr="00D94093">
        <w:rPr>
          <w:rFonts w:ascii="Arial" w:hAnsi="Arial" w:cs="Arial"/>
          <w:sz w:val="20"/>
          <w:szCs w:val="20"/>
        </w:rPr>
        <w:t xml:space="preserve">efforts to involve youth and differently abled residents in urban forest restoration in India. Cities4Forests works closely with dedicated experts in WRI’s Gender and Social Equity Practice to implement these programs and ensure equity is mainstreamed into all project work. </w:t>
      </w:r>
    </w:p>
    <w:p w14:paraId="39B1DD10" w14:textId="77777777" w:rsidR="000B1D0E" w:rsidRPr="00DC60CE" w:rsidRDefault="000B1D0E" w:rsidP="000B1D0E">
      <w:pPr>
        <w:rPr>
          <w:b/>
          <w:u w:val="single"/>
        </w:rPr>
      </w:pPr>
      <w:r w:rsidRPr="00D94093">
        <w:rPr>
          <w:rFonts w:ascii="Arial" w:hAnsi="Arial" w:cs="Arial"/>
          <w:sz w:val="20"/>
          <w:szCs w:val="20"/>
        </w:rPr>
        <w:t xml:space="preserve">For the next review, which will be the project completion report in early 2024 when Defra’s investment ends, we will ask Cities4Forests to provide more description and evidence of how they’ve delivered </w:t>
      </w:r>
      <w:proofErr w:type="spellStart"/>
      <w:r w:rsidRPr="00D94093">
        <w:rPr>
          <w:rFonts w:ascii="Arial" w:hAnsi="Arial" w:cs="Arial"/>
          <w:sz w:val="20"/>
          <w:szCs w:val="20"/>
        </w:rPr>
        <w:t>VfM</w:t>
      </w:r>
      <w:proofErr w:type="spellEnd"/>
      <w:r w:rsidRPr="00D94093">
        <w:rPr>
          <w:rFonts w:ascii="Arial" w:hAnsi="Arial" w:cs="Arial"/>
          <w:sz w:val="20"/>
          <w:szCs w:val="20"/>
        </w:rPr>
        <w:t xml:space="preserve"> against the “4 E Framework”. We will work with them on an ongoing basis in 2023 to determine which elements of each outcome they could track and report against to provide more robust evidence of </w:t>
      </w:r>
      <w:proofErr w:type="spellStart"/>
      <w:r w:rsidRPr="00D94093">
        <w:rPr>
          <w:rFonts w:ascii="Arial" w:hAnsi="Arial" w:cs="Arial"/>
          <w:sz w:val="20"/>
          <w:szCs w:val="20"/>
        </w:rPr>
        <w:t>VfM</w:t>
      </w:r>
      <w:proofErr w:type="spellEnd"/>
      <w:r w:rsidRPr="00D94093">
        <w:rPr>
          <w:rFonts w:ascii="Arial" w:hAnsi="Arial" w:cs="Arial"/>
          <w:sz w:val="20"/>
          <w:szCs w:val="20"/>
        </w:rPr>
        <w:t>.</w:t>
      </w:r>
      <w:r w:rsidRPr="00DC60CE">
        <w:t xml:space="preserve">  </w:t>
      </w:r>
    </w:p>
    <w:p w14:paraId="777A7F82" w14:textId="77777777" w:rsidR="000B1D0E" w:rsidRDefault="000B1D0E" w:rsidP="000B1D0E">
      <w:pPr>
        <w:spacing w:after="0" w:line="240" w:lineRule="auto"/>
        <w:rPr>
          <w:rFonts w:ascii="Arial" w:eastAsia="Times New Roman" w:hAnsi="Arial" w:cs="Times New Roman"/>
          <w:sz w:val="20"/>
          <w:szCs w:val="20"/>
          <w:highlight w:val="yellow"/>
        </w:rPr>
      </w:pPr>
    </w:p>
    <w:p w14:paraId="317A901E" w14:textId="77777777" w:rsidR="000B1D0E" w:rsidRDefault="000B1D0E" w:rsidP="000B1D0E">
      <w:pPr>
        <w:spacing w:after="0" w:line="240" w:lineRule="auto"/>
        <w:rPr>
          <w:rFonts w:ascii="Arial" w:eastAsia="Times New Roman" w:hAnsi="Arial" w:cs="Times New Roman"/>
          <w:b/>
          <w:sz w:val="20"/>
          <w:szCs w:val="20"/>
          <w:u w:val="single"/>
        </w:rPr>
      </w:pPr>
    </w:p>
    <w:p w14:paraId="45F7AC55" w14:textId="77777777" w:rsidR="000B1D0E" w:rsidRPr="00791A09" w:rsidRDefault="000B1D0E" w:rsidP="000B1D0E">
      <w:pPr>
        <w:spacing w:after="0" w:line="240" w:lineRule="auto"/>
        <w:rPr>
          <w:rFonts w:ascii="Arial" w:eastAsia="Times New Roman" w:hAnsi="Arial" w:cs="Times New Roman"/>
          <w:b/>
          <w:sz w:val="20"/>
          <w:szCs w:val="20"/>
          <w:u w:val="single"/>
        </w:rPr>
        <w:sectPr w:rsidR="000B1D0E" w:rsidRPr="00791A09" w:rsidSect="00472C34">
          <w:headerReference w:type="even" r:id="rId15"/>
          <w:headerReference w:type="default" r:id="rId16"/>
          <w:footerReference w:type="even" r:id="rId17"/>
          <w:footerReference w:type="default" r:id="rId18"/>
          <w:headerReference w:type="first" r:id="rId19"/>
          <w:footerReference w:type="first" r:id="rId20"/>
          <w:pgSz w:w="11906" w:h="16838"/>
          <w:pgMar w:top="709" w:right="1440" w:bottom="709" w:left="1440" w:header="708" w:footer="708" w:gutter="0"/>
          <w:cols w:space="708"/>
          <w:docGrid w:linePitch="360"/>
        </w:sectPr>
      </w:pPr>
    </w:p>
    <w:p w14:paraId="499B2620" w14:textId="77777777" w:rsidR="000B1D0E" w:rsidRPr="00791A09" w:rsidRDefault="000B1D0E" w:rsidP="000B1D0E">
      <w:pPr>
        <w:spacing w:after="0" w:line="240" w:lineRule="auto"/>
        <w:rPr>
          <w:rFonts w:ascii="Arial" w:eastAsia="Times New Roman" w:hAnsi="Arial" w:cs="Times New Roman"/>
          <w:b/>
          <w:bCs/>
          <w:noProof/>
          <w:sz w:val="20"/>
          <w:szCs w:val="20"/>
          <w:u w:val="single"/>
        </w:rPr>
      </w:pPr>
      <w:r w:rsidRPr="00791A09">
        <w:rPr>
          <w:rFonts w:ascii="Arial" w:eastAsia="Times New Roman" w:hAnsi="Arial" w:cs="Times New Roman"/>
          <w:b/>
          <w:bCs/>
          <w:noProof/>
          <w:sz w:val="20"/>
          <w:szCs w:val="20"/>
          <w:u w:val="single"/>
        </w:rPr>
        <w:lastRenderedPageBreak/>
        <w:t>Annex A: Theory of Change</w:t>
      </w:r>
    </w:p>
    <w:p w14:paraId="60126D05" w14:textId="77777777" w:rsidR="000B1D0E" w:rsidRPr="00791A09" w:rsidRDefault="000B1D0E" w:rsidP="000B1D0E">
      <w:pPr>
        <w:tabs>
          <w:tab w:val="left" w:pos="1507"/>
        </w:tabs>
        <w:spacing w:after="0" w:line="240" w:lineRule="auto"/>
        <w:rPr>
          <w:rFonts w:ascii="Arial" w:eastAsia="Times New Roman" w:hAnsi="Arial" w:cs="Times New Roman"/>
          <w:noProof/>
          <w:sz w:val="20"/>
          <w:szCs w:val="20"/>
        </w:rPr>
      </w:pPr>
      <w:r w:rsidRPr="00791A09">
        <w:rPr>
          <w:rFonts w:ascii="Arial" w:eastAsia="Times New Roman" w:hAnsi="Arial" w:cs="Times New Roman"/>
          <w:noProof/>
          <w:color w:val="2B579A"/>
          <w:sz w:val="20"/>
          <w:szCs w:val="20"/>
          <w:shd w:val="clear" w:color="auto" w:fill="E6E6E6"/>
        </w:rPr>
        <mc:AlternateContent>
          <mc:Choice Requires="wps">
            <w:drawing>
              <wp:anchor distT="0" distB="0" distL="114300" distR="114300" simplePos="0" relativeHeight="251658240" behindDoc="0" locked="0" layoutInCell="1" allowOverlap="1" wp14:anchorId="64A3F42F" wp14:editId="00DBA6AA">
                <wp:simplePos x="0" y="0"/>
                <wp:positionH relativeFrom="margin">
                  <wp:posOffset>2736117</wp:posOffset>
                </wp:positionH>
                <wp:positionV relativeFrom="paragraph">
                  <wp:posOffset>1049166</wp:posOffset>
                </wp:positionV>
                <wp:extent cx="1202788" cy="668215"/>
                <wp:effectExtent l="0" t="0" r="16510" b="17780"/>
                <wp:wrapNone/>
                <wp:docPr id="143" name="Rectangle: Rounded Corners 143"/>
                <wp:cNvGraphicFramePr/>
                <a:graphic xmlns:a="http://schemas.openxmlformats.org/drawingml/2006/main">
                  <a:graphicData uri="http://schemas.microsoft.com/office/word/2010/wordprocessingShape">
                    <wps:wsp>
                      <wps:cNvSpPr/>
                      <wps:spPr>
                        <a:xfrm>
                          <a:off x="0" y="0"/>
                          <a:ext cx="1202788" cy="668215"/>
                        </a:xfrm>
                        <a:prstGeom prst="roundRect">
                          <a:avLst/>
                        </a:prstGeom>
                        <a:solidFill>
                          <a:srgbClr val="0070C0"/>
                        </a:solidFill>
                        <a:ln w="12700" cap="flat" cmpd="sng" algn="ctr">
                          <a:solidFill>
                            <a:sysClr val="window" lastClr="FFFFFF"/>
                          </a:solidFill>
                          <a:prstDash val="solid"/>
                          <a:miter lim="800000"/>
                        </a:ln>
                        <a:effectLst/>
                      </wps:spPr>
                      <wps:txbx>
                        <w:txbxContent>
                          <w:p w14:paraId="688A6D69" w14:textId="77777777" w:rsidR="000B1D0E" w:rsidRPr="00245D8C" w:rsidRDefault="000B1D0E" w:rsidP="000B1D0E">
                            <w:pPr>
                              <w:rPr>
                                <w:rFonts w:hAnsi="Calibri"/>
                                <w:color w:val="FFFFFF" w:themeColor="light1"/>
                                <w:kern w:val="24"/>
                                <w:sz w:val="10"/>
                                <w:szCs w:val="10"/>
                              </w:rPr>
                            </w:pPr>
                            <w:r w:rsidRPr="00245D8C">
                              <w:rPr>
                                <w:rFonts w:hAnsi="Calibri"/>
                                <w:color w:val="FFFFFF" w:themeColor="light1"/>
                                <w:kern w:val="24"/>
                                <w:sz w:val="10"/>
                                <w:szCs w:val="10"/>
                              </w:rPr>
                              <w:t>City-driven N</w:t>
                            </w:r>
                            <w:r>
                              <w:rPr>
                                <w:rFonts w:hAnsi="Calibri"/>
                                <w:color w:val="FFFFFF" w:themeColor="light1"/>
                                <w:kern w:val="24"/>
                                <w:sz w:val="10"/>
                                <w:szCs w:val="10"/>
                              </w:rPr>
                              <w:t>b</w:t>
                            </w:r>
                            <w:r w:rsidRPr="00245D8C">
                              <w:rPr>
                                <w:rFonts w:hAnsi="Calibri"/>
                                <w:color w:val="FFFFFF" w:themeColor="light1"/>
                                <w:kern w:val="24"/>
                                <w:sz w:val="10"/>
                                <w:szCs w:val="10"/>
                              </w:rPr>
                              <w:t>S policies, strategies, and programs are designed to maximize human benefits in a way that addresses gender and social equity concerns</w:t>
                            </w:r>
                          </w:p>
                        </w:txbxContent>
                      </wps:txbx>
                      <wps:bodyPr wrap="square" lIns="91440" tIns="45720" rIns="91440" bIns="45720" rtlCol="0" anchor="ctr">
                        <a:noAutofit/>
                      </wps:bodyPr>
                    </wps:wsp>
                  </a:graphicData>
                </a:graphic>
                <wp14:sizeRelH relativeFrom="margin">
                  <wp14:pctWidth>0</wp14:pctWidth>
                </wp14:sizeRelH>
                <wp14:sizeRelV relativeFrom="margin">
                  <wp14:pctHeight>0</wp14:pctHeight>
                </wp14:sizeRelV>
              </wp:anchor>
            </w:drawing>
          </mc:Choice>
          <mc:Fallback>
            <w:pict>
              <v:roundrect w14:anchorId="64A3F42F" id="Rectangle: Rounded Corners 143" o:spid="_x0000_s1026" style="position:absolute;margin-left:215.45pt;margin-top:82.6pt;width:94.7pt;height:52.6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" fillcolor="#0070c0" strokecolor="window" strokeweight="1pt">
                <v:stroke joinstyle="miter"/>
                <v:textbox>
                  <w:txbxContent>
                    <w:p w14:paraId="688A6D69" w14:textId="77777777" w:rsidR="000B1D0E" w:rsidRPr="00245D8C" w:rsidRDefault="000B1D0E" w:rsidP="000B1D0E">
                      <w:pPr>
                        <w:rPr>
                          <w:rFonts w:hAnsi="Calibri"/>
                          <w:color w:val="FFFFFF" w:themeColor="light1"/>
                          <w:kern w:val="24"/>
                          <w:sz w:val="10"/>
                          <w:szCs w:val="10"/>
                        </w:rPr>
                      </w:pPr>
                      <w:r w:rsidRPr="00245D8C">
                        <w:rPr>
                          <w:rFonts w:hAnsi="Calibri"/>
                          <w:color w:val="FFFFFF" w:themeColor="light1"/>
                          <w:kern w:val="24"/>
                          <w:sz w:val="10"/>
                          <w:szCs w:val="10"/>
                        </w:rPr>
                        <w:t>City-driven N</w:t>
                      </w:r>
                      <w:r>
                        <w:rPr>
                          <w:rFonts w:hAnsi="Calibri"/>
                          <w:color w:val="FFFFFF" w:themeColor="light1"/>
                          <w:kern w:val="24"/>
                          <w:sz w:val="10"/>
                          <w:szCs w:val="10"/>
                        </w:rPr>
                        <w:t>b</w:t>
                      </w:r>
                      <w:r w:rsidRPr="00245D8C">
                        <w:rPr>
                          <w:rFonts w:hAnsi="Calibri"/>
                          <w:color w:val="FFFFFF" w:themeColor="light1"/>
                          <w:kern w:val="24"/>
                          <w:sz w:val="10"/>
                          <w:szCs w:val="10"/>
                        </w:rPr>
                        <w:t>S policies, strategies, and programs are designed to maximize human benefits in a way that addresses gender and social equity concerns</w:t>
                      </w:r>
                    </w:p>
                  </w:txbxContent>
                </v:textbox>
                <w10:wrap anchorx="margin"/>
              </v:roundrect>
            </w:pict>
          </mc:Fallback>
        </mc:AlternateContent>
      </w:r>
      <w:r w:rsidRPr="00791A09">
        <w:rPr>
          <w:rFonts w:ascii="Arial" w:eastAsia="Times New Roman" w:hAnsi="Arial" w:cs="Times New Roman"/>
          <w:noProof/>
          <w:sz w:val="20"/>
          <w:szCs w:val="20"/>
        </w:rPr>
        <w:tab/>
        <w:t xml:space="preserve">           </w:t>
      </w:r>
      <w:r w:rsidRPr="00791A09">
        <w:rPr>
          <w:rFonts w:ascii="Arial" w:eastAsia="Times New Roman" w:hAnsi="Arial" w:cs="Times New Roman"/>
          <w:noProof/>
          <w:color w:val="2B579A"/>
          <w:sz w:val="20"/>
          <w:szCs w:val="20"/>
          <w:shd w:val="clear" w:color="auto" w:fill="E6E6E6"/>
        </w:rPr>
        <w:drawing>
          <wp:inline distT="0" distB="0" distL="0" distR="0" wp14:anchorId="05957757" wp14:editId="52100532">
            <wp:extent cx="8773160" cy="5316220"/>
            <wp:effectExtent l="0" t="0" r="8890" b="0"/>
            <wp:docPr id="138" name="Picture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773160" cy="5316220"/>
                    </a:xfrm>
                    <a:prstGeom prst="rect">
                      <a:avLst/>
                    </a:prstGeom>
                    <a:noFill/>
                  </pic:spPr>
                </pic:pic>
              </a:graphicData>
            </a:graphic>
          </wp:inline>
        </w:drawing>
      </w:r>
    </w:p>
    <w:p w14:paraId="3DED3906" w14:textId="77777777" w:rsidR="000B1D0E" w:rsidRPr="00791A09" w:rsidRDefault="000B1D0E" w:rsidP="000B1D0E">
      <w:pPr>
        <w:spacing w:after="0" w:line="240" w:lineRule="auto"/>
        <w:rPr>
          <w:rFonts w:ascii="Arial" w:eastAsia="Times New Roman" w:hAnsi="Arial" w:cs="Times New Roman"/>
          <w:b/>
          <w:bCs/>
          <w:noProof/>
          <w:sz w:val="20"/>
          <w:szCs w:val="20"/>
          <w:u w:val="single"/>
        </w:rPr>
        <w:sectPr w:rsidR="000B1D0E" w:rsidRPr="00791A09" w:rsidSect="00472C34">
          <w:pgSz w:w="16838" w:h="11906" w:orient="landscape"/>
          <w:pgMar w:top="1440" w:right="709" w:bottom="1440" w:left="709" w:header="708" w:footer="708" w:gutter="0"/>
          <w:cols w:space="708"/>
          <w:docGrid w:linePitch="360"/>
        </w:sectPr>
      </w:pPr>
    </w:p>
    <w:p w14:paraId="50B17DB6" w14:textId="77777777" w:rsidR="000B1D0E" w:rsidRPr="00791A09" w:rsidRDefault="000B1D0E" w:rsidP="000B1D0E">
      <w:pPr>
        <w:spacing w:after="0" w:line="240" w:lineRule="auto"/>
        <w:rPr>
          <w:rFonts w:ascii="Arial" w:eastAsia="Times New Roman" w:hAnsi="Arial" w:cs="Times New Roman"/>
          <w:b/>
          <w:bCs/>
          <w:noProof/>
          <w:sz w:val="20"/>
          <w:szCs w:val="20"/>
          <w:u w:val="single"/>
        </w:rPr>
      </w:pPr>
      <w:r w:rsidRPr="00791A09">
        <w:rPr>
          <w:rFonts w:ascii="Arial" w:eastAsia="Times New Roman" w:hAnsi="Arial" w:cs="Times New Roman"/>
          <w:b/>
          <w:bCs/>
          <w:noProof/>
          <w:sz w:val="20"/>
          <w:szCs w:val="20"/>
          <w:u w:val="single"/>
        </w:rPr>
        <w:lastRenderedPageBreak/>
        <w:t>Annex B: Cities4Forests Programme Risk register</w:t>
      </w:r>
      <w:r>
        <w:rPr>
          <w:rFonts w:ascii="Arial" w:eastAsia="Times New Roman" w:hAnsi="Arial" w:cs="Times New Roman"/>
          <w:b/>
          <w:bCs/>
          <w:noProof/>
          <w:sz w:val="20"/>
          <w:szCs w:val="20"/>
          <w:u w:val="single"/>
        </w:rPr>
        <w:t xml:space="preserve"> (up to end of 2022)</w:t>
      </w:r>
    </w:p>
    <w:p w14:paraId="4430837D" w14:textId="77777777" w:rsidR="000B1D0E" w:rsidRPr="00791A09" w:rsidRDefault="000B1D0E" w:rsidP="000B1D0E">
      <w:pPr>
        <w:spacing w:after="0" w:line="240" w:lineRule="auto"/>
        <w:rPr>
          <w:rFonts w:ascii="Arial" w:eastAsia="Times New Roman" w:hAnsi="Arial" w:cs="Times New Roman"/>
          <w:noProof/>
          <w:sz w:val="20"/>
          <w:szCs w:val="20"/>
        </w:rPr>
      </w:pPr>
    </w:p>
    <w:tbl>
      <w:tblPr>
        <w:tblStyle w:val="TableGrid"/>
        <w:tblW w:w="0" w:type="auto"/>
        <w:tblLook w:val="04A0" w:firstRow="1" w:lastRow="0" w:firstColumn="1" w:lastColumn="0" w:noHBand="0" w:noVBand="1"/>
      </w:tblPr>
      <w:tblGrid>
        <w:gridCol w:w="3448"/>
        <w:gridCol w:w="1250"/>
        <w:gridCol w:w="1439"/>
        <w:gridCol w:w="1379"/>
        <w:gridCol w:w="3327"/>
        <w:gridCol w:w="4567"/>
      </w:tblGrid>
      <w:tr w:rsidR="000B1D0E" w:rsidRPr="00791A09" w14:paraId="67D58271" w14:textId="77777777" w:rsidTr="001106E0">
        <w:tc>
          <w:tcPr>
            <w:tcW w:w="3448" w:type="dxa"/>
          </w:tcPr>
          <w:p w14:paraId="14311A1F" w14:textId="77777777" w:rsidR="000B1D0E" w:rsidRPr="00791A09" w:rsidRDefault="000B1D0E" w:rsidP="001106E0">
            <w:pPr>
              <w:tabs>
                <w:tab w:val="center" w:pos="4513"/>
                <w:tab w:val="right" w:pos="9026"/>
              </w:tabs>
              <w:spacing w:after="0"/>
              <w:rPr>
                <w:rFonts w:ascii="Arial" w:hAnsi="Arial" w:cs="Arial"/>
                <w:b/>
                <w:bCs/>
                <w:noProof/>
              </w:rPr>
            </w:pPr>
            <w:r w:rsidRPr="00791A09">
              <w:rPr>
                <w:rFonts w:ascii="Arial" w:hAnsi="Arial" w:cs="Arial"/>
                <w:b/>
                <w:bCs/>
                <w:noProof/>
              </w:rPr>
              <w:t>Risk</w:t>
            </w:r>
          </w:p>
          <w:p w14:paraId="3AC3C438" w14:textId="77777777" w:rsidR="000B1D0E" w:rsidRPr="00791A09" w:rsidRDefault="000B1D0E" w:rsidP="001106E0">
            <w:pPr>
              <w:tabs>
                <w:tab w:val="center" w:pos="4513"/>
                <w:tab w:val="right" w:pos="9026"/>
              </w:tabs>
              <w:spacing w:after="0"/>
              <w:rPr>
                <w:rFonts w:ascii="Arial" w:hAnsi="Arial" w:cs="Arial"/>
                <w:b/>
                <w:bCs/>
                <w:noProof/>
              </w:rPr>
            </w:pPr>
          </w:p>
        </w:tc>
        <w:tc>
          <w:tcPr>
            <w:tcW w:w="1250" w:type="dxa"/>
          </w:tcPr>
          <w:p w14:paraId="034B7196" w14:textId="77777777" w:rsidR="000B1D0E" w:rsidRPr="00791A09" w:rsidRDefault="000B1D0E" w:rsidP="001106E0">
            <w:pPr>
              <w:tabs>
                <w:tab w:val="center" w:pos="4513"/>
                <w:tab w:val="right" w:pos="9026"/>
              </w:tabs>
              <w:spacing w:after="0"/>
              <w:rPr>
                <w:rFonts w:ascii="Arial" w:hAnsi="Arial" w:cs="Arial"/>
                <w:b/>
                <w:bCs/>
                <w:noProof/>
              </w:rPr>
            </w:pPr>
            <w:r w:rsidRPr="00791A09">
              <w:rPr>
                <w:rFonts w:ascii="Arial" w:hAnsi="Arial" w:cs="Arial"/>
                <w:b/>
                <w:bCs/>
                <w:noProof/>
              </w:rPr>
              <w:t>Probability</w:t>
            </w:r>
          </w:p>
          <w:p w14:paraId="005147C9" w14:textId="77777777" w:rsidR="000B1D0E" w:rsidRPr="00791A09" w:rsidRDefault="000B1D0E" w:rsidP="001106E0">
            <w:pPr>
              <w:tabs>
                <w:tab w:val="center" w:pos="4513"/>
                <w:tab w:val="right" w:pos="9026"/>
              </w:tabs>
              <w:spacing w:after="0"/>
              <w:rPr>
                <w:rFonts w:ascii="Arial" w:hAnsi="Arial" w:cs="Arial"/>
                <w:b/>
                <w:bCs/>
                <w:noProof/>
              </w:rPr>
            </w:pPr>
          </w:p>
        </w:tc>
        <w:tc>
          <w:tcPr>
            <w:tcW w:w="1439" w:type="dxa"/>
          </w:tcPr>
          <w:p w14:paraId="493B97A7" w14:textId="77777777" w:rsidR="000B1D0E" w:rsidRPr="00791A09" w:rsidRDefault="000B1D0E" w:rsidP="001106E0">
            <w:pPr>
              <w:tabs>
                <w:tab w:val="center" w:pos="4513"/>
                <w:tab w:val="right" w:pos="9026"/>
              </w:tabs>
              <w:spacing w:after="0"/>
              <w:rPr>
                <w:rFonts w:ascii="Arial" w:hAnsi="Arial" w:cs="Arial"/>
                <w:b/>
                <w:bCs/>
                <w:noProof/>
              </w:rPr>
            </w:pPr>
            <w:r w:rsidRPr="00791A09">
              <w:rPr>
                <w:rFonts w:ascii="Arial" w:hAnsi="Arial" w:cs="Arial"/>
                <w:b/>
                <w:bCs/>
                <w:noProof/>
              </w:rPr>
              <w:t>Impact</w:t>
            </w:r>
          </w:p>
          <w:p w14:paraId="0E35C3E6" w14:textId="77777777" w:rsidR="000B1D0E" w:rsidRPr="00791A09" w:rsidRDefault="000B1D0E" w:rsidP="001106E0">
            <w:pPr>
              <w:tabs>
                <w:tab w:val="center" w:pos="4513"/>
                <w:tab w:val="right" w:pos="9026"/>
              </w:tabs>
              <w:spacing w:after="0"/>
              <w:rPr>
                <w:rFonts w:ascii="Arial" w:hAnsi="Arial" w:cs="Arial"/>
                <w:b/>
                <w:bCs/>
                <w:noProof/>
              </w:rPr>
            </w:pPr>
          </w:p>
        </w:tc>
        <w:tc>
          <w:tcPr>
            <w:tcW w:w="1379" w:type="dxa"/>
          </w:tcPr>
          <w:p w14:paraId="3FA8F6CB" w14:textId="77777777" w:rsidR="000B1D0E" w:rsidRPr="00791A09" w:rsidRDefault="000B1D0E" w:rsidP="001106E0">
            <w:pPr>
              <w:tabs>
                <w:tab w:val="center" w:pos="4513"/>
                <w:tab w:val="right" w:pos="9026"/>
              </w:tabs>
              <w:spacing w:after="0"/>
              <w:rPr>
                <w:rFonts w:ascii="Arial" w:hAnsi="Arial" w:cs="Arial"/>
                <w:b/>
                <w:bCs/>
                <w:noProof/>
              </w:rPr>
            </w:pPr>
            <w:r w:rsidRPr="00791A09">
              <w:rPr>
                <w:rFonts w:ascii="Arial" w:hAnsi="Arial" w:cs="Arial"/>
                <w:b/>
                <w:bCs/>
                <w:noProof/>
              </w:rPr>
              <w:t>Risk Rating</w:t>
            </w:r>
          </w:p>
          <w:p w14:paraId="501091FA" w14:textId="77777777" w:rsidR="000B1D0E" w:rsidRPr="00791A09" w:rsidRDefault="000B1D0E" w:rsidP="001106E0">
            <w:pPr>
              <w:tabs>
                <w:tab w:val="center" w:pos="4513"/>
                <w:tab w:val="right" w:pos="9026"/>
              </w:tabs>
              <w:spacing w:after="0"/>
              <w:rPr>
                <w:rFonts w:ascii="Arial" w:hAnsi="Arial" w:cs="Arial"/>
                <w:b/>
                <w:bCs/>
                <w:noProof/>
              </w:rPr>
            </w:pPr>
          </w:p>
        </w:tc>
        <w:tc>
          <w:tcPr>
            <w:tcW w:w="3327" w:type="dxa"/>
          </w:tcPr>
          <w:p w14:paraId="26BD018F" w14:textId="77777777" w:rsidR="000B1D0E" w:rsidRPr="00791A09" w:rsidRDefault="000B1D0E" w:rsidP="001106E0">
            <w:pPr>
              <w:tabs>
                <w:tab w:val="center" w:pos="4513"/>
                <w:tab w:val="right" w:pos="9026"/>
              </w:tabs>
              <w:spacing w:after="0"/>
              <w:rPr>
                <w:rFonts w:ascii="Arial" w:hAnsi="Arial" w:cs="Arial"/>
                <w:b/>
                <w:bCs/>
                <w:noProof/>
              </w:rPr>
            </w:pPr>
            <w:r w:rsidRPr="00791A09">
              <w:rPr>
                <w:rFonts w:ascii="Arial" w:hAnsi="Arial" w:cs="Arial"/>
                <w:b/>
                <w:bCs/>
                <w:noProof/>
              </w:rPr>
              <w:t>Change from last report</w:t>
            </w:r>
          </w:p>
          <w:p w14:paraId="3BF18758" w14:textId="77777777" w:rsidR="000B1D0E" w:rsidRPr="00791A09" w:rsidRDefault="000B1D0E" w:rsidP="001106E0">
            <w:pPr>
              <w:tabs>
                <w:tab w:val="center" w:pos="4513"/>
                <w:tab w:val="right" w:pos="9026"/>
              </w:tabs>
              <w:spacing w:after="0"/>
              <w:rPr>
                <w:rFonts w:ascii="Arial" w:hAnsi="Arial" w:cs="Arial"/>
                <w:b/>
                <w:bCs/>
                <w:noProof/>
              </w:rPr>
            </w:pPr>
          </w:p>
        </w:tc>
        <w:tc>
          <w:tcPr>
            <w:tcW w:w="4567" w:type="dxa"/>
          </w:tcPr>
          <w:p w14:paraId="3BE1FDE1" w14:textId="77777777" w:rsidR="000B1D0E" w:rsidRPr="00791A09" w:rsidRDefault="000B1D0E" w:rsidP="001106E0">
            <w:pPr>
              <w:tabs>
                <w:tab w:val="center" w:pos="4513"/>
                <w:tab w:val="right" w:pos="9026"/>
              </w:tabs>
              <w:spacing w:after="0"/>
              <w:rPr>
                <w:rFonts w:ascii="Arial" w:hAnsi="Arial" w:cs="Arial"/>
                <w:b/>
                <w:bCs/>
                <w:noProof/>
              </w:rPr>
            </w:pPr>
            <w:r w:rsidRPr="00791A09">
              <w:rPr>
                <w:rFonts w:ascii="Arial" w:hAnsi="Arial" w:cs="Arial"/>
                <w:b/>
                <w:bCs/>
                <w:noProof/>
              </w:rPr>
              <w:t>Mitigation Measure</w:t>
            </w:r>
          </w:p>
        </w:tc>
      </w:tr>
      <w:tr w:rsidR="000B1D0E" w:rsidRPr="00791A09" w14:paraId="0B3E7D9A" w14:textId="77777777" w:rsidTr="001106E0">
        <w:tc>
          <w:tcPr>
            <w:tcW w:w="15410" w:type="dxa"/>
            <w:gridSpan w:val="6"/>
          </w:tcPr>
          <w:p w14:paraId="04FA23DD" w14:textId="77777777" w:rsidR="000B1D0E" w:rsidRPr="00791A09" w:rsidRDefault="000B1D0E" w:rsidP="001106E0">
            <w:pPr>
              <w:tabs>
                <w:tab w:val="center" w:pos="4513"/>
                <w:tab w:val="right" w:pos="9026"/>
              </w:tabs>
              <w:spacing w:after="0"/>
              <w:rPr>
                <w:rFonts w:ascii="Arial" w:hAnsi="Arial" w:cs="Arial"/>
                <w:b/>
                <w:bCs/>
                <w:noProof/>
              </w:rPr>
            </w:pPr>
            <w:r w:rsidRPr="00791A09">
              <w:rPr>
                <w:rFonts w:ascii="Arial" w:hAnsi="Arial" w:cs="Arial"/>
                <w:b/>
                <w:bCs/>
                <w:noProof/>
              </w:rPr>
              <w:t>Context</w:t>
            </w:r>
          </w:p>
        </w:tc>
      </w:tr>
      <w:tr w:rsidR="000B1D0E" w:rsidRPr="00791A09" w14:paraId="451D668E" w14:textId="77777777" w:rsidTr="001106E0">
        <w:tc>
          <w:tcPr>
            <w:tcW w:w="3448" w:type="dxa"/>
          </w:tcPr>
          <w:p w14:paraId="776525C7" w14:textId="77777777" w:rsidR="000B1D0E" w:rsidRPr="00791A09" w:rsidRDefault="000B1D0E" w:rsidP="001106E0">
            <w:pPr>
              <w:tabs>
                <w:tab w:val="center" w:pos="4513"/>
                <w:tab w:val="right" w:pos="9026"/>
              </w:tabs>
              <w:spacing w:after="0"/>
              <w:rPr>
                <w:rFonts w:ascii="Arial" w:hAnsi="Arial" w:cs="Arial"/>
                <w:noProof/>
              </w:rPr>
            </w:pPr>
            <w:r w:rsidRPr="00791A09">
              <w:rPr>
                <w:rFonts w:ascii="Arial" w:hAnsi="Arial" w:cs="Arial"/>
                <w:noProof/>
              </w:rPr>
              <w:t>High inflation and the global financial crisis may negatively affect Cities4Forests core operations (due to increased prices for key services) and our ability to influence audiences (with cities distracted by budgeting constraints)</w:t>
            </w:r>
            <w:r>
              <w:rPr>
                <w:rFonts w:ascii="Arial" w:hAnsi="Arial" w:cs="Arial"/>
                <w:noProof/>
              </w:rPr>
              <w:t>.</w:t>
            </w:r>
          </w:p>
          <w:p w14:paraId="7E674344" w14:textId="77777777" w:rsidR="000B1D0E" w:rsidRPr="00791A09" w:rsidRDefault="000B1D0E" w:rsidP="001106E0">
            <w:pPr>
              <w:tabs>
                <w:tab w:val="center" w:pos="4513"/>
                <w:tab w:val="right" w:pos="9026"/>
              </w:tabs>
              <w:spacing w:after="0"/>
              <w:rPr>
                <w:rFonts w:ascii="Arial" w:hAnsi="Arial" w:cs="Arial"/>
                <w:b/>
                <w:bCs/>
                <w:noProof/>
              </w:rPr>
            </w:pPr>
          </w:p>
        </w:tc>
        <w:tc>
          <w:tcPr>
            <w:tcW w:w="1250" w:type="dxa"/>
          </w:tcPr>
          <w:p w14:paraId="5A8C9132" w14:textId="77777777" w:rsidR="000B1D0E" w:rsidRPr="00791A09" w:rsidRDefault="000B1D0E" w:rsidP="001106E0">
            <w:pPr>
              <w:tabs>
                <w:tab w:val="center" w:pos="4513"/>
                <w:tab w:val="right" w:pos="9026"/>
              </w:tabs>
              <w:spacing w:after="0"/>
              <w:rPr>
                <w:rFonts w:ascii="Arial" w:hAnsi="Arial" w:cs="Arial"/>
                <w:b/>
                <w:bCs/>
                <w:noProof/>
              </w:rPr>
            </w:pPr>
            <w:r w:rsidRPr="00791A09">
              <w:rPr>
                <w:rFonts w:ascii="Arial" w:hAnsi="Arial" w:cs="Arial"/>
                <w:noProof/>
              </w:rPr>
              <w:t>Likely</w:t>
            </w:r>
          </w:p>
        </w:tc>
        <w:tc>
          <w:tcPr>
            <w:tcW w:w="1439" w:type="dxa"/>
          </w:tcPr>
          <w:p w14:paraId="5DAB10FD" w14:textId="77777777" w:rsidR="000B1D0E" w:rsidRPr="00791A09" w:rsidRDefault="000B1D0E" w:rsidP="001106E0">
            <w:pPr>
              <w:tabs>
                <w:tab w:val="center" w:pos="4513"/>
                <w:tab w:val="right" w:pos="9026"/>
              </w:tabs>
              <w:spacing w:after="0"/>
              <w:rPr>
                <w:rFonts w:ascii="Arial" w:hAnsi="Arial" w:cs="Arial"/>
                <w:b/>
                <w:bCs/>
                <w:noProof/>
              </w:rPr>
            </w:pPr>
            <w:r w:rsidRPr="00791A09">
              <w:rPr>
                <w:rFonts w:ascii="Arial" w:hAnsi="Arial" w:cs="Arial"/>
                <w:noProof/>
              </w:rPr>
              <w:t>Moderate</w:t>
            </w:r>
          </w:p>
        </w:tc>
        <w:tc>
          <w:tcPr>
            <w:tcW w:w="1379" w:type="dxa"/>
            <w:shd w:val="clear" w:color="auto" w:fill="FFC000"/>
          </w:tcPr>
          <w:p w14:paraId="06B7B459" w14:textId="77777777" w:rsidR="000B1D0E" w:rsidRPr="00791A09" w:rsidRDefault="000B1D0E" w:rsidP="001106E0">
            <w:pPr>
              <w:tabs>
                <w:tab w:val="center" w:pos="4513"/>
                <w:tab w:val="right" w:pos="9026"/>
              </w:tabs>
              <w:spacing w:after="0"/>
              <w:rPr>
                <w:rFonts w:ascii="Arial" w:hAnsi="Arial" w:cs="Arial"/>
                <w:b/>
                <w:bCs/>
                <w:noProof/>
              </w:rPr>
            </w:pPr>
          </w:p>
        </w:tc>
        <w:tc>
          <w:tcPr>
            <w:tcW w:w="3327" w:type="dxa"/>
          </w:tcPr>
          <w:p w14:paraId="508E662A" w14:textId="77777777" w:rsidR="000B1D0E" w:rsidRPr="00791A09" w:rsidRDefault="000B1D0E" w:rsidP="001106E0">
            <w:pPr>
              <w:tabs>
                <w:tab w:val="center" w:pos="4513"/>
                <w:tab w:val="right" w:pos="9026"/>
              </w:tabs>
              <w:spacing w:after="0"/>
              <w:rPr>
                <w:rFonts w:ascii="Arial" w:hAnsi="Arial" w:cs="Arial"/>
                <w:b/>
                <w:bCs/>
                <w:noProof/>
              </w:rPr>
            </w:pPr>
            <w:r w:rsidRPr="00791A09">
              <w:rPr>
                <w:rFonts w:ascii="Arial" w:hAnsi="Arial" w:cs="Arial"/>
                <w:noProof/>
              </w:rPr>
              <w:t>New risk</w:t>
            </w:r>
          </w:p>
        </w:tc>
        <w:tc>
          <w:tcPr>
            <w:tcW w:w="4567" w:type="dxa"/>
          </w:tcPr>
          <w:p w14:paraId="01F23D11" w14:textId="77777777" w:rsidR="000B1D0E" w:rsidRPr="00791A09" w:rsidRDefault="000B1D0E" w:rsidP="001106E0">
            <w:pPr>
              <w:tabs>
                <w:tab w:val="center" w:pos="4513"/>
                <w:tab w:val="right" w:pos="9026"/>
              </w:tabs>
              <w:spacing w:after="0"/>
              <w:rPr>
                <w:rFonts w:ascii="Arial" w:hAnsi="Arial" w:cs="Arial"/>
                <w:b/>
                <w:bCs/>
                <w:noProof/>
              </w:rPr>
            </w:pPr>
            <w:r w:rsidRPr="00791A09">
              <w:rPr>
                <w:rFonts w:ascii="Arial" w:hAnsi="Arial" w:cs="Arial"/>
                <w:noProof/>
              </w:rPr>
              <w:t>Cities4Forests will regularly review activities and costs to ensure limited resources are spent on the most effective and high-priority interventions. When engaging audiences, we will emphasize the findings of our economic analyses that show how and where N</w:t>
            </w:r>
            <w:r>
              <w:rPr>
                <w:rFonts w:ascii="Arial" w:hAnsi="Arial" w:cs="Arial"/>
                <w:noProof/>
              </w:rPr>
              <w:t>b</w:t>
            </w:r>
            <w:r w:rsidRPr="00791A09">
              <w:rPr>
                <w:rFonts w:ascii="Arial" w:hAnsi="Arial" w:cs="Arial"/>
                <w:noProof/>
              </w:rPr>
              <w:t>S can lower the cost of providing key services.</w:t>
            </w:r>
          </w:p>
        </w:tc>
      </w:tr>
      <w:tr w:rsidR="000B1D0E" w:rsidRPr="00791A09" w14:paraId="36BEA5F4" w14:textId="77777777" w:rsidTr="00C612F6">
        <w:tc>
          <w:tcPr>
            <w:tcW w:w="3448" w:type="dxa"/>
          </w:tcPr>
          <w:p w14:paraId="13F423F7" w14:textId="77777777" w:rsidR="000B1D0E" w:rsidRPr="00791A09" w:rsidRDefault="000B1D0E" w:rsidP="001106E0">
            <w:pPr>
              <w:tabs>
                <w:tab w:val="center" w:pos="4513"/>
                <w:tab w:val="right" w:pos="9026"/>
              </w:tabs>
              <w:spacing w:after="0"/>
              <w:rPr>
                <w:rFonts w:ascii="Arial" w:hAnsi="Arial" w:cs="Arial"/>
                <w:noProof/>
              </w:rPr>
            </w:pPr>
            <w:r w:rsidRPr="00791A09">
              <w:rPr>
                <w:rFonts w:ascii="Arial" w:hAnsi="Arial" w:cs="Arial"/>
                <w:noProof/>
              </w:rPr>
              <w:t>Delays to implementing programme activities caused by COVID-19</w:t>
            </w:r>
            <w:r>
              <w:rPr>
                <w:rFonts w:ascii="Arial" w:hAnsi="Arial" w:cs="Arial"/>
                <w:noProof/>
              </w:rPr>
              <w:t xml:space="preserve"> </w:t>
            </w:r>
            <w:r w:rsidRPr="00791A09">
              <w:rPr>
                <w:rFonts w:ascii="Arial" w:hAnsi="Arial" w:cs="Arial"/>
                <w:noProof/>
              </w:rPr>
              <w:t>could result in</w:t>
            </w:r>
          </w:p>
          <w:p w14:paraId="18148510" w14:textId="77777777" w:rsidR="000B1D0E" w:rsidRPr="00791A09" w:rsidRDefault="000B1D0E" w:rsidP="001106E0">
            <w:pPr>
              <w:tabs>
                <w:tab w:val="center" w:pos="4513"/>
                <w:tab w:val="right" w:pos="9026"/>
              </w:tabs>
              <w:spacing w:after="0"/>
              <w:rPr>
                <w:rFonts w:ascii="Arial" w:hAnsi="Arial" w:cs="Arial"/>
                <w:noProof/>
              </w:rPr>
            </w:pPr>
            <w:r w:rsidRPr="00791A09">
              <w:rPr>
                <w:rFonts w:ascii="Arial" w:hAnsi="Arial" w:cs="Arial"/>
                <w:noProof/>
              </w:rPr>
              <w:t>underspends and a failure/delay to meet log frame targets and</w:t>
            </w:r>
          </w:p>
          <w:p w14:paraId="6641717B" w14:textId="77777777" w:rsidR="000B1D0E" w:rsidRPr="00791A09" w:rsidRDefault="000B1D0E" w:rsidP="001106E0">
            <w:pPr>
              <w:tabs>
                <w:tab w:val="center" w:pos="4513"/>
                <w:tab w:val="right" w:pos="9026"/>
              </w:tabs>
              <w:spacing w:after="0"/>
              <w:rPr>
                <w:rFonts w:ascii="Arial" w:hAnsi="Arial" w:cs="Arial"/>
                <w:noProof/>
              </w:rPr>
            </w:pPr>
            <w:r w:rsidRPr="00791A09">
              <w:rPr>
                <w:rFonts w:ascii="Arial" w:hAnsi="Arial" w:cs="Arial"/>
                <w:noProof/>
              </w:rPr>
              <w:t>results over the lifetime of the</w:t>
            </w:r>
          </w:p>
          <w:p w14:paraId="77AB5E23" w14:textId="77777777" w:rsidR="000B1D0E" w:rsidRPr="00791A09" w:rsidRDefault="000B1D0E" w:rsidP="001106E0">
            <w:pPr>
              <w:tabs>
                <w:tab w:val="center" w:pos="4513"/>
                <w:tab w:val="right" w:pos="9026"/>
              </w:tabs>
              <w:spacing w:after="0"/>
              <w:rPr>
                <w:rFonts w:ascii="Arial" w:hAnsi="Arial" w:cs="Arial"/>
                <w:noProof/>
              </w:rPr>
            </w:pPr>
            <w:r w:rsidRPr="00791A09">
              <w:rPr>
                <w:rFonts w:ascii="Arial" w:hAnsi="Arial" w:cs="Arial"/>
                <w:noProof/>
              </w:rPr>
              <w:t>programme.</w:t>
            </w:r>
          </w:p>
        </w:tc>
        <w:tc>
          <w:tcPr>
            <w:tcW w:w="1250" w:type="dxa"/>
          </w:tcPr>
          <w:p w14:paraId="0447587C" w14:textId="77777777" w:rsidR="000B1D0E" w:rsidRPr="00791A09" w:rsidRDefault="000B1D0E" w:rsidP="001106E0">
            <w:pPr>
              <w:tabs>
                <w:tab w:val="center" w:pos="4513"/>
                <w:tab w:val="right" w:pos="9026"/>
              </w:tabs>
              <w:spacing w:after="0"/>
              <w:rPr>
                <w:rFonts w:ascii="Arial" w:hAnsi="Arial" w:cs="Arial"/>
                <w:noProof/>
              </w:rPr>
            </w:pPr>
            <w:r w:rsidRPr="00791A09">
              <w:rPr>
                <w:rFonts w:ascii="Arial" w:hAnsi="Arial" w:cs="Arial"/>
                <w:noProof/>
              </w:rPr>
              <w:t>Possible</w:t>
            </w:r>
          </w:p>
        </w:tc>
        <w:tc>
          <w:tcPr>
            <w:tcW w:w="1439" w:type="dxa"/>
          </w:tcPr>
          <w:p w14:paraId="401A3296" w14:textId="77777777" w:rsidR="000B1D0E" w:rsidRPr="00791A09" w:rsidRDefault="000B1D0E" w:rsidP="001106E0">
            <w:pPr>
              <w:tabs>
                <w:tab w:val="center" w:pos="4513"/>
                <w:tab w:val="right" w:pos="9026"/>
              </w:tabs>
              <w:spacing w:after="0"/>
              <w:rPr>
                <w:rFonts w:ascii="Arial" w:hAnsi="Arial" w:cs="Arial"/>
                <w:noProof/>
              </w:rPr>
            </w:pPr>
            <w:r w:rsidRPr="00791A09">
              <w:rPr>
                <w:rFonts w:ascii="Arial" w:hAnsi="Arial" w:cs="Arial"/>
                <w:noProof/>
              </w:rPr>
              <w:t>Minor</w:t>
            </w:r>
          </w:p>
        </w:tc>
        <w:tc>
          <w:tcPr>
            <w:tcW w:w="1379" w:type="dxa"/>
            <w:shd w:val="clear" w:color="auto" w:fill="FFFF00"/>
          </w:tcPr>
          <w:p w14:paraId="48137E68" w14:textId="77777777" w:rsidR="000B1D0E" w:rsidRPr="00791A09" w:rsidRDefault="000B1D0E" w:rsidP="001106E0">
            <w:pPr>
              <w:tabs>
                <w:tab w:val="center" w:pos="4513"/>
                <w:tab w:val="right" w:pos="9026"/>
              </w:tabs>
              <w:spacing w:after="0"/>
              <w:rPr>
                <w:rFonts w:ascii="Arial" w:hAnsi="Arial" w:cs="Arial"/>
                <w:b/>
                <w:bCs/>
                <w:noProof/>
              </w:rPr>
            </w:pPr>
          </w:p>
        </w:tc>
        <w:tc>
          <w:tcPr>
            <w:tcW w:w="3327" w:type="dxa"/>
          </w:tcPr>
          <w:p w14:paraId="2EE5346C" w14:textId="77777777" w:rsidR="000B1D0E" w:rsidRPr="00791A09" w:rsidRDefault="000B1D0E" w:rsidP="001106E0">
            <w:pPr>
              <w:tabs>
                <w:tab w:val="center" w:pos="4513"/>
                <w:tab w:val="right" w:pos="9026"/>
              </w:tabs>
              <w:spacing w:after="0"/>
              <w:rPr>
                <w:rFonts w:ascii="Arial" w:hAnsi="Arial" w:cs="Arial"/>
                <w:noProof/>
              </w:rPr>
            </w:pPr>
            <w:r w:rsidRPr="00791A09">
              <w:rPr>
                <w:rFonts w:ascii="Arial" w:hAnsi="Arial" w:cs="Arial"/>
                <w:noProof/>
                <w:color w:val="2B579A"/>
                <w:shd w:val="clear" w:color="auto" w:fill="E6E6E6"/>
              </w:rPr>
              <mc:AlternateContent>
                <mc:Choice Requires="wps">
                  <w:drawing>
                    <wp:anchor distT="0" distB="0" distL="114300" distR="114300" simplePos="0" relativeHeight="251658241" behindDoc="0" locked="0" layoutInCell="1" allowOverlap="1" wp14:anchorId="4BA4242A" wp14:editId="730C4768">
                      <wp:simplePos x="0" y="0"/>
                      <wp:positionH relativeFrom="column">
                        <wp:posOffset>703607</wp:posOffset>
                      </wp:positionH>
                      <wp:positionV relativeFrom="paragraph">
                        <wp:posOffset>70982</wp:posOffset>
                      </wp:positionV>
                      <wp:extent cx="323557" cy="604911"/>
                      <wp:effectExtent l="19050" t="0" r="19685" b="43180"/>
                      <wp:wrapNone/>
                      <wp:docPr id="139" name="Arrow: Down 139"/>
                      <wp:cNvGraphicFramePr/>
                      <a:graphic xmlns:a="http://schemas.openxmlformats.org/drawingml/2006/main">
                        <a:graphicData uri="http://schemas.microsoft.com/office/word/2010/wordprocessingShape">
                          <wps:wsp>
                            <wps:cNvSpPr/>
                            <wps:spPr>
                              <a:xfrm>
                                <a:off x="0" y="0"/>
                                <a:ext cx="323557" cy="604911"/>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55C8F29"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139" o:spid="_x0000_s1026" type="#_x0000_t67" style="position:absolute;margin-left:55.4pt;margin-top:5.6pt;width:25.5pt;height:47.65pt;z-index:25165824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" adj="15823" fillcolor="#4472c4" strokecolor="#2f528f" strokeweight="1pt"/>
                  </w:pict>
                </mc:Fallback>
              </mc:AlternateContent>
            </w:r>
          </w:p>
          <w:p w14:paraId="2A18E881" w14:textId="77777777" w:rsidR="000B1D0E" w:rsidRPr="00791A09" w:rsidRDefault="000B1D0E" w:rsidP="001106E0">
            <w:pPr>
              <w:tabs>
                <w:tab w:val="center" w:pos="4513"/>
                <w:tab w:val="right" w:pos="9026"/>
              </w:tabs>
              <w:spacing w:after="0"/>
              <w:rPr>
                <w:rFonts w:ascii="Arial" w:hAnsi="Arial" w:cs="Arial"/>
                <w:noProof/>
              </w:rPr>
            </w:pPr>
          </w:p>
          <w:p w14:paraId="189C6B77" w14:textId="77777777" w:rsidR="000B1D0E" w:rsidRPr="00791A09" w:rsidRDefault="000B1D0E" w:rsidP="001106E0">
            <w:pPr>
              <w:tabs>
                <w:tab w:val="center" w:pos="4513"/>
                <w:tab w:val="right" w:pos="9026"/>
              </w:tabs>
              <w:spacing w:after="0"/>
              <w:rPr>
                <w:rFonts w:ascii="Arial" w:hAnsi="Arial" w:cs="Arial"/>
                <w:noProof/>
              </w:rPr>
            </w:pPr>
            <w:r w:rsidRPr="00791A09">
              <w:rPr>
                <w:rFonts w:ascii="Arial" w:hAnsi="Arial" w:cs="Arial"/>
                <w:noProof/>
              </w:rPr>
              <w:t xml:space="preserve">                     </w:t>
            </w:r>
          </w:p>
          <w:p w14:paraId="43D37C76" w14:textId="77777777" w:rsidR="000B1D0E" w:rsidRPr="00791A09" w:rsidRDefault="000B1D0E" w:rsidP="001106E0">
            <w:pPr>
              <w:tabs>
                <w:tab w:val="center" w:pos="4513"/>
                <w:tab w:val="right" w:pos="9026"/>
              </w:tabs>
              <w:spacing w:after="0"/>
              <w:rPr>
                <w:rFonts w:ascii="Arial" w:hAnsi="Arial" w:cs="Arial"/>
                <w:noProof/>
              </w:rPr>
            </w:pPr>
          </w:p>
          <w:p w14:paraId="235A989B" w14:textId="77777777" w:rsidR="000B1D0E" w:rsidRPr="00791A09" w:rsidRDefault="000B1D0E" w:rsidP="001106E0">
            <w:pPr>
              <w:tabs>
                <w:tab w:val="center" w:pos="4513"/>
                <w:tab w:val="right" w:pos="9026"/>
              </w:tabs>
              <w:spacing w:after="0"/>
              <w:rPr>
                <w:rFonts w:ascii="Arial" w:hAnsi="Arial" w:cs="Arial"/>
                <w:noProof/>
              </w:rPr>
            </w:pPr>
          </w:p>
          <w:p w14:paraId="659D2EB3" w14:textId="77777777" w:rsidR="000B1D0E" w:rsidRPr="00791A09" w:rsidRDefault="000B1D0E" w:rsidP="001106E0">
            <w:pPr>
              <w:tabs>
                <w:tab w:val="center" w:pos="4513"/>
                <w:tab w:val="right" w:pos="9026"/>
              </w:tabs>
              <w:spacing w:after="0"/>
              <w:rPr>
                <w:rFonts w:ascii="Arial" w:hAnsi="Arial" w:cs="Arial"/>
                <w:noProof/>
              </w:rPr>
            </w:pPr>
            <w:r w:rsidRPr="00791A09">
              <w:rPr>
                <w:rFonts w:ascii="Arial" w:hAnsi="Arial" w:cs="Arial"/>
                <w:noProof/>
              </w:rPr>
              <w:t>Downgraded from medium risk to low risk as COVID rates decrease</w:t>
            </w:r>
          </w:p>
          <w:p w14:paraId="5A15724D" w14:textId="77777777" w:rsidR="000B1D0E" w:rsidRPr="00791A09" w:rsidRDefault="000B1D0E" w:rsidP="001106E0">
            <w:pPr>
              <w:tabs>
                <w:tab w:val="center" w:pos="4513"/>
                <w:tab w:val="right" w:pos="9026"/>
              </w:tabs>
              <w:spacing w:after="0"/>
              <w:rPr>
                <w:rFonts w:ascii="Arial" w:hAnsi="Arial" w:cs="Arial"/>
                <w:noProof/>
              </w:rPr>
            </w:pPr>
          </w:p>
        </w:tc>
        <w:tc>
          <w:tcPr>
            <w:tcW w:w="4567" w:type="dxa"/>
          </w:tcPr>
          <w:p w14:paraId="03CED5AF" w14:textId="77777777" w:rsidR="000B1D0E" w:rsidRPr="00791A09" w:rsidRDefault="000B1D0E" w:rsidP="001106E0">
            <w:pPr>
              <w:tabs>
                <w:tab w:val="center" w:pos="4513"/>
                <w:tab w:val="right" w:pos="9026"/>
              </w:tabs>
              <w:spacing w:after="0"/>
              <w:rPr>
                <w:rFonts w:ascii="Arial" w:hAnsi="Arial" w:cs="Arial"/>
                <w:noProof/>
              </w:rPr>
            </w:pPr>
            <w:r w:rsidRPr="00791A09">
              <w:rPr>
                <w:rFonts w:ascii="Arial" w:hAnsi="Arial" w:cs="Arial"/>
                <w:noProof/>
              </w:rPr>
              <w:t>Cities4Forests has developed effective protocols for engaging cities and other</w:t>
            </w:r>
          </w:p>
          <w:p w14:paraId="30E848A8" w14:textId="77777777" w:rsidR="000B1D0E" w:rsidRPr="00791A09" w:rsidRDefault="000B1D0E" w:rsidP="001106E0">
            <w:pPr>
              <w:tabs>
                <w:tab w:val="center" w:pos="4513"/>
                <w:tab w:val="right" w:pos="9026"/>
              </w:tabs>
              <w:spacing w:after="0"/>
              <w:rPr>
                <w:rFonts w:ascii="Arial" w:hAnsi="Arial" w:cs="Arial"/>
                <w:noProof/>
              </w:rPr>
            </w:pPr>
            <w:r w:rsidRPr="00791A09">
              <w:rPr>
                <w:rFonts w:ascii="Arial" w:hAnsi="Arial" w:cs="Arial"/>
                <w:noProof/>
              </w:rPr>
              <w:t>partners virtually. We have also worked with our partners to demonstrate how N</w:t>
            </w:r>
            <w:r>
              <w:rPr>
                <w:rFonts w:ascii="Arial" w:hAnsi="Arial" w:cs="Arial"/>
                <w:noProof/>
              </w:rPr>
              <w:t>b</w:t>
            </w:r>
            <w:r w:rsidRPr="00791A09">
              <w:rPr>
                <w:rFonts w:ascii="Arial" w:hAnsi="Arial" w:cs="Arial"/>
                <w:noProof/>
              </w:rPr>
              <w:t>S can</w:t>
            </w:r>
          </w:p>
          <w:p w14:paraId="5A3823B4" w14:textId="77777777" w:rsidR="000B1D0E" w:rsidRPr="00791A09" w:rsidRDefault="000B1D0E" w:rsidP="001106E0">
            <w:pPr>
              <w:tabs>
                <w:tab w:val="center" w:pos="4513"/>
                <w:tab w:val="right" w:pos="9026"/>
              </w:tabs>
              <w:spacing w:after="0"/>
              <w:rPr>
                <w:rFonts w:ascii="Arial" w:hAnsi="Arial" w:cs="Arial"/>
                <w:noProof/>
              </w:rPr>
            </w:pPr>
            <w:r w:rsidRPr="00791A09">
              <w:rPr>
                <w:rFonts w:ascii="Arial" w:hAnsi="Arial" w:cs="Arial"/>
                <w:noProof/>
              </w:rPr>
              <w:t>serve as an important component of pandemic recovery investments.</w:t>
            </w:r>
          </w:p>
        </w:tc>
      </w:tr>
      <w:tr w:rsidR="000B1D0E" w:rsidRPr="00791A09" w14:paraId="13E4D90C" w14:textId="77777777" w:rsidTr="001106E0">
        <w:tc>
          <w:tcPr>
            <w:tcW w:w="3448" w:type="dxa"/>
          </w:tcPr>
          <w:p w14:paraId="4AF15B41" w14:textId="77777777" w:rsidR="000B1D0E" w:rsidRPr="00791A09" w:rsidRDefault="000B1D0E" w:rsidP="001106E0">
            <w:pPr>
              <w:tabs>
                <w:tab w:val="center" w:pos="4513"/>
                <w:tab w:val="right" w:pos="9026"/>
              </w:tabs>
              <w:spacing w:after="0"/>
              <w:rPr>
                <w:rFonts w:ascii="Arial" w:hAnsi="Arial" w:cs="Arial"/>
                <w:noProof/>
              </w:rPr>
            </w:pPr>
            <w:r w:rsidRPr="00791A09">
              <w:rPr>
                <w:rFonts w:ascii="Arial" w:hAnsi="Arial" w:cs="Arial"/>
                <w:noProof/>
              </w:rPr>
              <w:t>City leadership may change over time and thereby political</w:t>
            </w:r>
          </w:p>
          <w:p w14:paraId="2846AFBF" w14:textId="77777777" w:rsidR="000B1D0E" w:rsidRPr="00791A09" w:rsidRDefault="000B1D0E" w:rsidP="001106E0">
            <w:pPr>
              <w:tabs>
                <w:tab w:val="center" w:pos="4513"/>
                <w:tab w:val="right" w:pos="9026"/>
              </w:tabs>
              <w:spacing w:after="0"/>
              <w:rPr>
                <w:rFonts w:ascii="Arial" w:hAnsi="Arial" w:cs="Arial"/>
                <w:noProof/>
              </w:rPr>
            </w:pPr>
            <w:r w:rsidRPr="00791A09">
              <w:rPr>
                <w:rFonts w:ascii="Arial" w:hAnsi="Arial" w:cs="Arial"/>
                <w:noProof/>
              </w:rPr>
              <w:t>support for the project declines. This would result in a</w:t>
            </w:r>
          </w:p>
          <w:p w14:paraId="3AD0F1C7" w14:textId="77777777" w:rsidR="000B1D0E" w:rsidRPr="00791A09" w:rsidRDefault="000B1D0E" w:rsidP="001106E0">
            <w:pPr>
              <w:tabs>
                <w:tab w:val="center" w:pos="4513"/>
                <w:tab w:val="right" w:pos="9026"/>
              </w:tabs>
              <w:spacing w:after="0"/>
              <w:rPr>
                <w:rFonts w:ascii="Arial" w:hAnsi="Arial" w:cs="Arial"/>
                <w:noProof/>
              </w:rPr>
            </w:pPr>
            <w:r w:rsidRPr="00791A09">
              <w:rPr>
                <w:rFonts w:ascii="Arial" w:hAnsi="Arial" w:cs="Arial"/>
                <w:noProof/>
              </w:rPr>
              <w:t>failure to meet Defra’s long-term</w:t>
            </w:r>
          </w:p>
          <w:p w14:paraId="7CD82C64" w14:textId="77777777" w:rsidR="000B1D0E" w:rsidRPr="00791A09" w:rsidRDefault="000B1D0E" w:rsidP="001106E0">
            <w:pPr>
              <w:tabs>
                <w:tab w:val="center" w:pos="4513"/>
                <w:tab w:val="right" w:pos="9026"/>
              </w:tabs>
              <w:spacing w:after="0"/>
              <w:rPr>
                <w:rFonts w:ascii="Arial" w:hAnsi="Arial" w:cs="Arial"/>
                <w:noProof/>
              </w:rPr>
            </w:pPr>
            <w:r w:rsidRPr="00791A09">
              <w:rPr>
                <w:rFonts w:ascii="Arial" w:hAnsi="Arial" w:cs="Arial"/>
                <w:noProof/>
              </w:rPr>
              <w:t>objectives and results for forests.</w:t>
            </w:r>
          </w:p>
        </w:tc>
        <w:tc>
          <w:tcPr>
            <w:tcW w:w="1250" w:type="dxa"/>
          </w:tcPr>
          <w:p w14:paraId="0C2BF503" w14:textId="77777777" w:rsidR="000B1D0E" w:rsidRPr="00791A09" w:rsidRDefault="000B1D0E" w:rsidP="001106E0">
            <w:pPr>
              <w:tabs>
                <w:tab w:val="center" w:pos="4513"/>
                <w:tab w:val="right" w:pos="9026"/>
              </w:tabs>
              <w:spacing w:after="0"/>
              <w:rPr>
                <w:rFonts w:ascii="Arial" w:hAnsi="Arial" w:cs="Arial"/>
                <w:noProof/>
              </w:rPr>
            </w:pPr>
            <w:r w:rsidRPr="00791A09">
              <w:rPr>
                <w:rFonts w:ascii="Arial" w:hAnsi="Arial" w:cs="Arial"/>
                <w:noProof/>
              </w:rPr>
              <w:t>Likely</w:t>
            </w:r>
          </w:p>
        </w:tc>
        <w:tc>
          <w:tcPr>
            <w:tcW w:w="1439" w:type="dxa"/>
          </w:tcPr>
          <w:p w14:paraId="0D633129" w14:textId="77777777" w:rsidR="000B1D0E" w:rsidRPr="00791A09" w:rsidRDefault="000B1D0E" w:rsidP="001106E0">
            <w:pPr>
              <w:tabs>
                <w:tab w:val="center" w:pos="4513"/>
                <w:tab w:val="right" w:pos="9026"/>
              </w:tabs>
              <w:spacing w:after="0"/>
              <w:rPr>
                <w:rFonts w:ascii="Arial" w:hAnsi="Arial" w:cs="Arial"/>
                <w:noProof/>
              </w:rPr>
            </w:pPr>
            <w:r w:rsidRPr="00791A09">
              <w:rPr>
                <w:rFonts w:ascii="Arial" w:hAnsi="Arial" w:cs="Arial"/>
                <w:noProof/>
              </w:rPr>
              <w:t>Minor</w:t>
            </w:r>
          </w:p>
        </w:tc>
        <w:tc>
          <w:tcPr>
            <w:tcW w:w="1379" w:type="dxa"/>
            <w:shd w:val="clear" w:color="auto" w:fill="FFC000"/>
          </w:tcPr>
          <w:p w14:paraId="3161A6CC" w14:textId="77777777" w:rsidR="000B1D0E" w:rsidRPr="00791A09" w:rsidRDefault="000B1D0E" w:rsidP="001106E0">
            <w:pPr>
              <w:tabs>
                <w:tab w:val="center" w:pos="4513"/>
                <w:tab w:val="right" w:pos="9026"/>
              </w:tabs>
              <w:spacing w:after="0"/>
              <w:rPr>
                <w:rFonts w:ascii="Arial" w:hAnsi="Arial" w:cs="Arial"/>
                <w:b/>
                <w:bCs/>
                <w:noProof/>
              </w:rPr>
            </w:pPr>
          </w:p>
        </w:tc>
        <w:tc>
          <w:tcPr>
            <w:tcW w:w="3327" w:type="dxa"/>
          </w:tcPr>
          <w:p w14:paraId="0A489CBB" w14:textId="77777777" w:rsidR="000B1D0E" w:rsidRPr="00791A09" w:rsidRDefault="000B1D0E" w:rsidP="001106E0">
            <w:pPr>
              <w:tabs>
                <w:tab w:val="center" w:pos="4513"/>
                <w:tab w:val="right" w:pos="9026"/>
              </w:tabs>
              <w:spacing w:after="0"/>
              <w:jc w:val="center"/>
              <w:rPr>
                <w:rFonts w:ascii="Arial" w:hAnsi="Arial" w:cs="Arial"/>
                <w:noProof/>
              </w:rPr>
            </w:pPr>
            <w:r w:rsidRPr="00791A09">
              <w:rPr>
                <w:rFonts w:ascii="Arial" w:hAnsi="Arial" w:cs="Arial"/>
                <w:noProof/>
                <w:color w:val="2B579A"/>
                <w:shd w:val="clear" w:color="auto" w:fill="E6E6E6"/>
              </w:rPr>
              <mc:AlternateContent>
                <mc:Choice Requires="wps">
                  <w:drawing>
                    <wp:anchor distT="0" distB="0" distL="114300" distR="114300" simplePos="0" relativeHeight="251658242" behindDoc="0" locked="0" layoutInCell="1" allowOverlap="1" wp14:anchorId="391C4D0E" wp14:editId="0DC4D7B3">
                      <wp:simplePos x="0" y="0"/>
                      <wp:positionH relativeFrom="column">
                        <wp:posOffset>659912</wp:posOffset>
                      </wp:positionH>
                      <wp:positionV relativeFrom="paragraph">
                        <wp:posOffset>129296</wp:posOffset>
                      </wp:positionV>
                      <wp:extent cx="323557" cy="604911"/>
                      <wp:effectExtent l="19050" t="0" r="19685" b="43180"/>
                      <wp:wrapNone/>
                      <wp:docPr id="140" name="Arrow: Down 140"/>
                      <wp:cNvGraphicFramePr/>
                      <a:graphic xmlns:a="http://schemas.openxmlformats.org/drawingml/2006/main">
                        <a:graphicData uri="http://schemas.microsoft.com/office/word/2010/wordprocessingShape">
                          <wps:wsp>
                            <wps:cNvSpPr/>
                            <wps:spPr>
                              <a:xfrm>
                                <a:off x="0" y="0"/>
                                <a:ext cx="323557" cy="604911"/>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06A795D" id="Arrow: Down 140" o:spid="_x0000_s1026" type="#_x0000_t67" style="position:absolute;margin-left:51.95pt;margin-top:10.2pt;width:25.5pt;height:47.65pt;z-index:25165824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" adj="15823" fillcolor="#4472c4" strokecolor="#2f528f" strokeweight="1pt"/>
                  </w:pict>
                </mc:Fallback>
              </mc:AlternateContent>
            </w:r>
          </w:p>
          <w:p w14:paraId="1EB16363" w14:textId="77777777" w:rsidR="000B1D0E" w:rsidRPr="00791A09" w:rsidRDefault="000B1D0E" w:rsidP="001106E0">
            <w:pPr>
              <w:tabs>
                <w:tab w:val="center" w:pos="4513"/>
                <w:tab w:val="right" w:pos="9026"/>
              </w:tabs>
              <w:spacing w:after="0"/>
              <w:rPr>
                <w:rFonts w:ascii="Arial" w:hAnsi="Arial" w:cs="Arial"/>
                <w:noProof/>
              </w:rPr>
            </w:pPr>
            <w:r w:rsidRPr="00791A09">
              <w:rPr>
                <w:rFonts w:ascii="Arial" w:hAnsi="Arial" w:cs="Arial"/>
                <w:noProof/>
              </w:rPr>
              <w:t xml:space="preserve">                     </w:t>
            </w:r>
          </w:p>
          <w:p w14:paraId="163EA250" w14:textId="77777777" w:rsidR="000B1D0E" w:rsidRPr="00791A09" w:rsidRDefault="000B1D0E" w:rsidP="001106E0">
            <w:pPr>
              <w:tabs>
                <w:tab w:val="center" w:pos="4513"/>
                <w:tab w:val="right" w:pos="9026"/>
              </w:tabs>
              <w:spacing w:after="0"/>
              <w:rPr>
                <w:rFonts w:ascii="Arial" w:hAnsi="Arial" w:cs="Arial"/>
                <w:noProof/>
              </w:rPr>
            </w:pPr>
          </w:p>
          <w:p w14:paraId="7BE58644" w14:textId="77777777" w:rsidR="000B1D0E" w:rsidRPr="00791A09" w:rsidRDefault="000B1D0E" w:rsidP="001106E0">
            <w:pPr>
              <w:tabs>
                <w:tab w:val="center" w:pos="4513"/>
                <w:tab w:val="right" w:pos="9026"/>
              </w:tabs>
              <w:spacing w:after="0"/>
              <w:rPr>
                <w:rFonts w:ascii="Arial" w:hAnsi="Arial" w:cs="Arial"/>
                <w:noProof/>
              </w:rPr>
            </w:pPr>
          </w:p>
          <w:p w14:paraId="2F5CC92D" w14:textId="77777777" w:rsidR="000B1D0E" w:rsidRPr="00791A09" w:rsidRDefault="000B1D0E" w:rsidP="001106E0">
            <w:pPr>
              <w:tabs>
                <w:tab w:val="center" w:pos="4513"/>
                <w:tab w:val="right" w:pos="9026"/>
              </w:tabs>
              <w:spacing w:after="0"/>
              <w:rPr>
                <w:rFonts w:ascii="Arial" w:hAnsi="Arial" w:cs="Arial"/>
                <w:noProof/>
              </w:rPr>
            </w:pPr>
          </w:p>
          <w:p w14:paraId="159EA189" w14:textId="77777777" w:rsidR="000B1D0E" w:rsidRPr="00791A09" w:rsidRDefault="000B1D0E" w:rsidP="001106E0">
            <w:pPr>
              <w:tabs>
                <w:tab w:val="center" w:pos="4513"/>
                <w:tab w:val="right" w:pos="9026"/>
              </w:tabs>
              <w:spacing w:after="0"/>
              <w:rPr>
                <w:rFonts w:ascii="Arial" w:hAnsi="Arial" w:cs="Arial"/>
                <w:noProof/>
              </w:rPr>
            </w:pPr>
            <w:r w:rsidRPr="00791A09">
              <w:rPr>
                <w:rFonts w:ascii="Arial" w:hAnsi="Arial" w:cs="Arial"/>
                <w:noProof/>
              </w:rPr>
              <w:t>Downgraded from medium risk to low risk as Cities4Forests</w:t>
            </w:r>
          </w:p>
          <w:p w14:paraId="01A7C49D" w14:textId="77777777" w:rsidR="000B1D0E" w:rsidRPr="00791A09" w:rsidRDefault="000B1D0E" w:rsidP="001106E0">
            <w:pPr>
              <w:tabs>
                <w:tab w:val="center" w:pos="4513"/>
                <w:tab w:val="right" w:pos="9026"/>
              </w:tabs>
              <w:spacing w:after="0"/>
              <w:rPr>
                <w:rFonts w:ascii="Arial" w:hAnsi="Arial" w:cs="Arial"/>
                <w:noProof/>
              </w:rPr>
            </w:pPr>
            <w:r w:rsidRPr="00791A09">
              <w:rPr>
                <w:rFonts w:ascii="Arial" w:hAnsi="Arial" w:cs="Arial"/>
                <w:noProof/>
              </w:rPr>
              <w:t>has improved our ability to</w:t>
            </w:r>
          </w:p>
          <w:p w14:paraId="1C2E6539" w14:textId="77777777" w:rsidR="000B1D0E" w:rsidRPr="00791A09" w:rsidRDefault="000B1D0E" w:rsidP="001106E0">
            <w:pPr>
              <w:tabs>
                <w:tab w:val="center" w:pos="4513"/>
                <w:tab w:val="right" w:pos="9026"/>
              </w:tabs>
              <w:spacing w:after="0"/>
              <w:rPr>
                <w:rFonts w:ascii="Arial" w:hAnsi="Arial" w:cs="Arial"/>
                <w:noProof/>
              </w:rPr>
            </w:pPr>
            <w:r w:rsidRPr="00791A09">
              <w:rPr>
                <w:rFonts w:ascii="Arial" w:hAnsi="Arial" w:cs="Arial"/>
                <w:noProof/>
              </w:rPr>
              <w:t>navigate political turnover</w:t>
            </w:r>
          </w:p>
          <w:p w14:paraId="3AEDF94D" w14:textId="77777777" w:rsidR="000B1D0E" w:rsidRPr="00791A09" w:rsidRDefault="000B1D0E" w:rsidP="001106E0">
            <w:pPr>
              <w:tabs>
                <w:tab w:val="center" w:pos="4513"/>
                <w:tab w:val="right" w:pos="9026"/>
              </w:tabs>
              <w:spacing w:after="0"/>
              <w:rPr>
                <w:rFonts w:ascii="Arial" w:hAnsi="Arial" w:cs="Arial"/>
                <w:noProof/>
                <w:color w:val="2B579A"/>
                <w:shd w:val="clear" w:color="auto" w:fill="E6E6E6"/>
              </w:rPr>
            </w:pPr>
          </w:p>
        </w:tc>
        <w:tc>
          <w:tcPr>
            <w:tcW w:w="4567" w:type="dxa"/>
          </w:tcPr>
          <w:p w14:paraId="5681C9CA" w14:textId="77777777" w:rsidR="000B1D0E" w:rsidRPr="00791A09" w:rsidRDefault="000B1D0E" w:rsidP="001106E0">
            <w:pPr>
              <w:tabs>
                <w:tab w:val="center" w:pos="4513"/>
                <w:tab w:val="right" w:pos="9026"/>
              </w:tabs>
              <w:autoSpaceDE w:val="0"/>
              <w:autoSpaceDN w:val="0"/>
              <w:adjustRightInd w:val="0"/>
              <w:spacing w:after="0"/>
              <w:rPr>
                <w:rFonts w:ascii="Arial" w:hAnsi="Arial" w:cs="Arial"/>
                <w:color w:val="000000"/>
              </w:rPr>
            </w:pPr>
            <w:r w:rsidRPr="00791A09">
              <w:rPr>
                <w:rFonts w:ascii="Arial" w:hAnsi="Arial" w:cs="Arial"/>
                <w:color w:val="000000"/>
              </w:rPr>
              <w:t xml:space="preserve">Defra’s support spans across the whole network, hedging support across the network to mitigate risk. WRI also designed the Cities4Forests programme in such a way to reduce risk, ensuring relationships extend beyond the </w:t>
            </w:r>
            <w:r>
              <w:rPr>
                <w:rFonts w:ascii="Arial" w:hAnsi="Arial" w:cs="Arial"/>
                <w:color w:val="000000"/>
              </w:rPr>
              <w:t>m</w:t>
            </w:r>
            <w:r w:rsidRPr="00791A09">
              <w:rPr>
                <w:rFonts w:ascii="Arial" w:hAnsi="Arial" w:cs="Arial"/>
                <w:color w:val="000000"/>
              </w:rPr>
              <w:t xml:space="preserve">ayor’s office and Cities4Forests is not seen as aligned with a political party. </w:t>
            </w:r>
          </w:p>
          <w:p w14:paraId="4C271F34" w14:textId="77777777" w:rsidR="000B1D0E" w:rsidRPr="00791A09" w:rsidRDefault="000B1D0E" w:rsidP="001106E0">
            <w:pPr>
              <w:tabs>
                <w:tab w:val="center" w:pos="4513"/>
                <w:tab w:val="right" w:pos="9026"/>
              </w:tabs>
              <w:spacing w:after="0"/>
              <w:rPr>
                <w:rFonts w:ascii="Arial" w:hAnsi="Arial" w:cs="Arial"/>
                <w:noProof/>
              </w:rPr>
            </w:pPr>
          </w:p>
        </w:tc>
      </w:tr>
      <w:tr w:rsidR="000B1D0E" w:rsidRPr="00791A09" w14:paraId="1181028A" w14:textId="77777777" w:rsidTr="001106E0">
        <w:tc>
          <w:tcPr>
            <w:tcW w:w="3448" w:type="dxa"/>
          </w:tcPr>
          <w:p w14:paraId="4D675BF4" w14:textId="77777777" w:rsidR="000B1D0E" w:rsidRPr="00791A09" w:rsidRDefault="000B1D0E" w:rsidP="001106E0">
            <w:pPr>
              <w:tabs>
                <w:tab w:val="center" w:pos="4513"/>
                <w:tab w:val="right" w:pos="9026"/>
              </w:tabs>
              <w:autoSpaceDE w:val="0"/>
              <w:autoSpaceDN w:val="0"/>
              <w:adjustRightInd w:val="0"/>
              <w:spacing w:after="0"/>
              <w:rPr>
                <w:rFonts w:ascii="Arial" w:hAnsi="Arial" w:cs="Arial"/>
                <w:color w:val="000000"/>
              </w:rPr>
            </w:pPr>
            <w:r w:rsidRPr="00791A09">
              <w:rPr>
                <w:rFonts w:ascii="Arial" w:hAnsi="Arial" w:cs="Arial"/>
                <w:color w:val="000000"/>
              </w:rPr>
              <w:t xml:space="preserve">Political instability prevents the delivery of the programme, delays activities, or introduces inefficiencies. This would result in a failure/delay to meet log frame targets and results over the lifetime </w:t>
            </w:r>
            <w:r w:rsidRPr="00791A09">
              <w:rPr>
                <w:rFonts w:ascii="Arial" w:hAnsi="Arial" w:cs="Arial"/>
                <w:color w:val="000000"/>
              </w:rPr>
              <w:lastRenderedPageBreak/>
              <w:t xml:space="preserve">of the programme, and Defra’s long-term objectives. </w:t>
            </w:r>
          </w:p>
          <w:p w14:paraId="113F7B22" w14:textId="77777777" w:rsidR="000B1D0E" w:rsidRPr="00791A09" w:rsidRDefault="000B1D0E" w:rsidP="001106E0">
            <w:pPr>
              <w:tabs>
                <w:tab w:val="center" w:pos="4513"/>
                <w:tab w:val="right" w:pos="9026"/>
              </w:tabs>
              <w:spacing w:after="0"/>
              <w:rPr>
                <w:rFonts w:ascii="Arial" w:hAnsi="Arial" w:cs="Arial"/>
                <w:noProof/>
              </w:rPr>
            </w:pPr>
          </w:p>
          <w:p w14:paraId="4B637283" w14:textId="77777777" w:rsidR="000B1D0E" w:rsidRPr="00791A09" w:rsidRDefault="000B1D0E" w:rsidP="001106E0">
            <w:pPr>
              <w:tabs>
                <w:tab w:val="center" w:pos="4513"/>
                <w:tab w:val="right" w:pos="9026"/>
              </w:tabs>
              <w:spacing w:after="0"/>
              <w:rPr>
                <w:rFonts w:ascii="Arial" w:hAnsi="Arial" w:cs="Arial"/>
                <w:noProof/>
              </w:rPr>
            </w:pPr>
          </w:p>
        </w:tc>
        <w:tc>
          <w:tcPr>
            <w:tcW w:w="1250" w:type="dxa"/>
          </w:tcPr>
          <w:p w14:paraId="412CD70B" w14:textId="77777777" w:rsidR="000B1D0E" w:rsidRPr="00791A09" w:rsidRDefault="000B1D0E" w:rsidP="001106E0">
            <w:pPr>
              <w:tabs>
                <w:tab w:val="center" w:pos="4513"/>
                <w:tab w:val="right" w:pos="9026"/>
              </w:tabs>
              <w:spacing w:after="0"/>
              <w:rPr>
                <w:rFonts w:ascii="Arial" w:hAnsi="Arial" w:cs="Arial"/>
                <w:noProof/>
              </w:rPr>
            </w:pPr>
            <w:r w:rsidRPr="00791A09">
              <w:rPr>
                <w:rFonts w:ascii="Arial" w:hAnsi="Arial" w:cs="Arial"/>
                <w:noProof/>
              </w:rPr>
              <w:lastRenderedPageBreak/>
              <w:t>Possible</w:t>
            </w:r>
          </w:p>
        </w:tc>
        <w:tc>
          <w:tcPr>
            <w:tcW w:w="1439" w:type="dxa"/>
          </w:tcPr>
          <w:p w14:paraId="70429776" w14:textId="77777777" w:rsidR="000B1D0E" w:rsidRPr="00791A09" w:rsidRDefault="000B1D0E" w:rsidP="001106E0">
            <w:pPr>
              <w:tabs>
                <w:tab w:val="center" w:pos="4513"/>
                <w:tab w:val="right" w:pos="9026"/>
              </w:tabs>
              <w:spacing w:after="0"/>
              <w:rPr>
                <w:rFonts w:ascii="Arial" w:hAnsi="Arial" w:cs="Arial"/>
                <w:noProof/>
              </w:rPr>
            </w:pPr>
            <w:r w:rsidRPr="00791A09">
              <w:rPr>
                <w:rFonts w:ascii="Arial" w:hAnsi="Arial" w:cs="Arial"/>
                <w:noProof/>
              </w:rPr>
              <w:t>Moderate</w:t>
            </w:r>
          </w:p>
        </w:tc>
        <w:tc>
          <w:tcPr>
            <w:tcW w:w="1379" w:type="dxa"/>
            <w:shd w:val="clear" w:color="auto" w:fill="FFC000"/>
          </w:tcPr>
          <w:p w14:paraId="45B97B3C" w14:textId="77777777" w:rsidR="000B1D0E" w:rsidRPr="00791A09" w:rsidRDefault="000B1D0E" w:rsidP="001106E0">
            <w:pPr>
              <w:tabs>
                <w:tab w:val="center" w:pos="4513"/>
                <w:tab w:val="right" w:pos="9026"/>
              </w:tabs>
              <w:spacing w:after="0"/>
              <w:rPr>
                <w:rFonts w:ascii="Arial" w:hAnsi="Arial" w:cs="Arial"/>
                <w:b/>
                <w:bCs/>
                <w:noProof/>
              </w:rPr>
            </w:pPr>
          </w:p>
        </w:tc>
        <w:tc>
          <w:tcPr>
            <w:tcW w:w="3327" w:type="dxa"/>
          </w:tcPr>
          <w:p w14:paraId="77B97FE4" w14:textId="77777777" w:rsidR="000B1D0E" w:rsidRPr="00791A09" w:rsidRDefault="000B1D0E" w:rsidP="001106E0">
            <w:pPr>
              <w:tabs>
                <w:tab w:val="center" w:pos="4513"/>
                <w:tab w:val="right" w:pos="9026"/>
              </w:tabs>
              <w:spacing w:after="0"/>
              <w:jc w:val="center"/>
              <w:rPr>
                <w:rFonts w:ascii="Arial" w:hAnsi="Arial" w:cs="Arial"/>
                <w:noProof/>
                <w:color w:val="2B579A"/>
                <w:shd w:val="clear" w:color="auto" w:fill="E6E6E6"/>
              </w:rPr>
            </w:pPr>
            <w:r w:rsidRPr="00791A09">
              <w:rPr>
                <w:rFonts w:ascii="Arial" w:hAnsi="Arial" w:cs="Arial"/>
                <w:noProof/>
              </w:rPr>
              <w:t>No change</w:t>
            </w:r>
          </w:p>
        </w:tc>
        <w:tc>
          <w:tcPr>
            <w:tcW w:w="4567" w:type="dxa"/>
          </w:tcPr>
          <w:p w14:paraId="226C3887" w14:textId="77777777" w:rsidR="000B1D0E" w:rsidRPr="00791A09" w:rsidRDefault="000B1D0E" w:rsidP="001106E0">
            <w:pPr>
              <w:tabs>
                <w:tab w:val="center" w:pos="4513"/>
                <w:tab w:val="right" w:pos="9026"/>
              </w:tabs>
              <w:autoSpaceDE w:val="0"/>
              <w:autoSpaceDN w:val="0"/>
              <w:adjustRightInd w:val="0"/>
              <w:spacing w:after="0"/>
              <w:rPr>
                <w:rFonts w:ascii="Arial" w:hAnsi="Arial" w:cs="Arial"/>
                <w:color w:val="000000"/>
              </w:rPr>
            </w:pPr>
            <w:r w:rsidRPr="00791A09">
              <w:rPr>
                <w:rFonts w:ascii="Arial" w:hAnsi="Arial" w:cs="Arial"/>
                <w:color w:val="000000"/>
              </w:rPr>
              <w:t xml:space="preserve">We will work with WRI and HMG ambassadors and FCDO overseas posts to monitor risks. </w:t>
            </w:r>
            <w:proofErr w:type="gramStart"/>
            <w:r w:rsidRPr="00791A09">
              <w:rPr>
                <w:rFonts w:ascii="Arial" w:hAnsi="Arial" w:cs="Arial"/>
                <w:color w:val="000000"/>
              </w:rPr>
              <w:t>In particular we</w:t>
            </w:r>
            <w:proofErr w:type="gramEnd"/>
            <w:r w:rsidRPr="00791A09">
              <w:rPr>
                <w:rFonts w:ascii="Arial" w:hAnsi="Arial" w:cs="Arial"/>
                <w:color w:val="000000"/>
              </w:rPr>
              <w:t xml:space="preserve"> are monitoring political contexts in Brazil, Colombia, Ethiopia, and DRC. </w:t>
            </w:r>
          </w:p>
          <w:p w14:paraId="2CC15FB2" w14:textId="77777777" w:rsidR="000B1D0E" w:rsidRPr="00791A09" w:rsidRDefault="000B1D0E" w:rsidP="001106E0">
            <w:pPr>
              <w:tabs>
                <w:tab w:val="center" w:pos="4513"/>
                <w:tab w:val="right" w:pos="9026"/>
              </w:tabs>
              <w:autoSpaceDE w:val="0"/>
              <w:autoSpaceDN w:val="0"/>
              <w:adjustRightInd w:val="0"/>
              <w:spacing w:after="0"/>
              <w:rPr>
                <w:rFonts w:ascii="Arial" w:hAnsi="Arial" w:cs="Arial"/>
                <w:color w:val="000000"/>
              </w:rPr>
            </w:pPr>
          </w:p>
        </w:tc>
      </w:tr>
      <w:tr w:rsidR="000B1D0E" w:rsidRPr="00791A09" w14:paraId="64D3C853" w14:textId="77777777" w:rsidTr="001106E0">
        <w:tc>
          <w:tcPr>
            <w:tcW w:w="15410" w:type="dxa"/>
            <w:gridSpan w:val="6"/>
          </w:tcPr>
          <w:p w14:paraId="1D4B1791" w14:textId="77777777" w:rsidR="000B1D0E" w:rsidRPr="00791A09" w:rsidRDefault="000B1D0E" w:rsidP="001106E0">
            <w:pPr>
              <w:tabs>
                <w:tab w:val="center" w:pos="4513"/>
                <w:tab w:val="right" w:pos="9026"/>
              </w:tabs>
              <w:spacing w:after="0"/>
              <w:rPr>
                <w:rFonts w:ascii="Arial" w:hAnsi="Arial" w:cs="Arial"/>
                <w:b/>
                <w:bCs/>
                <w:noProof/>
              </w:rPr>
            </w:pPr>
            <w:r w:rsidRPr="00791A09">
              <w:rPr>
                <w:rFonts w:ascii="Arial" w:hAnsi="Arial" w:cs="Arial"/>
                <w:b/>
                <w:bCs/>
                <w:noProof/>
              </w:rPr>
              <w:t>Devliery risks</w:t>
            </w:r>
          </w:p>
        </w:tc>
      </w:tr>
      <w:tr w:rsidR="000B1D0E" w:rsidRPr="00791A09" w14:paraId="168298A8" w14:textId="77777777" w:rsidTr="001106E0">
        <w:tc>
          <w:tcPr>
            <w:tcW w:w="3448" w:type="dxa"/>
          </w:tcPr>
          <w:p w14:paraId="2BB91044" w14:textId="77777777" w:rsidR="000B1D0E" w:rsidRPr="00791A09" w:rsidRDefault="000B1D0E" w:rsidP="001106E0">
            <w:pPr>
              <w:tabs>
                <w:tab w:val="center" w:pos="4513"/>
                <w:tab w:val="right" w:pos="9026"/>
              </w:tabs>
              <w:spacing w:after="0"/>
              <w:rPr>
                <w:rFonts w:ascii="Arial" w:hAnsi="Arial" w:cs="Arial"/>
                <w:b/>
                <w:bCs/>
                <w:noProof/>
              </w:rPr>
            </w:pPr>
            <w:r w:rsidRPr="00791A09">
              <w:rPr>
                <w:rFonts w:ascii="Arial" w:hAnsi="Arial" w:cs="Arial"/>
                <w:noProof/>
              </w:rPr>
              <w:t>High demand for technical assistance from Cities4Forests’ members could exceed our  ability to supply support. Among both member and non-member cities we are seeing high demand for support from Cities4Forests.</w:t>
            </w:r>
          </w:p>
        </w:tc>
        <w:tc>
          <w:tcPr>
            <w:tcW w:w="1250" w:type="dxa"/>
          </w:tcPr>
          <w:p w14:paraId="75B1BAB2" w14:textId="77777777" w:rsidR="000B1D0E" w:rsidRPr="00791A09" w:rsidRDefault="000B1D0E" w:rsidP="001106E0">
            <w:pPr>
              <w:tabs>
                <w:tab w:val="center" w:pos="4513"/>
                <w:tab w:val="right" w:pos="9026"/>
              </w:tabs>
              <w:spacing w:after="0"/>
              <w:rPr>
                <w:rFonts w:ascii="Arial" w:hAnsi="Arial" w:cs="Arial"/>
                <w:b/>
                <w:bCs/>
                <w:noProof/>
              </w:rPr>
            </w:pPr>
            <w:r w:rsidRPr="00791A09">
              <w:rPr>
                <w:rFonts w:ascii="Arial" w:hAnsi="Arial" w:cs="Arial"/>
                <w:noProof/>
              </w:rPr>
              <w:t>Likely</w:t>
            </w:r>
          </w:p>
        </w:tc>
        <w:tc>
          <w:tcPr>
            <w:tcW w:w="1439" w:type="dxa"/>
          </w:tcPr>
          <w:p w14:paraId="3E542F22" w14:textId="77777777" w:rsidR="000B1D0E" w:rsidRPr="00791A09" w:rsidRDefault="000B1D0E" w:rsidP="001106E0">
            <w:pPr>
              <w:tabs>
                <w:tab w:val="center" w:pos="4513"/>
                <w:tab w:val="right" w:pos="9026"/>
              </w:tabs>
              <w:spacing w:after="0"/>
              <w:rPr>
                <w:rFonts w:ascii="Arial" w:hAnsi="Arial" w:cs="Arial"/>
                <w:b/>
                <w:bCs/>
                <w:noProof/>
              </w:rPr>
            </w:pPr>
            <w:r w:rsidRPr="00791A09">
              <w:rPr>
                <w:rFonts w:ascii="Arial" w:hAnsi="Arial" w:cs="Arial"/>
                <w:noProof/>
              </w:rPr>
              <w:t>Minor</w:t>
            </w:r>
          </w:p>
        </w:tc>
        <w:tc>
          <w:tcPr>
            <w:tcW w:w="1379" w:type="dxa"/>
            <w:shd w:val="clear" w:color="auto" w:fill="FFC000"/>
          </w:tcPr>
          <w:p w14:paraId="3EA0F78E" w14:textId="77777777" w:rsidR="000B1D0E" w:rsidRPr="00791A09" w:rsidRDefault="000B1D0E" w:rsidP="001106E0">
            <w:pPr>
              <w:tabs>
                <w:tab w:val="center" w:pos="4513"/>
                <w:tab w:val="right" w:pos="9026"/>
              </w:tabs>
              <w:spacing w:after="0"/>
              <w:rPr>
                <w:rFonts w:ascii="Arial" w:hAnsi="Arial" w:cs="Arial"/>
                <w:b/>
                <w:bCs/>
                <w:noProof/>
              </w:rPr>
            </w:pPr>
          </w:p>
        </w:tc>
        <w:tc>
          <w:tcPr>
            <w:tcW w:w="3327" w:type="dxa"/>
          </w:tcPr>
          <w:p w14:paraId="4045D203" w14:textId="77777777" w:rsidR="000B1D0E" w:rsidRPr="00791A09" w:rsidRDefault="000B1D0E" w:rsidP="001106E0">
            <w:pPr>
              <w:tabs>
                <w:tab w:val="center" w:pos="4513"/>
                <w:tab w:val="right" w:pos="9026"/>
              </w:tabs>
              <w:spacing w:after="0"/>
              <w:rPr>
                <w:rFonts w:ascii="Arial" w:hAnsi="Arial" w:cs="Arial"/>
                <w:b/>
                <w:bCs/>
                <w:noProof/>
              </w:rPr>
            </w:pPr>
            <w:r w:rsidRPr="00791A09">
              <w:rPr>
                <w:rFonts w:ascii="Arial" w:hAnsi="Arial" w:cs="Arial"/>
                <w:noProof/>
              </w:rPr>
              <w:t>New Risk</w:t>
            </w:r>
          </w:p>
        </w:tc>
        <w:tc>
          <w:tcPr>
            <w:tcW w:w="4567" w:type="dxa"/>
          </w:tcPr>
          <w:p w14:paraId="5196853F" w14:textId="77777777" w:rsidR="000B1D0E" w:rsidRPr="00791A09" w:rsidRDefault="000B1D0E" w:rsidP="001106E0">
            <w:pPr>
              <w:tabs>
                <w:tab w:val="center" w:pos="4513"/>
                <w:tab w:val="right" w:pos="9026"/>
              </w:tabs>
              <w:spacing w:after="0"/>
              <w:rPr>
                <w:rFonts w:ascii="Arial" w:hAnsi="Arial" w:cs="Arial"/>
                <w:b/>
                <w:bCs/>
                <w:noProof/>
              </w:rPr>
            </w:pPr>
            <w:r w:rsidRPr="00791A09">
              <w:rPr>
                <w:rFonts w:ascii="Arial" w:hAnsi="Arial" w:cs="Arial"/>
                <w:noProof/>
              </w:rPr>
              <w:t xml:space="preserve">Cities4Forests strategy lends itself to a fundraising model that has been very successful over the past three years. Some donors fund work in specific countries, others fund specific technical aspects in different geographies, while others are focused on replicating successful pilots to additional locations. This model allows </w:t>
            </w:r>
            <w:r>
              <w:rPr>
                <w:rFonts w:ascii="Arial" w:hAnsi="Arial" w:cs="Arial"/>
                <w:noProof/>
              </w:rPr>
              <w:t xml:space="preserve">Cities4Forests </w:t>
            </w:r>
            <w:r w:rsidRPr="00791A09">
              <w:rPr>
                <w:rFonts w:ascii="Arial" w:hAnsi="Arial" w:cs="Arial"/>
                <w:noProof/>
              </w:rPr>
              <w:t>to fundraise in a strategic and agile way to meet the demands of our cities on an ongoing basis. We also make sure to set realistic expectations and operate with transparency and directness.</w:t>
            </w:r>
          </w:p>
        </w:tc>
      </w:tr>
      <w:tr w:rsidR="000B1D0E" w:rsidRPr="00791A09" w14:paraId="576A4FE4" w14:textId="77777777" w:rsidTr="001106E0">
        <w:tc>
          <w:tcPr>
            <w:tcW w:w="3448" w:type="dxa"/>
          </w:tcPr>
          <w:p w14:paraId="2B27258C" w14:textId="77777777" w:rsidR="000B1D0E" w:rsidRPr="00791A09" w:rsidRDefault="000B1D0E" w:rsidP="001106E0">
            <w:pPr>
              <w:tabs>
                <w:tab w:val="center" w:pos="4513"/>
                <w:tab w:val="right" w:pos="9026"/>
              </w:tabs>
              <w:autoSpaceDE w:val="0"/>
              <w:autoSpaceDN w:val="0"/>
              <w:adjustRightInd w:val="0"/>
              <w:spacing w:after="0"/>
              <w:rPr>
                <w:rFonts w:ascii="Arial" w:hAnsi="Arial" w:cs="Arial"/>
                <w:color w:val="000000"/>
              </w:rPr>
            </w:pPr>
            <w:r w:rsidRPr="00791A09">
              <w:rPr>
                <w:rFonts w:ascii="Arial" w:hAnsi="Arial" w:cs="Arial"/>
                <w:color w:val="000000"/>
              </w:rPr>
              <w:t xml:space="preserve">Lack of support/political buy -in from city leaders, residents, and local forest communities for the programme due to lack of incentives and/or awareness of the benefits of the programme. </w:t>
            </w:r>
          </w:p>
          <w:p w14:paraId="17D82E66" w14:textId="77777777" w:rsidR="000B1D0E" w:rsidRPr="00791A09" w:rsidRDefault="000B1D0E" w:rsidP="001106E0">
            <w:pPr>
              <w:tabs>
                <w:tab w:val="center" w:pos="4513"/>
                <w:tab w:val="right" w:pos="9026"/>
              </w:tabs>
              <w:spacing w:after="0"/>
              <w:rPr>
                <w:rFonts w:ascii="Arial" w:hAnsi="Arial" w:cs="Arial"/>
                <w:noProof/>
              </w:rPr>
            </w:pPr>
          </w:p>
          <w:p w14:paraId="5B78BDEB" w14:textId="77777777" w:rsidR="000B1D0E" w:rsidRPr="00791A09" w:rsidRDefault="000B1D0E" w:rsidP="001106E0">
            <w:pPr>
              <w:tabs>
                <w:tab w:val="center" w:pos="4513"/>
                <w:tab w:val="right" w:pos="9026"/>
              </w:tabs>
              <w:spacing w:after="0"/>
              <w:rPr>
                <w:rFonts w:ascii="Arial" w:hAnsi="Arial" w:cs="Arial"/>
                <w:noProof/>
              </w:rPr>
            </w:pPr>
          </w:p>
        </w:tc>
        <w:tc>
          <w:tcPr>
            <w:tcW w:w="1250" w:type="dxa"/>
          </w:tcPr>
          <w:p w14:paraId="421AC96C" w14:textId="77777777" w:rsidR="000B1D0E" w:rsidRPr="00791A09" w:rsidRDefault="000B1D0E" w:rsidP="001106E0">
            <w:pPr>
              <w:tabs>
                <w:tab w:val="center" w:pos="4513"/>
                <w:tab w:val="right" w:pos="9026"/>
              </w:tabs>
              <w:spacing w:after="0"/>
              <w:rPr>
                <w:rFonts w:ascii="Arial" w:hAnsi="Arial" w:cs="Arial"/>
                <w:noProof/>
              </w:rPr>
            </w:pPr>
            <w:r w:rsidRPr="00791A09">
              <w:rPr>
                <w:rFonts w:ascii="Arial" w:hAnsi="Arial" w:cs="Arial"/>
                <w:noProof/>
              </w:rPr>
              <w:t>Unlikely</w:t>
            </w:r>
          </w:p>
        </w:tc>
        <w:tc>
          <w:tcPr>
            <w:tcW w:w="1439" w:type="dxa"/>
          </w:tcPr>
          <w:p w14:paraId="18AE010A" w14:textId="77777777" w:rsidR="000B1D0E" w:rsidRPr="00791A09" w:rsidRDefault="000B1D0E" w:rsidP="001106E0">
            <w:pPr>
              <w:tabs>
                <w:tab w:val="center" w:pos="4513"/>
                <w:tab w:val="right" w:pos="9026"/>
              </w:tabs>
              <w:spacing w:after="0"/>
              <w:rPr>
                <w:rFonts w:ascii="Arial" w:hAnsi="Arial" w:cs="Arial"/>
                <w:noProof/>
              </w:rPr>
            </w:pPr>
            <w:r w:rsidRPr="00791A09">
              <w:rPr>
                <w:rFonts w:ascii="Arial" w:hAnsi="Arial" w:cs="Arial"/>
                <w:noProof/>
              </w:rPr>
              <w:t>Major</w:t>
            </w:r>
          </w:p>
        </w:tc>
        <w:tc>
          <w:tcPr>
            <w:tcW w:w="1379" w:type="dxa"/>
            <w:shd w:val="clear" w:color="auto" w:fill="FFC000"/>
          </w:tcPr>
          <w:p w14:paraId="666A9713" w14:textId="77777777" w:rsidR="000B1D0E" w:rsidRPr="00791A09" w:rsidRDefault="000B1D0E" w:rsidP="001106E0">
            <w:pPr>
              <w:tabs>
                <w:tab w:val="center" w:pos="4513"/>
                <w:tab w:val="right" w:pos="9026"/>
              </w:tabs>
              <w:spacing w:after="0"/>
              <w:rPr>
                <w:rFonts w:ascii="Arial" w:hAnsi="Arial" w:cs="Arial"/>
                <w:b/>
                <w:bCs/>
                <w:noProof/>
              </w:rPr>
            </w:pPr>
          </w:p>
        </w:tc>
        <w:tc>
          <w:tcPr>
            <w:tcW w:w="3327" w:type="dxa"/>
          </w:tcPr>
          <w:p w14:paraId="2232A7D2" w14:textId="77777777" w:rsidR="000B1D0E" w:rsidRPr="00791A09" w:rsidRDefault="000B1D0E" w:rsidP="001106E0">
            <w:pPr>
              <w:tabs>
                <w:tab w:val="center" w:pos="4513"/>
                <w:tab w:val="right" w:pos="9026"/>
              </w:tabs>
              <w:spacing w:after="0"/>
              <w:rPr>
                <w:rFonts w:ascii="Arial" w:hAnsi="Arial" w:cs="Arial"/>
                <w:noProof/>
              </w:rPr>
            </w:pPr>
            <w:r w:rsidRPr="00791A09">
              <w:rPr>
                <w:rFonts w:ascii="Arial" w:hAnsi="Arial" w:cs="Arial"/>
                <w:noProof/>
                <w:color w:val="2B579A"/>
                <w:shd w:val="clear" w:color="auto" w:fill="E6E6E6"/>
              </w:rPr>
              <mc:AlternateContent>
                <mc:Choice Requires="wps">
                  <w:drawing>
                    <wp:anchor distT="0" distB="0" distL="114300" distR="114300" simplePos="0" relativeHeight="251658243" behindDoc="0" locked="0" layoutInCell="1" allowOverlap="1" wp14:anchorId="539397B0" wp14:editId="602F147A">
                      <wp:simplePos x="0" y="0"/>
                      <wp:positionH relativeFrom="column">
                        <wp:posOffset>645160</wp:posOffset>
                      </wp:positionH>
                      <wp:positionV relativeFrom="paragraph">
                        <wp:posOffset>81573</wp:posOffset>
                      </wp:positionV>
                      <wp:extent cx="323557" cy="604911"/>
                      <wp:effectExtent l="19050" t="0" r="19685" b="43180"/>
                      <wp:wrapNone/>
                      <wp:docPr id="141" name="Arrow: Down 141"/>
                      <wp:cNvGraphicFramePr/>
                      <a:graphic xmlns:a="http://schemas.openxmlformats.org/drawingml/2006/main">
                        <a:graphicData uri="http://schemas.microsoft.com/office/word/2010/wordprocessingShape">
                          <wps:wsp>
                            <wps:cNvSpPr/>
                            <wps:spPr>
                              <a:xfrm>
                                <a:off x="0" y="0"/>
                                <a:ext cx="323557" cy="604911"/>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E43740C" id="Arrow: Down 141" o:spid="_x0000_s1026" type="#_x0000_t67" style="position:absolute;margin-left:50.8pt;margin-top:6.4pt;width:25.5pt;height:47.65pt;z-index:25165824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" adj="15823" fillcolor="#4472c4" strokecolor="#2f528f" strokeweight="1pt"/>
                  </w:pict>
                </mc:Fallback>
              </mc:AlternateContent>
            </w:r>
          </w:p>
          <w:p w14:paraId="0C5CD6B1" w14:textId="77777777" w:rsidR="000B1D0E" w:rsidRPr="00791A09" w:rsidRDefault="000B1D0E" w:rsidP="001106E0">
            <w:pPr>
              <w:tabs>
                <w:tab w:val="left" w:pos="1052"/>
                <w:tab w:val="center" w:pos="4513"/>
                <w:tab w:val="right" w:pos="9026"/>
              </w:tabs>
              <w:spacing w:after="0"/>
              <w:rPr>
                <w:rFonts w:ascii="Arial" w:hAnsi="Arial" w:cs="Arial"/>
              </w:rPr>
            </w:pPr>
            <w:r w:rsidRPr="00791A09">
              <w:rPr>
                <w:rFonts w:ascii="Arial" w:hAnsi="Arial" w:cs="Arial"/>
              </w:rPr>
              <w:tab/>
            </w:r>
          </w:p>
          <w:p w14:paraId="60A50F01" w14:textId="77777777" w:rsidR="000B1D0E" w:rsidRPr="00791A09" w:rsidRDefault="000B1D0E" w:rsidP="001106E0">
            <w:pPr>
              <w:tabs>
                <w:tab w:val="center" w:pos="4513"/>
                <w:tab w:val="right" w:pos="9026"/>
              </w:tabs>
              <w:spacing w:after="0"/>
              <w:rPr>
                <w:rFonts w:ascii="Arial" w:hAnsi="Arial" w:cs="Arial"/>
              </w:rPr>
            </w:pPr>
          </w:p>
          <w:p w14:paraId="373D76E0" w14:textId="77777777" w:rsidR="000B1D0E" w:rsidRPr="00791A09" w:rsidRDefault="000B1D0E" w:rsidP="001106E0">
            <w:pPr>
              <w:tabs>
                <w:tab w:val="center" w:pos="4513"/>
                <w:tab w:val="right" w:pos="9026"/>
              </w:tabs>
              <w:spacing w:after="0"/>
              <w:rPr>
                <w:rFonts w:ascii="Arial" w:hAnsi="Arial" w:cs="Arial"/>
              </w:rPr>
            </w:pPr>
          </w:p>
          <w:p w14:paraId="4C063D3A" w14:textId="77777777" w:rsidR="000B1D0E" w:rsidRPr="00791A09" w:rsidRDefault="000B1D0E" w:rsidP="001106E0">
            <w:pPr>
              <w:tabs>
                <w:tab w:val="center" w:pos="4513"/>
                <w:tab w:val="right" w:pos="9026"/>
              </w:tabs>
              <w:spacing w:after="0"/>
              <w:rPr>
                <w:rFonts w:ascii="Arial" w:hAnsi="Arial" w:cs="Arial"/>
              </w:rPr>
            </w:pPr>
          </w:p>
          <w:p w14:paraId="2667A959" w14:textId="77777777" w:rsidR="000B1D0E" w:rsidRPr="00791A09" w:rsidRDefault="000B1D0E" w:rsidP="001106E0">
            <w:pPr>
              <w:tabs>
                <w:tab w:val="center" w:pos="4513"/>
                <w:tab w:val="right" w:pos="9026"/>
              </w:tabs>
              <w:autoSpaceDE w:val="0"/>
              <w:autoSpaceDN w:val="0"/>
              <w:adjustRightInd w:val="0"/>
              <w:spacing w:after="0"/>
              <w:rPr>
                <w:rFonts w:ascii="Arial" w:hAnsi="Arial" w:cs="Arial"/>
                <w:color w:val="000000"/>
              </w:rPr>
            </w:pPr>
            <w:r w:rsidRPr="00791A09">
              <w:rPr>
                <w:rFonts w:ascii="Arial" w:hAnsi="Arial" w:cs="Arial"/>
                <w:color w:val="000000"/>
              </w:rPr>
              <w:t xml:space="preserve">Downgraded from possible to unlikely, as Cities4Forests has received significant interest in and demand for its services. </w:t>
            </w:r>
          </w:p>
          <w:p w14:paraId="71D8758C" w14:textId="77777777" w:rsidR="000B1D0E" w:rsidRPr="00791A09" w:rsidRDefault="000B1D0E" w:rsidP="001106E0">
            <w:pPr>
              <w:tabs>
                <w:tab w:val="center" w:pos="4513"/>
                <w:tab w:val="right" w:pos="9026"/>
              </w:tabs>
              <w:spacing w:after="0"/>
              <w:rPr>
                <w:rFonts w:ascii="Arial" w:hAnsi="Arial" w:cs="Arial"/>
                <w:noProof/>
              </w:rPr>
            </w:pPr>
          </w:p>
        </w:tc>
        <w:tc>
          <w:tcPr>
            <w:tcW w:w="4567" w:type="dxa"/>
          </w:tcPr>
          <w:p w14:paraId="1822813C" w14:textId="77777777" w:rsidR="000B1D0E" w:rsidRPr="00791A09" w:rsidRDefault="000B1D0E" w:rsidP="001106E0">
            <w:pPr>
              <w:tabs>
                <w:tab w:val="center" w:pos="4513"/>
                <w:tab w:val="right" w:pos="9026"/>
              </w:tabs>
              <w:autoSpaceDE w:val="0"/>
              <w:autoSpaceDN w:val="0"/>
              <w:adjustRightInd w:val="0"/>
              <w:spacing w:after="0"/>
              <w:rPr>
                <w:rFonts w:ascii="Arial" w:hAnsi="Arial" w:cs="Arial"/>
                <w:color w:val="000000"/>
              </w:rPr>
            </w:pPr>
            <w:r w:rsidRPr="00791A09">
              <w:rPr>
                <w:rFonts w:ascii="Arial" w:hAnsi="Arial" w:cs="Arial"/>
                <w:color w:val="000000"/>
              </w:rPr>
              <w:t xml:space="preserve">WRI has considerable skills and expertise working with city leaders, residents and/or local communities where directly delivering activities. To be a member of Cities4Forests network, city leaders must demonstrate their commitment to the aims and objectives of the project and to use the tools and resources produced. WRI also assigns advisors to work closely with city officials/mayors to develop close partnerships, understand city priorities and develop a plan of action before cities are allowed to join. If a member city does not participate in WRI activities during a three-year period, then membership is revoked. Where subcontractors deliver activities, the delivery partner will be required to conduct due diligence to ensure they have the skills and expertise to meet the needs of city leaders, residents and/or local communities. </w:t>
            </w:r>
          </w:p>
          <w:p w14:paraId="7EC49A8F" w14:textId="77777777" w:rsidR="000B1D0E" w:rsidRPr="00791A09" w:rsidRDefault="000B1D0E" w:rsidP="001106E0">
            <w:pPr>
              <w:tabs>
                <w:tab w:val="center" w:pos="4513"/>
                <w:tab w:val="right" w:pos="9026"/>
              </w:tabs>
              <w:spacing w:after="0"/>
              <w:rPr>
                <w:rFonts w:ascii="Arial" w:hAnsi="Arial" w:cs="Arial"/>
                <w:noProof/>
              </w:rPr>
            </w:pPr>
            <w:r w:rsidRPr="00791A09">
              <w:rPr>
                <w:rFonts w:ascii="Arial" w:hAnsi="Arial" w:cs="Arial"/>
              </w:rPr>
              <w:t xml:space="preserve">Specific activities in Cities4Forests are focused on increasing equity and the inclusion of </w:t>
            </w:r>
            <w:r w:rsidRPr="00791A09">
              <w:rPr>
                <w:rFonts w:ascii="Arial" w:hAnsi="Arial" w:cs="Arial"/>
              </w:rPr>
              <w:lastRenderedPageBreak/>
              <w:t xml:space="preserve">marginalised groups, as well as ensuring that </w:t>
            </w:r>
            <w:proofErr w:type="spellStart"/>
            <w:r w:rsidRPr="00791A09">
              <w:rPr>
                <w:rFonts w:ascii="Arial" w:hAnsi="Arial" w:cs="Arial"/>
              </w:rPr>
              <w:t>NbS</w:t>
            </w:r>
            <w:proofErr w:type="spellEnd"/>
            <w:r w:rsidRPr="00791A09">
              <w:rPr>
                <w:rFonts w:ascii="Arial" w:hAnsi="Arial" w:cs="Arial"/>
              </w:rPr>
              <w:t xml:space="preserve"> projects bring wider benefits to all residents. </w:t>
            </w:r>
          </w:p>
        </w:tc>
      </w:tr>
      <w:tr w:rsidR="000B1D0E" w:rsidRPr="00791A09" w14:paraId="1A16F28E" w14:textId="77777777" w:rsidTr="001106E0">
        <w:tc>
          <w:tcPr>
            <w:tcW w:w="3448" w:type="dxa"/>
          </w:tcPr>
          <w:p w14:paraId="2487C60E" w14:textId="77777777" w:rsidR="000B1D0E" w:rsidRPr="00791A09" w:rsidRDefault="000B1D0E" w:rsidP="001106E0">
            <w:pPr>
              <w:tabs>
                <w:tab w:val="center" w:pos="4513"/>
                <w:tab w:val="right" w:pos="9026"/>
              </w:tabs>
              <w:spacing w:after="0"/>
              <w:rPr>
                <w:rFonts w:ascii="Arial" w:hAnsi="Arial" w:cs="Arial"/>
                <w:noProof/>
              </w:rPr>
            </w:pPr>
          </w:p>
          <w:p w14:paraId="07C5D3F7" w14:textId="77777777" w:rsidR="000B1D0E" w:rsidRPr="00791A09" w:rsidRDefault="000B1D0E" w:rsidP="001106E0">
            <w:pPr>
              <w:tabs>
                <w:tab w:val="center" w:pos="4513"/>
                <w:tab w:val="right" w:pos="9026"/>
              </w:tabs>
              <w:autoSpaceDE w:val="0"/>
              <w:autoSpaceDN w:val="0"/>
              <w:adjustRightInd w:val="0"/>
              <w:spacing w:after="0"/>
              <w:rPr>
                <w:rFonts w:ascii="Arial" w:hAnsi="Arial" w:cs="Arial"/>
                <w:color w:val="000000"/>
              </w:rPr>
            </w:pPr>
            <w:r w:rsidRPr="00791A09">
              <w:rPr>
                <w:rFonts w:ascii="Arial" w:hAnsi="Arial" w:cs="Arial"/>
                <w:color w:val="000000"/>
              </w:rPr>
              <w:t xml:space="preserve">Technical assistance products are not relevant or needed by cities in the network. This would result in a failure to meet Defra’s medium-term outcomes and long-term impact and results. </w:t>
            </w:r>
          </w:p>
          <w:p w14:paraId="4B616C24" w14:textId="77777777" w:rsidR="000B1D0E" w:rsidRPr="00791A09" w:rsidRDefault="000B1D0E" w:rsidP="001106E0">
            <w:pPr>
              <w:tabs>
                <w:tab w:val="center" w:pos="4513"/>
                <w:tab w:val="right" w:pos="9026"/>
              </w:tabs>
              <w:autoSpaceDE w:val="0"/>
              <w:autoSpaceDN w:val="0"/>
              <w:adjustRightInd w:val="0"/>
              <w:spacing w:after="0"/>
              <w:rPr>
                <w:rFonts w:ascii="Arial" w:hAnsi="Arial" w:cs="Arial"/>
                <w:color w:val="000000"/>
              </w:rPr>
            </w:pPr>
          </w:p>
        </w:tc>
        <w:tc>
          <w:tcPr>
            <w:tcW w:w="1250" w:type="dxa"/>
          </w:tcPr>
          <w:p w14:paraId="737E90DE" w14:textId="77777777" w:rsidR="000B1D0E" w:rsidRPr="00791A09" w:rsidRDefault="000B1D0E" w:rsidP="001106E0">
            <w:pPr>
              <w:tabs>
                <w:tab w:val="center" w:pos="4513"/>
                <w:tab w:val="right" w:pos="9026"/>
              </w:tabs>
              <w:spacing w:after="0"/>
              <w:rPr>
                <w:rFonts w:ascii="Arial" w:hAnsi="Arial" w:cs="Arial"/>
                <w:noProof/>
              </w:rPr>
            </w:pPr>
            <w:r w:rsidRPr="00791A09">
              <w:rPr>
                <w:rFonts w:ascii="Arial" w:hAnsi="Arial" w:cs="Arial"/>
                <w:noProof/>
              </w:rPr>
              <w:t>Unlikley</w:t>
            </w:r>
          </w:p>
        </w:tc>
        <w:tc>
          <w:tcPr>
            <w:tcW w:w="1439" w:type="dxa"/>
          </w:tcPr>
          <w:p w14:paraId="59889526" w14:textId="77777777" w:rsidR="000B1D0E" w:rsidRPr="00791A09" w:rsidRDefault="000B1D0E" w:rsidP="001106E0">
            <w:pPr>
              <w:tabs>
                <w:tab w:val="center" w:pos="4513"/>
                <w:tab w:val="right" w:pos="9026"/>
              </w:tabs>
              <w:spacing w:after="0"/>
              <w:rPr>
                <w:rFonts w:ascii="Arial" w:hAnsi="Arial" w:cs="Arial"/>
                <w:noProof/>
              </w:rPr>
            </w:pPr>
            <w:r w:rsidRPr="00791A09">
              <w:rPr>
                <w:rFonts w:ascii="Arial" w:hAnsi="Arial" w:cs="Arial"/>
                <w:noProof/>
              </w:rPr>
              <w:t>Severe</w:t>
            </w:r>
          </w:p>
        </w:tc>
        <w:tc>
          <w:tcPr>
            <w:tcW w:w="1379" w:type="dxa"/>
            <w:shd w:val="clear" w:color="auto" w:fill="FFC000"/>
          </w:tcPr>
          <w:p w14:paraId="67CEC06C" w14:textId="77777777" w:rsidR="000B1D0E" w:rsidRPr="00791A09" w:rsidRDefault="000B1D0E" w:rsidP="001106E0">
            <w:pPr>
              <w:tabs>
                <w:tab w:val="center" w:pos="4513"/>
                <w:tab w:val="right" w:pos="9026"/>
              </w:tabs>
              <w:spacing w:after="0"/>
              <w:rPr>
                <w:rFonts w:ascii="Arial" w:hAnsi="Arial" w:cs="Arial"/>
                <w:b/>
                <w:bCs/>
                <w:noProof/>
              </w:rPr>
            </w:pPr>
          </w:p>
        </w:tc>
        <w:tc>
          <w:tcPr>
            <w:tcW w:w="3327" w:type="dxa"/>
          </w:tcPr>
          <w:p w14:paraId="01B8E57A" w14:textId="77777777" w:rsidR="000B1D0E" w:rsidRPr="00791A09" w:rsidRDefault="000B1D0E" w:rsidP="001106E0">
            <w:pPr>
              <w:tabs>
                <w:tab w:val="center" w:pos="4513"/>
                <w:tab w:val="right" w:pos="9026"/>
              </w:tabs>
              <w:autoSpaceDE w:val="0"/>
              <w:autoSpaceDN w:val="0"/>
              <w:adjustRightInd w:val="0"/>
              <w:spacing w:after="0"/>
              <w:rPr>
                <w:rFonts w:ascii="Arial" w:hAnsi="Arial" w:cs="Arial"/>
                <w:color w:val="000000"/>
              </w:rPr>
            </w:pPr>
            <w:r w:rsidRPr="00791A09">
              <w:rPr>
                <w:rFonts w:ascii="Arial" w:hAnsi="Arial" w:cs="Arial"/>
                <w:noProof/>
                <w:color w:val="000000"/>
                <w:shd w:val="clear" w:color="auto" w:fill="E6E6E6"/>
              </w:rPr>
              <mc:AlternateContent>
                <mc:Choice Requires="wps">
                  <w:drawing>
                    <wp:anchor distT="0" distB="0" distL="114300" distR="114300" simplePos="0" relativeHeight="251658244" behindDoc="0" locked="0" layoutInCell="1" allowOverlap="1" wp14:anchorId="0931687C" wp14:editId="4782208F">
                      <wp:simplePos x="0" y="0"/>
                      <wp:positionH relativeFrom="column">
                        <wp:posOffset>666311</wp:posOffset>
                      </wp:positionH>
                      <wp:positionV relativeFrom="paragraph">
                        <wp:posOffset>99158</wp:posOffset>
                      </wp:positionV>
                      <wp:extent cx="323557" cy="604911"/>
                      <wp:effectExtent l="19050" t="0" r="19685" b="43180"/>
                      <wp:wrapNone/>
                      <wp:docPr id="142" name="Arrow: Down 142"/>
                      <wp:cNvGraphicFramePr/>
                      <a:graphic xmlns:a="http://schemas.openxmlformats.org/drawingml/2006/main">
                        <a:graphicData uri="http://schemas.microsoft.com/office/word/2010/wordprocessingShape">
                          <wps:wsp>
                            <wps:cNvSpPr/>
                            <wps:spPr>
                              <a:xfrm>
                                <a:off x="0" y="0"/>
                                <a:ext cx="323557" cy="604911"/>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0AC3796" id="Arrow: Down 142" o:spid="_x0000_s1026" type="#_x0000_t67" style="position:absolute;margin-left:52.45pt;margin-top:7.8pt;width:25.5pt;height:47.65pt;z-index:2516582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" adj="15823" fillcolor="#4472c4" strokecolor="#2f528f" strokeweight="1pt"/>
                  </w:pict>
                </mc:Fallback>
              </mc:AlternateContent>
            </w:r>
          </w:p>
          <w:p w14:paraId="2D481E90" w14:textId="77777777" w:rsidR="000B1D0E" w:rsidRPr="00791A09" w:rsidRDefault="000B1D0E" w:rsidP="001106E0">
            <w:pPr>
              <w:tabs>
                <w:tab w:val="center" w:pos="4513"/>
                <w:tab w:val="right" w:pos="9026"/>
              </w:tabs>
              <w:autoSpaceDE w:val="0"/>
              <w:autoSpaceDN w:val="0"/>
              <w:adjustRightInd w:val="0"/>
              <w:spacing w:after="0"/>
              <w:rPr>
                <w:rFonts w:ascii="Arial" w:hAnsi="Arial" w:cs="Arial"/>
                <w:color w:val="000000"/>
              </w:rPr>
            </w:pPr>
          </w:p>
          <w:p w14:paraId="42C9385B" w14:textId="77777777" w:rsidR="000B1D0E" w:rsidRPr="00791A09" w:rsidRDefault="000B1D0E" w:rsidP="001106E0">
            <w:pPr>
              <w:tabs>
                <w:tab w:val="center" w:pos="4513"/>
                <w:tab w:val="right" w:pos="9026"/>
              </w:tabs>
              <w:autoSpaceDE w:val="0"/>
              <w:autoSpaceDN w:val="0"/>
              <w:adjustRightInd w:val="0"/>
              <w:spacing w:after="0"/>
              <w:rPr>
                <w:rFonts w:ascii="Arial" w:hAnsi="Arial" w:cs="Arial"/>
                <w:color w:val="000000"/>
              </w:rPr>
            </w:pPr>
          </w:p>
          <w:p w14:paraId="3C83D4D3" w14:textId="77777777" w:rsidR="000B1D0E" w:rsidRPr="00791A09" w:rsidRDefault="000B1D0E" w:rsidP="001106E0">
            <w:pPr>
              <w:tabs>
                <w:tab w:val="center" w:pos="4513"/>
                <w:tab w:val="right" w:pos="9026"/>
              </w:tabs>
              <w:autoSpaceDE w:val="0"/>
              <w:autoSpaceDN w:val="0"/>
              <w:adjustRightInd w:val="0"/>
              <w:spacing w:after="0"/>
              <w:rPr>
                <w:rFonts w:ascii="Arial" w:hAnsi="Arial" w:cs="Arial"/>
                <w:color w:val="000000"/>
              </w:rPr>
            </w:pPr>
          </w:p>
          <w:p w14:paraId="28886D5C" w14:textId="77777777" w:rsidR="000B1D0E" w:rsidRPr="00791A09" w:rsidRDefault="000B1D0E" w:rsidP="001106E0">
            <w:pPr>
              <w:tabs>
                <w:tab w:val="center" w:pos="4513"/>
                <w:tab w:val="right" w:pos="9026"/>
              </w:tabs>
              <w:autoSpaceDE w:val="0"/>
              <w:autoSpaceDN w:val="0"/>
              <w:adjustRightInd w:val="0"/>
              <w:spacing w:after="0"/>
              <w:rPr>
                <w:rFonts w:ascii="Arial" w:hAnsi="Arial" w:cs="Arial"/>
                <w:color w:val="000000"/>
              </w:rPr>
            </w:pPr>
          </w:p>
          <w:p w14:paraId="14D81992" w14:textId="77777777" w:rsidR="000B1D0E" w:rsidRPr="00791A09" w:rsidRDefault="000B1D0E" w:rsidP="001106E0">
            <w:pPr>
              <w:tabs>
                <w:tab w:val="center" w:pos="4513"/>
                <w:tab w:val="right" w:pos="9026"/>
              </w:tabs>
              <w:autoSpaceDE w:val="0"/>
              <w:autoSpaceDN w:val="0"/>
              <w:adjustRightInd w:val="0"/>
              <w:spacing w:after="0"/>
              <w:rPr>
                <w:rFonts w:ascii="Arial" w:hAnsi="Arial" w:cs="Arial"/>
                <w:color w:val="000000"/>
              </w:rPr>
            </w:pPr>
            <w:r w:rsidRPr="00791A09">
              <w:rPr>
                <w:rFonts w:ascii="Arial" w:hAnsi="Arial" w:cs="Arial"/>
                <w:color w:val="000000"/>
              </w:rPr>
              <w:t xml:space="preserve">Downgraded from possible to unlikely, as Cities4Forests has received significant interest in and demand for its services. </w:t>
            </w:r>
          </w:p>
          <w:p w14:paraId="4159C3E4" w14:textId="77777777" w:rsidR="000B1D0E" w:rsidRPr="00791A09" w:rsidRDefault="000B1D0E" w:rsidP="001106E0">
            <w:pPr>
              <w:tabs>
                <w:tab w:val="center" w:pos="4513"/>
                <w:tab w:val="right" w:pos="9026"/>
              </w:tabs>
              <w:spacing w:after="0"/>
              <w:rPr>
                <w:rFonts w:ascii="Arial" w:hAnsi="Arial" w:cs="Arial"/>
                <w:noProof/>
                <w:color w:val="2B579A"/>
                <w:shd w:val="clear" w:color="auto" w:fill="E6E6E6"/>
              </w:rPr>
            </w:pPr>
          </w:p>
        </w:tc>
        <w:tc>
          <w:tcPr>
            <w:tcW w:w="4567" w:type="dxa"/>
          </w:tcPr>
          <w:p w14:paraId="2BBCD11B" w14:textId="77777777" w:rsidR="000B1D0E" w:rsidRPr="00791A09" w:rsidRDefault="000B1D0E" w:rsidP="001106E0">
            <w:pPr>
              <w:tabs>
                <w:tab w:val="center" w:pos="4513"/>
                <w:tab w:val="right" w:pos="9026"/>
              </w:tabs>
              <w:autoSpaceDE w:val="0"/>
              <w:autoSpaceDN w:val="0"/>
              <w:adjustRightInd w:val="0"/>
              <w:spacing w:after="0"/>
              <w:rPr>
                <w:rFonts w:ascii="Arial" w:hAnsi="Arial" w:cs="Arial"/>
                <w:color w:val="000000"/>
              </w:rPr>
            </w:pPr>
            <w:r w:rsidRPr="00791A09">
              <w:rPr>
                <w:rFonts w:ascii="Arial" w:hAnsi="Arial" w:cs="Arial"/>
                <w:color w:val="000000"/>
              </w:rPr>
              <w:t xml:space="preserve">A detailed survey to identify the technical assistance needs has been conducted with each member city so knowledge products designed are reflective of current demands across the network. The Cities4Forests programme also maintains frequent engagement with cities to capture evolving priorities. </w:t>
            </w:r>
          </w:p>
          <w:p w14:paraId="05AEB308" w14:textId="77777777" w:rsidR="000B1D0E" w:rsidRPr="00791A09" w:rsidRDefault="000B1D0E" w:rsidP="001106E0">
            <w:pPr>
              <w:tabs>
                <w:tab w:val="center" w:pos="4513"/>
                <w:tab w:val="right" w:pos="9026"/>
              </w:tabs>
              <w:autoSpaceDE w:val="0"/>
              <w:autoSpaceDN w:val="0"/>
              <w:adjustRightInd w:val="0"/>
              <w:spacing w:after="0"/>
              <w:rPr>
                <w:rFonts w:ascii="Arial" w:hAnsi="Arial" w:cs="Arial"/>
                <w:color w:val="000000"/>
              </w:rPr>
            </w:pPr>
          </w:p>
        </w:tc>
      </w:tr>
      <w:tr w:rsidR="000B1D0E" w:rsidRPr="00791A09" w14:paraId="7E2ED345" w14:textId="77777777" w:rsidTr="001106E0">
        <w:tc>
          <w:tcPr>
            <w:tcW w:w="15410" w:type="dxa"/>
            <w:gridSpan w:val="6"/>
            <w:shd w:val="clear" w:color="auto" w:fill="auto"/>
          </w:tcPr>
          <w:p w14:paraId="7D63F159" w14:textId="77777777" w:rsidR="000B1D0E" w:rsidRPr="00791A09" w:rsidRDefault="000B1D0E" w:rsidP="001106E0">
            <w:pPr>
              <w:tabs>
                <w:tab w:val="center" w:pos="4513"/>
                <w:tab w:val="right" w:pos="9026"/>
              </w:tabs>
              <w:spacing w:after="0"/>
              <w:rPr>
                <w:rFonts w:ascii="Arial" w:hAnsi="Arial" w:cs="Arial"/>
                <w:b/>
                <w:bCs/>
                <w:noProof/>
              </w:rPr>
            </w:pPr>
            <w:r w:rsidRPr="00791A09">
              <w:rPr>
                <w:rFonts w:ascii="Arial" w:hAnsi="Arial" w:cs="Arial"/>
                <w:b/>
                <w:bCs/>
                <w:noProof/>
              </w:rPr>
              <w:t>Operational</w:t>
            </w:r>
          </w:p>
        </w:tc>
      </w:tr>
      <w:tr w:rsidR="000B1D0E" w:rsidRPr="00791A09" w14:paraId="0C4F78AA" w14:textId="77777777" w:rsidTr="001106E0">
        <w:tc>
          <w:tcPr>
            <w:tcW w:w="3448" w:type="dxa"/>
          </w:tcPr>
          <w:p w14:paraId="656C0CA7" w14:textId="77777777" w:rsidR="000B1D0E" w:rsidRPr="00791A09" w:rsidRDefault="000B1D0E" w:rsidP="001106E0">
            <w:pPr>
              <w:tabs>
                <w:tab w:val="center" w:pos="4513"/>
                <w:tab w:val="right" w:pos="9026"/>
              </w:tabs>
              <w:spacing w:after="0"/>
              <w:rPr>
                <w:rFonts w:ascii="Arial" w:hAnsi="Arial" w:cs="Arial"/>
                <w:noProof/>
              </w:rPr>
            </w:pPr>
          </w:p>
          <w:p w14:paraId="7D2E55FB" w14:textId="77777777" w:rsidR="000B1D0E" w:rsidRPr="00791A09" w:rsidRDefault="000B1D0E" w:rsidP="001106E0">
            <w:pPr>
              <w:tabs>
                <w:tab w:val="center" w:pos="4513"/>
                <w:tab w:val="right" w:pos="9026"/>
              </w:tabs>
              <w:autoSpaceDE w:val="0"/>
              <w:autoSpaceDN w:val="0"/>
              <w:adjustRightInd w:val="0"/>
              <w:spacing w:after="0"/>
              <w:rPr>
                <w:rFonts w:ascii="Arial" w:hAnsi="Arial" w:cs="Arial"/>
                <w:color w:val="000000"/>
              </w:rPr>
            </w:pPr>
            <w:r w:rsidRPr="00791A09">
              <w:rPr>
                <w:rFonts w:ascii="Arial" w:hAnsi="Arial" w:cs="Arial"/>
                <w:color w:val="000000"/>
              </w:rPr>
              <w:t xml:space="preserve">Lack of effective management of the programme by the delivery partner. This would result in a failure/delay to meeting agreed milestones and indicators set out in the contribution letter and log frame. </w:t>
            </w:r>
          </w:p>
          <w:p w14:paraId="75A56CED" w14:textId="77777777" w:rsidR="000B1D0E" w:rsidRPr="00791A09" w:rsidRDefault="000B1D0E" w:rsidP="001106E0">
            <w:pPr>
              <w:tabs>
                <w:tab w:val="center" w:pos="4513"/>
                <w:tab w:val="right" w:pos="9026"/>
              </w:tabs>
              <w:spacing w:after="0"/>
              <w:rPr>
                <w:rFonts w:ascii="Arial" w:hAnsi="Arial" w:cs="Arial"/>
                <w:noProof/>
              </w:rPr>
            </w:pPr>
          </w:p>
        </w:tc>
        <w:tc>
          <w:tcPr>
            <w:tcW w:w="1250" w:type="dxa"/>
          </w:tcPr>
          <w:p w14:paraId="6650ABEB" w14:textId="77777777" w:rsidR="000B1D0E" w:rsidRPr="00791A09" w:rsidRDefault="000B1D0E" w:rsidP="001106E0">
            <w:pPr>
              <w:tabs>
                <w:tab w:val="center" w:pos="4513"/>
                <w:tab w:val="right" w:pos="9026"/>
              </w:tabs>
              <w:spacing w:after="0"/>
              <w:rPr>
                <w:rFonts w:ascii="Arial" w:hAnsi="Arial" w:cs="Arial"/>
                <w:noProof/>
              </w:rPr>
            </w:pPr>
            <w:r w:rsidRPr="00791A09">
              <w:rPr>
                <w:rFonts w:ascii="Arial" w:hAnsi="Arial" w:cs="Arial"/>
                <w:noProof/>
              </w:rPr>
              <w:t>Unlikley</w:t>
            </w:r>
          </w:p>
        </w:tc>
        <w:tc>
          <w:tcPr>
            <w:tcW w:w="1439" w:type="dxa"/>
          </w:tcPr>
          <w:p w14:paraId="3FE03EE5" w14:textId="77777777" w:rsidR="000B1D0E" w:rsidRPr="00791A09" w:rsidRDefault="000B1D0E" w:rsidP="001106E0">
            <w:pPr>
              <w:tabs>
                <w:tab w:val="center" w:pos="4513"/>
                <w:tab w:val="right" w:pos="9026"/>
              </w:tabs>
              <w:spacing w:after="0"/>
              <w:rPr>
                <w:rFonts w:ascii="Arial" w:hAnsi="Arial" w:cs="Arial"/>
                <w:noProof/>
              </w:rPr>
            </w:pPr>
            <w:r w:rsidRPr="00791A09">
              <w:rPr>
                <w:rFonts w:ascii="Arial" w:hAnsi="Arial" w:cs="Arial"/>
                <w:noProof/>
              </w:rPr>
              <w:t>Major</w:t>
            </w:r>
          </w:p>
        </w:tc>
        <w:tc>
          <w:tcPr>
            <w:tcW w:w="1379" w:type="dxa"/>
            <w:shd w:val="clear" w:color="auto" w:fill="FFC000"/>
          </w:tcPr>
          <w:p w14:paraId="18D9BFF2" w14:textId="77777777" w:rsidR="000B1D0E" w:rsidRPr="00791A09" w:rsidRDefault="000B1D0E" w:rsidP="001106E0">
            <w:pPr>
              <w:tabs>
                <w:tab w:val="center" w:pos="4513"/>
                <w:tab w:val="right" w:pos="9026"/>
              </w:tabs>
              <w:spacing w:after="0"/>
              <w:rPr>
                <w:rFonts w:ascii="Arial" w:hAnsi="Arial" w:cs="Arial"/>
                <w:noProof/>
              </w:rPr>
            </w:pPr>
          </w:p>
        </w:tc>
        <w:tc>
          <w:tcPr>
            <w:tcW w:w="3327" w:type="dxa"/>
          </w:tcPr>
          <w:p w14:paraId="74A557D7" w14:textId="77777777" w:rsidR="000B1D0E" w:rsidRPr="00791A09" w:rsidRDefault="000B1D0E" w:rsidP="001106E0">
            <w:pPr>
              <w:tabs>
                <w:tab w:val="center" w:pos="4513"/>
                <w:tab w:val="right" w:pos="9026"/>
              </w:tabs>
              <w:spacing w:after="0"/>
              <w:rPr>
                <w:rFonts w:ascii="Arial" w:hAnsi="Arial" w:cs="Arial"/>
                <w:noProof/>
              </w:rPr>
            </w:pPr>
            <w:r w:rsidRPr="00791A09">
              <w:rPr>
                <w:rFonts w:ascii="Arial" w:hAnsi="Arial" w:cs="Arial"/>
                <w:noProof/>
              </w:rPr>
              <w:t>No change</w:t>
            </w:r>
          </w:p>
        </w:tc>
        <w:tc>
          <w:tcPr>
            <w:tcW w:w="4567" w:type="dxa"/>
          </w:tcPr>
          <w:p w14:paraId="0627C467" w14:textId="77777777" w:rsidR="000B1D0E" w:rsidRPr="00791A09" w:rsidRDefault="000B1D0E" w:rsidP="001106E0">
            <w:pPr>
              <w:tabs>
                <w:tab w:val="center" w:pos="4513"/>
                <w:tab w:val="right" w:pos="9026"/>
              </w:tabs>
              <w:autoSpaceDE w:val="0"/>
              <w:autoSpaceDN w:val="0"/>
              <w:adjustRightInd w:val="0"/>
              <w:spacing w:after="0"/>
              <w:rPr>
                <w:rFonts w:ascii="Arial" w:hAnsi="Arial" w:cs="Arial"/>
                <w:color w:val="000000"/>
              </w:rPr>
            </w:pPr>
            <w:r w:rsidRPr="00791A09">
              <w:rPr>
                <w:rFonts w:ascii="Arial" w:hAnsi="Arial" w:cs="Arial"/>
                <w:color w:val="000000"/>
              </w:rPr>
              <w:t xml:space="preserve">Delivery partners are required to agree to an indicative delivery plan, Theory of Change, and log frame (which sets out indicators and milestones) with Defra. Quarterly financial and progress reports will assess performance. Annual reviews will also be used to review performance and payment withheld if poor performance is not addressed. </w:t>
            </w:r>
          </w:p>
          <w:p w14:paraId="3EA6491B" w14:textId="77777777" w:rsidR="000B1D0E" w:rsidRPr="00791A09" w:rsidRDefault="000B1D0E" w:rsidP="001106E0">
            <w:pPr>
              <w:tabs>
                <w:tab w:val="center" w:pos="4513"/>
                <w:tab w:val="right" w:pos="9026"/>
              </w:tabs>
              <w:spacing w:after="0"/>
              <w:rPr>
                <w:rFonts w:ascii="Arial" w:hAnsi="Arial" w:cs="Arial"/>
                <w:noProof/>
              </w:rPr>
            </w:pPr>
          </w:p>
        </w:tc>
      </w:tr>
      <w:tr w:rsidR="000B1D0E" w:rsidRPr="00791A09" w14:paraId="7F3530C3" w14:textId="77777777" w:rsidTr="001106E0">
        <w:tc>
          <w:tcPr>
            <w:tcW w:w="15410" w:type="dxa"/>
            <w:gridSpan w:val="6"/>
          </w:tcPr>
          <w:p w14:paraId="5FD4BBCA" w14:textId="77777777" w:rsidR="000B1D0E" w:rsidRPr="00791A09" w:rsidRDefault="000B1D0E" w:rsidP="001106E0">
            <w:pPr>
              <w:tabs>
                <w:tab w:val="center" w:pos="4513"/>
                <w:tab w:val="right" w:pos="9026"/>
              </w:tabs>
              <w:spacing w:after="0"/>
              <w:rPr>
                <w:rFonts w:ascii="Arial" w:hAnsi="Arial" w:cs="Arial"/>
                <w:b/>
                <w:bCs/>
                <w:noProof/>
              </w:rPr>
            </w:pPr>
            <w:r w:rsidRPr="00791A09">
              <w:rPr>
                <w:rFonts w:ascii="Arial" w:hAnsi="Arial" w:cs="Arial"/>
                <w:b/>
                <w:bCs/>
                <w:noProof/>
              </w:rPr>
              <w:t>Fiduciary</w:t>
            </w:r>
          </w:p>
        </w:tc>
      </w:tr>
      <w:tr w:rsidR="000B1D0E" w:rsidRPr="00791A09" w14:paraId="2E636047" w14:textId="77777777" w:rsidTr="001106E0">
        <w:tc>
          <w:tcPr>
            <w:tcW w:w="3448" w:type="dxa"/>
          </w:tcPr>
          <w:p w14:paraId="369C96C3" w14:textId="77777777" w:rsidR="000B1D0E" w:rsidRPr="00791A09" w:rsidRDefault="000B1D0E" w:rsidP="001106E0">
            <w:pPr>
              <w:tabs>
                <w:tab w:val="center" w:pos="4513"/>
                <w:tab w:val="right" w:pos="9026"/>
              </w:tabs>
              <w:autoSpaceDE w:val="0"/>
              <w:autoSpaceDN w:val="0"/>
              <w:adjustRightInd w:val="0"/>
              <w:spacing w:after="0"/>
              <w:rPr>
                <w:rFonts w:ascii="Arial" w:hAnsi="Arial" w:cs="Arial"/>
                <w:color w:val="000000"/>
              </w:rPr>
            </w:pPr>
            <w:r w:rsidRPr="00791A09">
              <w:rPr>
                <w:rFonts w:ascii="Arial" w:hAnsi="Arial" w:cs="Arial"/>
                <w:color w:val="000000"/>
              </w:rPr>
              <w:t xml:space="preserve">Corruption either by government, the delivery partner or subcontractors which would result in a misuse of funds. </w:t>
            </w:r>
          </w:p>
          <w:p w14:paraId="30507C4D" w14:textId="77777777" w:rsidR="000B1D0E" w:rsidRPr="00791A09" w:rsidRDefault="000B1D0E" w:rsidP="001106E0">
            <w:pPr>
              <w:tabs>
                <w:tab w:val="center" w:pos="4513"/>
                <w:tab w:val="right" w:pos="9026"/>
              </w:tabs>
              <w:spacing w:after="0"/>
              <w:rPr>
                <w:rFonts w:ascii="Arial" w:hAnsi="Arial" w:cs="Arial"/>
                <w:noProof/>
              </w:rPr>
            </w:pPr>
          </w:p>
          <w:p w14:paraId="1ABD5810" w14:textId="77777777" w:rsidR="000B1D0E" w:rsidRPr="00791A09" w:rsidRDefault="000B1D0E" w:rsidP="001106E0">
            <w:pPr>
              <w:tabs>
                <w:tab w:val="center" w:pos="4513"/>
                <w:tab w:val="right" w:pos="9026"/>
              </w:tabs>
              <w:spacing w:after="0"/>
              <w:rPr>
                <w:rFonts w:ascii="Arial" w:hAnsi="Arial" w:cs="Arial"/>
                <w:noProof/>
              </w:rPr>
            </w:pPr>
          </w:p>
        </w:tc>
        <w:tc>
          <w:tcPr>
            <w:tcW w:w="1250" w:type="dxa"/>
          </w:tcPr>
          <w:p w14:paraId="6CE8193A" w14:textId="77777777" w:rsidR="000B1D0E" w:rsidRPr="00791A09" w:rsidRDefault="000B1D0E" w:rsidP="001106E0">
            <w:pPr>
              <w:tabs>
                <w:tab w:val="center" w:pos="4513"/>
                <w:tab w:val="right" w:pos="9026"/>
              </w:tabs>
              <w:spacing w:after="0"/>
              <w:rPr>
                <w:rFonts w:ascii="Arial" w:hAnsi="Arial" w:cs="Arial"/>
                <w:noProof/>
              </w:rPr>
            </w:pPr>
            <w:r w:rsidRPr="00791A09">
              <w:rPr>
                <w:rFonts w:ascii="Arial" w:hAnsi="Arial" w:cs="Arial"/>
                <w:noProof/>
              </w:rPr>
              <w:t>Possible</w:t>
            </w:r>
          </w:p>
        </w:tc>
        <w:tc>
          <w:tcPr>
            <w:tcW w:w="1439" w:type="dxa"/>
          </w:tcPr>
          <w:p w14:paraId="1F1CC7D9" w14:textId="77777777" w:rsidR="000B1D0E" w:rsidRPr="00791A09" w:rsidRDefault="000B1D0E" w:rsidP="001106E0">
            <w:pPr>
              <w:tabs>
                <w:tab w:val="center" w:pos="4513"/>
                <w:tab w:val="right" w:pos="9026"/>
              </w:tabs>
              <w:spacing w:after="0"/>
              <w:rPr>
                <w:rFonts w:ascii="Arial" w:hAnsi="Arial" w:cs="Arial"/>
                <w:noProof/>
              </w:rPr>
            </w:pPr>
            <w:r w:rsidRPr="00791A09">
              <w:rPr>
                <w:rFonts w:ascii="Arial" w:hAnsi="Arial" w:cs="Arial"/>
                <w:noProof/>
              </w:rPr>
              <w:t>Moderate</w:t>
            </w:r>
          </w:p>
        </w:tc>
        <w:tc>
          <w:tcPr>
            <w:tcW w:w="1379" w:type="dxa"/>
            <w:shd w:val="clear" w:color="auto" w:fill="FFC000"/>
          </w:tcPr>
          <w:p w14:paraId="2E2B9A63" w14:textId="77777777" w:rsidR="000B1D0E" w:rsidRDefault="000B1D0E" w:rsidP="001106E0">
            <w:pPr>
              <w:tabs>
                <w:tab w:val="center" w:pos="4513"/>
                <w:tab w:val="right" w:pos="9026"/>
              </w:tabs>
              <w:spacing w:after="0"/>
              <w:rPr>
                <w:rFonts w:ascii="Arial" w:hAnsi="Arial" w:cs="Arial"/>
                <w:noProof/>
              </w:rPr>
            </w:pPr>
          </w:p>
          <w:p w14:paraId="59CE978A" w14:textId="77777777" w:rsidR="000B1D0E" w:rsidRPr="00D73D46" w:rsidRDefault="000B1D0E" w:rsidP="001106E0">
            <w:pPr>
              <w:rPr>
                <w:rFonts w:ascii="Arial" w:hAnsi="Arial" w:cs="Arial"/>
              </w:rPr>
            </w:pPr>
          </w:p>
        </w:tc>
        <w:tc>
          <w:tcPr>
            <w:tcW w:w="3327" w:type="dxa"/>
          </w:tcPr>
          <w:p w14:paraId="65985F39" w14:textId="77777777" w:rsidR="000B1D0E" w:rsidRPr="00791A09" w:rsidRDefault="000B1D0E" w:rsidP="001106E0">
            <w:pPr>
              <w:tabs>
                <w:tab w:val="center" w:pos="4513"/>
                <w:tab w:val="right" w:pos="9026"/>
              </w:tabs>
              <w:spacing w:after="0"/>
              <w:rPr>
                <w:rFonts w:ascii="Arial" w:hAnsi="Arial" w:cs="Arial"/>
                <w:noProof/>
              </w:rPr>
            </w:pPr>
            <w:r w:rsidRPr="00791A09">
              <w:rPr>
                <w:rFonts w:ascii="Arial" w:hAnsi="Arial" w:cs="Arial"/>
                <w:noProof/>
              </w:rPr>
              <w:t>No change</w:t>
            </w:r>
          </w:p>
        </w:tc>
        <w:tc>
          <w:tcPr>
            <w:tcW w:w="4567" w:type="dxa"/>
          </w:tcPr>
          <w:p w14:paraId="218A0299" w14:textId="77777777" w:rsidR="000B1D0E" w:rsidRPr="00791A09" w:rsidRDefault="000B1D0E" w:rsidP="001106E0">
            <w:pPr>
              <w:tabs>
                <w:tab w:val="center" w:pos="4513"/>
                <w:tab w:val="right" w:pos="9026"/>
              </w:tabs>
              <w:autoSpaceDE w:val="0"/>
              <w:autoSpaceDN w:val="0"/>
              <w:adjustRightInd w:val="0"/>
              <w:spacing w:after="0"/>
              <w:rPr>
                <w:rFonts w:ascii="Arial" w:hAnsi="Arial" w:cs="Arial"/>
                <w:color w:val="000000"/>
              </w:rPr>
            </w:pPr>
            <w:proofErr w:type="gramStart"/>
            <w:r w:rsidRPr="00791A09">
              <w:rPr>
                <w:rFonts w:ascii="Arial" w:hAnsi="Arial" w:cs="Arial"/>
                <w:color w:val="000000"/>
              </w:rPr>
              <w:t>A number of</w:t>
            </w:r>
            <w:proofErr w:type="gramEnd"/>
            <w:r w:rsidRPr="00791A09">
              <w:rPr>
                <w:rFonts w:ascii="Arial" w:hAnsi="Arial" w:cs="Arial"/>
                <w:color w:val="000000"/>
              </w:rPr>
              <w:t xml:space="preserve"> audits have been conducted on WRI including their own annual, publicly available external financial audits, audits for Defra and another major donor for different periods within the course of the investment and a range of due diligence/audit management reports for DfID and BEIS who have also contracted work from WRI.  These audits consistently demonstrate that WRI have appropriate procedures and processes in place to address fraud within their own organisation and subcontractors. All WRI’s downstream partners and subcontractors will be subject to a due diligence assessment and must comply with WRI’s own fraud/corruption policies. </w:t>
            </w:r>
          </w:p>
          <w:p w14:paraId="469268D8" w14:textId="77777777" w:rsidR="000B1D0E" w:rsidRPr="00791A09" w:rsidRDefault="000B1D0E" w:rsidP="001106E0">
            <w:pPr>
              <w:tabs>
                <w:tab w:val="center" w:pos="4513"/>
                <w:tab w:val="right" w:pos="9026"/>
              </w:tabs>
              <w:autoSpaceDE w:val="0"/>
              <w:autoSpaceDN w:val="0"/>
              <w:adjustRightInd w:val="0"/>
              <w:spacing w:after="0"/>
              <w:rPr>
                <w:rFonts w:ascii="Arial" w:hAnsi="Arial" w:cs="Arial"/>
                <w:color w:val="000000"/>
              </w:rPr>
            </w:pPr>
            <w:r w:rsidRPr="00791A09">
              <w:rPr>
                <w:rFonts w:ascii="Arial" w:hAnsi="Arial" w:cs="Arial"/>
                <w:color w:val="000000"/>
              </w:rPr>
              <w:lastRenderedPageBreak/>
              <w:t xml:space="preserve">As fund managers, WRI will be required to alert Defra to any concerns over the misuse of funds. In the event of corruption and/or fraud, the programme may be suspended pending investigation and Defra will have the right to withdraw or terminate funding. </w:t>
            </w:r>
          </w:p>
          <w:p w14:paraId="79CD0852" w14:textId="77777777" w:rsidR="000B1D0E" w:rsidRPr="00791A09" w:rsidRDefault="000B1D0E" w:rsidP="001106E0">
            <w:pPr>
              <w:tabs>
                <w:tab w:val="center" w:pos="4513"/>
                <w:tab w:val="right" w:pos="9026"/>
              </w:tabs>
              <w:spacing w:after="0"/>
              <w:rPr>
                <w:rFonts w:ascii="Arial" w:hAnsi="Arial" w:cs="Arial"/>
              </w:rPr>
            </w:pPr>
            <w:r w:rsidRPr="00791A09">
              <w:rPr>
                <w:rFonts w:ascii="Arial" w:hAnsi="Arial" w:cs="Arial"/>
              </w:rPr>
              <w:t xml:space="preserve">WRI policy is that subcontractors are paid after activities have been completed. </w:t>
            </w:r>
          </w:p>
          <w:p w14:paraId="49C53A88" w14:textId="77777777" w:rsidR="000B1D0E" w:rsidRPr="00791A09" w:rsidRDefault="000B1D0E" w:rsidP="001106E0">
            <w:pPr>
              <w:tabs>
                <w:tab w:val="center" w:pos="4513"/>
                <w:tab w:val="right" w:pos="9026"/>
              </w:tabs>
              <w:spacing w:after="0"/>
              <w:rPr>
                <w:rFonts w:ascii="Arial" w:hAnsi="Arial" w:cs="Arial"/>
                <w:noProof/>
              </w:rPr>
            </w:pPr>
          </w:p>
        </w:tc>
      </w:tr>
    </w:tbl>
    <w:p w14:paraId="35715AB6" w14:textId="77777777" w:rsidR="000B1D0E" w:rsidRPr="00791A09" w:rsidRDefault="000B1D0E" w:rsidP="000B1D0E">
      <w:pPr>
        <w:spacing w:after="0" w:line="240" w:lineRule="auto"/>
        <w:rPr>
          <w:rFonts w:ascii="Arial" w:eastAsia="Times New Roman" w:hAnsi="Arial" w:cs="Arial"/>
          <w:noProof/>
          <w:sz w:val="20"/>
          <w:szCs w:val="20"/>
        </w:rPr>
      </w:pPr>
    </w:p>
    <w:p w14:paraId="58B1C691" w14:textId="77777777" w:rsidR="000B1D0E" w:rsidRPr="00791A09" w:rsidRDefault="000B1D0E" w:rsidP="000B1D0E">
      <w:pPr>
        <w:spacing w:after="0" w:line="240" w:lineRule="auto"/>
        <w:rPr>
          <w:rFonts w:ascii="Arial" w:eastAsia="Times New Roman" w:hAnsi="Arial" w:cs="Arial"/>
          <w:sz w:val="20"/>
          <w:szCs w:val="20"/>
        </w:rPr>
      </w:pPr>
    </w:p>
    <w:p w14:paraId="371B8956" w14:textId="77777777" w:rsidR="000B1D0E" w:rsidRPr="00791A09" w:rsidRDefault="000B1D0E" w:rsidP="000B1D0E">
      <w:pPr>
        <w:spacing w:after="0" w:line="240" w:lineRule="auto"/>
        <w:rPr>
          <w:rFonts w:ascii="Arial" w:eastAsia="Times New Roman" w:hAnsi="Arial" w:cs="Arial"/>
          <w:sz w:val="20"/>
          <w:szCs w:val="20"/>
        </w:rPr>
      </w:pPr>
    </w:p>
    <w:p w14:paraId="367067DB" w14:textId="77777777" w:rsidR="000B1D0E" w:rsidRPr="00791A09" w:rsidRDefault="000B1D0E" w:rsidP="000B1D0E">
      <w:pPr>
        <w:spacing w:after="0" w:line="240" w:lineRule="auto"/>
        <w:rPr>
          <w:rFonts w:ascii="Arial" w:eastAsia="Times New Roman" w:hAnsi="Arial" w:cs="Arial"/>
          <w:sz w:val="20"/>
          <w:szCs w:val="20"/>
        </w:rPr>
      </w:pPr>
    </w:p>
    <w:p w14:paraId="114D1E91" w14:textId="77777777" w:rsidR="000B1D0E" w:rsidRPr="00791A09" w:rsidRDefault="000B1D0E" w:rsidP="000B1D0E">
      <w:pPr>
        <w:spacing w:after="0" w:line="240" w:lineRule="auto"/>
        <w:rPr>
          <w:rFonts w:ascii="Arial" w:eastAsia="Times New Roman" w:hAnsi="Arial" w:cs="Arial"/>
          <w:sz w:val="20"/>
          <w:szCs w:val="20"/>
        </w:rPr>
      </w:pPr>
    </w:p>
    <w:p w14:paraId="569A6AA1" w14:textId="77777777" w:rsidR="000B1D0E" w:rsidRPr="00791A09" w:rsidRDefault="000B1D0E" w:rsidP="000B1D0E">
      <w:pPr>
        <w:spacing w:after="0" w:line="240" w:lineRule="auto"/>
        <w:rPr>
          <w:rFonts w:ascii="Arial" w:eastAsia="Times New Roman" w:hAnsi="Arial" w:cs="Arial"/>
          <w:sz w:val="20"/>
          <w:szCs w:val="20"/>
        </w:rPr>
      </w:pPr>
    </w:p>
    <w:p w14:paraId="7CF9870A" w14:textId="77777777" w:rsidR="000B1D0E" w:rsidRPr="00791A09" w:rsidRDefault="000B1D0E" w:rsidP="000B1D0E">
      <w:pPr>
        <w:spacing w:after="0" w:line="240" w:lineRule="auto"/>
        <w:rPr>
          <w:rFonts w:ascii="Arial" w:eastAsia="Times New Roman" w:hAnsi="Arial" w:cs="Arial"/>
          <w:sz w:val="20"/>
          <w:szCs w:val="20"/>
        </w:rPr>
      </w:pPr>
    </w:p>
    <w:p w14:paraId="0BBE81B3" w14:textId="77777777" w:rsidR="000B1D0E" w:rsidRPr="00791A09" w:rsidRDefault="000B1D0E" w:rsidP="000B1D0E">
      <w:pPr>
        <w:spacing w:after="0" w:line="240" w:lineRule="auto"/>
        <w:rPr>
          <w:rFonts w:ascii="Arial" w:eastAsia="Times New Roman" w:hAnsi="Arial" w:cs="Arial"/>
          <w:sz w:val="20"/>
          <w:szCs w:val="20"/>
        </w:rPr>
      </w:pPr>
    </w:p>
    <w:p w14:paraId="26825545" w14:textId="77777777" w:rsidR="000B1D0E" w:rsidRPr="00791A09" w:rsidRDefault="000B1D0E" w:rsidP="000B1D0E">
      <w:pPr>
        <w:spacing w:after="0" w:line="240" w:lineRule="auto"/>
        <w:rPr>
          <w:rFonts w:ascii="Arial" w:eastAsia="Times New Roman" w:hAnsi="Arial" w:cs="Arial"/>
          <w:sz w:val="20"/>
          <w:szCs w:val="20"/>
        </w:rPr>
      </w:pPr>
    </w:p>
    <w:p w14:paraId="710DF61B" w14:textId="77777777" w:rsidR="000B1D0E" w:rsidRPr="00791A09" w:rsidRDefault="000B1D0E" w:rsidP="000B1D0E">
      <w:pPr>
        <w:spacing w:after="0" w:line="240" w:lineRule="auto"/>
        <w:rPr>
          <w:rFonts w:ascii="Arial" w:eastAsia="Times New Roman" w:hAnsi="Arial" w:cs="Arial"/>
          <w:b/>
          <w:bCs/>
          <w:sz w:val="20"/>
          <w:szCs w:val="20"/>
        </w:rPr>
      </w:pPr>
    </w:p>
    <w:p w14:paraId="3FA752EF" w14:textId="77777777" w:rsidR="000B1D0E" w:rsidRPr="00791A09" w:rsidRDefault="000B1D0E" w:rsidP="000B1D0E">
      <w:pPr>
        <w:spacing w:after="0" w:line="240" w:lineRule="auto"/>
        <w:rPr>
          <w:rFonts w:ascii="Arial" w:eastAsia="Times New Roman" w:hAnsi="Arial" w:cs="Arial"/>
          <w:sz w:val="20"/>
          <w:szCs w:val="20"/>
        </w:rPr>
      </w:pPr>
    </w:p>
    <w:p w14:paraId="11256EAC" w14:textId="77777777" w:rsidR="000B1D0E" w:rsidRPr="00791A09" w:rsidRDefault="000B1D0E" w:rsidP="000B1D0E">
      <w:pPr>
        <w:spacing w:after="0" w:line="240" w:lineRule="auto"/>
        <w:rPr>
          <w:rFonts w:ascii="Arial" w:eastAsia="Times New Roman" w:hAnsi="Arial" w:cs="Arial"/>
          <w:sz w:val="20"/>
          <w:szCs w:val="20"/>
        </w:rPr>
      </w:pPr>
    </w:p>
    <w:p w14:paraId="641379C6" w14:textId="77777777" w:rsidR="000B1D0E" w:rsidRDefault="000B1D0E" w:rsidP="000B1D0E">
      <w:pPr>
        <w:rPr>
          <w:sz w:val="20"/>
          <w:szCs w:val="20"/>
        </w:rPr>
      </w:pPr>
    </w:p>
    <w:p w14:paraId="5A339119" w14:textId="77777777" w:rsidR="000B1D0E" w:rsidRDefault="000B1D0E" w:rsidP="000B1D0E">
      <w:pPr>
        <w:rPr>
          <w:sz w:val="20"/>
          <w:szCs w:val="20"/>
        </w:rPr>
      </w:pPr>
    </w:p>
    <w:p w14:paraId="075242B4" w14:textId="77777777" w:rsidR="000B1D0E" w:rsidRDefault="000B1D0E" w:rsidP="000B1D0E">
      <w:pPr>
        <w:rPr>
          <w:sz w:val="20"/>
          <w:szCs w:val="20"/>
        </w:rPr>
      </w:pPr>
    </w:p>
    <w:p w14:paraId="79D5A5F7" w14:textId="77777777" w:rsidR="000B1D0E" w:rsidRDefault="000B1D0E" w:rsidP="000B1D0E">
      <w:pPr>
        <w:rPr>
          <w:sz w:val="20"/>
          <w:szCs w:val="20"/>
        </w:rPr>
      </w:pPr>
    </w:p>
    <w:p w14:paraId="144CE5E0" w14:textId="77777777" w:rsidR="000B1D0E" w:rsidRDefault="000B1D0E" w:rsidP="000B1D0E">
      <w:pPr>
        <w:rPr>
          <w:sz w:val="20"/>
          <w:szCs w:val="20"/>
        </w:rPr>
      </w:pPr>
    </w:p>
    <w:p w14:paraId="651B80A3" w14:textId="77777777" w:rsidR="000B1D0E" w:rsidRDefault="000B1D0E" w:rsidP="000B1D0E">
      <w:pPr>
        <w:rPr>
          <w:sz w:val="20"/>
          <w:szCs w:val="20"/>
        </w:rPr>
      </w:pPr>
    </w:p>
    <w:p w14:paraId="6B22EB3E" w14:textId="77777777" w:rsidR="000B1D0E" w:rsidRDefault="000B1D0E" w:rsidP="000B1D0E">
      <w:pPr>
        <w:rPr>
          <w:sz w:val="20"/>
          <w:szCs w:val="20"/>
        </w:rPr>
      </w:pPr>
    </w:p>
    <w:p w14:paraId="35A7974B" w14:textId="77777777" w:rsidR="000B1D0E" w:rsidRDefault="000B1D0E" w:rsidP="000B1D0E">
      <w:pPr>
        <w:rPr>
          <w:sz w:val="20"/>
          <w:szCs w:val="20"/>
        </w:rPr>
      </w:pPr>
    </w:p>
    <w:p w14:paraId="7963F621" w14:textId="77777777" w:rsidR="000B1D0E" w:rsidRDefault="000B1D0E" w:rsidP="000B1D0E">
      <w:pPr>
        <w:rPr>
          <w:sz w:val="20"/>
          <w:szCs w:val="20"/>
        </w:rPr>
      </w:pPr>
    </w:p>
    <w:p w14:paraId="0AE640AF" w14:textId="77777777" w:rsidR="000B1D0E" w:rsidRDefault="000B1D0E" w:rsidP="000B1D0E">
      <w:pPr>
        <w:rPr>
          <w:sz w:val="20"/>
          <w:szCs w:val="20"/>
        </w:rPr>
      </w:pPr>
    </w:p>
    <w:p w14:paraId="3E4C343E" w14:textId="77777777" w:rsidR="000B1D0E" w:rsidRDefault="000B1D0E" w:rsidP="000B1D0E">
      <w:pPr>
        <w:rPr>
          <w:rFonts w:ascii="Arial" w:hAnsi="Arial" w:cs="Arial"/>
          <w:b/>
          <w:bCs/>
          <w:sz w:val="20"/>
          <w:szCs w:val="20"/>
          <w:u w:val="single"/>
        </w:rPr>
      </w:pPr>
      <w:r w:rsidRPr="00E725A1">
        <w:rPr>
          <w:rFonts w:ascii="Arial" w:hAnsi="Arial" w:cs="Arial"/>
          <w:b/>
          <w:bCs/>
          <w:sz w:val="20"/>
          <w:szCs w:val="20"/>
          <w:u w:val="single"/>
        </w:rPr>
        <w:lastRenderedPageBreak/>
        <w:t xml:space="preserve">Annex C: Cities4Forests funding </w:t>
      </w:r>
      <w:proofErr w:type="gramStart"/>
      <w:r w:rsidRPr="00E725A1">
        <w:rPr>
          <w:rFonts w:ascii="Arial" w:hAnsi="Arial" w:cs="Arial"/>
          <w:b/>
          <w:bCs/>
          <w:sz w:val="20"/>
          <w:szCs w:val="20"/>
          <w:u w:val="single"/>
        </w:rPr>
        <w:t>leveraged</w:t>
      </w:r>
      <w:proofErr w:type="gramEnd"/>
    </w:p>
    <w:p w14:paraId="0C7D10FC" w14:textId="77777777" w:rsidR="000B1D0E" w:rsidRPr="00E725A1" w:rsidRDefault="000B1D0E" w:rsidP="000B1D0E">
      <w:pPr>
        <w:rPr>
          <w:rFonts w:ascii="Arial" w:hAnsi="Arial" w:cs="Arial"/>
          <w:sz w:val="20"/>
          <w:szCs w:val="20"/>
        </w:rPr>
      </w:pPr>
      <w:r w:rsidRPr="00E725A1">
        <w:rPr>
          <w:rFonts w:ascii="Arial" w:hAnsi="Arial" w:cs="Arial"/>
          <w:sz w:val="20"/>
          <w:szCs w:val="20"/>
        </w:rPr>
        <w:t xml:space="preserve">Note: The list below represents Cities4Forests activities and outcomes primary funded outside of Defra. It is meant to be representative, rather than exhaustive. Cities4Forests is increasingly looking to connect our Defra workplan with these workstreams </w:t>
      </w:r>
      <w:proofErr w:type="gramStart"/>
      <w:r w:rsidRPr="00E725A1">
        <w:rPr>
          <w:rFonts w:ascii="Arial" w:hAnsi="Arial" w:cs="Arial"/>
          <w:sz w:val="20"/>
          <w:szCs w:val="20"/>
        </w:rPr>
        <w:t>in order to</w:t>
      </w:r>
      <w:proofErr w:type="gramEnd"/>
      <w:r w:rsidRPr="00E725A1">
        <w:rPr>
          <w:rFonts w:ascii="Arial" w:hAnsi="Arial" w:cs="Arial"/>
          <w:sz w:val="20"/>
          <w:szCs w:val="20"/>
        </w:rPr>
        <w:t xml:space="preserve"> share knowledge across projects and geographies and leverage opportunities for collaboration. For example, we are working to apply approaches tested in the U.S. and Europe (such as the Forest Resilience Bond) and contextualize them in the Global South. </w:t>
      </w:r>
      <w:r>
        <w:rPr>
          <w:rFonts w:ascii="Arial" w:hAnsi="Arial" w:cs="Arial"/>
          <w:sz w:val="20"/>
          <w:szCs w:val="20"/>
        </w:rPr>
        <w:t>T</w:t>
      </w:r>
      <w:r w:rsidRPr="00E725A1">
        <w:rPr>
          <w:rFonts w:ascii="Arial" w:hAnsi="Arial" w:cs="Arial"/>
          <w:sz w:val="20"/>
          <w:szCs w:val="20"/>
        </w:rPr>
        <w:t>he list below also includes work funded by all other members of the Donor Advisory Committee (DAC), including NICFI, the FEMSA Foundation, the CAT Foundation, and the U.S. Endowment for Forestry &amp; Communities.</w:t>
      </w:r>
    </w:p>
    <w:p w14:paraId="35013A96" w14:textId="77777777" w:rsidR="000B1D0E" w:rsidRPr="00E725A1" w:rsidRDefault="000B1D0E" w:rsidP="000B1D0E">
      <w:pPr>
        <w:pStyle w:val="Default"/>
        <w:rPr>
          <w:rFonts w:ascii="Arial" w:hAnsi="Arial" w:cs="Arial"/>
          <w:sz w:val="20"/>
          <w:szCs w:val="20"/>
        </w:rPr>
      </w:pP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75"/>
        <w:gridCol w:w="10559"/>
        <w:gridCol w:w="147"/>
      </w:tblGrid>
      <w:tr w:rsidR="000B1D0E" w:rsidRPr="00E725A1" w14:paraId="7F1614BB" w14:textId="77777777" w:rsidTr="001106E0">
        <w:trPr>
          <w:trHeight w:val="391"/>
        </w:trPr>
        <w:tc>
          <w:tcPr>
            <w:tcW w:w="15281" w:type="dxa"/>
            <w:gridSpan w:val="3"/>
          </w:tcPr>
          <w:p w14:paraId="0B315853" w14:textId="77777777" w:rsidR="000B1D0E" w:rsidRPr="00203EAA" w:rsidRDefault="000B1D0E" w:rsidP="001106E0">
            <w:pPr>
              <w:pStyle w:val="Default"/>
              <w:rPr>
                <w:rFonts w:ascii="Arial" w:hAnsi="Arial" w:cs="Arial"/>
                <w:b/>
                <w:bCs/>
                <w:sz w:val="20"/>
                <w:szCs w:val="20"/>
              </w:rPr>
            </w:pPr>
            <w:r w:rsidRPr="00203EAA">
              <w:rPr>
                <w:rFonts w:ascii="Arial" w:hAnsi="Arial" w:cs="Arial"/>
                <w:b/>
                <w:bCs/>
                <w:sz w:val="20"/>
                <w:szCs w:val="20"/>
              </w:rPr>
              <w:t>United States</w:t>
            </w:r>
          </w:p>
        </w:tc>
      </w:tr>
      <w:tr w:rsidR="000B1D0E" w:rsidRPr="00E725A1" w14:paraId="397D7AD5" w14:textId="77777777" w:rsidTr="001106E0">
        <w:trPr>
          <w:trHeight w:val="1856"/>
        </w:trPr>
        <w:tc>
          <w:tcPr>
            <w:tcW w:w="4575" w:type="dxa"/>
          </w:tcPr>
          <w:p w14:paraId="0D264D10" w14:textId="77777777" w:rsidR="000B1D0E" w:rsidRPr="00E725A1" w:rsidRDefault="000B1D0E" w:rsidP="001106E0">
            <w:pPr>
              <w:pStyle w:val="Default"/>
              <w:rPr>
                <w:rFonts w:ascii="Arial" w:hAnsi="Arial" w:cs="Arial"/>
                <w:sz w:val="20"/>
                <w:szCs w:val="20"/>
              </w:rPr>
            </w:pPr>
            <w:r w:rsidRPr="00E725A1">
              <w:rPr>
                <w:rFonts w:ascii="Arial" w:hAnsi="Arial" w:cs="Arial"/>
                <w:sz w:val="20"/>
                <w:szCs w:val="20"/>
              </w:rPr>
              <w:t xml:space="preserve">U.S. corporate </w:t>
            </w:r>
            <w:proofErr w:type="spellStart"/>
            <w:r w:rsidRPr="00E725A1">
              <w:rPr>
                <w:rFonts w:ascii="Arial" w:hAnsi="Arial" w:cs="Arial"/>
                <w:sz w:val="20"/>
                <w:szCs w:val="20"/>
              </w:rPr>
              <w:t>N</w:t>
            </w:r>
            <w:r>
              <w:rPr>
                <w:rFonts w:ascii="Arial" w:hAnsi="Arial" w:cs="Arial"/>
                <w:sz w:val="20"/>
                <w:szCs w:val="20"/>
              </w:rPr>
              <w:t>b</w:t>
            </w:r>
            <w:r w:rsidRPr="00E725A1">
              <w:rPr>
                <w:rFonts w:ascii="Arial" w:hAnsi="Arial" w:cs="Arial"/>
                <w:sz w:val="20"/>
                <w:szCs w:val="20"/>
              </w:rPr>
              <w:t>S</w:t>
            </w:r>
            <w:proofErr w:type="spellEnd"/>
            <w:r w:rsidRPr="00E725A1">
              <w:rPr>
                <w:rFonts w:ascii="Arial" w:hAnsi="Arial" w:cs="Arial"/>
                <w:sz w:val="20"/>
                <w:szCs w:val="20"/>
              </w:rPr>
              <w:t xml:space="preserve"> work (USFS) </w:t>
            </w:r>
          </w:p>
        </w:tc>
        <w:tc>
          <w:tcPr>
            <w:tcW w:w="10706" w:type="dxa"/>
            <w:gridSpan w:val="2"/>
          </w:tcPr>
          <w:p w14:paraId="11670D7F" w14:textId="77777777" w:rsidR="000B1D0E" w:rsidRPr="00E725A1" w:rsidRDefault="000B1D0E" w:rsidP="001106E0">
            <w:pPr>
              <w:pStyle w:val="Default"/>
              <w:rPr>
                <w:rFonts w:ascii="Arial" w:hAnsi="Arial" w:cs="Arial"/>
                <w:sz w:val="20"/>
                <w:szCs w:val="20"/>
              </w:rPr>
            </w:pPr>
            <w:r w:rsidRPr="00E725A1">
              <w:rPr>
                <w:rFonts w:ascii="Arial" w:hAnsi="Arial" w:cs="Arial"/>
                <w:sz w:val="20"/>
                <w:szCs w:val="20"/>
              </w:rPr>
              <w:t xml:space="preserve">Cities4Forests has secured funding from the </w:t>
            </w:r>
            <w:r w:rsidRPr="00E725A1">
              <w:rPr>
                <w:rFonts w:ascii="Arial" w:hAnsi="Arial" w:cs="Arial"/>
                <w:b/>
                <w:bCs/>
                <w:sz w:val="20"/>
                <w:szCs w:val="20"/>
              </w:rPr>
              <w:t xml:space="preserve">United States Forest Service (USFS) </w:t>
            </w:r>
            <w:r w:rsidRPr="00E725A1">
              <w:rPr>
                <w:rFonts w:ascii="Arial" w:hAnsi="Arial" w:cs="Arial"/>
                <w:sz w:val="20"/>
                <w:szCs w:val="20"/>
              </w:rPr>
              <w:t xml:space="preserve">to unlock increased corporate investment in </w:t>
            </w:r>
            <w:proofErr w:type="spellStart"/>
            <w:r w:rsidRPr="00E725A1">
              <w:rPr>
                <w:rFonts w:ascii="Arial" w:hAnsi="Arial" w:cs="Arial"/>
                <w:sz w:val="20"/>
                <w:szCs w:val="20"/>
              </w:rPr>
              <w:t>N</w:t>
            </w:r>
            <w:r>
              <w:rPr>
                <w:rFonts w:ascii="Arial" w:hAnsi="Arial" w:cs="Arial"/>
                <w:sz w:val="20"/>
                <w:szCs w:val="20"/>
              </w:rPr>
              <w:t>b</w:t>
            </w:r>
            <w:r w:rsidRPr="00E725A1">
              <w:rPr>
                <w:rFonts w:ascii="Arial" w:hAnsi="Arial" w:cs="Arial"/>
                <w:sz w:val="20"/>
                <w:szCs w:val="20"/>
              </w:rPr>
              <w:t>S</w:t>
            </w:r>
            <w:proofErr w:type="spellEnd"/>
            <w:r w:rsidRPr="00E725A1">
              <w:rPr>
                <w:rFonts w:ascii="Arial" w:hAnsi="Arial" w:cs="Arial"/>
                <w:sz w:val="20"/>
                <w:szCs w:val="20"/>
              </w:rPr>
              <w:t xml:space="preserve">. This work is detailed in our recent article </w:t>
            </w:r>
            <w:r w:rsidRPr="00E725A1">
              <w:rPr>
                <w:rFonts w:ascii="Arial" w:hAnsi="Arial" w:cs="Arial"/>
                <w:i/>
                <w:iCs/>
                <w:sz w:val="20"/>
                <w:szCs w:val="20"/>
              </w:rPr>
              <w:t>How Nature-based Solutions Can Protect Businesses from Water Risks</w:t>
            </w:r>
            <w:r w:rsidRPr="00E725A1">
              <w:rPr>
                <w:rFonts w:ascii="Arial" w:hAnsi="Arial" w:cs="Arial"/>
                <w:sz w:val="20"/>
                <w:szCs w:val="20"/>
              </w:rPr>
              <w:t xml:space="preserve">. It highlights </w:t>
            </w:r>
            <w:proofErr w:type="spellStart"/>
            <w:r w:rsidRPr="00E725A1">
              <w:rPr>
                <w:rFonts w:ascii="Arial" w:hAnsi="Arial" w:cs="Arial"/>
                <w:sz w:val="20"/>
                <w:szCs w:val="20"/>
              </w:rPr>
              <w:t>N</w:t>
            </w:r>
            <w:r>
              <w:rPr>
                <w:rFonts w:ascii="Arial" w:hAnsi="Arial" w:cs="Arial"/>
                <w:sz w:val="20"/>
                <w:szCs w:val="20"/>
              </w:rPr>
              <w:t>b</w:t>
            </w:r>
            <w:r w:rsidRPr="00E725A1">
              <w:rPr>
                <w:rFonts w:ascii="Arial" w:hAnsi="Arial" w:cs="Arial"/>
                <w:sz w:val="20"/>
                <w:szCs w:val="20"/>
              </w:rPr>
              <w:t>S</w:t>
            </w:r>
            <w:proofErr w:type="spellEnd"/>
            <w:r w:rsidRPr="00E725A1">
              <w:rPr>
                <w:rFonts w:ascii="Arial" w:hAnsi="Arial" w:cs="Arial"/>
                <w:sz w:val="20"/>
                <w:szCs w:val="20"/>
              </w:rPr>
              <w:t xml:space="preserve"> projects we are supporting in Washington, Oregon, California, Texas, New Mexico, Utah, and South Carolina. Cities4Forests and its partners are leveraging 30+ Fortune 500 corporate partners to increase investment in watershed health and forest resilience by connecting these corporations to investment-ready projects on national forests and adjacent landscapes. Initial corporate contributions have been secured by Danone, Target, Hunter Industries, Procter and Gamble, Google, Intel, and Meta. This includes investment in the innovative financing mechanism, known as the Forest Resilience Bond, which in October 2021 raised over $25 million to restore 48,000 acres in the Tahoe National Forest in California. </w:t>
            </w:r>
          </w:p>
        </w:tc>
      </w:tr>
      <w:tr w:rsidR="000B1D0E" w:rsidRPr="00E725A1" w14:paraId="03E02B80" w14:textId="77777777" w:rsidTr="001106E0">
        <w:trPr>
          <w:trHeight w:val="1318"/>
        </w:trPr>
        <w:tc>
          <w:tcPr>
            <w:tcW w:w="4575" w:type="dxa"/>
          </w:tcPr>
          <w:p w14:paraId="1DDE11FA" w14:textId="77777777" w:rsidR="000B1D0E" w:rsidRPr="00E725A1" w:rsidRDefault="000B1D0E" w:rsidP="001106E0">
            <w:pPr>
              <w:pStyle w:val="Default"/>
              <w:rPr>
                <w:rFonts w:ascii="Arial" w:hAnsi="Arial" w:cs="Arial"/>
                <w:sz w:val="20"/>
                <w:szCs w:val="20"/>
              </w:rPr>
            </w:pPr>
            <w:r w:rsidRPr="00E725A1">
              <w:rPr>
                <w:rFonts w:ascii="Arial" w:hAnsi="Arial" w:cs="Arial"/>
                <w:sz w:val="20"/>
                <w:szCs w:val="20"/>
              </w:rPr>
              <w:t xml:space="preserve">Summit County (US Endowment for Forestry &amp; Communities) </w:t>
            </w:r>
          </w:p>
        </w:tc>
        <w:tc>
          <w:tcPr>
            <w:tcW w:w="10706" w:type="dxa"/>
            <w:gridSpan w:val="2"/>
          </w:tcPr>
          <w:p w14:paraId="6B645A11" w14:textId="77777777" w:rsidR="000B1D0E" w:rsidRPr="00E725A1" w:rsidRDefault="000B1D0E" w:rsidP="001106E0">
            <w:pPr>
              <w:pStyle w:val="Default"/>
              <w:rPr>
                <w:rFonts w:ascii="Arial" w:hAnsi="Arial" w:cs="Arial"/>
                <w:sz w:val="20"/>
                <w:szCs w:val="20"/>
              </w:rPr>
            </w:pPr>
            <w:r w:rsidRPr="00E725A1">
              <w:rPr>
                <w:rFonts w:ascii="Arial" w:hAnsi="Arial" w:cs="Arial"/>
                <w:sz w:val="20"/>
                <w:szCs w:val="20"/>
              </w:rPr>
              <w:t xml:space="preserve">In Utah, WRI is using support from the </w:t>
            </w:r>
            <w:r w:rsidRPr="00E725A1">
              <w:rPr>
                <w:rFonts w:ascii="Arial" w:hAnsi="Arial" w:cs="Arial"/>
                <w:b/>
                <w:bCs/>
                <w:sz w:val="20"/>
                <w:szCs w:val="20"/>
              </w:rPr>
              <w:t xml:space="preserve">U.S. Endowment for Forestry &amp; Communities </w:t>
            </w:r>
            <w:r w:rsidRPr="00E725A1">
              <w:rPr>
                <w:rFonts w:ascii="Arial" w:hAnsi="Arial" w:cs="Arial"/>
                <w:sz w:val="20"/>
                <w:szCs w:val="20"/>
              </w:rPr>
              <w:t xml:space="preserve">to support Summit County, the USFS, Utah Shared Stewardship, Utah’s Watershed Restoration Initiative, and local water utilities including Mountain Regional Water District and the Weber Basin Conservancy District with the establishment of a Resilience Fund that will leverage public-private contributions to pay for the upfront costs of fuel reduction treatments across 75,000 acres of public and private lands and invest in a $10 million endowment to pay for re-entry maintenance to safeguard communities, water supplies, and a recreation economy for years to come. </w:t>
            </w:r>
          </w:p>
        </w:tc>
      </w:tr>
      <w:tr w:rsidR="000B1D0E" w:rsidRPr="00E725A1" w14:paraId="3F64B24A" w14:textId="77777777" w:rsidTr="001106E0">
        <w:trPr>
          <w:trHeight w:val="1453"/>
        </w:trPr>
        <w:tc>
          <w:tcPr>
            <w:tcW w:w="4575" w:type="dxa"/>
          </w:tcPr>
          <w:p w14:paraId="49F18193" w14:textId="77777777" w:rsidR="000B1D0E" w:rsidRPr="00E725A1" w:rsidRDefault="000B1D0E" w:rsidP="001106E0">
            <w:pPr>
              <w:pStyle w:val="Default"/>
              <w:rPr>
                <w:rFonts w:ascii="Arial" w:hAnsi="Arial" w:cs="Arial"/>
                <w:sz w:val="20"/>
                <w:szCs w:val="20"/>
              </w:rPr>
            </w:pPr>
            <w:r w:rsidRPr="00E725A1">
              <w:rPr>
                <w:rFonts w:ascii="Arial" w:hAnsi="Arial" w:cs="Arial"/>
                <w:sz w:val="20"/>
                <w:szCs w:val="20"/>
              </w:rPr>
              <w:t xml:space="preserve">Cambium (Doris Duke) </w:t>
            </w:r>
          </w:p>
        </w:tc>
        <w:tc>
          <w:tcPr>
            <w:tcW w:w="10706" w:type="dxa"/>
            <w:gridSpan w:val="2"/>
          </w:tcPr>
          <w:p w14:paraId="5104C775" w14:textId="77777777" w:rsidR="000B1D0E" w:rsidRPr="00E725A1" w:rsidRDefault="000B1D0E" w:rsidP="001106E0">
            <w:pPr>
              <w:pStyle w:val="Default"/>
              <w:rPr>
                <w:rFonts w:ascii="Arial" w:hAnsi="Arial" w:cs="Arial"/>
                <w:sz w:val="20"/>
                <w:szCs w:val="20"/>
              </w:rPr>
            </w:pPr>
            <w:r w:rsidRPr="00E725A1">
              <w:rPr>
                <w:rFonts w:ascii="Arial" w:hAnsi="Arial" w:cs="Arial"/>
                <w:sz w:val="20"/>
                <w:szCs w:val="20"/>
              </w:rPr>
              <w:t xml:space="preserve">Cities4Forests has leveraged funding from the </w:t>
            </w:r>
            <w:r w:rsidRPr="00E725A1">
              <w:rPr>
                <w:rFonts w:ascii="Arial" w:hAnsi="Arial" w:cs="Arial"/>
                <w:b/>
                <w:bCs/>
                <w:sz w:val="20"/>
                <w:szCs w:val="20"/>
              </w:rPr>
              <w:t xml:space="preserve">Doris Duke Charitable Foundation </w:t>
            </w:r>
            <w:r w:rsidRPr="00E725A1">
              <w:rPr>
                <w:rFonts w:ascii="Arial" w:hAnsi="Arial" w:cs="Arial"/>
                <w:sz w:val="20"/>
                <w:szCs w:val="20"/>
              </w:rPr>
              <w:t xml:space="preserve">in partnership with green start-up Cambium Carbon to raise $3 million in private equity seed funding to support urban wood re-use and a circular economy from fallen urban trees to store carbon, create livelihoods, and finance urban forest maintenance and expansion. Research by this group and the Arbor Day Foundation has identified opportunities for New York City, Pittsburgh, and Eugene, OR to create value out of downed urban trees by turning them into products like furniture or flooring and then feeding that money back into #reforestation programs. Further work has led to local mills in Baltimore becoming major East Coast suppliers of “carbon-smart wood.” </w:t>
            </w:r>
          </w:p>
        </w:tc>
      </w:tr>
      <w:tr w:rsidR="000B1D0E" w14:paraId="6AA9EBC0" w14:textId="77777777" w:rsidTr="001106E0">
        <w:trPr>
          <w:trHeight w:val="110"/>
        </w:trPr>
        <w:tc>
          <w:tcPr>
            <w:tcW w:w="15281" w:type="dxa"/>
            <w:gridSpan w:val="3"/>
          </w:tcPr>
          <w:p w14:paraId="1518921C" w14:textId="77777777" w:rsidR="000B1D0E" w:rsidRDefault="000B1D0E" w:rsidP="001106E0">
            <w:pPr>
              <w:pStyle w:val="Default"/>
              <w:rPr>
                <w:sz w:val="22"/>
                <w:szCs w:val="22"/>
              </w:rPr>
            </w:pPr>
            <w:r>
              <w:rPr>
                <w:b/>
                <w:bCs/>
                <w:sz w:val="22"/>
                <w:szCs w:val="22"/>
              </w:rPr>
              <w:t xml:space="preserve">Mexico </w:t>
            </w:r>
          </w:p>
        </w:tc>
      </w:tr>
      <w:tr w:rsidR="000B1D0E" w14:paraId="510A4F4C" w14:textId="77777777" w:rsidTr="001106E0">
        <w:trPr>
          <w:trHeight w:val="1587"/>
        </w:trPr>
        <w:tc>
          <w:tcPr>
            <w:tcW w:w="4575" w:type="dxa"/>
          </w:tcPr>
          <w:p w14:paraId="13C60BB4" w14:textId="77777777" w:rsidR="000B1D0E" w:rsidRDefault="000B1D0E" w:rsidP="001106E0">
            <w:pPr>
              <w:pStyle w:val="Default"/>
              <w:rPr>
                <w:sz w:val="22"/>
                <w:szCs w:val="22"/>
              </w:rPr>
            </w:pPr>
            <w:proofErr w:type="spellStart"/>
            <w:r>
              <w:rPr>
                <w:sz w:val="22"/>
                <w:szCs w:val="22"/>
              </w:rPr>
              <w:lastRenderedPageBreak/>
              <w:t>Xalapa</w:t>
            </w:r>
            <w:proofErr w:type="spellEnd"/>
            <w:r>
              <w:rPr>
                <w:sz w:val="22"/>
                <w:szCs w:val="22"/>
              </w:rPr>
              <w:t xml:space="preserve"> </w:t>
            </w:r>
          </w:p>
        </w:tc>
        <w:tc>
          <w:tcPr>
            <w:tcW w:w="10706" w:type="dxa"/>
            <w:gridSpan w:val="2"/>
          </w:tcPr>
          <w:p w14:paraId="2FBBC1E6" w14:textId="77777777" w:rsidR="000B1D0E" w:rsidRDefault="000B1D0E" w:rsidP="001106E0">
            <w:pPr>
              <w:pStyle w:val="Default"/>
              <w:rPr>
                <w:sz w:val="22"/>
                <w:szCs w:val="22"/>
              </w:rPr>
            </w:pPr>
            <w:r>
              <w:rPr>
                <w:sz w:val="22"/>
                <w:szCs w:val="22"/>
              </w:rPr>
              <w:t xml:space="preserve">Cities4Forests and WRI Mexico’s </w:t>
            </w:r>
            <w:proofErr w:type="spellStart"/>
            <w:r>
              <w:rPr>
                <w:sz w:val="22"/>
                <w:szCs w:val="22"/>
              </w:rPr>
              <w:t>CityFix</w:t>
            </w:r>
            <w:proofErr w:type="spellEnd"/>
            <w:r>
              <w:rPr>
                <w:sz w:val="22"/>
                <w:szCs w:val="22"/>
              </w:rPr>
              <w:t xml:space="preserve"> Lab leveraged funding from </w:t>
            </w:r>
            <w:r>
              <w:rPr>
                <w:b/>
                <w:bCs/>
                <w:sz w:val="22"/>
                <w:szCs w:val="22"/>
              </w:rPr>
              <w:t xml:space="preserve">Norway’s International Climate and Forest Initiative (NICFI) </w:t>
            </w:r>
            <w:r>
              <w:rPr>
                <w:sz w:val="22"/>
                <w:szCs w:val="22"/>
              </w:rPr>
              <w:t xml:space="preserve">to integrate an innovative water tariff financing mechanism for local green infrastructure and </w:t>
            </w:r>
            <w:proofErr w:type="spellStart"/>
            <w:r>
              <w:rPr>
                <w:sz w:val="22"/>
                <w:szCs w:val="22"/>
              </w:rPr>
              <w:t>NbS</w:t>
            </w:r>
            <w:proofErr w:type="spellEnd"/>
            <w:r>
              <w:rPr>
                <w:sz w:val="22"/>
                <w:szCs w:val="22"/>
              </w:rPr>
              <w:t xml:space="preserve"> in </w:t>
            </w:r>
            <w:proofErr w:type="spellStart"/>
            <w:r>
              <w:rPr>
                <w:sz w:val="22"/>
                <w:szCs w:val="22"/>
              </w:rPr>
              <w:t>Xalapa</w:t>
            </w:r>
            <w:proofErr w:type="spellEnd"/>
            <w:r>
              <w:rPr>
                <w:sz w:val="22"/>
                <w:szCs w:val="22"/>
              </w:rPr>
              <w:t xml:space="preserve">, Mexico. In close collaboration with the city and its local water utility, Cities4Forests helped issue a 2% voluntary water tariff that has raised over $250,000 for watershed restoration efforts through a local PES scheme. The funds ensured the conservation of 1,474 hectares of forests through the </w:t>
            </w:r>
            <w:proofErr w:type="spellStart"/>
            <w:r>
              <w:rPr>
                <w:sz w:val="22"/>
                <w:szCs w:val="22"/>
              </w:rPr>
              <w:t>channeling</w:t>
            </w:r>
            <w:proofErr w:type="spellEnd"/>
            <w:r>
              <w:rPr>
                <w:sz w:val="22"/>
                <w:szCs w:val="22"/>
              </w:rPr>
              <w:t xml:space="preserve"> of resources to 377 private landowner beneficiaries. A blog story has recently been published to highlight the success of the tariff, and Georgina </w:t>
            </w:r>
            <w:proofErr w:type="spellStart"/>
            <w:r>
              <w:rPr>
                <w:sz w:val="22"/>
                <w:szCs w:val="22"/>
              </w:rPr>
              <w:t>Vidriales</w:t>
            </w:r>
            <w:proofErr w:type="spellEnd"/>
            <w:r>
              <w:rPr>
                <w:sz w:val="22"/>
                <w:szCs w:val="22"/>
              </w:rPr>
              <w:t xml:space="preserve"> of </w:t>
            </w:r>
            <w:proofErr w:type="spellStart"/>
            <w:r>
              <w:rPr>
                <w:sz w:val="22"/>
                <w:szCs w:val="22"/>
              </w:rPr>
              <w:t>Xalapa’s</w:t>
            </w:r>
            <w:proofErr w:type="spellEnd"/>
            <w:r>
              <w:rPr>
                <w:sz w:val="22"/>
                <w:szCs w:val="22"/>
              </w:rPr>
              <w:t xml:space="preserve"> water utility recently presented the city’s experience at World Water Week. </w:t>
            </w:r>
          </w:p>
        </w:tc>
      </w:tr>
      <w:tr w:rsidR="000B1D0E" w14:paraId="3CBB228D" w14:textId="77777777" w:rsidTr="001106E0">
        <w:trPr>
          <w:trHeight w:val="110"/>
        </w:trPr>
        <w:tc>
          <w:tcPr>
            <w:tcW w:w="15281" w:type="dxa"/>
            <w:gridSpan w:val="3"/>
          </w:tcPr>
          <w:p w14:paraId="13910009" w14:textId="77777777" w:rsidR="000B1D0E" w:rsidRDefault="000B1D0E" w:rsidP="001106E0">
            <w:pPr>
              <w:pStyle w:val="Default"/>
              <w:rPr>
                <w:sz w:val="22"/>
                <w:szCs w:val="22"/>
              </w:rPr>
            </w:pPr>
            <w:r>
              <w:rPr>
                <w:b/>
                <w:bCs/>
                <w:sz w:val="22"/>
                <w:szCs w:val="22"/>
              </w:rPr>
              <w:t xml:space="preserve">Colombia </w:t>
            </w:r>
          </w:p>
        </w:tc>
      </w:tr>
      <w:tr w:rsidR="000B1D0E" w14:paraId="5F5F6002" w14:textId="77777777" w:rsidTr="001106E0">
        <w:trPr>
          <w:trHeight w:val="1453"/>
        </w:trPr>
        <w:tc>
          <w:tcPr>
            <w:tcW w:w="4575" w:type="dxa"/>
          </w:tcPr>
          <w:p w14:paraId="7229476C" w14:textId="77777777" w:rsidR="000B1D0E" w:rsidRDefault="000B1D0E" w:rsidP="001106E0">
            <w:pPr>
              <w:pStyle w:val="Default"/>
              <w:rPr>
                <w:sz w:val="22"/>
                <w:szCs w:val="22"/>
              </w:rPr>
            </w:pPr>
            <w:r>
              <w:rPr>
                <w:sz w:val="22"/>
                <w:szCs w:val="22"/>
              </w:rPr>
              <w:t xml:space="preserve">NDCP work (NDCP Partnership, Ecosystem-based Adaptation Fund) </w:t>
            </w:r>
          </w:p>
        </w:tc>
        <w:tc>
          <w:tcPr>
            <w:tcW w:w="10706" w:type="dxa"/>
            <w:gridSpan w:val="2"/>
          </w:tcPr>
          <w:p w14:paraId="34A5F006" w14:textId="77777777" w:rsidR="000B1D0E" w:rsidRDefault="000B1D0E" w:rsidP="001106E0">
            <w:pPr>
              <w:pStyle w:val="Default"/>
              <w:rPr>
                <w:sz w:val="22"/>
                <w:szCs w:val="22"/>
              </w:rPr>
            </w:pPr>
            <w:r>
              <w:rPr>
                <w:sz w:val="22"/>
                <w:szCs w:val="22"/>
              </w:rPr>
              <w:t xml:space="preserve">Cities4Forests and WRIs Initiative 20x20 leveraged funds from the </w:t>
            </w:r>
            <w:r>
              <w:rPr>
                <w:b/>
                <w:bCs/>
                <w:sz w:val="22"/>
                <w:szCs w:val="22"/>
              </w:rPr>
              <w:t xml:space="preserve">NDCP </w:t>
            </w:r>
            <w:r>
              <w:rPr>
                <w:sz w:val="22"/>
                <w:szCs w:val="22"/>
              </w:rPr>
              <w:t xml:space="preserve">and </w:t>
            </w:r>
            <w:r>
              <w:rPr>
                <w:b/>
                <w:bCs/>
                <w:sz w:val="22"/>
                <w:szCs w:val="22"/>
              </w:rPr>
              <w:t xml:space="preserve">Global EbA Fund </w:t>
            </w:r>
            <w:r>
              <w:rPr>
                <w:sz w:val="22"/>
                <w:szCs w:val="22"/>
              </w:rPr>
              <w:t xml:space="preserve">to continue advancing the Ecosystem-based Adaptation for the hydropower sector and local communities' work. </w:t>
            </w:r>
          </w:p>
          <w:p w14:paraId="5CF5DE56" w14:textId="77777777" w:rsidR="000B1D0E" w:rsidRDefault="000B1D0E" w:rsidP="001106E0">
            <w:pPr>
              <w:pStyle w:val="Default"/>
              <w:rPr>
                <w:sz w:val="22"/>
                <w:szCs w:val="22"/>
              </w:rPr>
            </w:pPr>
            <w:r>
              <w:rPr>
                <w:sz w:val="22"/>
                <w:szCs w:val="22"/>
              </w:rPr>
              <w:t xml:space="preserve">The team has made progress in scoping out a national EbA program to unite key stakeholders in the country to scale up EbA for the hydropower sector and local communities and in identifying the pilot site for the project based on analysis and engagement activities. Additionally, we have actively engaged with the Ministry of Environment and Sustainable Development as well as the Ministry of Mines and Energy, who have both indicated continued interest in the project and established focal points for this work. </w:t>
            </w:r>
          </w:p>
        </w:tc>
      </w:tr>
      <w:tr w:rsidR="000B1D0E" w14:paraId="5043E3D8" w14:textId="77777777" w:rsidTr="001106E0">
        <w:trPr>
          <w:trHeight w:val="110"/>
        </w:trPr>
        <w:tc>
          <w:tcPr>
            <w:tcW w:w="15281" w:type="dxa"/>
            <w:gridSpan w:val="3"/>
          </w:tcPr>
          <w:p w14:paraId="68F3139A" w14:textId="77777777" w:rsidR="000B1D0E" w:rsidRDefault="000B1D0E" w:rsidP="001106E0">
            <w:pPr>
              <w:pStyle w:val="Default"/>
              <w:rPr>
                <w:sz w:val="22"/>
                <w:szCs w:val="22"/>
              </w:rPr>
            </w:pPr>
            <w:r>
              <w:rPr>
                <w:b/>
                <w:bCs/>
                <w:sz w:val="22"/>
                <w:szCs w:val="22"/>
              </w:rPr>
              <w:t xml:space="preserve">Brazil </w:t>
            </w:r>
          </w:p>
        </w:tc>
      </w:tr>
      <w:tr w:rsidR="000B1D0E" w14:paraId="4A536448" w14:textId="77777777" w:rsidTr="001106E0">
        <w:trPr>
          <w:trHeight w:val="1319"/>
        </w:trPr>
        <w:tc>
          <w:tcPr>
            <w:tcW w:w="4575" w:type="dxa"/>
          </w:tcPr>
          <w:p w14:paraId="5788BAB2" w14:textId="77777777" w:rsidR="000B1D0E" w:rsidRDefault="000B1D0E" w:rsidP="001106E0">
            <w:pPr>
              <w:pStyle w:val="Default"/>
              <w:rPr>
                <w:sz w:val="22"/>
                <w:szCs w:val="22"/>
              </w:rPr>
            </w:pPr>
            <w:proofErr w:type="spellStart"/>
            <w:r>
              <w:rPr>
                <w:sz w:val="22"/>
                <w:szCs w:val="22"/>
              </w:rPr>
              <w:t>NbS</w:t>
            </w:r>
            <w:proofErr w:type="spellEnd"/>
            <w:r>
              <w:rPr>
                <w:sz w:val="22"/>
                <w:szCs w:val="22"/>
              </w:rPr>
              <w:t xml:space="preserve"> Accelerator </w:t>
            </w:r>
          </w:p>
        </w:tc>
        <w:tc>
          <w:tcPr>
            <w:tcW w:w="10706" w:type="dxa"/>
            <w:gridSpan w:val="2"/>
          </w:tcPr>
          <w:p w14:paraId="336F27B7" w14:textId="77777777" w:rsidR="000B1D0E" w:rsidRDefault="000B1D0E" w:rsidP="001106E0">
            <w:pPr>
              <w:pStyle w:val="Default"/>
              <w:rPr>
                <w:sz w:val="22"/>
                <w:szCs w:val="22"/>
              </w:rPr>
            </w:pPr>
            <w:r>
              <w:rPr>
                <w:sz w:val="22"/>
                <w:szCs w:val="22"/>
              </w:rPr>
              <w:t xml:space="preserve">Cities4Forests has leveraged funding from the </w:t>
            </w:r>
            <w:r>
              <w:rPr>
                <w:b/>
                <w:bCs/>
                <w:sz w:val="22"/>
                <w:szCs w:val="22"/>
              </w:rPr>
              <w:t xml:space="preserve">Caterpillar Foundation </w:t>
            </w:r>
            <w:r>
              <w:rPr>
                <w:sz w:val="22"/>
                <w:szCs w:val="22"/>
              </w:rPr>
              <w:t xml:space="preserve">and co-financier </w:t>
            </w:r>
            <w:proofErr w:type="spellStart"/>
            <w:r>
              <w:rPr>
                <w:b/>
                <w:bCs/>
                <w:sz w:val="22"/>
                <w:szCs w:val="22"/>
              </w:rPr>
              <w:t>Fundação</w:t>
            </w:r>
            <w:proofErr w:type="spellEnd"/>
            <w:r>
              <w:rPr>
                <w:b/>
                <w:bCs/>
                <w:sz w:val="22"/>
                <w:szCs w:val="22"/>
              </w:rPr>
              <w:t xml:space="preserve"> Grupo </w:t>
            </w:r>
            <w:proofErr w:type="spellStart"/>
            <w:r>
              <w:rPr>
                <w:b/>
                <w:bCs/>
                <w:sz w:val="22"/>
                <w:szCs w:val="22"/>
              </w:rPr>
              <w:t>Boticário</w:t>
            </w:r>
            <w:proofErr w:type="spellEnd"/>
            <w:r>
              <w:rPr>
                <w:b/>
                <w:bCs/>
                <w:sz w:val="22"/>
                <w:szCs w:val="22"/>
              </w:rPr>
              <w:t xml:space="preserve"> </w:t>
            </w:r>
            <w:r>
              <w:rPr>
                <w:sz w:val="22"/>
                <w:szCs w:val="22"/>
              </w:rPr>
              <w:t>to create a nature-based solutions (</w:t>
            </w:r>
            <w:proofErr w:type="spellStart"/>
            <w:r>
              <w:rPr>
                <w:sz w:val="22"/>
                <w:szCs w:val="22"/>
              </w:rPr>
              <w:t>NbS</w:t>
            </w:r>
            <w:proofErr w:type="spellEnd"/>
            <w:r>
              <w:rPr>
                <w:sz w:val="22"/>
                <w:szCs w:val="22"/>
              </w:rPr>
              <w:t xml:space="preserve">) Accelerator that transforms </w:t>
            </w:r>
            <w:proofErr w:type="spellStart"/>
            <w:r>
              <w:rPr>
                <w:sz w:val="22"/>
                <w:szCs w:val="22"/>
              </w:rPr>
              <w:t>NbS</w:t>
            </w:r>
            <w:proofErr w:type="spellEnd"/>
            <w:r>
              <w:rPr>
                <w:sz w:val="22"/>
                <w:szCs w:val="22"/>
              </w:rPr>
              <w:t xml:space="preserve"> proposals into bankable projects for Brazilian cities. Launched in August 2022, the Accelerator’s Call for Proposals received 85 proposals from local governments, NGOs, Academia, and private sector companies across Brazil. A panel of experts will convene in October for the final selection phase in which 10+ projects will be chosen for the Accelerator's inaugural cohort. Projects will receive hands-on financial, technical, M&amp;E, and communications support to pilot innovative </w:t>
            </w:r>
            <w:proofErr w:type="spellStart"/>
            <w:r>
              <w:rPr>
                <w:sz w:val="22"/>
                <w:szCs w:val="22"/>
              </w:rPr>
              <w:t>NbS</w:t>
            </w:r>
            <w:proofErr w:type="spellEnd"/>
            <w:r>
              <w:rPr>
                <w:sz w:val="22"/>
                <w:szCs w:val="22"/>
              </w:rPr>
              <w:t xml:space="preserve"> for water, green </w:t>
            </w:r>
            <w:proofErr w:type="gramStart"/>
            <w:r>
              <w:rPr>
                <w:sz w:val="22"/>
                <w:szCs w:val="22"/>
              </w:rPr>
              <w:t>space</w:t>
            </w:r>
            <w:proofErr w:type="gramEnd"/>
            <w:r>
              <w:rPr>
                <w:sz w:val="22"/>
                <w:szCs w:val="22"/>
              </w:rPr>
              <w:t xml:space="preserve"> and air quality management. </w:t>
            </w:r>
          </w:p>
        </w:tc>
      </w:tr>
      <w:tr w:rsidR="000B1D0E" w14:paraId="7E541747" w14:textId="77777777" w:rsidTr="001106E0">
        <w:trPr>
          <w:trHeight w:val="110"/>
        </w:trPr>
        <w:tc>
          <w:tcPr>
            <w:tcW w:w="15281" w:type="dxa"/>
            <w:gridSpan w:val="3"/>
          </w:tcPr>
          <w:p w14:paraId="7C3AFEF6" w14:textId="77777777" w:rsidR="000B1D0E" w:rsidRDefault="000B1D0E" w:rsidP="001106E0">
            <w:pPr>
              <w:pStyle w:val="Default"/>
              <w:rPr>
                <w:sz w:val="22"/>
                <w:szCs w:val="22"/>
              </w:rPr>
            </w:pPr>
            <w:r>
              <w:rPr>
                <w:b/>
                <w:bCs/>
                <w:sz w:val="22"/>
                <w:szCs w:val="22"/>
              </w:rPr>
              <w:t xml:space="preserve">Africa </w:t>
            </w:r>
          </w:p>
        </w:tc>
      </w:tr>
      <w:tr w:rsidR="000B1D0E" w14:paraId="0457E60A" w14:textId="77777777" w:rsidTr="001106E0">
        <w:trPr>
          <w:trHeight w:val="1051"/>
        </w:trPr>
        <w:tc>
          <w:tcPr>
            <w:tcW w:w="4575" w:type="dxa"/>
          </w:tcPr>
          <w:p w14:paraId="7B0DFEFE" w14:textId="77777777" w:rsidR="000B1D0E" w:rsidRDefault="000B1D0E" w:rsidP="001106E0">
            <w:pPr>
              <w:pStyle w:val="Default"/>
              <w:rPr>
                <w:sz w:val="22"/>
                <w:szCs w:val="22"/>
              </w:rPr>
            </w:pPr>
            <w:proofErr w:type="spellStart"/>
            <w:r>
              <w:rPr>
                <w:sz w:val="22"/>
                <w:szCs w:val="22"/>
              </w:rPr>
              <w:t>NbS</w:t>
            </w:r>
            <w:proofErr w:type="spellEnd"/>
            <w:r>
              <w:rPr>
                <w:sz w:val="22"/>
                <w:szCs w:val="22"/>
              </w:rPr>
              <w:t xml:space="preserve"> in SSA </w:t>
            </w:r>
          </w:p>
        </w:tc>
        <w:tc>
          <w:tcPr>
            <w:tcW w:w="10706" w:type="dxa"/>
            <w:gridSpan w:val="2"/>
          </w:tcPr>
          <w:p w14:paraId="62FC4E62" w14:textId="77777777" w:rsidR="000B1D0E" w:rsidRDefault="000B1D0E" w:rsidP="001106E0">
            <w:pPr>
              <w:pStyle w:val="Default"/>
              <w:rPr>
                <w:sz w:val="22"/>
                <w:szCs w:val="22"/>
              </w:rPr>
            </w:pPr>
            <w:r>
              <w:rPr>
                <w:sz w:val="22"/>
                <w:szCs w:val="22"/>
              </w:rPr>
              <w:t xml:space="preserve">Cities4Forests has leveraged funding from </w:t>
            </w:r>
            <w:r>
              <w:rPr>
                <w:b/>
                <w:bCs/>
                <w:sz w:val="22"/>
                <w:szCs w:val="22"/>
              </w:rPr>
              <w:t xml:space="preserve">the World Bank, the Global Facility for Disaster Risk Reduction, the African Development Bank, the Green Growth Knowledge Partnership, SIDA, and the Caterpillar Foundation </w:t>
            </w:r>
            <w:r>
              <w:rPr>
                <w:sz w:val="22"/>
                <w:szCs w:val="22"/>
              </w:rPr>
              <w:t xml:space="preserve">to advance the understanding of nature-based solutions adoption in the Sub-Saharan Africa region and to improve its integration into African infrastructure finance. The Cities4Forests team has created a searchable project database that includes over 300 projects in the region, a peer-reviewed technical paper that will be published ahead of COP27 on </w:t>
            </w:r>
          </w:p>
        </w:tc>
      </w:tr>
      <w:tr w:rsidR="000B1D0E" w14:paraId="714CCFF9" w14:textId="77777777" w:rsidTr="001106E0">
        <w:trPr>
          <w:gridAfter w:val="1"/>
          <w:wAfter w:w="147" w:type="dxa"/>
          <w:trHeight w:val="110"/>
        </w:trPr>
        <w:tc>
          <w:tcPr>
            <w:tcW w:w="15134" w:type="dxa"/>
            <w:gridSpan w:val="2"/>
          </w:tcPr>
          <w:p w14:paraId="3B20B858" w14:textId="77777777" w:rsidR="000B1D0E" w:rsidRDefault="000B1D0E" w:rsidP="001106E0">
            <w:pPr>
              <w:pStyle w:val="Default"/>
              <w:rPr>
                <w:sz w:val="22"/>
                <w:szCs w:val="22"/>
              </w:rPr>
            </w:pPr>
            <w:r>
              <w:rPr>
                <w:b/>
                <w:bCs/>
                <w:sz w:val="22"/>
                <w:szCs w:val="22"/>
              </w:rPr>
              <w:t xml:space="preserve">India </w:t>
            </w:r>
          </w:p>
        </w:tc>
      </w:tr>
      <w:tr w:rsidR="000B1D0E" w14:paraId="5DC1CC62" w14:textId="77777777" w:rsidTr="001106E0">
        <w:trPr>
          <w:gridAfter w:val="1"/>
          <w:wAfter w:w="147" w:type="dxa"/>
          <w:trHeight w:val="1721"/>
        </w:trPr>
        <w:tc>
          <w:tcPr>
            <w:tcW w:w="4575" w:type="dxa"/>
          </w:tcPr>
          <w:p w14:paraId="2AD372A7" w14:textId="77777777" w:rsidR="000B1D0E" w:rsidRDefault="000B1D0E" w:rsidP="001106E0">
            <w:pPr>
              <w:pStyle w:val="Default"/>
              <w:rPr>
                <w:sz w:val="22"/>
                <w:szCs w:val="22"/>
              </w:rPr>
            </w:pPr>
            <w:proofErr w:type="spellStart"/>
            <w:r>
              <w:rPr>
                <w:sz w:val="22"/>
                <w:szCs w:val="22"/>
              </w:rPr>
              <w:lastRenderedPageBreak/>
              <w:t>NbS</w:t>
            </w:r>
            <w:proofErr w:type="spellEnd"/>
            <w:r>
              <w:rPr>
                <w:sz w:val="22"/>
                <w:szCs w:val="22"/>
              </w:rPr>
              <w:t xml:space="preserve"> Accelerator </w:t>
            </w:r>
          </w:p>
        </w:tc>
        <w:tc>
          <w:tcPr>
            <w:tcW w:w="10559" w:type="dxa"/>
          </w:tcPr>
          <w:p w14:paraId="0CE2396D" w14:textId="77777777" w:rsidR="000B1D0E" w:rsidRDefault="000B1D0E" w:rsidP="001106E0">
            <w:pPr>
              <w:pStyle w:val="Default"/>
              <w:rPr>
                <w:sz w:val="22"/>
                <w:szCs w:val="22"/>
              </w:rPr>
            </w:pPr>
            <w:r>
              <w:rPr>
                <w:sz w:val="22"/>
                <w:szCs w:val="22"/>
              </w:rPr>
              <w:t xml:space="preserve">Cities4Forests has leveraged funding from the </w:t>
            </w:r>
            <w:r>
              <w:rPr>
                <w:b/>
                <w:bCs/>
                <w:sz w:val="22"/>
                <w:szCs w:val="22"/>
              </w:rPr>
              <w:t xml:space="preserve">Caterpillar Foundation </w:t>
            </w:r>
            <w:r>
              <w:rPr>
                <w:sz w:val="22"/>
                <w:szCs w:val="22"/>
              </w:rPr>
              <w:t>to create a nature-based solutions (</w:t>
            </w:r>
            <w:proofErr w:type="spellStart"/>
            <w:r>
              <w:rPr>
                <w:sz w:val="22"/>
                <w:szCs w:val="22"/>
              </w:rPr>
              <w:t>NbS</w:t>
            </w:r>
            <w:proofErr w:type="spellEnd"/>
            <w:r>
              <w:rPr>
                <w:sz w:val="22"/>
                <w:szCs w:val="22"/>
              </w:rPr>
              <w:t xml:space="preserve">) Accelerator in Mumbai, India. In June 2022, the Accelerator selected 5 project implementers for its inaugural cohort to support their testing and piloting of innovative approaches towards mainstreaming </w:t>
            </w:r>
            <w:proofErr w:type="spellStart"/>
            <w:r>
              <w:rPr>
                <w:sz w:val="22"/>
                <w:szCs w:val="22"/>
              </w:rPr>
              <w:t>NbS</w:t>
            </w:r>
            <w:proofErr w:type="spellEnd"/>
            <w:r>
              <w:rPr>
                <w:sz w:val="22"/>
                <w:szCs w:val="22"/>
              </w:rPr>
              <w:t xml:space="preserve"> for water, green </w:t>
            </w:r>
            <w:proofErr w:type="gramStart"/>
            <w:r>
              <w:rPr>
                <w:sz w:val="22"/>
                <w:szCs w:val="22"/>
              </w:rPr>
              <w:t>space</w:t>
            </w:r>
            <w:proofErr w:type="gramEnd"/>
            <w:r>
              <w:rPr>
                <w:sz w:val="22"/>
                <w:szCs w:val="22"/>
              </w:rPr>
              <w:t xml:space="preserve"> and air quality management. The Accelerator and the WRI-led India Forum for Nature- based Solutions drives this transformation by convening policy makers, urban local bodies, and investors to support the cohort’s implementation of </w:t>
            </w:r>
            <w:proofErr w:type="spellStart"/>
            <w:r>
              <w:rPr>
                <w:sz w:val="22"/>
                <w:szCs w:val="22"/>
              </w:rPr>
              <w:t>NbS</w:t>
            </w:r>
            <w:proofErr w:type="spellEnd"/>
            <w:r>
              <w:rPr>
                <w:sz w:val="22"/>
                <w:szCs w:val="22"/>
              </w:rPr>
              <w:t xml:space="preserve"> pilots through robust M&amp;E, scalable business models, financing, technical assistance, and sharing of international practices. </w:t>
            </w:r>
            <w:proofErr w:type="spellStart"/>
            <w:r>
              <w:rPr>
                <w:sz w:val="22"/>
                <w:szCs w:val="22"/>
              </w:rPr>
              <w:t>NbS</w:t>
            </w:r>
            <w:proofErr w:type="spellEnd"/>
            <w:r>
              <w:rPr>
                <w:sz w:val="22"/>
                <w:szCs w:val="22"/>
              </w:rPr>
              <w:t xml:space="preserve"> pilots align with existing government schemes and programmes including Mumbai’s Climate Action Plan, Cities4Forests and other local policies and initiatives. </w:t>
            </w:r>
          </w:p>
        </w:tc>
      </w:tr>
      <w:tr w:rsidR="000B1D0E" w14:paraId="71FCD1E8" w14:textId="77777777" w:rsidTr="001106E0">
        <w:trPr>
          <w:gridAfter w:val="1"/>
          <w:wAfter w:w="147" w:type="dxa"/>
          <w:trHeight w:val="110"/>
        </w:trPr>
        <w:tc>
          <w:tcPr>
            <w:tcW w:w="15134" w:type="dxa"/>
            <w:gridSpan w:val="2"/>
          </w:tcPr>
          <w:p w14:paraId="6ECAB7DF" w14:textId="77777777" w:rsidR="000B1D0E" w:rsidRDefault="000B1D0E" w:rsidP="001106E0">
            <w:pPr>
              <w:pStyle w:val="Default"/>
              <w:rPr>
                <w:sz w:val="22"/>
                <w:szCs w:val="22"/>
              </w:rPr>
            </w:pPr>
            <w:r>
              <w:rPr>
                <w:b/>
                <w:bCs/>
                <w:sz w:val="22"/>
                <w:szCs w:val="22"/>
              </w:rPr>
              <w:t xml:space="preserve">Global </w:t>
            </w:r>
          </w:p>
        </w:tc>
      </w:tr>
      <w:tr w:rsidR="000B1D0E" w14:paraId="7987AB98" w14:textId="77777777" w:rsidTr="001106E0">
        <w:trPr>
          <w:gridAfter w:val="1"/>
          <w:wAfter w:w="147" w:type="dxa"/>
          <w:trHeight w:val="1991"/>
        </w:trPr>
        <w:tc>
          <w:tcPr>
            <w:tcW w:w="4575" w:type="dxa"/>
          </w:tcPr>
          <w:p w14:paraId="0B0DA0B4" w14:textId="77777777" w:rsidR="000B1D0E" w:rsidRDefault="000B1D0E" w:rsidP="001106E0">
            <w:pPr>
              <w:pStyle w:val="Default"/>
              <w:rPr>
                <w:sz w:val="22"/>
                <w:szCs w:val="22"/>
              </w:rPr>
            </w:pPr>
            <w:r>
              <w:rPr>
                <w:sz w:val="22"/>
                <w:szCs w:val="22"/>
              </w:rPr>
              <w:t xml:space="preserve">Multilateral Development Bank Commitments to Nature </w:t>
            </w:r>
          </w:p>
        </w:tc>
        <w:tc>
          <w:tcPr>
            <w:tcW w:w="10559" w:type="dxa"/>
          </w:tcPr>
          <w:p w14:paraId="24DAD0C4" w14:textId="77777777" w:rsidR="000B1D0E" w:rsidRDefault="000B1D0E" w:rsidP="001106E0">
            <w:pPr>
              <w:pStyle w:val="Default"/>
              <w:rPr>
                <w:sz w:val="22"/>
                <w:szCs w:val="22"/>
              </w:rPr>
            </w:pPr>
            <w:r>
              <w:rPr>
                <w:sz w:val="22"/>
                <w:szCs w:val="22"/>
              </w:rPr>
              <w:t xml:space="preserve">Cities4Forets has leveraged funding from the </w:t>
            </w:r>
            <w:r>
              <w:rPr>
                <w:b/>
                <w:bCs/>
                <w:sz w:val="22"/>
                <w:szCs w:val="22"/>
              </w:rPr>
              <w:t xml:space="preserve">Green Growth Knowledge Partnership </w:t>
            </w:r>
            <w:r>
              <w:rPr>
                <w:sz w:val="22"/>
                <w:szCs w:val="22"/>
              </w:rPr>
              <w:t xml:space="preserve">to engage with the nine multilateral development banks (MDBs) that signed the MDB Joint Statement on Nature, People, and Planed at COP26 and organize a high-level meeting ahead of UNFCCC COP27 and CBD COP15.2. Since February 2022, WRI has conducted multiple rounds of consultations with 25 MDB staff members to assess progress on the Joint Statement and near-term priorities to accelerate its </w:t>
            </w:r>
            <w:proofErr w:type="spellStart"/>
            <w:r>
              <w:rPr>
                <w:sz w:val="22"/>
                <w:szCs w:val="22"/>
              </w:rPr>
              <w:t>fulfillment</w:t>
            </w:r>
            <w:proofErr w:type="spellEnd"/>
            <w:r>
              <w:rPr>
                <w:sz w:val="22"/>
                <w:szCs w:val="22"/>
              </w:rPr>
              <w:t xml:space="preserve">. The direct result of the engagements is the organization of a high-level meeting with managers and key decision-makers within the MDBs and donor countries to elevate achievements to date and discuss opportunities to strengthen nature ambitions and commitments. This closed event is co-convened by the UK Foreign, Commonwealth and Development Office, the German Federal Ministry for Economic Cooperation and Development, the French Ministry for </w:t>
            </w:r>
            <w:proofErr w:type="gramStart"/>
            <w:r>
              <w:rPr>
                <w:sz w:val="22"/>
                <w:szCs w:val="22"/>
              </w:rPr>
              <w:t>Europe</w:t>
            </w:r>
            <w:proofErr w:type="gramEnd"/>
            <w:r>
              <w:rPr>
                <w:sz w:val="22"/>
                <w:szCs w:val="22"/>
              </w:rPr>
              <w:t xml:space="preserve"> and Foreign Affairs, GGKP, and WRI. </w:t>
            </w:r>
          </w:p>
        </w:tc>
      </w:tr>
      <w:tr w:rsidR="000B1D0E" w14:paraId="72D180FF" w14:textId="77777777" w:rsidTr="001106E0">
        <w:trPr>
          <w:gridAfter w:val="1"/>
          <w:wAfter w:w="147" w:type="dxa"/>
          <w:trHeight w:val="1323"/>
        </w:trPr>
        <w:tc>
          <w:tcPr>
            <w:tcW w:w="4575" w:type="dxa"/>
          </w:tcPr>
          <w:p w14:paraId="64CECF7E" w14:textId="77777777" w:rsidR="000B1D0E" w:rsidRDefault="000B1D0E" w:rsidP="001106E0">
            <w:pPr>
              <w:pStyle w:val="Default"/>
              <w:rPr>
                <w:sz w:val="22"/>
                <w:szCs w:val="22"/>
              </w:rPr>
            </w:pPr>
            <w:r>
              <w:rPr>
                <w:sz w:val="22"/>
                <w:szCs w:val="22"/>
              </w:rPr>
              <w:t xml:space="preserve">‘Better Forests, Better Cities’ </w:t>
            </w:r>
          </w:p>
        </w:tc>
        <w:tc>
          <w:tcPr>
            <w:tcW w:w="10559" w:type="dxa"/>
          </w:tcPr>
          <w:p w14:paraId="6CFAF68D" w14:textId="77777777" w:rsidR="000B1D0E" w:rsidRDefault="000B1D0E" w:rsidP="001106E0">
            <w:pPr>
              <w:pStyle w:val="Default"/>
              <w:rPr>
                <w:sz w:val="22"/>
                <w:szCs w:val="22"/>
              </w:rPr>
            </w:pPr>
            <w:r>
              <w:rPr>
                <w:sz w:val="22"/>
                <w:szCs w:val="22"/>
              </w:rPr>
              <w:t>Cities4Forests’ flagship report, ‘</w:t>
            </w:r>
            <w:r w:rsidRPr="002B4132">
              <w:rPr>
                <w:sz w:val="22"/>
                <w:szCs w:val="22"/>
              </w:rPr>
              <w:t>Better Forests, Better Cities’</w:t>
            </w:r>
            <w:r>
              <w:rPr>
                <w:sz w:val="22"/>
                <w:szCs w:val="22"/>
              </w:rPr>
              <w:t xml:space="preserve">, is in the final stages of WRI’s review and design process. The report, funded by </w:t>
            </w:r>
            <w:r>
              <w:rPr>
                <w:b/>
                <w:bCs/>
                <w:sz w:val="22"/>
                <w:szCs w:val="22"/>
              </w:rPr>
              <w:t>NICFI</w:t>
            </w:r>
            <w:r>
              <w:rPr>
                <w:sz w:val="22"/>
                <w:szCs w:val="22"/>
              </w:rPr>
              <w:t xml:space="preserve">, synthesizes the latest research on how forests near and far benefit cities, including in areas such as climate, water, biodiversity, and human health and well-being. The report will launch on November 29, </w:t>
            </w:r>
            <w:proofErr w:type="gramStart"/>
            <w:r>
              <w:rPr>
                <w:sz w:val="22"/>
                <w:szCs w:val="22"/>
              </w:rPr>
              <w:t>2022</w:t>
            </w:r>
            <w:proofErr w:type="gramEnd"/>
            <w:r>
              <w:rPr>
                <w:sz w:val="22"/>
                <w:szCs w:val="22"/>
              </w:rPr>
              <w:t xml:space="preserve"> with a webinar, during which speakers will present the research and explore immediate actions and policy recommendations for cities that wish to better incorporate nature-based solutions into city plans, programs, and investments. The launch will also include a full communications package of email marketing, social media posts, an article on WRI Insights, and more </w:t>
            </w:r>
          </w:p>
        </w:tc>
      </w:tr>
    </w:tbl>
    <w:p w14:paraId="6A4EA78D" w14:textId="77777777" w:rsidR="000B1D0E" w:rsidRDefault="000B1D0E" w:rsidP="000B1D0E">
      <w:pPr>
        <w:rPr>
          <w:rFonts w:ascii="Arial" w:hAnsi="Arial" w:cs="Arial"/>
          <w:b/>
          <w:bCs/>
          <w:sz w:val="20"/>
          <w:szCs w:val="20"/>
          <w:u w:val="single"/>
        </w:rPr>
      </w:pPr>
    </w:p>
    <w:p w14:paraId="667EC23C" w14:textId="77777777" w:rsidR="000B1D0E" w:rsidRDefault="000B1D0E" w:rsidP="000B1D0E">
      <w:pPr>
        <w:rPr>
          <w:rFonts w:ascii="Arial" w:hAnsi="Arial" w:cs="Arial"/>
          <w:b/>
          <w:bCs/>
          <w:sz w:val="20"/>
          <w:szCs w:val="20"/>
          <w:u w:val="single"/>
        </w:rPr>
      </w:pPr>
    </w:p>
    <w:p w14:paraId="27EE54DC" w14:textId="77777777" w:rsidR="000B1D0E" w:rsidRDefault="000B1D0E" w:rsidP="000B1D0E">
      <w:pPr>
        <w:rPr>
          <w:rFonts w:ascii="Arial" w:hAnsi="Arial" w:cs="Arial"/>
          <w:b/>
          <w:bCs/>
          <w:sz w:val="20"/>
          <w:szCs w:val="20"/>
          <w:u w:val="single"/>
        </w:rPr>
      </w:pPr>
    </w:p>
    <w:p w14:paraId="7D3A4652" w14:textId="77777777" w:rsidR="000B1D0E" w:rsidRDefault="000B1D0E" w:rsidP="000B1D0E">
      <w:pPr>
        <w:spacing w:after="0"/>
        <w:rPr>
          <w:rFonts w:ascii="Arial" w:hAnsi="Arial" w:cs="Arial"/>
          <w:b/>
          <w:bCs/>
          <w:sz w:val="20"/>
          <w:szCs w:val="20"/>
          <w:u w:val="single"/>
        </w:rPr>
      </w:pPr>
    </w:p>
    <w:p w14:paraId="3FA8C627" w14:textId="77777777" w:rsidR="000B1D0E" w:rsidRDefault="000B1D0E" w:rsidP="000B1D0E">
      <w:pPr>
        <w:spacing w:after="0"/>
        <w:rPr>
          <w:rFonts w:ascii="Arial" w:hAnsi="Arial" w:cs="Arial"/>
          <w:b/>
          <w:bCs/>
          <w:sz w:val="20"/>
          <w:szCs w:val="20"/>
          <w:u w:val="single"/>
        </w:rPr>
      </w:pPr>
    </w:p>
    <w:p w14:paraId="48C6A481" w14:textId="77777777" w:rsidR="000B1D0E" w:rsidRDefault="000B1D0E" w:rsidP="000B1D0E">
      <w:pPr>
        <w:spacing w:after="0"/>
        <w:rPr>
          <w:rFonts w:ascii="Arial" w:hAnsi="Arial" w:cs="Arial"/>
          <w:b/>
          <w:bCs/>
          <w:sz w:val="20"/>
          <w:szCs w:val="20"/>
          <w:u w:val="single"/>
        </w:rPr>
      </w:pPr>
    </w:p>
    <w:p w14:paraId="07A1B6A5" w14:textId="77777777" w:rsidR="000B1D0E" w:rsidRDefault="000B1D0E" w:rsidP="000B1D0E">
      <w:pPr>
        <w:spacing w:after="0"/>
        <w:rPr>
          <w:rFonts w:ascii="Arial" w:hAnsi="Arial" w:cs="Arial"/>
          <w:b/>
          <w:bCs/>
          <w:sz w:val="20"/>
          <w:szCs w:val="20"/>
          <w:u w:val="single"/>
        </w:rPr>
      </w:pPr>
      <w:r>
        <w:rPr>
          <w:rFonts w:ascii="Arial" w:hAnsi="Arial" w:cs="Arial"/>
          <w:b/>
          <w:bCs/>
          <w:sz w:val="20"/>
          <w:szCs w:val="20"/>
          <w:u w:val="single"/>
        </w:rPr>
        <w:br w:type="page"/>
      </w:r>
    </w:p>
    <w:p w14:paraId="61E879E2" w14:textId="77777777" w:rsidR="000B1D0E" w:rsidRDefault="000B1D0E" w:rsidP="000B1D0E">
      <w:pPr>
        <w:rPr>
          <w:rFonts w:ascii="Arial" w:hAnsi="Arial" w:cs="Arial"/>
          <w:b/>
          <w:bCs/>
          <w:sz w:val="20"/>
          <w:szCs w:val="20"/>
          <w:u w:val="single"/>
        </w:rPr>
        <w:sectPr w:rsidR="000B1D0E" w:rsidSect="00472C34">
          <w:pgSz w:w="16838" w:h="11906" w:orient="landscape"/>
          <w:pgMar w:top="1440" w:right="709" w:bottom="1440" w:left="709" w:header="708" w:footer="708" w:gutter="0"/>
          <w:cols w:space="708"/>
          <w:docGrid w:linePitch="360"/>
        </w:sectPr>
      </w:pPr>
    </w:p>
    <w:p w14:paraId="2E98B7CE" w14:textId="77777777" w:rsidR="000B1D0E" w:rsidRDefault="000B1D0E" w:rsidP="000B1D0E">
      <w:pPr>
        <w:rPr>
          <w:rFonts w:ascii="Arial" w:hAnsi="Arial" w:cs="Arial"/>
          <w:b/>
          <w:bCs/>
          <w:sz w:val="20"/>
          <w:szCs w:val="20"/>
          <w:u w:val="single"/>
        </w:rPr>
      </w:pPr>
      <w:r>
        <w:rPr>
          <w:rFonts w:ascii="Arial" w:hAnsi="Arial" w:cs="Arial"/>
          <w:b/>
          <w:bCs/>
          <w:sz w:val="20"/>
          <w:szCs w:val="20"/>
          <w:u w:val="single"/>
        </w:rPr>
        <w:lastRenderedPageBreak/>
        <w:t>Annex D: Changes to Logframe for Y2 2023</w:t>
      </w:r>
    </w:p>
    <w:p w14:paraId="33D03879" w14:textId="77777777" w:rsidR="000B1D0E" w:rsidRPr="0040348B" w:rsidRDefault="000B1D0E" w:rsidP="000B1D0E">
      <w:r w:rsidRPr="0040348B">
        <w:t xml:space="preserve">Cities4Forests started in 2018, and Defra's contribution runs from Nov 2021 to Dec 2023.  </w:t>
      </w:r>
      <w:r>
        <w:t>L</w:t>
      </w:r>
      <w:r w:rsidRPr="0040348B">
        <w:t xml:space="preserve">ogframe development was completed in Oct 2022.  In March 2023 after the first annual review, </w:t>
      </w:r>
      <w:r w:rsidRPr="00913121">
        <w:t>Cities4Forests</w:t>
      </w:r>
      <w:r>
        <w:t xml:space="preserve"> </w:t>
      </w:r>
      <w:r w:rsidRPr="0040348B">
        <w:t xml:space="preserve">proposed adjusting some aspects of the </w:t>
      </w:r>
      <w:proofErr w:type="gramStart"/>
      <w:r w:rsidRPr="0040348B">
        <w:t>logframe</w:t>
      </w:r>
      <w:r>
        <w:t>, in particular</w:t>
      </w:r>
      <w:proofErr w:type="gramEnd"/>
      <w:r w:rsidRPr="0040348B">
        <w:t xml:space="preserve">: </w:t>
      </w:r>
    </w:p>
    <w:p w14:paraId="56133D3E" w14:textId="77777777" w:rsidR="000B1D0E" w:rsidRPr="0040348B" w:rsidRDefault="000B1D0E" w:rsidP="000B1D0E">
      <w:r w:rsidRPr="0040348B">
        <w:rPr>
          <w:u w:val="single"/>
        </w:rPr>
        <w:t>1. Impact indicator 1</w:t>
      </w:r>
      <w:r w:rsidRPr="0040348B">
        <w:t xml:space="preserve"> expected results for hectares of land benefiting from sustainable land management practices reduced from 32,860 hectares to 4000 hectares.  This was largely due to refining Defra's and </w:t>
      </w:r>
      <w:r w:rsidRPr="00913121">
        <w:t>Cities4Forests</w:t>
      </w:r>
      <w:r w:rsidRPr="0040348B">
        <w:t xml:space="preserve">'s shared understanding of what counts as ‘benefitting’.  </w:t>
      </w:r>
      <w:r w:rsidRPr="00913121">
        <w:t>Cities4Forests</w:t>
      </w:r>
      <w:r w:rsidRPr="0040348B">
        <w:t>had originally generated numbers based on their methodologies which would include area where there are commitments and plans for sustainable land management</w:t>
      </w:r>
      <w:r>
        <w:t xml:space="preserve">. However, </w:t>
      </w:r>
      <w:r w:rsidRPr="0040348B">
        <w:t xml:space="preserve">after consultation with Defra, </w:t>
      </w:r>
      <w:r>
        <w:t>it was clear that our</w:t>
      </w:r>
      <w:r w:rsidRPr="0040348B">
        <w:t xml:space="preserve"> interpretation </w:t>
      </w:r>
      <w:r>
        <w:t>is actual</w:t>
      </w:r>
      <w:r w:rsidRPr="0040348B">
        <w:t xml:space="preserve"> implementation.  This means not just commitments but on the ground</w:t>
      </w:r>
      <w:r>
        <w:t xml:space="preserve"> implementation</w:t>
      </w:r>
      <w:r w:rsidRPr="0040348B">
        <w:t xml:space="preserve">, </w:t>
      </w:r>
      <w:r>
        <w:t>as a result</w:t>
      </w:r>
      <w:r w:rsidRPr="0040348B">
        <w:t xml:space="preserve"> </w:t>
      </w:r>
      <w:r w:rsidRPr="00913121">
        <w:t>Cities4Forests</w:t>
      </w:r>
      <w:r>
        <w:t xml:space="preserve"> </w:t>
      </w:r>
      <w:r w:rsidRPr="0040348B">
        <w:t xml:space="preserve">re-assessed the target for year 2.  However, </w:t>
      </w:r>
      <w:r w:rsidRPr="00913121">
        <w:t>Cities4Forests</w:t>
      </w:r>
      <w:r>
        <w:t xml:space="preserve"> </w:t>
      </w:r>
      <w:r w:rsidRPr="0040348B">
        <w:t xml:space="preserve">does expect </w:t>
      </w:r>
      <w:r>
        <w:t xml:space="preserve">long-term impact to meet the original target albeit </w:t>
      </w:r>
      <w:r w:rsidRPr="0040348B">
        <w:t xml:space="preserve">after our current voluntary contribution ends.  </w:t>
      </w:r>
    </w:p>
    <w:p w14:paraId="3B2151B5" w14:textId="77777777" w:rsidR="000B1D0E" w:rsidRPr="0040348B" w:rsidRDefault="000B1D0E" w:rsidP="000B1D0E">
      <w:r w:rsidRPr="0040348B">
        <w:rPr>
          <w:u w:val="single"/>
        </w:rPr>
        <w:t>2. Impact indicator 2</w:t>
      </w:r>
      <w:r w:rsidRPr="0040348B">
        <w:t xml:space="preserve"> expected results for GHG emissions avoided </w:t>
      </w:r>
      <w:r>
        <w:t>reduced</w:t>
      </w:r>
      <w:r w:rsidRPr="0040348B">
        <w:t xml:space="preserve"> from 31,420 tCO2 to </w:t>
      </w:r>
      <w:r>
        <w:t>16,000</w:t>
      </w:r>
      <w:r w:rsidRPr="0040348B">
        <w:t xml:space="preserve"> tCO2 </w:t>
      </w:r>
    </w:p>
    <w:p w14:paraId="084872F6" w14:textId="77777777" w:rsidR="000B1D0E" w:rsidRPr="0040348B" w:rsidRDefault="000B1D0E" w:rsidP="000B1D0E">
      <w:r w:rsidRPr="0040348B">
        <w:rPr>
          <w:u w:val="single"/>
        </w:rPr>
        <w:t>3. Impact indicator 3</w:t>
      </w:r>
      <w:r w:rsidRPr="0040348B">
        <w:t xml:space="preserve"> expected results for number of people whose climate resilience has been improved increased from 170,660 people to 250,000 people </w:t>
      </w:r>
    </w:p>
    <w:p w14:paraId="5E6EF18D" w14:textId="77777777" w:rsidR="000B1D0E" w:rsidRPr="0040348B" w:rsidRDefault="000B1D0E" w:rsidP="000B1D0E">
      <w:r w:rsidRPr="0040348B">
        <w:rPr>
          <w:u w:val="single"/>
        </w:rPr>
        <w:t>4. An additional feature for impact indicator 3 was added</w:t>
      </w:r>
      <w:r w:rsidRPr="0040348B">
        <w:t xml:space="preserve"> - number of people with enhanced livelihoods through </w:t>
      </w:r>
      <w:r>
        <w:t>Cities4Forests</w:t>
      </w:r>
      <w:r w:rsidRPr="0040348B">
        <w:t xml:space="preserve">with a Year 2 target of 100 people, and </w:t>
      </w:r>
      <w:r>
        <w:t>Cities4Forests</w:t>
      </w:r>
      <w:r w:rsidRPr="0040348B">
        <w:t xml:space="preserve">is working with in-country colleagues to get disaggregated data, but this is challenging and varies across countries due to privacy </w:t>
      </w:r>
      <w:proofErr w:type="gramStart"/>
      <w:r w:rsidRPr="0040348B">
        <w:t>laws</w:t>
      </w:r>
      <w:proofErr w:type="gramEnd"/>
      <w:r w:rsidRPr="0040348B">
        <w:t xml:space="preserve"> but they will aim for disaggregation and feedback at the next PMRG how it's going.</w:t>
      </w:r>
    </w:p>
    <w:p w14:paraId="6135922D" w14:textId="77777777" w:rsidR="000B1D0E" w:rsidRPr="0040348B" w:rsidRDefault="000B1D0E" w:rsidP="000B1D0E">
      <w:r w:rsidRPr="0040348B">
        <w:rPr>
          <w:u w:val="single"/>
        </w:rPr>
        <w:t>5. A new output indicator (2.3) was added</w:t>
      </w:r>
      <w:r w:rsidRPr="0040348B">
        <w:t xml:space="preserve"> - Number of new technical analyses produced by Cities4Forests that strengthen city capacity to implement </w:t>
      </w:r>
      <w:proofErr w:type="spellStart"/>
      <w:r w:rsidRPr="0040348B">
        <w:t>NbS</w:t>
      </w:r>
      <w:proofErr w:type="spellEnd"/>
      <w:r w:rsidRPr="0040348B">
        <w:t>, with a Year 2 target of 18</w:t>
      </w:r>
    </w:p>
    <w:p w14:paraId="5F35AE06" w14:textId="77777777" w:rsidR="000B1D0E" w:rsidRDefault="000B1D0E" w:rsidP="000B1D0E">
      <w:r w:rsidRPr="0040348B">
        <w:rPr>
          <w:u w:val="single"/>
        </w:rPr>
        <w:t>6. A new output indicator (4.1) was added</w:t>
      </w:r>
      <w:r w:rsidRPr="0040348B">
        <w:t xml:space="preserve"> - Number of </w:t>
      </w:r>
      <w:proofErr w:type="spellStart"/>
      <w:r w:rsidRPr="0040348B">
        <w:t>NbS</w:t>
      </w:r>
      <w:proofErr w:type="spellEnd"/>
      <w:r w:rsidRPr="0040348B">
        <w:t xml:space="preserve"> projects and policies informed by Cities4Forests with integrated gender and social considerations, with a Year 2 target of 12.</w:t>
      </w:r>
    </w:p>
    <w:p w14:paraId="296208AD" w14:textId="2DEE32C9" w:rsidR="000B1D0E" w:rsidRPr="0062428E" w:rsidRDefault="000B1D0E" w:rsidP="000B1D0E">
      <w:r>
        <w:t xml:space="preserve">7. </w:t>
      </w:r>
      <w:r w:rsidRPr="0062428E">
        <w:rPr>
          <w:u w:val="single"/>
        </w:rPr>
        <w:t>For impact indicator 3</w:t>
      </w:r>
      <w:r>
        <w:rPr>
          <w:u w:val="single"/>
        </w:rPr>
        <w:t xml:space="preserve"> (as noted above)</w:t>
      </w:r>
      <w:r w:rsidRPr="0062428E">
        <w:rPr>
          <w:u w:val="single"/>
        </w:rPr>
        <w:t xml:space="preserve">, </w:t>
      </w:r>
      <w:r>
        <w:rPr>
          <w:u w:val="single"/>
        </w:rPr>
        <w:t xml:space="preserve">several </w:t>
      </w:r>
      <w:r w:rsidRPr="0062428E">
        <w:rPr>
          <w:u w:val="single"/>
        </w:rPr>
        <w:t xml:space="preserve">outcome </w:t>
      </w:r>
      <w:r>
        <w:rPr>
          <w:u w:val="single"/>
        </w:rPr>
        <w:t xml:space="preserve">indicators </w:t>
      </w:r>
      <w:r w:rsidRPr="0062428E">
        <w:rPr>
          <w:u w:val="single"/>
        </w:rPr>
        <w:t xml:space="preserve">and </w:t>
      </w:r>
      <w:r>
        <w:rPr>
          <w:u w:val="single"/>
        </w:rPr>
        <w:t xml:space="preserve">many </w:t>
      </w:r>
      <w:r w:rsidRPr="0062428E">
        <w:rPr>
          <w:u w:val="single"/>
        </w:rPr>
        <w:t>output</w:t>
      </w:r>
      <w:r>
        <w:rPr>
          <w:u w:val="single"/>
        </w:rPr>
        <w:t xml:space="preserve"> indicators</w:t>
      </w:r>
      <w:r w:rsidRPr="0062428E">
        <w:t xml:space="preserve"> expected results have been increased. This is due to </w:t>
      </w:r>
      <w:proofErr w:type="gramStart"/>
      <w:r w:rsidRPr="0062428E">
        <w:t>a number of</w:t>
      </w:r>
      <w:proofErr w:type="gramEnd"/>
      <w:r w:rsidRPr="0062428E">
        <w:t xml:space="preserve"> factors. Since the beginning of Defra's investment, Cities4Forests has raised additional finance from a range of existing and new donors, which has allowed for additional resource and capacity on the ground.  They</w:t>
      </w:r>
      <w:r>
        <w:t xml:space="preserve"> ha</w:t>
      </w:r>
      <w:r w:rsidRPr="0062428E">
        <w:t xml:space="preserve">ve implemented </w:t>
      </w:r>
      <w:proofErr w:type="gramStart"/>
      <w:r w:rsidRPr="0062428E">
        <w:t>a number of</w:t>
      </w:r>
      <w:proofErr w:type="gramEnd"/>
      <w:r w:rsidRPr="0062428E">
        <w:t xml:space="preserve"> political engagement events (see Annual Review) which have given them additional traction for impact across activities.  Cities4Forests was also conservative in their initial estimates, but through an iterative back-and-forth process with their in-country teams, they clarified which activities could feed into which outputs, </w:t>
      </w:r>
      <w:proofErr w:type="gramStart"/>
      <w:r w:rsidRPr="0062428E">
        <w:t>outcomes</w:t>
      </w:r>
      <w:proofErr w:type="gramEnd"/>
      <w:r w:rsidRPr="0062428E">
        <w:t xml:space="preserve"> and impacts.  They also discovered new outcomes that could feed into metrics, and found that </w:t>
      </w:r>
      <w:proofErr w:type="gramStart"/>
      <w:r w:rsidRPr="0062428E">
        <w:t>overall</w:t>
      </w:r>
      <w:proofErr w:type="gramEnd"/>
      <w:r w:rsidRPr="0062428E">
        <w:t xml:space="preserve"> they were under-counting their successes.</w:t>
      </w:r>
    </w:p>
    <w:p w14:paraId="30F3AF4A" w14:textId="77777777" w:rsidR="000B1D0E" w:rsidRDefault="000B1D0E" w:rsidP="000B1D0E"/>
    <w:p w14:paraId="0F986694" w14:textId="77777777" w:rsidR="000B1D0E" w:rsidRPr="00E725A1" w:rsidRDefault="000B1D0E" w:rsidP="000B1D0E">
      <w:pPr>
        <w:rPr>
          <w:rFonts w:ascii="Arial" w:hAnsi="Arial" w:cs="Arial"/>
          <w:b/>
          <w:bCs/>
          <w:sz w:val="20"/>
          <w:szCs w:val="20"/>
          <w:u w:val="single"/>
        </w:rPr>
      </w:pPr>
    </w:p>
    <w:p w14:paraId="4C2FEC0D" w14:textId="77777777" w:rsidR="00B3155E" w:rsidRDefault="00B3155E"/>
    <w:sectPr w:rsidR="00B3155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FB6D57" w14:textId="77777777" w:rsidR="00472C34" w:rsidRDefault="00472C34" w:rsidP="000B1D0E">
      <w:pPr>
        <w:spacing w:after="0" w:line="240" w:lineRule="auto"/>
      </w:pPr>
      <w:r>
        <w:separator/>
      </w:r>
    </w:p>
  </w:endnote>
  <w:endnote w:type="continuationSeparator" w:id="0">
    <w:p w14:paraId="0D7BDF43" w14:textId="77777777" w:rsidR="00472C34" w:rsidRDefault="00472C34" w:rsidP="000B1D0E">
      <w:pPr>
        <w:spacing w:after="0" w:line="240" w:lineRule="auto"/>
      </w:pPr>
      <w:r>
        <w:continuationSeparator/>
      </w:r>
    </w:p>
  </w:endnote>
  <w:endnote w:type="continuationNotice" w:id="1">
    <w:p w14:paraId="3EE03266" w14:textId="77777777" w:rsidR="00472C34" w:rsidRDefault="00472C3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540D6" w14:textId="77777777" w:rsidR="000B1D0E" w:rsidRDefault="000B1D0E">
    <w:pPr>
      <w:pStyle w:val="Footer"/>
    </w:pPr>
    <w:r>
      <w:rPr>
        <w:noProof/>
        <w:color w:val="2B579A"/>
        <w:shd w:val="clear" w:color="auto" w:fill="E6E6E6"/>
      </w:rPr>
      <mc:AlternateContent>
        <mc:Choice Requires="wps">
          <w:drawing>
            <wp:anchor distT="0" distB="0" distL="0" distR="0" simplePos="0" relativeHeight="251658244" behindDoc="0" locked="0" layoutInCell="1" allowOverlap="1" wp14:anchorId="5E8C5999" wp14:editId="49562915">
              <wp:simplePos x="635" y="635"/>
              <wp:positionH relativeFrom="leftMargin">
                <wp:align>left</wp:align>
              </wp:positionH>
              <wp:positionV relativeFrom="paragraph">
                <wp:posOffset>635</wp:posOffset>
              </wp:positionV>
              <wp:extent cx="443865" cy="443865"/>
              <wp:effectExtent l="0" t="0" r="10160" b="16510"/>
              <wp:wrapSquare wrapText="bothSides"/>
              <wp:docPr id="6"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7C7D90C" w14:textId="77777777" w:rsidR="000B1D0E" w:rsidRPr="00C21E67" w:rsidRDefault="000B1D0E">
                          <w:pPr>
                            <w:rPr>
                              <w:rFonts w:ascii="Calibri" w:eastAsia="Calibri" w:hAnsi="Calibri" w:cs="Calibri"/>
                              <w:noProof/>
                              <w:color w:val="000000"/>
                              <w:sz w:val="20"/>
                              <w:szCs w:val="20"/>
                            </w:rPr>
                          </w:pPr>
                          <w:r w:rsidRPr="00C21E67">
                            <w:rPr>
                              <w:rFonts w:ascii="Calibri" w:eastAsia="Calibri" w:hAnsi="Calibri" w:cs="Calibri"/>
                              <w:noProof/>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5E8C5999" id="_x0000_t202" coordsize="21600,21600" o:spt="202" path="m,l,21600r21600,l21600,xe">
              <v:stroke joinstyle="miter"/>
              <v:path gradientshapeok="t" o:connecttype="rect"/>
            </v:shapetype>
            <v:shape id="Text Box 6" o:spid="_x0000_s1029" type="#_x0000_t202" alt="OFFICIAL" style="position:absolute;margin-left:0;margin-top:.05pt;width:34.95pt;height:34.95pt;z-index:25165824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E6zhzwkCAAAbBAAADgAA&#10;AAAAAAAAAAAAAAAuAgAAZHJzL2Uyb0RvYy54bWxQSwECLQAUAAYACAAAACEANIE6FtoAAAADAQAA&#10;DwAAAAAAAAAAAAAAAABjBAAAZHJzL2Rvd25yZXYueG1sUEsFBgAAAAAEAAQA8wAAAGoFAAAAAA==&#10;" filled="f" stroked="f">
              <v:textbox style="mso-fit-shape-to-text:t" inset="5pt,0,0,0">
                <w:txbxContent>
                  <w:p w14:paraId="37C7D90C" w14:textId="77777777" w:rsidR="000B1D0E" w:rsidRPr="00C21E67" w:rsidRDefault="000B1D0E">
                    <w:pPr>
                      <w:rPr>
                        <w:rFonts w:ascii="Calibri" w:eastAsia="Calibri" w:hAnsi="Calibri" w:cs="Calibri"/>
                        <w:noProof/>
                        <w:color w:val="000000"/>
                        <w:sz w:val="20"/>
                        <w:szCs w:val="20"/>
                      </w:rPr>
                    </w:pPr>
                    <w:r w:rsidRPr="00C21E67">
                      <w:rPr>
                        <w:rFonts w:ascii="Calibri" w:eastAsia="Calibri" w:hAnsi="Calibri" w:cs="Calibri"/>
                        <w:noProof/>
                        <w:color w:val="000000"/>
                        <w:sz w:val="20"/>
                        <w:szCs w:val="20"/>
                      </w:rPr>
                      <w:t>OFFICIAL</w:t>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D14A2" w14:textId="77777777" w:rsidR="000B1D0E" w:rsidRDefault="000B1D0E">
    <w:pPr>
      <w:pStyle w:val="Footer"/>
    </w:pPr>
    <w:r>
      <w:rPr>
        <w:noProof/>
        <w:color w:val="2B579A"/>
        <w:shd w:val="clear" w:color="auto" w:fill="E6E6E6"/>
      </w:rPr>
      <mc:AlternateContent>
        <mc:Choice Requires="wps">
          <w:drawing>
            <wp:anchor distT="0" distB="0" distL="0" distR="0" simplePos="0" relativeHeight="251658245" behindDoc="0" locked="0" layoutInCell="1" allowOverlap="1" wp14:anchorId="0972F70E" wp14:editId="1A7C8132">
              <wp:simplePos x="914400" y="10071100"/>
              <wp:positionH relativeFrom="leftMargin">
                <wp:align>left</wp:align>
              </wp:positionH>
              <wp:positionV relativeFrom="paragraph">
                <wp:posOffset>635</wp:posOffset>
              </wp:positionV>
              <wp:extent cx="443865" cy="443865"/>
              <wp:effectExtent l="0" t="0" r="10160" b="16510"/>
              <wp:wrapSquare wrapText="bothSides"/>
              <wp:docPr id="7" name="Text Box 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9AAAAE3" w14:textId="77777777" w:rsidR="000B1D0E" w:rsidRPr="00C21E67" w:rsidRDefault="000B1D0E">
                          <w:pPr>
                            <w:rPr>
                              <w:rFonts w:ascii="Calibri" w:eastAsia="Calibri" w:hAnsi="Calibri" w:cs="Calibri"/>
                              <w:noProof/>
                              <w:color w:val="000000"/>
                              <w:sz w:val="20"/>
                              <w:szCs w:val="20"/>
                            </w:rPr>
                          </w:pPr>
                          <w:r w:rsidRPr="00C21E67">
                            <w:rPr>
                              <w:rFonts w:ascii="Calibri" w:eastAsia="Calibri" w:hAnsi="Calibri" w:cs="Calibri"/>
                              <w:noProof/>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0972F70E" id="_x0000_t202" coordsize="21600,21600" o:spt="202" path="m,l,21600r21600,l21600,xe">
              <v:stroke joinstyle="miter"/>
              <v:path gradientshapeok="t" o:connecttype="rect"/>
            </v:shapetype>
            <v:shape id="Text Box 7" o:spid="_x0000_s1030" type="#_x0000_t202" alt="OFFICIAL" style="position:absolute;margin-left:0;margin-top:.05pt;width:34.95pt;height:34.95pt;z-index:251658245;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dhbLpQkCAAAbBAAADgAA&#10;AAAAAAAAAAAAAAAuAgAAZHJzL2Uyb0RvYy54bWxQSwECLQAUAAYACAAAACEANIE6FtoAAAADAQAA&#10;DwAAAAAAAAAAAAAAAABjBAAAZHJzL2Rvd25yZXYueG1sUEsFBgAAAAAEAAQA8wAAAGoFAAAAAA==&#10;" filled="f" stroked="f">
              <v:textbox style="mso-fit-shape-to-text:t" inset="5pt,0,0,0">
                <w:txbxContent>
                  <w:p w14:paraId="59AAAAE3" w14:textId="77777777" w:rsidR="000B1D0E" w:rsidRPr="00C21E67" w:rsidRDefault="000B1D0E">
                    <w:pPr>
                      <w:rPr>
                        <w:rFonts w:ascii="Calibri" w:eastAsia="Calibri" w:hAnsi="Calibri" w:cs="Calibri"/>
                        <w:noProof/>
                        <w:color w:val="000000"/>
                        <w:sz w:val="20"/>
                        <w:szCs w:val="20"/>
                      </w:rPr>
                    </w:pPr>
                    <w:r w:rsidRPr="00C21E67">
                      <w:rPr>
                        <w:rFonts w:ascii="Calibri" w:eastAsia="Calibri" w:hAnsi="Calibri" w:cs="Calibri"/>
                        <w:noProof/>
                        <w:color w:val="000000"/>
                        <w:sz w:val="20"/>
                        <w:szCs w:val="20"/>
                      </w:rPr>
                      <w:t>OFFICIAL</w:t>
                    </w:r>
                  </w:p>
                </w:txbxContent>
              </v:textbox>
              <w10:wrap type="square"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E1F57" w14:textId="77777777" w:rsidR="000B1D0E" w:rsidRDefault="000B1D0E">
    <w:pPr>
      <w:pStyle w:val="Footer"/>
    </w:pPr>
    <w:r>
      <w:rPr>
        <w:noProof/>
        <w:color w:val="2B579A"/>
        <w:shd w:val="clear" w:color="auto" w:fill="E6E6E6"/>
      </w:rPr>
      <mc:AlternateContent>
        <mc:Choice Requires="wps">
          <w:drawing>
            <wp:anchor distT="0" distB="0" distL="0" distR="0" simplePos="0" relativeHeight="251658243" behindDoc="0" locked="0" layoutInCell="1" allowOverlap="1" wp14:anchorId="07DDC02E" wp14:editId="612268E5">
              <wp:simplePos x="635" y="635"/>
              <wp:positionH relativeFrom="leftMargin">
                <wp:align>left</wp:align>
              </wp:positionH>
              <wp:positionV relativeFrom="paragraph">
                <wp:posOffset>635</wp:posOffset>
              </wp:positionV>
              <wp:extent cx="443865" cy="443865"/>
              <wp:effectExtent l="0" t="0" r="10160" b="16510"/>
              <wp:wrapSquare wrapText="bothSides"/>
              <wp:docPr id="5"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3E3F756" w14:textId="77777777" w:rsidR="000B1D0E" w:rsidRPr="00C21E67" w:rsidRDefault="000B1D0E">
                          <w:pPr>
                            <w:rPr>
                              <w:rFonts w:ascii="Calibri" w:eastAsia="Calibri" w:hAnsi="Calibri" w:cs="Calibri"/>
                              <w:noProof/>
                              <w:color w:val="000000"/>
                              <w:sz w:val="20"/>
                              <w:szCs w:val="20"/>
                            </w:rPr>
                          </w:pPr>
                          <w:r w:rsidRPr="00C21E67">
                            <w:rPr>
                              <w:rFonts w:ascii="Calibri" w:eastAsia="Calibri" w:hAnsi="Calibri" w:cs="Calibri"/>
                              <w:noProof/>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07DDC02E" id="_x0000_t202" coordsize="21600,21600" o:spt="202" path="m,l,21600r21600,l21600,xe">
              <v:stroke joinstyle="miter"/>
              <v:path gradientshapeok="t" o:connecttype="rect"/>
            </v:shapetype>
            <v:shape id="Text Box 5" o:spid="_x0000_s1032" type="#_x0000_t202" alt="OFFICIAL" style="position:absolute;margin-left:0;margin-top:.05pt;width:34.95pt;height:34.95pt;z-index:251658243;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aY1FAgkCAAAbBAAADgAA&#10;AAAAAAAAAAAAAAAuAgAAZHJzL2Uyb0RvYy54bWxQSwECLQAUAAYACAAAACEANIE6FtoAAAADAQAA&#10;DwAAAAAAAAAAAAAAAABjBAAAZHJzL2Rvd25yZXYueG1sUEsFBgAAAAAEAAQA8wAAAGoFAAAAAA==&#10;" filled="f" stroked="f">
              <v:textbox style="mso-fit-shape-to-text:t" inset="5pt,0,0,0">
                <w:txbxContent>
                  <w:p w14:paraId="33E3F756" w14:textId="77777777" w:rsidR="000B1D0E" w:rsidRPr="00C21E67" w:rsidRDefault="000B1D0E">
                    <w:pPr>
                      <w:rPr>
                        <w:rFonts w:ascii="Calibri" w:eastAsia="Calibri" w:hAnsi="Calibri" w:cs="Calibri"/>
                        <w:noProof/>
                        <w:color w:val="000000"/>
                        <w:sz w:val="20"/>
                        <w:szCs w:val="20"/>
                      </w:rPr>
                    </w:pPr>
                    <w:r w:rsidRPr="00C21E67">
                      <w:rPr>
                        <w:rFonts w:ascii="Calibri" w:eastAsia="Calibri" w:hAnsi="Calibri" w:cs="Calibri"/>
                        <w:noProof/>
                        <w:color w:val="000000"/>
                        <w:sz w:val="20"/>
                        <w:szCs w:val="20"/>
                      </w:rPr>
                      <w:t>OFFICIAL</w:t>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1E970A" w14:textId="77777777" w:rsidR="00472C34" w:rsidRDefault="00472C34" w:rsidP="000B1D0E">
      <w:pPr>
        <w:spacing w:after="0" w:line="240" w:lineRule="auto"/>
      </w:pPr>
      <w:r>
        <w:separator/>
      </w:r>
    </w:p>
  </w:footnote>
  <w:footnote w:type="continuationSeparator" w:id="0">
    <w:p w14:paraId="5ECE2353" w14:textId="77777777" w:rsidR="00472C34" w:rsidRDefault="00472C34" w:rsidP="000B1D0E">
      <w:pPr>
        <w:spacing w:after="0" w:line="240" w:lineRule="auto"/>
      </w:pPr>
      <w:r>
        <w:continuationSeparator/>
      </w:r>
    </w:p>
  </w:footnote>
  <w:footnote w:type="continuationNotice" w:id="1">
    <w:p w14:paraId="719DF9CC" w14:textId="77777777" w:rsidR="00472C34" w:rsidRDefault="00472C34">
      <w:pPr>
        <w:spacing w:after="0" w:line="240" w:lineRule="auto"/>
      </w:pPr>
    </w:p>
  </w:footnote>
  <w:footnote w:id="2">
    <w:p w14:paraId="6627DAAC" w14:textId="77777777" w:rsidR="000B1D0E" w:rsidRDefault="000B1D0E" w:rsidP="000B1D0E">
      <w:pPr>
        <w:pStyle w:val="FootnoteText"/>
      </w:pPr>
      <w:r>
        <w:rPr>
          <w:rStyle w:val="FootnoteReference"/>
        </w:rPr>
        <w:footnoteRef/>
      </w:r>
      <w:r>
        <w:t xml:space="preserve"> </w:t>
      </w:r>
      <w:hyperlink r:id="rId1" w:history="1">
        <w:r>
          <w:rPr>
            <w:rStyle w:val="Hyperlink"/>
          </w:rPr>
          <w:t>Better Forests, Better Cities | World Resources Institute (wri.org)</w:t>
        </w:r>
      </w:hyperlink>
    </w:p>
  </w:footnote>
  <w:footnote w:id="3">
    <w:p w14:paraId="21FCF8B0" w14:textId="77777777" w:rsidR="000B1D0E" w:rsidRDefault="000B1D0E" w:rsidP="000B1D0E">
      <w:pPr>
        <w:pStyle w:val="FootnoteText"/>
      </w:pPr>
      <w:r>
        <w:rPr>
          <w:rStyle w:val="FootnoteReference"/>
        </w:rPr>
        <w:footnoteRef/>
      </w:r>
      <w:r>
        <w:t xml:space="preserve"> </w:t>
      </w:r>
      <w:hyperlink r:id="rId2" w:history="1">
        <w:r>
          <w:rPr>
            <w:rStyle w:val="Hyperlink"/>
          </w:rPr>
          <w:t>TheCityFix Labs 2022 I Accelerating Nature-Based Solutions | WRI India Ross Center for Sustainable Cities | Helping cities make big ideas happen (wricitiesindia.org)</w:t>
        </w:r>
      </w:hyperlink>
    </w:p>
    <w:p w14:paraId="00DD499D" w14:textId="77777777" w:rsidR="000B1D0E" w:rsidRDefault="000B1D0E" w:rsidP="000B1D0E">
      <w:pPr>
        <w:pStyle w:val="FootnoteText"/>
      </w:pPr>
    </w:p>
  </w:footnote>
  <w:footnote w:id="4">
    <w:p w14:paraId="445DBF10" w14:textId="77777777" w:rsidR="000B1D0E" w:rsidRDefault="000B1D0E" w:rsidP="000B1D0E">
      <w:pPr>
        <w:pStyle w:val="FootnoteText"/>
      </w:pPr>
      <w:r>
        <w:rPr>
          <w:rStyle w:val="FootnoteReference"/>
        </w:rPr>
        <w:footnoteRef/>
      </w:r>
      <w:r>
        <w:t xml:space="preserve"> Please note these are cumulative targets from start to end of Defra’s investment, so from Nov 2021 to Dec 2023 and covering Year 1 (Nov 2021-Dec 2022) and Year 2 (Jan 2023-Dec2023).</w:t>
      </w:r>
    </w:p>
  </w:footnote>
  <w:footnote w:id="5">
    <w:p w14:paraId="5B77970A" w14:textId="77777777" w:rsidR="000B1D0E" w:rsidRDefault="000B1D0E" w:rsidP="000B1D0E">
      <w:pPr>
        <w:pStyle w:val="FootnoteText"/>
      </w:pPr>
      <w:r>
        <w:rPr>
          <w:rStyle w:val="FootnoteReference"/>
        </w:rPr>
        <w:footnoteRef/>
      </w:r>
      <w:r>
        <w:t xml:space="preserve"> Please note these are cumulative targets from start to end of Defra’s investment, so from Nov 2021 to Dec 2023 and covering Year 1 (Nov 2021-Dec 2022) and Year 2 (Jan 2023-Dec 2023).</w:t>
      </w:r>
    </w:p>
  </w:footnote>
  <w:footnote w:id="6">
    <w:p w14:paraId="15EA31DA" w14:textId="77777777" w:rsidR="000B1D0E" w:rsidRDefault="000B1D0E" w:rsidP="000B1D0E">
      <w:pPr>
        <w:pStyle w:val="FootnoteText"/>
      </w:pPr>
      <w:r>
        <w:rPr>
          <w:rStyle w:val="FootnoteReference"/>
        </w:rPr>
        <w:footnoteRef/>
      </w:r>
      <w:r>
        <w:t xml:space="preserve"> </w:t>
      </w:r>
      <w:hyperlink r:id="rId3" w:history="1">
        <w:r>
          <w:rPr>
            <w:rStyle w:val="Hyperlink"/>
          </w:rPr>
          <w:t>https://forestfootprint.org/</w:t>
        </w:r>
      </w:hyperlink>
    </w:p>
  </w:footnote>
  <w:footnote w:id="7">
    <w:p w14:paraId="54873C28" w14:textId="77777777" w:rsidR="000B1D0E" w:rsidRDefault="000B1D0E" w:rsidP="000B1D0E">
      <w:pPr>
        <w:pStyle w:val="FootnoteText"/>
      </w:pPr>
      <w:r>
        <w:rPr>
          <w:rStyle w:val="FootnoteReference"/>
        </w:rPr>
        <w:footnoteRef/>
      </w:r>
      <w:r>
        <w:t xml:space="preserve"> Please note these are cumulative targets from start to end of Defra’s investment, so from Nov 2021 to Dec 2023 and covering Year 1 (Nov 2021-Dec 2022) and Year 2 (Jan 2023-Dec2023).</w:t>
      </w:r>
    </w:p>
  </w:footnote>
  <w:footnote w:id="8">
    <w:p w14:paraId="631B9AB4" w14:textId="77777777" w:rsidR="000B1D0E" w:rsidRDefault="000B1D0E" w:rsidP="000B1D0E">
      <w:pPr>
        <w:pStyle w:val="FootnoteText"/>
      </w:pPr>
      <w:r>
        <w:rPr>
          <w:rStyle w:val="FootnoteReference"/>
        </w:rPr>
        <w:footnoteRef/>
      </w:r>
      <w:r>
        <w:t xml:space="preserve"> </w:t>
      </w:r>
      <w:hyperlink r:id="rId4" w:history="1">
        <w:r>
          <w:rPr>
            <w:rStyle w:val="Hyperlink"/>
          </w:rPr>
          <w:t>https://ukcop26.org/mdb-joint-statement/</w:t>
        </w:r>
      </w:hyperlink>
    </w:p>
  </w:footnote>
  <w:footnote w:id="9">
    <w:p w14:paraId="350AD2DE" w14:textId="77777777" w:rsidR="000B1D0E" w:rsidRDefault="000B1D0E" w:rsidP="000B1D0E">
      <w:pPr>
        <w:pStyle w:val="FootnoteText"/>
      </w:pPr>
      <w:r>
        <w:rPr>
          <w:rStyle w:val="FootnoteReference"/>
        </w:rPr>
        <w:t>[1]</w:t>
      </w:r>
      <w:r>
        <w:t xml:space="preserve"> Please note these are cumulative targets from start to end of Defra’s investment, so from Nov 2021 to Dec 2023 and covering Year 1 (Nov 2021-Dec 2022) and Year 2 (Jan 2023-Dec2023).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34CFA" w14:textId="79ED7537" w:rsidR="000B1D0E" w:rsidRDefault="000B1D0E">
    <w:pPr>
      <w:pStyle w:val="Header"/>
    </w:pPr>
    <w:r>
      <w:rPr>
        <w:noProof/>
        <w:color w:val="2B579A"/>
        <w:shd w:val="clear" w:color="auto" w:fill="E6E6E6"/>
      </w:rPr>
      <mc:AlternateContent>
        <mc:Choice Requires="wps">
          <w:drawing>
            <wp:anchor distT="0" distB="0" distL="0" distR="0" simplePos="0" relativeHeight="251658241" behindDoc="0" locked="0" layoutInCell="1" allowOverlap="1" wp14:anchorId="6E3E454A" wp14:editId="65F51CEB">
              <wp:simplePos x="635" y="635"/>
              <wp:positionH relativeFrom="leftMargin">
                <wp:align>left</wp:align>
              </wp:positionH>
              <wp:positionV relativeFrom="paragraph">
                <wp:posOffset>635</wp:posOffset>
              </wp:positionV>
              <wp:extent cx="443865" cy="443865"/>
              <wp:effectExtent l="0" t="0" r="10160" b="16510"/>
              <wp:wrapSquare wrapText="bothSides"/>
              <wp:docPr id="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6B60DE5" w14:textId="77777777" w:rsidR="000B1D0E" w:rsidRPr="00C21E67" w:rsidRDefault="000B1D0E">
                          <w:pPr>
                            <w:rPr>
                              <w:rFonts w:ascii="Calibri" w:eastAsia="Calibri" w:hAnsi="Calibri" w:cs="Calibri"/>
                              <w:noProof/>
                              <w:color w:val="000000"/>
                              <w:sz w:val="20"/>
                              <w:szCs w:val="20"/>
                            </w:rPr>
                          </w:pPr>
                          <w:r w:rsidRPr="00C21E67">
                            <w:rPr>
                              <w:rFonts w:ascii="Calibri" w:eastAsia="Calibri" w:hAnsi="Calibri" w:cs="Calibri"/>
                              <w:noProof/>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6E3E454A" id="_x0000_t202" coordsize="21600,21600" o:spt="202" path="m,l,21600r21600,l21600,xe">
              <v:stroke joinstyle="miter"/>
              <v:path gradientshapeok="t" o:connecttype="rect"/>
            </v:shapetype>
            <v:shape id="Text Box 3" o:spid="_x0000_s1027" type="#_x0000_t202" alt="OFFICIAL" style="position:absolute;margin-left:0;margin-top:.05pt;width:34.95pt;height:34.95pt;z-index:251658241;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CC8BQIAABQ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" filled="f" stroked="f">
              <v:textbox style="mso-fit-shape-to-text:t" inset="5pt,0,0,0">
                <w:txbxContent>
                  <w:p w14:paraId="46B60DE5" w14:textId="77777777" w:rsidR="000B1D0E" w:rsidRPr="00C21E67" w:rsidRDefault="000B1D0E">
                    <w:pPr>
                      <w:rPr>
                        <w:rFonts w:ascii="Calibri" w:eastAsia="Calibri" w:hAnsi="Calibri" w:cs="Calibri"/>
                        <w:noProof/>
                        <w:color w:val="000000"/>
                        <w:sz w:val="20"/>
                        <w:szCs w:val="20"/>
                      </w:rPr>
                    </w:pPr>
                    <w:r w:rsidRPr="00C21E67">
                      <w:rPr>
                        <w:rFonts w:ascii="Calibri" w:eastAsia="Calibri" w:hAnsi="Calibri" w:cs="Calibri"/>
                        <w:noProof/>
                        <w:color w:val="000000"/>
                        <w:sz w:val="20"/>
                        <w:szCs w:val="20"/>
                      </w:rPr>
                      <w:t>OFFICIAL</w:t>
                    </w: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09FA8" w14:textId="25B6C4E1" w:rsidR="000B1D0E" w:rsidRDefault="000B1D0E">
    <w:pPr>
      <w:pStyle w:val="Header"/>
    </w:pPr>
    <w:r>
      <w:rPr>
        <w:noProof/>
        <w:color w:val="2B579A"/>
        <w:shd w:val="clear" w:color="auto" w:fill="E6E6E6"/>
      </w:rPr>
      <mc:AlternateContent>
        <mc:Choice Requires="wps">
          <w:drawing>
            <wp:anchor distT="0" distB="0" distL="0" distR="0" simplePos="0" relativeHeight="251658242" behindDoc="0" locked="0" layoutInCell="1" allowOverlap="1" wp14:anchorId="07635916" wp14:editId="095D622F">
              <wp:simplePos x="914400" y="450850"/>
              <wp:positionH relativeFrom="leftMargin">
                <wp:align>left</wp:align>
              </wp:positionH>
              <wp:positionV relativeFrom="paragraph">
                <wp:posOffset>635</wp:posOffset>
              </wp:positionV>
              <wp:extent cx="443865" cy="443865"/>
              <wp:effectExtent l="0" t="0" r="10160" b="16510"/>
              <wp:wrapSquare wrapText="bothSides"/>
              <wp:docPr id="4"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9D9E711" w14:textId="77777777" w:rsidR="000B1D0E" w:rsidRPr="00C21E67" w:rsidRDefault="000B1D0E">
                          <w:pPr>
                            <w:rPr>
                              <w:rFonts w:ascii="Calibri" w:eastAsia="Calibri" w:hAnsi="Calibri" w:cs="Calibri"/>
                              <w:noProof/>
                              <w:color w:val="000000"/>
                              <w:sz w:val="20"/>
                              <w:szCs w:val="20"/>
                            </w:rPr>
                          </w:pPr>
                          <w:r w:rsidRPr="00C21E67">
                            <w:rPr>
                              <w:rFonts w:ascii="Calibri" w:eastAsia="Calibri" w:hAnsi="Calibri" w:cs="Calibri"/>
                              <w:noProof/>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07635916" id="_x0000_t202" coordsize="21600,21600" o:spt="202" path="m,l,21600r21600,l21600,xe">
              <v:stroke joinstyle="miter"/>
              <v:path gradientshapeok="t" o:connecttype="rect"/>
            </v:shapetype>
            <v:shape id="Text Box 4" o:spid="_x0000_s1028" type="#_x0000_t202" alt="OFFICIAL" style="position:absolute;margin-left:0;margin-top:.05pt;width:34.95pt;height:34.95pt;z-index:251658242;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p5xBwIAABs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" filled="f" stroked="f">
              <v:textbox style="mso-fit-shape-to-text:t" inset="5pt,0,0,0">
                <w:txbxContent>
                  <w:p w14:paraId="19D9E711" w14:textId="77777777" w:rsidR="000B1D0E" w:rsidRPr="00C21E67" w:rsidRDefault="000B1D0E">
                    <w:pPr>
                      <w:rPr>
                        <w:rFonts w:ascii="Calibri" w:eastAsia="Calibri" w:hAnsi="Calibri" w:cs="Calibri"/>
                        <w:noProof/>
                        <w:color w:val="000000"/>
                        <w:sz w:val="20"/>
                        <w:szCs w:val="20"/>
                      </w:rPr>
                    </w:pPr>
                    <w:r w:rsidRPr="00C21E67">
                      <w:rPr>
                        <w:rFonts w:ascii="Calibri" w:eastAsia="Calibri" w:hAnsi="Calibri" w:cs="Calibri"/>
                        <w:noProof/>
                        <w:color w:val="000000"/>
                        <w:sz w:val="20"/>
                        <w:szCs w:val="20"/>
                      </w:rPr>
                      <w:t>OFFICIAL</w:t>
                    </w:r>
                  </w:p>
                </w:txbxContent>
              </v:textbox>
              <w10:wrap type="square"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86CE" w14:textId="1FA78D89" w:rsidR="000B1D0E" w:rsidRDefault="000B1D0E">
    <w:pPr>
      <w:pStyle w:val="Header"/>
    </w:pPr>
    <w:r>
      <w:rPr>
        <w:noProof/>
        <w:color w:val="2B579A"/>
        <w:shd w:val="clear" w:color="auto" w:fill="E6E6E6"/>
      </w:rPr>
      <mc:AlternateContent>
        <mc:Choice Requires="wps">
          <w:drawing>
            <wp:anchor distT="0" distB="0" distL="0" distR="0" simplePos="0" relativeHeight="251658240" behindDoc="0" locked="0" layoutInCell="1" allowOverlap="1" wp14:anchorId="35751BFA" wp14:editId="68BF243A">
              <wp:simplePos x="635" y="635"/>
              <wp:positionH relativeFrom="leftMargin">
                <wp:align>left</wp:align>
              </wp:positionH>
              <wp:positionV relativeFrom="paragraph">
                <wp:posOffset>635</wp:posOffset>
              </wp:positionV>
              <wp:extent cx="443865" cy="443865"/>
              <wp:effectExtent l="0" t="0" r="10160" b="16510"/>
              <wp:wrapSquare wrapText="bothSides"/>
              <wp:docPr id="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0B0B2AD" w14:textId="77777777" w:rsidR="000B1D0E" w:rsidRPr="00C21E67" w:rsidRDefault="000B1D0E">
                          <w:pPr>
                            <w:rPr>
                              <w:rFonts w:ascii="Calibri" w:eastAsia="Calibri" w:hAnsi="Calibri" w:cs="Calibri"/>
                              <w:noProof/>
                              <w:color w:val="000000"/>
                              <w:sz w:val="20"/>
                              <w:szCs w:val="20"/>
                            </w:rPr>
                          </w:pPr>
                          <w:r w:rsidRPr="00C21E67">
                            <w:rPr>
                              <w:rFonts w:ascii="Calibri" w:eastAsia="Calibri" w:hAnsi="Calibri" w:cs="Calibri"/>
                              <w:noProof/>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35751BFA" id="_x0000_t202" coordsize="21600,21600" o:spt="202" path="m,l,21600r21600,l21600,xe">
              <v:stroke joinstyle="miter"/>
              <v:path gradientshapeok="t" o:connecttype="rect"/>
            </v:shapetype>
            <v:shape id="Text Box 2" o:spid="_x0000_s1031" type="#_x0000_t202" alt="OFFICIAL" style="position:absolute;margin-left:0;margin-top:.05pt;width:34.95pt;height:34.95pt;z-index:25165824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29oCAIAABs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" filled="f" stroked="f">
              <v:textbox style="mso-fit-shape-to-text:t" inset="5pt,0,0,0">
                <w:txbxContent>
                  <w:p w14:paraId="30B0B2AD" w14:textId="77777777" w:rsidR="000B1D0E" w:rsidRPr="00C21E67" w:rsidRDefault="000B1D0E">
                    <w:pPr>
                      <w:rPr>
                        <w:rFonts w:ascii="Calibri" w:eastAsia="Calibri" w:hAnsi="Calibri" w:cs="Calibri"/>
                        <w:noProof/>
                        <w:color w:val="000000"/>
                        <w:sz w:val="20"/>
                        <w:szCs w:val="20"/>
                      </w:rPr>
                    </w:pPr>
                    <w:r w:rsidRPr="00C21E67">
                      <w:rPr>
                        <w:rFonts w:ascii="Calibri" w:eastAsia="Calibri" w:hAnsi="Calibri" w:cs="Calibri"/>
                        <w:noProof/>
                        <w:color w:val="000000"/>
                        <w:sz w:val="20"/>
                        <w:szCs w:val="20"/>
                      </w:rPr>
                      <w:t>OFFICIAL</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52A9C"/>
    <w:multiLevelType w:val="hybridMultilevel"/>
    <w:tmpl w:val="986E1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3E7BBB"/>
    <w:multiLevelType w:val="hybridMultilevel"/>
    <w:tmpl w:val="4D54F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565A0B"/>
    <w:multiLevelType w:val="hybridMultilevel"/>
    <w:tmpl w:val="4672D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E330AF"/>
    <w:multiLevelType w:val="hybridMultilevel"/>
    <w:tmpl w:val="CF2C81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0A87B53"/>
    <w:multiLevelType w:val="hybridMultilevel"/>
    <w:tmpl w:val="7BB68128"/>
    <w:lvl w:ilvl="0" w:tplc="79E494C2">
      <w:start w:val="1"/>
      <w:numFmt w:val="bullet"/>
      <w:lvlText w:val=""/>
      <w:lvlJc w:val="left"/>
      <w:pPr>
        <w:ind w:left="720" w:hanging="360"/>
      </w:pPr>
      <w:rPr>
        <w:rFonts w:ascii="Symbol" w:hAnsi="Symbol" w:hint="default"/>
      </w:rPr>
    </w:lvl>
    <w:lvl w:ilvl="1" w:tplc="52EC9D34">
      <w:start w:val="1"/>
      <w:numFmt w:val="bullet"/>
      <w:lvlText w:val="o"/>
      <w:lvlJc w:val="left"/>
      <w:pPr>
        <w:ind w:left="1440" w:hanging="360"/>
      </w:pPr>
      <w:rPr>
        <w:rFonts w:ascii="Courier New" w:hAnsi="Courier New" w:hint="default"/>
      </w:rPr>
    </w:lvl>
    <w:lvl w:ilvl="2" w:tplc="6616DC46">
      <w:start w:val="1"/>
      <w:numFmt w:val="bullet"/>
      <w:lvlText w:val=""/>
      <w:lvlJc w:val="left"/>
      <w:pPr>
        <w:ind w:left="2160" w:hanging="360"/>
      </w:pPr>
      <w:rPr>
        <w:rFonts w:ascii="Wingdings" w:hAnsi="Wingdings" w:hint="default"/>
      </w:rPr>
    </w:lvl>
    <w:lvl w:ilvl="3" w:tplc="11F088FE">
      <w:start w:val="1"/>
      <w:numFmt w:val="bullet"/>
      <w:lvlText w:val=""/>
      <w:lvlJc w:val="left"/>
      <w:pPr>
        <w:ind w:left="2880" w:hanging="360"/>
      </w:pPr>
      <w:rPr>
        <w:rFonts w:ascii="Symbol" w:hAnsi="Symbol" w:hint="default"/>
      </w:rPr>
    </w:lvl>
    <w:lvl w:ilvl="4" w:tplc="1E841154">
      <w:start w:val="1"/>
      <w:numFmt w:val="bullet"/>
      <w:lvlText w:val="o"/>
      <w:lvlJc w:val="left"/>
      <w:pPr>
        <w:ind w:left="3600" w:hanging="360"/>
      </w:pPr>
      <w:rPr>
        <w:rFonts w:ascii="Courier New" w:hAnsi="Courier New" w:hint="default"/>
      </w:rPr>
    </w:lvl>
    <w:lvl w:ilvl="5" w:tplc="35A8C076">
      <w:start w:val="1"/>
      <w:numFmt w:val="bullet"/>
      <w:lvlText w:val=""/>
      <w:lvlJc w:val="left"/>
      <w:pPr>
        <w:ind w:left="4320" w:hanging="360"/>
      </w:pPr>
      <w:rPr>
        <w:rFonts w:ascii="Wingdings" w:hAnsi="Wingdings" w:hint="default"/>
      </w:rPr>
    </w:lvl>
    <w:lvl w:ilvl="6" w:tplc="1DEAF154">
      <w:start w:val="1"/>
      <w:numFmt w:val="bullet"/>
      <w:lvlText w:val=""/>
      <w:lvlJc w:val="left"/>
      <w:pPr>
        <w:ind w:left="5040" w:hanging="360"/>
      </w:pPr>
      <w:rPr>
        <w:rFonts w:ascii="Symbol" w:hAnsi="Symbol" w:hint="default"/>
      </w:rPr>
    </w:lvl>
    <w:lvl w:ilvl="7" w:tplc="C1B8397A">
      <w:start w:val="1"/>
      <w:numFmt w:val="bullet"/>
      <w:lvlText w:val="o"/>
      <w:lvlJc w:val="left"/>
      <w:pPr>
        <w:ind w:left="5760" w:hanging="360"/>
      </w:pPr>
      <w:rPr>
        <w:rFonts w:ascii="Courier New" w:hAnsi="Courier New" w:hint="default"/>
      </w:rPr>
    </w:lvl>
    <w:lvl w:ilvl="8" w:tplc="911AFB72">
      <w:start w:val="1"/>
      <w:numFmt w:val="bullet"/>
      <w:lvlText w:val=""/>
      <w:lvlJc w:val="left"/>
      <w:pPr>
        <w:ind w:left="6480" w:hanging="360"/>
      </w:pPr>
      <w:rPr>
        <w:rFonts w:ascii="Wingdings" w:hAnsi="Wingdings" w:hint="default"/>
      </w:rPr>
    </w:lvl>
  </w:abstractNum>
  <w:abstractNum w:abstractNumId="5" w15:restartNumberingAfterBreak="0">
    <w:nsid w:val="16810495"/>
    <w:multiLevelType w:val="hybridMultilevel"/>
    <w:tmpl w:val="BEEE3330"/>
    <w:lvl w:ilvl="0" w:tplc="0809000F">
      <w:start w:val="1"/>
      <w:numFmt w:val="decimal"/>
      <w:lvlText w:val="%1."/>
      <w:lvlJc w:val="left"/>
      <w:pPr>
        <w:ind w:left="830" w:hanging="360"/>
      </w:pPr>
    </w:lvl>
    <w:lvl w:ilvl="1" w:tplc="08090019" w:tentative="1">
      <w:start w:val="1"/>
      <w:numFmt w:val="lowerLetter"/>
      <w:lvlText w:val="%2."/>
      <w:lvlJc w:val="left"/>
      <w:pPr>
        <w:ind w:left="1550" w:hanging="360"/>
      </w:pPr>
    </w:lvl>
    <w:lvl w:ilvl="2" w:tplc="0809001B" w:tentative="1">
      <w:start w:val="1"/>
      <w:numFmt w:val="lowerRoman"/>
      <w:lvlText w:val="%3."/>
      <w:lvlJc w:val="right"/>
      <w:pPr>
        <w:ind w:left="2270" w:hanging="180"/>
      </w:pPr>
    </w:lvl>
    <w:lvl w:ilvl="3" w:tplc="0809000F" w:tentative="1">
      <w:start w:val="1"/>
      <w:numFmt w:val="decimal"/>
      <w:lvlText w:val="%4."/>
      <w:lvlJc w:val="left"/>
      <w:pPr>
        <w:ind w:left="2990" w:hanging="360"/>
      </w:pPr>
    </w:lvl>
    <w:lvl w:ilvl="4" w:tplc="08090019" w:tentative="1">
      <w:start w:val="1"/>
      <w:numFmt w:val="lowerLetter"/>
      <w:lvlText w:val="%5."/>
      <w:lvlJc w:val="left"/>
      <w:pPr>
        <w:ind w:left="3710" w:hanging="360"/>
      </w:pPr>
    </w:lvl>
    <w:lvl w:ilvl="5" w:tplc="0809001B" w:tentative="1">
      <w:start w:val="1"/>
      <w:numFmt w:val="lowerRoman"/>
      <w:lvlText w:val="%6."/>
      <w:lvlJc w:val="right"/>
      <w:pPr>
        <w:ind w:left="4430" w:hanging="180"/>
      </w:pPr>
    </w:lvl>
    <w:lvl w:ilvl="6" w:tplc="0809000F" w:tentative="1">
      <w:start w:val="1"/>
      <w:numFmt w:val="decimal"/>
      <w:lvlText w:val="%7."/>
      <w:lvlJc w:val="left"/>
      <w:pPr>
        <w:ind w:left="5150" w:hanging="360"/>
      </w:pPr>
    </w:lvl>
    <w:lvl w:ilvl="7" w:tplc="08090019" w:tentative="1">
      <w:start w:val="1"/>
      <w:numFmt w:val="lowerLetter"/>
      <w:lvlText w:val="%8."/>
      <w:lvlJc w:val="left"/>
      <w:pPr>
        <w:ind w:left="5870" w:hanging="360"/>
      </w:pPr>
    </w:lvl>
    <w:lvl w:ilvl="8" w:tplc="0809001B" w:tentative="1">
      <w:start w:val="1"/>
      <w:numFmt w:val="lowerRoman"/>
      <w:lvlText w:val="%9."/>
      <w:lvlJc w:val="right"/>
      <w:pPr>
        <w:ind w:left="6590" w:hanging="180"/>
      </w:pPr>
    </w:lvl>
  </w:abstractNum>
  <w:abstractNum w:abstractNumId="6" w15:restartNumberingAfterBreak="0">
    <w:nsid w:val="1D6D209F"/>
    <w:multiLevelType w:val="hybridMultilevel"/>
    <w:tmpl w:val="32204A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0936ED8"/>
    <w:multiLevelType w:val="hybridMultilevel"/>
    <w:tmpl w:val="57861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E71491"/>
    <w:multiLevelType w:val="hybridMultilevel"/>
    <w:tmpl w:val="49D61B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C2813B3"/>
    <w:multiLevelType w:val="hybridMultilevel"/>
    <w:tmpl w:val="BD20E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C4F4B3B"/>
    <w:multiLevelType w:val="hybridMultilevel"/>
    <w:tmpl w:val="5D70E952"/>
    <w:lvl w:ilvl="0" w:tplc="88524070">
      <w:start w:val="1"/>
      <w:numFmt w:val="bullet"/>
      <w:lvlText w:val=""/>
      <w:lvlJc w:val="left"/>
      <w:pPr>
        <w:ind w:left="720" w:hanging="360"/>
      </w:pPr>
      <w:rPr>
        <w:rFonts w:ascii="Symbol" w:hAnsi="Symbol" w:hint="default"/>
      </w:rPr>
    </w:lvl>
    <w:lvl w:ilvl="1" w:tplc="523C5D5E">
      <w:start w:val="1"/>
      <w:numFmt w:val="bullet"/>
      <w:lvlText w:val="o"/>
      <w:lvlJc w:val="left"/>
      <w:pPr>
        <w:ind w:left="1440" w:hanging="360"/>
      </w:pPr>
      <w:rPr>
        <w:rFonts w:ascii="Courier New" w:hAnsi="Courier New" w:hint="default"/>
      </w:rPr>
    </w:lvl>
    <w:lvl w:ilvl="2" w:tplc="4258BB06">
      <w:start w:val="1"/>
      <w:numFmt w:val="bullet"/>
      <w:lvlText w:val=""/>
      <w:lvlJc w:val="left"/>
      <w:pPr>
        <w:ind w:left="2160" w:hanging="360"/>
      </w:pPr>
      <w:rPr>
        <w:rFonts w:ascii="Wingdings" w:hAnsi="Wingdings" w:hint="default"/>
      </w:rPr>
    </w:lvl>
    <w:lvl w:ilvl="3" w:tplc="57C0D872">
      <w:start w:val="1"/>
      <w:numFmt w:val="bullet"/>
      <w:lvlText w:val=""/>
      <w:lvlJc w:val="left"/>
      <w:pPr>
        <w:ind w:left="2880" w:hanging="360"/>
      </w:pPr>
      <w:rPr>
        <w:rFonts w:ascii="Symbol" w:hAnsi="Symbol" w:hint="default"/>
      </w:rPr>
    </w:lvl>
    <w:lvl w:ilvl="4" w:tplc="477844A4">
      <w:start w:val="1"/>
      <w:numFmt w:val="bullet"/>
      <w:lvlText w:val="o"/>
      <w:lvlJc w:val="left"/>
      <w:pPr>
        <w:ind w:left="3600" w:hanging="360"/>
      </w:pPr>
      <w:rPr>
        <w:rFonts w:ascii="Courier New" w:hAnsi="Courier New" w:hint="default"/>
      </w:rPr>
    </w:lvl>
    <w:lvl w:ilvl="5" w:tplc="9558CB50">
      <w:start w:val="1"/>
      <w:numFmt w:val="bullet"/>
      <w:lvlText w:val=""/>
      <w:lvlJc w:val="left"/>
      <w:pPr>
        <w:ind w:left="4320" w:hanging="360"/>
      </w:pPr>
      <w:rPr>
        <w:rFonts w:ascii="Wingdings" w:hAnsi="Wingdings" w:hint="default"/>
      </w:rPr>
    </w:lvl>
    <w:lvl w:ilvl="6" w:tplc="4B5EEDFA">
      <w:start w:val="1"/>
      <w:numFmt w:val="bullet"/>
      <w:lvlText w:val=""/>
      <w:lvlJc w:val="left"/>
      <w:pPr>
        <w:ind w:left="5040" w:hanging="360"/>
      </w:pPr>
      <w:rPr>
        <w:rFonts w:ascii="Symbol" w:hAnsi="Symbol" w:hint="default"/>
      </w:rPr>
    </w:lvl>
    <w:lvl w:ilvl="7" w:tplc="5406EE04">
      <w:start w:val="1"/>
      <w:numFmt w:val="bullet"/>
      <w:lvlText w:val="o"/>
      <w:lvlJc w:val="left"/>
      <w:pPr>
        <w:ind w:left="5760" w:hanging="360"/>
      </w:pPr>
      <w:rPr>
        <w:rFonts w:ascii="Courier New" w:hAnsi="Courier New" w:hint="default"/>
      </w:rPr>
    </w:lvl>
    <w:lvl w:ilvl="8" w:tplc="ADF4F4F6">
      <w:start w:val="1"/>
      <w:numFmt w:val="bullet"/>
      <w:lvlText w:val=""/>
      <w:lvlJc w:val="left"/>
      <w:pPr>
        <w:ind w:left="6480" w:hanging="360"/>
      </w:pPr>
      <w:rPr>
        <w:rFonts w:ascii="Wingdings" w:hAnsi="Wingdings" w:hint="default"/>
      </w:rPr>
    </w:lvl>
  </w:abstractNum>
  <w:abstractNum w:abstractNumId="11" w15:restartNumberingAfterBreak="0">
    <w:nsid w:val="44EF3C76"/>
    <w:multiLevelType w:val="hybridMultilevel"/>
    <w:tmpl w:val="8EE45A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80238C9"/>
    <w:multiLevelType w:val="hybridMultilevel"/>
    <w:tmpl w:val="7AE40C2E"/>
    <w:lvl w:ilvl="0" w:tplc="A74ED7B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3AB1EB6"/>
    <w:multiLevelType w:val="hybridMultilevel"/>
    <w:tmpl w:val="E8C09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6976B5"/>
    <w:multiLevelType w:val="hybridMultilevel"/>
    <w:tmpl w:val="8F122D8E"/>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5" w15:restartNumberingAfterBreak="0">
    <w:nsid w:val="5A890C67"/>
    <w:multiLevelType w:val="hybridMultilevel"/>
    <w:tmpl w:val="A8789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B8258D"/>
    <w:multiLevelType w:val="hybridMultilevel"/>
    <w:tmpl w:val="95C674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73461E64"/>
    <w:multiLevelType w:val="hybridMultilevel"/>
    <w:tmpl w:val="213ED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9BC6162"/>
    <w:multiLevelType w:val="hybridMultilevel"/>
    <w:tmpl w:val="67EE950A"/>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19" w15:restartNumberingAfterBreak="0">
    <w:nsid w:val="7AFA378A"/>
    <w:multiLevelType w:val="hybridMultilevel"/>
    <w:tmpl w:val="389E6220"/>
    <w:lvl w:ilvl="0" w:tplc="C1E87224">
      <w:start w:val="1"/>
      <w:numFmt w:val="bullet"/>
      <w:lvlText w:val=""/>
      <w:lvlJc w:val="left"/>
      <w:pPr>
        <w:ind w:left="720" w:hanging="360"/>
      </w:pPr>
      <w:rPr>
        <w:rFonts w:ascii="Symbol" w:hAnsi="Symbol" w:hint="default"/>
      </w:rPr>
    </w:lvl>
    <w:lvl w:ilvl="1" w:tplc="5270EE2A">
      <w:start w:val="1"/>
      <w:numFmt w:val="bullet"/>
      <w:lvlText w:val="o"/>
      <w:lvlJc w:val="left"/>
      <w:pPr>
        <w:ind w:left="1440" w:hanging="360"/>
      </w:pPr>
      <w:rPr>
        <w:rFonts w:ascii="Courier New" w:hAnsi="Courier New" w:hint="default"/>
      </w:rPr>
    </w:lvl>
    <w:lvl w:ilvl="2" w:tplc="6CAED6C8">
      <w:start w:val="1"/>
      <w:numFmt w:val="bullet"/>
      <w:lvlText w:val=""/>
      <w:lvlJc w:val="left"/>
      <w:pPr>
        <w:ind w:left="2160" w:hanging="360"/>
      </w:pPr>
      <w:rPr>
        <w:rFonts w:ascii="Wingdings" w:hAnsi="Wingdings" w:hint="default"/>
      </w:rPr>
    </w:lvl>
    <w:lvl w:ilvl="3" w:tplc="56E4C8D2">
      <w:start w:val="1"/>
      <w:numFmt w:val="bullet"/>
      <w:lvlText w:val=""/>
      <w:lvlJc w:val="left"/>
      <w:pPr>
        <w:ind w:left="2880" w:hanging="360"/>
      </w:pPr>
      <w:rPr>
        <w:rFonts w:ascii="Symbol" w:hAnsi="Symbol" w:hint="default"/>
      </w:rPr>
    </w:lvl>
    <w:lvl w:ilvl="4" w:tplc="D4F0A2C2">
      <w:start w:val="1"/>
      <w:numFmt w:val="bullet"/>
      <w:lvlText w:val="o"/>
      <w:lvlJc w:val="left"/>
      <w:pPr>
        <w:ind w:left="3600" w:hanging="360"/>
      </w:pPr>
      <w:rPr>
        <w:rFonts w:ascii="Courier New" w:hAnsi="Courier New" w:hint="default"/>
      </w:rPr>
    </w:lvl>
    <w:lvl w:ilvl="5" w:tplc="96A825D6">
      <w:start w:val="1"/>
      <w:numFmt w:val="bullet"/>
      <w:lvlText w:val=""/>
      <w:lvlJc w:val="left"/>
      <w:pPr>
        <w:ind w:left="4320" w:hanging="360"/>
      </w:pPr>
      <w:rPr>
        <w:rFonts w:ascii="Wingdings" w:hAnsi="Wingdings" w:hint="default"/>
      </w:rPr>
    </w:lvl>
    <w:lvl w:ilvl="6" w:tplc="0D8867E6">
      <w:start w:val="1"/>
      <w:numFmt w:val="bullet"/>
      <w:lvlText w:val=""/>
      <w:lvlJc w:val="left"/>
      <w:pPr>
        <w:ind w:left="5040" w:hanging="360"/>
      </w:pPr>
      <w:rPr>
        <w:rFonts w:ascii="Symbol" w:hAnsi="Symbol" w:hint="default"/>
      </w:rPr>
    </w:lvl>
    <w:lvl w:ilvl="7" w:tplc="5F6AF324">
      <w:start w:val="1"/>
      <w:numFmt w:val="bullet"/>
      <w:lvlText w:val="o"/>
      <w:lvlJc w:val="left"/>
      <w:pPr>
        <w:ind w:left="5760" w:hanging="360"/>
      </w:pPr>
      <w:rPr>
        <w:rFonts w:ascii="Courier New" w:hAnsi="Courier New" w:hint="default"/>
      </w:rPr>
    </w:lvl>
    <w:lvl w:ilvl="8" w:tplc="62FE39A4">
      <w:start w:val="1"/>
      <w:numFmt w:val="bullet"/>
      <w:lvlText w:val=""/>
      <w:lvlJc w:val="left"/>
      <w:pPr>
        <w:ind w:left="6480" w:hanging="360"/>
      </w:pPr>
      <w:rPr>
        <w:rFonts w:ascii="Wingdings" w:hAnsi="Wingdings" w:hint="default"/>
      </w:rPr>
    </w:lvl>
  </w:abstractNum>
  <w:abstractNum w:abstractNumId="20" w15:restartNumberingAfterBreak="0">
    <w:nsid w:val="7B21000D"/>
    <w:multiLevelType w:val="hybridMultilevel"/>
    <w:tmpl w:val="449EB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82476">
    <w:abstractNumId w:val="19"/>
  </w:num>
  <w:num w:numId="2" w16cid:durableId="1606886133">
    <w:abstractNumId w:val="4"/>
  </w:num>
  <w:num w:numId="3" w16cid:durableId="918949031">
    <w:abstractNumId w:val="10"/>
  </w:num>
  <w:num w:numId="4" w16cid:durableId="249243978">
    <w:abstractNumId w:val="14"/>
  </w:num>
  <w:num w:numId="5" w16cid:durableId="662204216">
    <w:abstractNumId w:val="18"/>
  </w:num>
  <w:num w:numId="6" w16cid:durableId="312294364">
    <w:abstractNumId w:val="3"/>
  </w:num>
  <w:num w:numId="7" w16cid:durableId="380905953">
    <w:abstractNumId w:val="2"/>
  </w:num>
  <w:num w:numId="8" w16cid:durableId="1467627155">
    <w:abstractNumId w:val="1"/>
  </w:num>
  <w:num w:numId="9" w16cid:durableId="1522276457">
    <w:abstractNumId w:val="17"/>
  </w:num>
  <w:num w:numId="10" w16cid:durableId="476188612">
    <w:abstractNumId w:val="7"/>
  </w:num>
  <w:num w:numId="11" w16cid:durableId="263264692">
    <w:abstractNumId w:val="20"/>
  </w:num>
  <w:num w:numId="12" w16cid:durableId="1417481422">
    <w:abstractNumId w:val="13"/>
  </w:num>
  <w:num w:numId="13" w16cid:durableId="1926381033">
    <w:abstractNumId w:val="8"/>
  </w:num>
  <w:num w:numId="14" w16cid:durableId="1353188231">
    <w:abstractNumId w:val="16"/>
  </w:num>
  <w:num w:numId="15" w16cid:durableId="1897743649">
    <w:abstractNumId w:val="11"/>
  </w:num>
  <w:num w:numId="16" w16cid:durableId="1456220738">
    <w:abstractNumId w:val="15"/>
  </w:num>
  <w:num w:numId="17" w16cid:durableId="1452699879">
    <w:abstractNumId w:val="12"/>
  </w:num>
  <w:num w:numId="18" w16cid:durableId="755055326">
    <w:abstractNumId w:val="5"/>
  </w:num>
  <w:num w:numId="19" w16cid:durableId="77099232">
    <w:abstractNumId w:val="9"/>
  </w:num>
  <w:num w:numId="20" w16cid:durableId="2130737568">
    <w:abstractNumId w:val="0"/>
  </w:num>
  <w:num w:numId="21" w16cid:durableId="82905629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D0E"/>
    <w:rsid w:val="00057818"/>
    <w:rsid w:val="000B1D0E"/>
    <w:rsid w:val="000E4ABC"/>
    <w:rsid w:val="000E6BED"/>
    <w:rsid w:val="001106E0"/>
    <w:rsid w:val="00174FBC"/>
    <w:rsid w:val="0025144E"/>
    <w:rsid w:val="00255F68"/>
    <w:rsid w:val="00385D2F"/>
    <w:rsid w:val="00472C34"/>
    <w:rsid w:val="004A128B"/>
    <w:rsid w:val="00636A6F"/>
    <w:rsid w:val="006706C8"/>
    <w:rsid w:val="006837BD"/>
    <w:rsid w:val="00685A80"/>
    <w:rsid w:val="006B77DD"/>
    <w:rsid w:val="0075375D"/>
    <w:rsid w:val="00773E73"/>
    <w:rsid w:val="0080504F"/>
    <w:rsid w:val="008201B6"/>
    <w:rsid w:val="0083159A"/>
    <w:rsid w:val="00896363"/>
    <w:rsid w:val="008C43E6"/>
    <w:rsid w:val="009F264A"/>
    <w:rsid w:val="00A12775"/>
    <w:rsid w:val="00A50F63"/>
    <w:rsid w:val="00AC2132"/>
    <w:rsid w:val="00AD0C25"/>
    <w:rsid w:val="00B04D4B"/>
    <w:rsid w:val="00B3155E"/>
    <w:rsid w:val="00BA17AB"/>
    <w:rsid w:val="00BA534C"/>
    <w:rsid w:val="00C37904"/>
    <w:rsid w:val="00C55E40"/>
    <w:rsid w:val="00C612F6"/>
    <w:rsid w:val="00CA78CA"/>
    <w:rsid w:val="00D32E91"/>
    <w:rsid w:val="00D51774"/>
    <w:rsid w:val="00DE408C"/>
    <w:rsid w:val="00E24886"/>
    <w:rsid w:val="00F4144D"/>
    <w:rsid w:val="00F564B5"/>
    <w:rsid w:val="00F944C9"/>
    <w:rsid w:val="00FA00FF"/>
    <w:rsid w:val="00FA0778"/>
    <w:rsid w:val="00FF35A2"/>
    <w:rsid w:val="7F69C87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733BD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1D0E"/>
    <w:pPr>
      <w:spacing w:after="16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B1D0E"/>
    <w:pPr>
      <w:spacing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0B1D0E"/>
    <w:rPr>
      <w:color w:val="0563C1" w:themeColor="hyperlink"/>
      <w:u w:val="single"/>
    </w:rPr>
  </w:style>
  <w:style w:type="paragraph" w:styleId="Header">
    <w:name w:val="header"/>
    <w:basedOn w:val="Normal"/>
    <w:link w:val="HeaderChar"/>
    <w:uiPriority w:val="99"/>
    <w:unhideWhenUsed/>
    <w:rsid w:val="000B1D0E"/>
    <w:pPr>
      <w:tabs>
        <w:tab w:val="center" w:pos="4513"/>
        <w:tab w:val="right" w:pos="9026"/>
      </w:tabs>
      <w:spacing w:after="0" w:line="240" w:lineRule="auto"/>
    </w:pPr>
    <w:rPr>
      <w:rFonts w:ascii="Arial" w:eastAsia="Times New Roman" w:hAnsi="Arial" w:cs="Times New Roman"/>
      <w:sz w:val="24"/>
      <w:szCs w:val="24"/>
    </w:rPr>
  </w:style>
  <w:style w:type="character" w:customStyle="1" w:styleId="HeaderChar">
    <w:name w:val="Header Char"/>
    <w:basedOn w:val="DefaultParagraphFont"/>
    <w:link w:val="Header"/>
    <w:uiPriority w:val="99"/>
    <w:rsid w:val="000B1D0E"/>
    <w:rPr>
      <w:rFonts w:ascii="Arial" w:eastAsia="Times New Roman" w:hAnsi="Arial" w:cs="Times New Roman"/>
      <w:sz w:val="24"/>
      <w:szCs w:val="24"/>
    </w:rPr>
  </w:style>
  <w:style w:type="paragraph" w:styleId="Footer">
    <w:name w:val="footer"/>
    <w:basedOn w:val="Normal"/>
    <w:link w:val="FooterChar"/>
    <w:uiPriority w:val="99"/>
    <w:unhideWhenUsed/>
    <w:rsid w:val="000B1D0E"/>
    <w:pPr>
      <w:tabs>
        <w:tab w:val="center" w:pos="4513"/>
        <w:tab w:val="right" w:pos="9026"/>
      </w:tabs>
      <w:spacing w:after="0" w:line="240" w:lineRule="auto"/>
    </w:pPr>
    <w:rPr>
      <w:rFonts w:ascii="Arial" w:eastAsia="Times New Roman" w:hAnsi="Arial" w:cs="Times New Roman"/>
      <w:sz w:val="24"/>
      <w:szCs w:val="24"/>
    </w:rPr>
  </w:style>
  <w:style w:type="character" w:customStyle="1" w:styleId="FooterChar">
    <w:name w:val="Footer Char"/>
    <w:basedOn w:val="DefaultParagraphFont"/>
    <w:link w:val="Footer"/>
    <w:uiPriority w:val="99"/>
    <w:rsid w:val="000B1D0E"/>
    <w:rPr>
      <w:rFonts w:ascii="Arial" w:eastAsia="Times New Roman" w:hAnsi="Arial" w:cs="Times New Roman"/>
      <w:sz w:val="24"/>
      <w:szCs w:val="24"/>
    </w:rPr>
  </w:style>
  <w:style w:type="character" w:styleId="CommentReference">
    <w:name w:val="annotation reference"/>
    <w:basedOn w:val="DefaultParagraphFont"/>
    <w:uiPriority w:val="99"/>
    <w:unhideWhenUsed/>
    <w:rsid w:val="000B1D0E"/>
    <w:rPr>
      <w:sz w:val="16"/>
      <w:szCs w:val="16"/>
    </w:rPr>
  </w:style>
  <w:style w:type="paragraph" w:styleId="CommentText">
    <w:name w:val="annotation text"/>
    <w:basedOn w:val="Normal"/>
    <w:link w:val="CommentTextChar"/>
    <w:uiPriority w:val="99"/>
    <w:unhideWhenUsed/>
    <w:rsid w:val="000B1D0E"/>
    <w:pPr>
      <w:spacing w:after="0" w:line="240" w:lineRule="auto"/>
    </w:pPr>
    <w:rPr>
      <w:rFonts w:ascii="Arial" w:eastAsia="Times New Roman" w:hAnsi="Arial" w:cs="Times New Roman"/>
      <w:sz w:val="20"/>
      <w:szCs w:val="20"/>
    </w:rPr>
  </w:style>
  <w:style w:type="character" w:customStyle="1" w:styleId="CommentTextChar">
    <w:name w:val="Comment Text Char"/>
    <w:basedOn w:val="DefaultParagraphFont"/>
    <w:link w:val="CommentText"/>
    <w:uiPriority w:val="99"/>
    <w:rsid w:val="000B1D0E"/>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0B1D0E"/>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0B1D0E"/>
    <w:rPr>
      <w:rFonts w:ascii="Arial" w:eastAsia="Times New Roman" w:hAnsi="Arial" w:cs="Times New Roman"/>
      <w:b/>
      <w:bCs/>
      <w:sz w:val="20"/>
      <w:szCs w:val="20"/>
    </w:rPr>
  </w:style>
  <w:style w:type="paragraph" w:styleId="ListParagraph">
    <w:name w:val="List Paragraph"/>
    <w:basedOn w:val="Normal"/>
    <w:uiPriority w:val="34"/>
    <w:qFormat/>
    <w:rsid w:val="000B1D0E"/>
    <w:pPr>
      <w:ind w:left="720"/>
      <w:contextualSpacing/>
    </w:pPr>
  </w:style>
  <w:style w:type="character" w:styleId="Mention">
    <w:name w:val="Mention"/>
    <w:basedOn w:val="DefaultParagraphFont"/>
    <w:uiPriority w:val="99"/>
    <w:unhideWhenUsed/>
    <w:rsid w:val="000B1D0E"/>
    <w:rPr>
      <w:color w:val="2B579A"/>
      <w:shd w:val="clear" w:color="auto" w:fill="E6E6E6"/>
    </w:rPr>
  </w:style>
  <w:style w:type="paragraph" w:styleId="Revision">
    <w:name w:val="Revision"/>
    <w:hidden/>
    <w:uiPriority w:val="99"/>
    <w:semiHidden/>
    <w:rsid w:val="000B1D0E"/>
    <w:pPr>
      <w:spacing w:line="240" w:lineRule="auto"/>
    </w:pPr>
  </w:style>
  <w:style w:type="character" w:styleId="UnresolvedMention">
    <w:name w:val="Unresolved Mention"/>
    <w:basedOn w:val="DefaultParagraphFont"/>
    <w:uiPriority w:val="99"/>
    <w:semiHidden/>
    <w:unhideWhenUsed/>
    <w:rsid w:val="000B1D0E"/>
    <w:rPr>
      <w:color w:val="605E5C"/>
      <w:shd w:val="clear" w:color="auto" w:fill="E1DFDD"/>
    </w:rPr>
  </w:style>
  <w:style w:type="character" w:styleId="FollowedHyperlink">
    <w:name w:val="FollowedHyperlink"/>
    <w:basedOn w:val="DefaultParagraphFont"/>
    <w:uiPriority w:val="99"/>
    <w:semiHidden/>
    <w:unhideWhenUsed/>
    <w:rsid w:val="000B1D0E"/>
    <w:rPr>
      <w:color w:val="954F72" w:themeColor="followedHyperlink"/>
      <w:u w:val="single"/>
    </w:rPr>
  </w:style>
  <w:style w:type="paragraph" w:styleId="FootnoteText">
    <w:name w:val="footnote text"/>
    <w:basedOn w:val="Normal"/>
    <w:link w:val="FootnoteTextChar"/>
    <w:uiPriority w:val="99"/>
    <w:semiHidden/>
    <w:unhideWhenUsed/>
    <w:rsid w:val="000B1D0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B1D0E"/>
    <w:rPr>
      <w:sz w:val="20"/>
      <w:szCs w:val="20"/>
    </w:rPr>
  </w:style>
  <w:style w:type="character" w:styleId="FootnoteReference">
    <w:name w:val="footnote reference"/>
    <w:basedOn w:val="DefaultParagraphFont"/>
    <w:uiPriority w:val="99"/>
    <w:semiHidden/>
    <w:unhideWhenUsed/>
    <w:rsid w:val="000B1D0E"/>
    <w:rPr>
      <w:vertAlign w:val="superscript"/>
    </w:rPr>
  </w:style>
  <w:style w:type="paragraph" w:customStyle="1" w:styleId="Default">
    <w:name w:val="Default"/>
    <w:rsid w:val="000B1D0E"/>
    <w:pPr>
      <w:autoSpaceDE w:val="0"/>
      <w:autoSpaceDN w:val="0"/>
      <w:adjustRightInd w:val="0"/>
      <w:spacing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nventories" TargetMode="External"/><Relationship Id="rId13" Type="http://schemas.openxmlformats.org/officeDocument/2006/relationships/hyperlink" Target="https://www.wri.org/about/financials"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image" Target="media/image1.png"/><Relationship Id="rId7" Type="http://schemas.openxmlformats.org/officeDocument/2006/relationships/hyperlink" Target="https://www.wri.org/research/global-protocol-community-scale-greenhouse-gas-inventories-guidance-forests-trees" TargetMode="External"/><Relationship Id="rId12" Type="http://schemas.openxmlformats.org/officeDocument/2006/relationships/hyperlink" Target="https://www.wri.org/research/better-forests-better-citie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wribrasil.org.br/projetos/acelerador-de-solucoes-baseadas-na-natureza-em-cidades" TargetMode="External"/><Relationship Id="rId5"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hyperlink" Target="https://www.wricitiesindia.org/content/TheCityFix-Labs-2022"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www.wri.org/research/better-forests-better-cities" TargetMode="External"/><Relationship Id="rId14" Type="http://schemas.openxmlformats.org/officeDocument/2006/relationships/hyperlink" Target="https://www.transparify.org/5-star"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forestfootprint.org/" TargetMode="External"/><Relationship Id="rId2" Type="http://schemas.openxmlformats.org/officeDocument/2006/relationships/hyperlink" Target="https://www.wricitiesindia.org/content/TheCityFix-Labs-2022" TargetMode="External"/><Relationship Id="rId1" Type="http://schemas.openxmlformats.org/officeDocument/2006/relationships/hyperlink" Target="https://www.wri.org/research/better-forests-better-cities" TargetMode="External"/><Relationship Id="rId4" Type="http://schemas.openxmlformats.org/officeDocument/2006/relationships/hyperlink" Target="https://ukcop26.org/mdb-joint-stat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10508</Words>
  <Characters>59901</Characters>
  <Application>Microsoft Office Word</Application>
  <DocSecurity>0</DocSecurity>
  <Lines>499</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2024-03-27T16:50:00Z</dcterms:created>
  <dcterms:modified xsi:type="dcterms:W3CDTF">2024-03-27T16:50:00Z</dcterms:modified>
  <cp:category/>
  <cp:contentStatus/>
</cp:coreProperties>
</file>