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E8C5" w14:textId="576A95A1" w:rsidR="00965B66" w:rsidRPr="00C26180" w:rsidRDefault="006B0E6A" w:rsidP="00F86AED">
      <w:pPr>
        <w:jc w:val="both"/>
        <w:rPr>
          <w:color w:val="76923C" w:themeColor="accent3" w:themeShade="BF"/>
          <w:sz w:val="22"/>
          <w:szCs w:val="22"/>
        </w:rPr>
      </w:pPr>
      <w:r>
        <w:rPr>
          <w:color w:val="76923C" w:themeColor="accent3" w:themeShade="BF"/>
          <w:sz w:val="72"/>
          <w:szCs w:val="22"/>
        </w:rPr>
        <w:t>Investment in Cities4Forests</w:t>
      </w:r>
    </w:p>
    <w:p w14:paraId="2D50E8C6" w14:textId="77777777" w:rsidR="00965B66" w:rsidRPr="00616B76" w:rsidRDefault="00965B66" w:rsidP="00F86AED">
      <w:pPr>
        <w:jc w:val="both"/>
        <w:rPr>
          <w:sz w:val="22"/>
          <w:szCs w:val="22"/>
        </w:rPr>
      </w:pPr>
    </w:p>
    <w:p w14:paraId="2D50E8C7" w14:textId="77777777" w:rsidR="00965B66" w:rsidRPr="00616B76" w:rsidRDefault="00965B66" w:rsidP="00F86AED">
      <w:pPr>
        <w:jc w:val="both"/>
        <w:rPr>
          <w:sz w:val="22"/>
          <w:szCs w:val="22"/>
        </w:rPr>
      </w:pPr>
    </w:p>
    <w:p w14:paraId="2D50E8C8" w14:textId="77777777" w:rsidR="00965B66" w:rsidRPr="00616B76" w:rsidRDefault="00965B66" w:rsidP="00F86AED">
      <w:pPr>
        <w:jc w:val="both"/>
        <w:rPr>
          <w:sz w:val="22"/>
          <w:szCs w:val="22"/>
        </w:rPr>
      </w:pPr>
    </w:p>
    <w:p w14:paraId="2D50E8C9" w14:textId="77777777" w:rsidR="00D6520D" w:rsidRPr="00616B76" w:rsidRDefault="00D6520D" w:rsidP="00F86AED">
      <w:pPr>
        <w:jc w:val="both"/>
        <w:rPr>
          <w:sz w:val="22"/>
          <w:szCs w:val="22"/>
        </w:rPr>
      </w:pPr>
    </w:p>
    <w:p w14:paraId="2D50E8CA" w14:textId="77777777" w:rsidR="00D6520D" w:rsidRPr="00616B76" w:rsidRDefault="00D6520D" w:rsidP="00F86AED">
      <w:pPr>
        <w:jc w:val="both"/>
        <w:rPr>
          <w:sz w:val="22"/>
          <w:szCs w:val="22"/>
        </w:rPr>
      </w:pPr>
    </w:p>
    <w:p w14:paraId="2D50E8CB" w14:textId="77777777" w:rsidR="00D6520D" w:rsidRPr="00616B76" w:rsidRDefault="00D6520D" w:rsidP="00F86AED">
      <w:pPr>
        <w:jc w:val="both"/>
        <w:rPr>
          <w:sz w:val="22"/>
          <w:szCs w:val="22"/>
        </w:rPr>
      </w:pPr>
    </w:p>
    <w:p w14:paraId="2D50E8CC" w14:textId="77777777" w:rsidR="00D6520D" w:rsidRPr="00616B76" w:rsidRDefault="00D6520D" w:rsidP="00F86AED">
      <w:pPr>
        <w:jc w:val="both"/>
        <w:rPr>
          <w:sz w:val="22"/>
          <w:szCs w:val="22"/>
        </w:rPr>
      </w:pPr>
    </w:p>
    <w:p w14:paraId="2D50E8CD" w14:textId="77777777" w:rsidR="00D6520D" w:rsidRPr="00616B76" w:rsidRDefault="00D6520D" w:rsidP="00F86AED">
      <w:pPr>
        <w:jc w:val="both"/>
        <w:rPr>
          <w:sz w:val="22"/>
          <w:szCs w:val="22"/>
        </w:rPr>
      </w:pPr>
    </w:p>
    <w:p w14:paraId="2D50E8CE" w14:textId="77777777" w:rsidR="00D6520D" w:rsidRPr="00616B76" w:rsidRDefault="00D6520D" w:rsidP="00F86AED">
      <w:pPr>
        <w:jc w:val="both"/>
        <w:rPr>
          <w:sz w:val="22"/>
          <w:szCs w:val="22"/>
        </w:rPr>
      </w:pPr>
    </w:p>
    <w:p w14:paraId="2D50E8CF" w14:textId="77777777" w:rsidR="00D6520D" w:rsidRPr="00616B76" w:rsidRDefault="00D6520D" w:rsidP="00F86AED">
      <w:pPr>
        <w:jc w:val="both"/>
        <w:rPr>
          <w:sz w:val="22"/>
          <w:szCs w:val="22"/>
        </w:rPr>
      </w:pPr>
    </w:p>
    <w:p w14:paraId="2D50E8D0" w14:textId="77777777" w:rsidR="00D6520D" w:rsidRPr="00616B76" w:rsidRDefault="00D6520D" w:rsidP="00F86AED">
      <w:pPr>
        <w:jc w:val="both"/>
        <w:rPr>
          <w:sz w:val="22"/>
          <w:szCs w:val="22"/>
        </w:rPr>
      </w:pPr>
    </w:p>
    <w:p w14:paraId="2D50E8D1" w14:textId="77777777" w:rsidR="00D6520D" w:rsidRPr="00616B76" w:rsidRDefault="00D6520D" w:rsidP="00F86AED">
      <w:pPr>
        <w:jc w:val="both"/>
        <w:rPr>
          <w:sz w:val="22"/>
          <w:szCs w:val="22"/>
        </w:rPr>
      </w:pPr>
    </w:p>
    <w:p w14:paraId="2D50E8D2" w14:textId="77777777" w:rsidR="00D6520D" w:rsidRPr="00616B76" w:rsidRDefault="00D6520D" w:rsidP="00F86AED">
      <w:pPr>
        <w:jc w:val="both"/>
        <w:rPr>
          <w:sz w:val="22"/>
          <w:szCs w:val="22"/>
        </w:rPr>
      </w:pPr>
    </w:p>
    <w:p w14:paraId="2D50E8D3" w14:textId="77777777" w:rsidR="00D6520D" w:rsidRPr="00616B76" w:rsidRDefault="00D6520D" w:rsidP="00F86AED">
      <w:pPr>
        <w:jc w:val="both"/>
        <w:rPr>
          <w:sz w:val="22"/>
          <w:szCs w:val="22"/>
        </w:rPr>
      </w:pPr>
    </w:p>
    <w:p w14:paraId="2D50E8D4" w14:textId="77777777" w:rsidR="001112A6" w:rsidRPr="00616B76" w:rsidRDefault="001112A6" w:rsidP="00F86AED">
      <w:pPr>
        <w:ind w:left="7920"/>
        <w:jc w:val="both"/>
        <w:rPr>
          <w:color w:val="FFFFFF" w:themeColor="background1"/>
          <w:sz w:val="22"/>
          <w:szCs w:val="22"/>
        </w:rPr>
      </w:pPr>
    </w:p>
    <w:p w14:paraId="2D50E8D5" w14:textId="071A7DA1" w:rsidR="00D6520D" w:rsidRPr="00616B76" w:rsidRDefault="00515456" w:rsidP="00515456">
      <w:pPr>
        <w:jc w:val="both"/>
        <w:rPr>
          <w:color w:val="FFFFFF" w:themeColor="background1"/>
          <w:sz w:val="48"/>
          <w:szCs w:val="22"/>
        </w:rPr>
      </w:pPr>
      <w:r>
        <w:rPr>
          <w:color w:val="FFFFFF" w:themeColor="background1"/>
          <w:sz w:val="48"/>
          <w:szCs w:val="22"/>
        </w:rPr>
        <w:t xml:space="preserve">                                    </w:t>
      </w:r>
      <w:r w:rsidR="00236087">
        <w:rPr>
          <w:color w:val="FFFFFF" w:themeColor="background1"/>
          <w:sz w:val="48"/>
          <w:szCs w:val="22"/>
          <w:highlight w:val="yellow"/>
        </w:rPr>
        <w:t>1</w:t>
      </w:r>
      <w:r w:rsidR="00236087">
        <w:rPr>
          <w:color w:val="FFFFFF" w:themeColor="background1"/>
          <w:sz w:val="48"/>
          <w:szCs w:val="22"/>
        </w:rPr>
        <w:t xml:space="preserve">6 </w:t>
      </w:r>
      <w:r w:rsidR="006B0E6A">
        <w:rPr>
          <w:color w:val="FFFFFF" w:themeColor="background1"/>
          <w:sz w:val="48"/>
          <w:szCs w:val="22"/>
        </w:rPr>
        <w:t>December 2019</w:t>
      </w:r>
    </w:p>
    <w:p w14:paraId="2D50E8D6" w14:textId="77777777" w:rsidR="00D6520D" w:rsidRPr="00616B76" w:rsidRDefault="00D6520D" w:rsidP="00F86AED">
      <w:pPr>
        <w:jc w:val="both"/>
        <w:rPr>
          <w:sz w:val="22"/>
          <w:szCs w:val="22"/>
        </w:rPr>
      </w:pPr>
    </w:p>
    <w:p w14:paraId="49CBBD92" w14:textId="749C55E1" w:rsidR="00854621" w:rsidRPr="00854621" w:rsidRDefault="00854621" w:rsidP="00DE4EF2">
      <w:pPr>
        <w:spacing w:after="120" w:line="252" w:lineRule="auto"/>
        <w:jc w:val="both"/>
        <w:rPr>
          <w:sz w:val="22"/>
          <w:szCs w:val="22"/>
        </w:rPr>
      </w:pPr>
    </w:p>
    <w:p w14:paraId="0BA558F3" w14:textId="77777777" w:rsidR="005D03D8" w:rsidRDefault="005D03D8" w:rsidP="00AE7086">
      <w:pPr>
        <w:spacing w:after="120" w:line="252" w:lineRule="auto"/>
        <w:jc w:val="both"/>
        <w:rPr>
          <w:sz w:val="21"/>
          <w:szCs w:val="21"/>
        </w:rPr>
      </w:pPr>
    </w:p>
    <w:p w14:paraId="198CC0CC" w14:textId="77777777" w:rsidR="002304D8" w:rsidRDefault="002304D8" w:rsidP="00AE7086">
      <w:pPr>
        <w:spacing w:after="120" w:line="252" w:lineRule="auto"/>
        <w:jc w:val="both"/>
        <w:rPr>
          <w:sz w:val="21"/>
          <w:szCs w:val="21"/>
        </w:rPr>
      </w:pPr>
    </w:p>
    <w:sdt>
      <w:sdtPr>
        <w:rPr>
          <w:rFonts w:ascii="Arial" w:eastAsiaTheme="minorHAnsi" w:hAnsi="Arial" w:cs="Arial"/>
          <w:b w:val="0"/>
          <w:bCs w:val="0"/>
          <w:color w:val="000000"/>
          <w:sz w:val="22"/>
          <w:szCs w:val="22"/>
          <w:lang w:val="en-GB" w:eastAsia="en-US"/>
          <w14:textFill>
            <w14:solidFill>
              <w14:srgbClr w14:val="000000">
                <w14:lumMod w14:val="75000"/>
              </w14:srgbClr>
            </w14:solidFill>
          </w14:textFill>
        </w:rPr>
        <w:id w:val="254029860"/>
        <w:docPartObj>
          <w:docPartGallery w:val="Table of Contents"/>
          <w:docPartUnique/>
        </w:docPartObj>
      </w:sdtPr>
      <w:sdtEndPr>
        <w:rPr>
          <w:noProof/>
        </w:rPr>
      </w:sdtEndPr>
      <w:sdtContent>
        <w:p w14:paraId="22027EA5" w14:textId="77777777" w:rsidR="002304D8" w:rsidRDefault="002304D8" w:rsidP="002C0BCA">
          <w:pPr>
            <w:pStyle w:val="TOCHeading"/>
            <w:rPr>
              <w:rFonts w:ascii="Arial" w:eastAsiaTheme="minorHAnsi" w:hAnsi="Arial" w:cs="Arial"/>
              <w:b w:val="0"/>
              <w:bCs w:val="0"/>
              <w:color w:val="000000"/>
              <w:sz w:val="22"/>
              <w:szCs w:val="22"/>
              <w:lang w:val="en-GB" w:eastAsia="en-US"/>
              <w14:textFill>
                <w14:solidFill>
                  <w14:srgbClr w14:val="000000">
                    <w14:lumMod w14:val="75000"/>
                  </w14:srgbClr>
                </w14:solidFill>
              </w14:textFill>
            </w:rPr>
          </w:pPr>
        </w:p>
        <w:p w14:paraId="16877763" w14:textId="77777777" w:rsidR="002304D8" w:rsidRDefault="002304D8">
          <w:pPr>
            <w:rPr>
              <w:color w:val="000000"/>
              <w:sz w:val="22"/>
              <w:szCs w:val="22"/>
              <w14:textFill>
                <w14:solidFill>
                  <w14:srgbClr w14:val="000000">
                    <w14:lumMod w14:val="75000"/>
                  </w14:srgbClr>
                </w14:solidFill>
              </w14:textFill>
            </w:rPr>
          </w:pPr>
          <w:r>
            <w:rPr>
              <w:b/>
              <w:bCs/>
              <w:color w:val="000000"/>
              <w:sz w:val="22"/>
              <w:szCs w:val="22"/>
              <w14:textFill>
                <w14:solidFill>
                  <w14:srgbClr w14:val="000000">
                    <w14:lumMod w14:val="75000"/>
                  </w14:srgbClr>
                </w14:solidFill>
              </w14:textFill>
            </w:rPr>
            <w:br w:type="page"/>
          </w:r>
        </w:p>
        <w:p w14:paraId="2D50E8F5" w14:textId="54C14BD8" w:rsidR="00090C14" w:rsidRPr="002C0BCA" w:rsidRDefault="00090C14" w:rsidP="002C0BCA">
          <w:pPr>
            <w:pStyle w:val="TOCHeading"/>
            <w:rPr>
              <w:rFonts w:ascii="Arial" w:hAnsi="Arial" w:cs="Arial"/>
              <w:b w:val="0"/>
              <w:color w:val="9BBB59" w:themeColor="accent3"/>
              <w14:textFill>
                <w14:solidFill>
                  <w14:schemeClr w14:val="accent3">
                    <w14:lumMod w14:val="75000"/>
                    <w14:lumMod w14:val="75000"/>
                    <w14:lumMod w14:val="75000"/>
                  </w14:schemeClr>
                </w14:solidFill>
              </w14:textFill>
            </w:rPr>
          </w:pPr>
          <w:r w:rsidRPr="002C0BCA">
            <w:rPr>
              <w:rFonts w:ascii="Arial" w:hAnsi="Arial" w:cs="Arial"/>
              <w:b w:val="0"/>
              <w:color w:val="9BBB59" w:themeColor="accent3"/>
              <w14:textFill>
                <w14:solidFill>
                  <w14:schemeClr w14:val="accent3">
                    <w14:lumMod w14:val="75000"/>
                    <w14:lumMod w14:val="75000"/>
                    <w14:lumMod w14:val="75000"/>
                  </w14:schemeClr>
                </w14:solidFill>
              </w14:textFill>
            </w:rPr>
            <w:lastRenderedPageBreak/>
            <w:t>Contents</w:t>
          </w:r>
        </w:p>
        <w:p w14:paraId="2D50E8F6" w14:textId="77777777" w:rsidR="00616B76" w:rsidRPr="001F7828" w:rsidRDefault="00616B76" w:rsidP="00F86AED">
          <w:pPr>
            <w:jc w:val="both"/>
            <w:rPr>
              <w:sz w:val="6"/>
              <w:szCs w:val="6"/>
              <w:lang w:val="en-US" w:eastAsia="ja-JP"/>
            </w:rPr>
          </w:pPr>
        </w:p>
        <w:p w14:paraId="1EE62B10" w14:textId="77777777" w:rsidR="000C53A0" w:rsidRDefault="00090C14">
          <w:pPr>
            <w:pStyle w:val="TOC1"/>
            <w:rPr>
              <w:rFonts w:asciiTheme="minorHAnsi" w:eastAsiaTheme="minorEastAsia" w:hAnsiTheme="minorHAnsi" w:cstheme="minorBidi"/>
              <w:noProof/>
              <w:sz w:val="22"/>
              <w:szCs w:val="22"/>
              <w:lang w:eastAsia="en-GB"/>
            </w:rPr>
          </w:pPr>
          <w:r w:rsidRPr="00C84077">
            <w:rPr>
              <w:b/>
              <w:sz w:val="20"/>
              <w:szCs w:val="20"/>
            </w:rPr>
            <w:fldChar w:fldCharType="begin"/>
          </w:r>
          <w:r w:rsidRPr="00C84077">
            <w:rPr>
              <w:b/>
              <w:sz w:val="20"/>
              <w:szCs w:val="20"/>
            </w:rPr>
            <w:instrText xml:space="preserve"> TOC \o "1-3" \h \z \u </w:instrText>
          </w:r>
          <w:r w:rsidRPr="00C84077">
            <w:rPr>
              <w:b/>
              <w:sz w:val="20"/>
              <w:szCs w:val="20"/>
            </w:rPr>
            <w:fldChar w:fldCharType="separate"/>
          </w:r>
          <w:hyperlink w:anchor="_Toc26217715" w:history="1">
            <w:r w:rsidR="000C53A0" w:rsidRPr="0017487F">
              <w:rPr>
                <w:rStyle w:val="Hyperlink"/>
                <w:noProof/>
              </w:rPr>
              <w:t>Intervention Summary</w:t>
            </w:r>
            <w:r w:rsidR="000C53A0">
              <w:rPr>
                <w:noProof/>
                <w:webHidden/>
              </w:rPr>
              <w:tab/>
            </w:r>
            <w:r w:rsidR="000C53A0">
              <w:rPr>
                <w:noProof/>
                <w:webHidden/>
              </w:rPr>
              <w:fldChar w:fldCharType="begin"/>
            </w:r>
            <w:r w:rsidR="000C53A0">
              <w:rPr>
                <w:noProof/>
                <w:webHidden/>
              </w:rPr>
              <w:instrText xml:space="preserve"> PAGEREF _Toc26217715 \h </w:instrText>
            </w:r>
            <w:r w:rsidR="000C53A0">
              <w:rPr>
                <w:noProof/>
                <w:webHidden/>
              </w:rPr>
            </w:r>
            <w:r w:rsidR="000C53A0">
              <w:rPr>
                <w:noProof/>
                <w:webHidden/>
              </w:rPr>
              <w:fldChar w:fldCharType="separate"/>
            </w:r>
            <w:r w:rsidR="009D3CD0">
              <w:rPr>
                <w:noProof/>
                <w:webHidden/>
              </w:rPr>
              <w:t>3</w:t>
            </w:r>
            <w:r w:rsidR="000C53A0">
              <w:rPr>
                <w:noProof/>
                <w:webHidden/>
              </w:rPr>
              <w:fldChar w:fldCharType="end"/>
            </w:r>
          </w:hyperlink>
        </w:p>
        <w:p w14:paraId="7F0EC5B2" w14:textId="77777777" w:rsidR="000C53A0" w:rsidRDefault="002A19CB">
          <w:pPr>
            <w:pStyle w:val="TOC2"/>
            <w:rPr>
              <w:rFonts w:asciiTheme="minorHAnsi" w:eastAsiaTheme="minorEastAsia" w:hAnsiTheme="minorHAnsi" w:cstheme="minorBidi"/>
              <w:b w:val="0"/>
              <w:sz w:val="22"/>
              <w:szCs w:val="22"/>
              <w:lang w:eastAsia="en-GB"/>
            </w:rPr>
          </w:pPr>
          <w:hyperlink w:anchor="_Toc26217716" w:history="1">
            <w:r w:rsidR="000C53A0" w:rsidRPr="0017487F">
              <w:rPr>
                <w:rStyle w:val="Hyperlink"/>
              </w:rPr>
              <w:t>Context and Need for UK Government Intervention</w:t>
            </w:r>
            <w:r w:rsidR="000C53A0">
              <w:rPr>
                <w:webHidden/>
              </w:rPr>
              <w:tab/>
            </w:r>
            <w:r w:rsidR="000C53A0">
              <w:rPr>
                <w:webHidden/>
              </w:rPr>
              <w:fldChar w:fldCharType="begin"/>
            </w:r>
            <w:r w:rsidR="000C53A0">
              <w:rPr>
                <w:webHidden/>
              </w:rPr>
              <w:instrText xml:space="preserve"> PAGEREF _Toc26217716 \h </w:instrText>
            </w:r>
            <w:r w:rsidR="000C53A0">
              <w:rPr>
                <w:webHidden/>
              </w:rPr>
            </w:r>
            <w:r w:rsidR="000C53A0">
              <w:rPr>
                <w:webHidden/>
              </w:rPr>
              <w:fldChar w:fldCharType="separate"/>
            </w:r>
            <w:r w:rsidR="009D3CD0">
              <w:rPr>
                <w:webHidden/>
              </w:rPr>
              <w:t>3</w:t>
            </w:r>
            <w:r w:rsidR="000C53A0">
              <w:rPr>
                <w:webHidden/>
              </w:rPr>
              <w:fldChar w:fldCharType="end"/>
            </w:r>
          </w:hyperlink>
        </w:p>
        <w:p w14:paraId="74C34967" w14:textId="77777777" w:rsidR="000C53A0" w:rsidRDefault="002A19CB">
          <w:pPr>
            <w:pStyle w:val="TOC2"/>
            <w:rPr>
              <w:rFonts w:asciiTheme="minorHAnsi" w:eastAsiaTheme="minorEastAsia" w:hAnsiTheme="minorHAnsi" w:cstheme="minorBidi"/>
              <w:b w:val="0"/>
              <w:sz w:val="22"/>
              <w:szCs w:val="22"/>
              <w:lang w:eastAsia="en-GB"/>
            </w:rPr>
          </w:pPr>
          <w:hyperlink w:anchor="_Toc26217717" w:history="1">
            <w:r w:rsidR="000C53A0" w:rsidRPr="0017487F">
              <w:rPr>
                <w:rStyle w:val="Hyperlink"/>
              </w:rPr>
              <w:t>What support will the UK provide?</w:t>
            </w:r>
            <w:r w:rsidR="000C53A0">
              <w:rPr>
                <w:webHidden/>
              </w:rPr>
              <w:tab/>
            </w:r>
            <w:r w:rsidR="000C53A0">
              <w:rPr>
                <w:webHidden/>
              </w:rPr>
              <w:fldChar w:fldCharType="begin"/>
            </w:r>
            <w:r w:rsidR="000C53A0">
              <w:rPr>
                <w:webHidden/>
              </w:rPr>
              <w:instrText xml:space="preserve"> PAGEREF _Toc26217717 \h </w:instrText>
            </w:r>
            <w:r w:rsidR="000C53A0">
              <w:rPr>
                <w:webHidden/>
              </w:rPr>
            </w:r>
            <w:r w:rsidR="000C53A0">
              <w:rPr>
                <w:webHidden/>
              </w:rPr>
              <w:fldChar w:fldCharType="separate"/>
            </w:r>
            <w:r w:rsidR="009D3CD0">
              <w:rPr>
                <w:webHidden/>
              </w:rPr>
              <w:t>3</w:t>
            </w:r>
            <w:r w:rsidR="000C53A0">
              <w:rPr>
                <w:webHidden/>
              </w:rPr>
              <w:fldChar w:fldCharType="end"/>
            </w:r>
          </w:hyperlink>
        </w:p>
        <w:p w14:paraId="02E3EB7C" w14:textId="77777777" w:rsidR="000C53A0" w:rsidRDefault="002A19CB">
          <w:pPr>
            <w:pStyle w:val="TOC2"/>
            <w:rPr>
              <w:rFonts w:asciiTheme="minorHAnsi" w:eastAsiaTheme="minorEastAsia" w:hAnsiTheme="minorHAnsi" w:cstheme="minorBidi"/>
              <w:b w:val="0"/>
              <w:sz w:val="22"/>
              <w:szCs w:val="22"/>
              <w:lang w:eastAsia="en-GB"/>
            </w:rPr>
          </w:pPr>
          <w:hyperlink w:anchor="_Toc26217718" w:history="1">
            <w:r w:rsidR="000C53A0" w:rsidRPr="0017487F">
              <w:rPr>
                <w:rStyle w:val="Hyperlink"/>
              </w:rPr>
              <w:t>What are the main project activities?</w:t>
            </w:r>
            <w:r w:rsidR="000C53A0">
              <w:rPr>
                <w:webHidden/>
              </w:rPr>
              <w:tab/>
            </w:r>
            <w:r w:rsidR="000C53A0">
              <w:rPr>
                <w:webHidden/>
              </w:rPr>
              <w:fldChar w:fldCharType="begin"/>
            </w:r>
            <w:r w:rsidR="000C53A0">
              <w:rPr>
                <w:webHidden/>
              </w:rPr>
              <w:instrText xml:space="preserve"> PAGEREF _Toc26217718 \h </w:instrText>
            </w:r>
            <w:r w:rsidR="000C53A0">
              <w:rPr>
                <w:webHidden/>
              </w:rPr>
            </w:r>
            <w:r w:rsidR="000C53A0">
              <w:rPr>
                <w:webHidden/>
              </w:rPr>
              <w:fldChar w:fldCharType="separate"/>
            </w:r>
            <w:r w:rsidR="009D3CD0">
              <w:rPr>
                <w:webHidden/>
              </w:rPr>
              <w:t>3</w:t>
            </w:r>
            <w:r w:rsidR="000C53A0">
              <w:rPr>
                <w:webHidden/>
              </w:rPr>
              <w:fldChar w:fldCharType="end"/>
            </w:r>
          </w:hyperlink>
        </w:p>
        <w:p w14:paraId="7CCD9948" w14:textId="77777777" w:rsidR="000C53A0" w:rsidRDefault="002A19CB">
          <w:pPr>
            <w:pStyle w:val="TOC2"/>
            <w:rPr>
              <w:rFonts w:asciiTheme="minorHAnsi" w:eastAsiaTheme="minorEastAsia" w:hAnsiTheme="minorHAnsi" w:cstheme="minorBidi"/>
              <w:b w:val="0"/>
              <w:sz w:val="22"/>
              <w:szCs w:val="22"/>
              <w:lang w:eastAsia="en-GB"/>
            </w:rPr>
          </w:pPr>
          <w:hyperlink w:anchor="_Toc26217719" w:history="1">
            <w:r w:rsidR="000C53A0" w:rsidRPr="0017487F">
              <w:rPr>
                <w:rStyle w:val="Hyperlink"/>
              </w:rPr>
              <w:t>What are the expected results?</w:t>
            </w:r>
            <w:r w:rsidR="000C53A0">
              <w:rPr>
                <w:webHidden/>
              </w:rPr>
              <w:tab/>
            </w:r>
            <w:r w:rsidR="000C53A0">
              <w:rPr>
                <w:webHidden/>
              </w:rPr>
              <w:fldChar w:fldCharType="begin"/>
            </w:r>
            <w:r w:rsidR="000C53A0">
              <w:rPr>
                <w:webHidden/>
              </w:rPr>
              <w:instrText xml:space="preserve"> PAGEREF _Toc26217719 \h </w:instrText>
            </w:r>
            <w:r w:rsidR="000C53A0">
              <w:rPr>
                <w:webHidden/>
              </w:rPr>
            </w:r>
            <w:r w:rsidR="000C53A0">
              <w:rPr>
                <w:webHidden/>
              </w:rPr>
              <w:fldChar w:fldCharType="separate"/>
            </w:r>
            <w:r w:rsidR="009D3CD0">
              <w:rPr>
                <w:webHidden/>
              </w:rPr>
              <w:t>3</w:t>
            </w:r>
            <w:r w:rsidR="000C53A0">
              <w:rPr>
                <w:webHidden/>
              </w:rPr>
              <w:fldChar w:fldCharType="end"/>
            </w:r>
          </w:hyperlink>
        </w:p>
        <w:p w14:paraId="767E69EC" w14:textId="77777777" w:rsidR="000C53A0" w:rsidRDefault="002A19CB">
          <w:pPr>
            <w:pStyle w:val="TOC2"/>
            <w:rPr>
              <w:rFonts w:asciiTheme="minorHAnsi" w:eastAsiaTheme="minorEastAsia" w:hAnsiTheme="minorHAnsi" w:cstheme="minorBidi"/>
              <w:b w:val="0"/>
              <w:sz w:val="22"/>
              <w:szCs w:val="22"/>
              <w:lang w:eastAsia="en-GB"/>
            </w:rPr>
          </w:pPr>
          <w:hyperlink w:anchor="_Toc26217720" w:history="1">
            <w:r w:rsidR="000C53A0" w:rsidRPr="0017487F">
              <w:rPr>
                <w:rStyle w:val="Hyperlink"/>
              </w:rPr>
              <w:t>How does the project meet Departmental and ICF objectives?</w:t>
            </w:r>
            <w:r w:rsidR="000C53A0">
              <w:rPr>
                <w:webHidden/>
              </w:rPr>
              <w:tab/>
            </w:r>
            <w:r w:rsidR="000C53A0">
              <w:rPr>
                <w:webHidden/>
              </w:rPr>
              <w:fldChar w:fldCharType="begin"/>
            </w:r>
            <w:r w:rsidR="000C53A0">
              <w:rPr>
                <w:webHidden/>
              </w:rPr>
              <w:instrText xml:space="preserve"> PAGEREF _Toc26217720 \h </w:instrText>
            </w:r>
            <w:r w:rsidR="000C53A0">
              <w:rPr>
                <w:webHidden/>
              </w:rPr>
            </w:r>
            <w:r w:rsidR="000C53A0">
              <w:rPr>
                <w:webHidden/>
              </w:rPr>
              <w:fldChar w:fldCharType="separate"/>
            </w:r>
            <w:r w:rsidR="009D3CD0">
              <w:rPr>
                <w:webHidden/>
              </w:rPr>
              <w:t>3</w:t>
            </w:r>
            <w:r w:rsidR="000C53A0">
              <w:rPr>
                <w:webHidden/>
              </w:rPr>
              <w:fldChar w:fldCharType="end"/>
            </w:r>
          </w:hyperlink>
        </w:p>
        <w:p w14:paraId="6AB282EF" w14:textId="77777777" w:rsidR="000C53A0" w:rsidRDefault="002A19CB">
          <w:pPr>
            <w:pStyle w:val="TOC2"/>
            <w:rPr>
              <w:rFonts w:asciiTheme="minorHAnsi" w:eastAsiaTheme="minorEastAsia" w:hAnsiTheme="minorHAnsi" w:cstheme="minorBidi"/>
              <w:b w:val="0"/>
              <w:sz w:val="22"/>
              <w:szCs w:val="22"/>
              <w:lang w:eastAsia="en-GB"/>
            </w:rPr>
          </w:pPr>
          <w:hyperlink w:anchor="_Toc26217721" w:history="1">
            <w:r w:rsidR="000C53A0" w:rsidRPr="0017487F">
              <w:rPr>
                <w:rStyle w:val="Hyperlink"/>
              </w:rPr>
              <w:t>What are the key risks to success of the programme?</w:t>
            </w:r>
            <w:r w:rsidR="000C53A0">
              <w:rPr>
                <w:webHidden/>
              </w:rPr>
              <w:tab/>
            </w:r>
            <w:r w:rsidR="000C53A0">
              <w:rPr>
                <w:webHidden/>
              </w:rPr>
              <w:fldChar w:fldCharType="begin"/>
            </w:r>
            <w:r w:rsidR="000C53A0">
              <w:rPr>
                <w:webHidden/>
              </w:rPr>
              <w:instrText xml:space="preserve"> PAGEREF _Toc26217721 \h </w:instrText>
            </w:r>
            <w:r w:rsidR="000C53A0">
              <w:rPr>
                <w:webHidden/>
              </w:rPr>
            </w:r>
            <w:r w:rsidR="000C53A0">
              <w:rPr>
                <w:webHidden/>
              </w:rPr>
              <w:fldChar w:fldCharType="separate"/>
            </w:r>
            <w:r w:rsidR="009D3CD0">
              <w:rPr>
                <w:webHidden/>
              </w:rPr>
              <w:t>3</w:t>
            </w:r>
            <w:r w:rsidR="000C53A0">
              <w:rPr>
                <w:webHidden/>
              </w:rPr>
              <w:fldChar w:fldCharType="end"/>
            </w:r>
          </w:hyperlink>
        </w:p>
        <w:p w14:paraId="5D5602EF" w14:textId="77777777" w:rsidR="000C53A0" w:rsidRDefault="002A19CB">
          <w:pPr>
            <w:pStyle w:val="TOC1"/>
            <w:rPr>
              <w:rFonts w:asciiTheme="minorHAnsi" w:eastAsiaTheme="minorEastAsia" w:hAnsiTheme="minorHAnsi" w:cstheme="minorBidi"/>
              <w:noProof/>
              <w:sz w:val="22"/>
              <w:szCs w:val="22"/>
              <w:lang w:eastAsia="en-GB"/>
            </w:rPr>
          </w:pPr>
          <w:hyperlink w:anchor="_Toc26217722" w:history="1">
            <w:r w:rsidR="000C53A0" w:rsidRPr="0017487F">
              <w:rPr>
                <w:rStyle w:val="Hyperlink"/>
                <w:noProof/>
              </w:rPr>
              <w:t>Strategic Case</w:t>
            </w:r>
            <w:r w:rsidR="000C53A0">
              <w:rPr>
                <w:noProof/>
                <w:webHidden/>
              </w:rPr>
              <w:tab/>
            </w:r>
            <w:r w:rsidR="000C53A0">
              <w:rPr>
                <w:noProof/>
                <w:webHidden/>
              </w:rPr>
              <w:fldChar w:fldCharType="begin"/>
            </w:r>
            <w:r w:rsidR="000C53A0">
              <w:rPr>
                <w:noProof/>
                <w:webHidden/>
              </w:rPr>
              <w:instrText xml:space="preserve"> PAGEREF _Toc26217722 \h </w:instrText>
            </w:r>
            <w:r w:rsidR="000C53A0">
              <w:rPr>
                <w:noProof/>
                <w:webHidden/>
              </w:rPr>
            </w:r>
            <w:r w:rsidR="000C53A0">
              <w:rPr>
                <w:noProof/>
                <w:webHidden/>
              </w:rPr>
              <w:fldChar w:fldCharType="separate"/>
            </w:r>
            <w:r w:rsidR="009D3CD0">
              <w:rPr>
                <w:noProof/>
                <w:webHidden/>
              </w:rPr>
              <w:t>4</w:t>
            </w:r>
            <w:r w:rsidR="000C53A0">
              <w:rPr>
                <w:noProof/>
                <w:webHidden/>
              </w:rPr>
              <w:fldChar w:fldCharType="end"/>
            </w:r>
          </w:hyperlink>
        </w:p>
        <w:p w14:paraId="47BB6B2F" w14:textId="77777777" w:rsidR="000C53A0" w:rsidRDefault="002A19CB">
          <w:pPr>
            <w:pStyle w:val="TOC2"/>
            <w:rPr>
              <w:rFonts w:asciiTheme="minorHAnsi" w:eastAsiaTheme="minorEastAsia" w:hAnsiTheme="minorHAnsi" w:cstheme="minorBidi"/>
              <w:b w:val="0"/>
              <w:sz w:val="22"/>
              <w:szCs w:val="22"/>
              <w:lang w:eastAsia="en-GB"/>
            </w:rPr>
          </w:pPr>
          <w:hyperlink w:anchor="_Toc26217723" w:history="1">
            <w:r w:rsidR="000C53A0" w:rsidRPr="0017487F">
              <w:rPr>
                <w:rStyle w:val="Hyperlink"/>
              </w:rPr>
              <w:t>Context and Need for a UK intervention</w:t>
            </w:r>
            <w:r w:rsidR="000C53A0">
              <w:rPr>
                <w:webHidden/>
              </w:rPr>
              <w:tab/>
            </w:r>
            <w:r w:rsidR="000C53A0">
              <w:rPr>
                <w:webHidden/>
              </w:rPr>
              <w:fldChar w:fldCharType="begin"/>
            </w:r>
            <w:r w:rsidR="000C53A0">
              <w:rPr>
                <w:webHidden/>
              </w:rPr>
              <w:instrText xml:space="preserve"> PAGEREF _Toc26217723 \h </w:instrText>
            </w:r>
            <w:r w:rsidR="000C53A0">
              <w:rPr>
                <w:webHidden/>
              </w:rPr>
            </w:r>
            <w:r w:rsidR="000C53A0">
              <w:rPr>
                <w:webHidden/>
              </w:rPr>
              <w:fldChar w:fldCharType="separate"/>
            </w:r>
            <w:r w:rsidR="009D3CD0">
              <w:rPr>
                <w:webHidden/>
              </w:rPr>
              <w:t>4</w:t>
            </w:r>
            <w:r w:rsidR="000C53A0">
              <w:rPr>
                <w:webHidden/>
              </w:rPr>
              <w:fldChar w:fldCharType="end"/>
            </w:r>
          </w:hyperlink>
        </w:p>
        <w:p w14:paraId="7C0BB42D" w14:textId="77777777" w:rsidR="000C53A0" w:rsidRDefault="002A19CB">
          <w:pPr>
            <w:pStyle w:val="TOC2"/>
            <w:rPr>
              <w:rFonts w:asciiTheme="minorHAnsi" w:eastAsiaTheme="minorEastAsia" w:hAnsiTheme="minorHAnsi" w:cstheme="minorBidi"/>
              <w:b w:val="0"/>
              <w:sz w:val="22"/>
              <w:szCs w:val="22"/>
              <w:lang w:eastAsia="en-GB"/>
            </w:rPr>
          </w:pPr>
          <w:hyperlink w:anchor="_Toc26217724" w:history="1">
            <w:r w:rsidR="000C53A0" w:rsidRPr="0017487F">
              <w:rPr>
                <w:rStyle w:val="Hyperlink"/>
              </w:rPr>
              <w:t>Market, governance and information failures</w:t>
            </w:r>
            <w:r w:rsidR="000C53A0">
              <w:rPr>
                <w:webHidden/>
              </w:rPr>
              <w:tab/>
            </w:r>
            <w:r w:rsidR="000C53A0">
              <w:rPr>
                <w:webHidden/>
              </w:rPr>
              <w:fldChar w:fldCharType="begin"/>
            </w:r>
            <w:r w:rsidR="000C53A0">
              <w:rPr>
                <w:webHidden/>
              </w:rPr>
              <w:instrText xml:space="preserve"> PAGEREF _Toc26217724 \h </w:instrText>
            </w:r>
            <w:r w:rsidR="000C53A0">
              <w:rPr>
                <w:webHidden/>
              </w:rPr>
            </w:r>
            <w:r w:rsidR="000C53A0">
              <w:rPr>
                <w:webHidden/>
              </w:rPr>
              <w:fldChar w:fldCharType="separate"/>
            </w:r>
            <w:r w:rsidR="009D3CD0">
              <w:rPr>
                <w:webHidden/>
              </w:rPr>
              <w:t>5</w:t>
            </w:r>
            <w:r w:rsidR="000C53A0">
              <w:rPr>
                <w:webHidden/>
              </w:rPr>
              <w:fldChar w:fldCharType="end"/>
            </w:r>
          </w:hyperlink>
        </w:p>
        <w:p w14:paraId="680C14D6" w14:textId="77777777" w:rsidR="000C53A0" w:rsidRDefault="002A19CB">
          <w:pPr>
            <w:pStyle w:val="TOC2"/>
            <w:rPr>
              <w:rFonts w:asciiTheme="minorHAnsi" w:eastAsiaTheme="minorEastAsia" w:hAnsiTheme="minorHAnsi" w:cstheme="minorBidi"/>
              <w:b w:val="0"/>
              <w:sz w:val="22"/>
              <w:szCs w:val="22"/>
              <w:lang w:eastAsia="en-GB"/>
            </w:rPr>
          </w:pPr>
          <w:hyperlink w:anchor="_Toc26217725" w:history="1">
            <w:r w:rsidR="000C53A0" w:rsidRPr="0017487F">
              <w:rPr>
                <w:rStyle w:val="Hyperlink"/>
              </w:rPr>
              <w:t>What support will the UK provide?</w:t>
            </w:r>
            <w:r w:rsidR="000C53A0">
              <w:rPr>
                <w:webHidden/>
              </w:rPr>
              <w:tab/>
            </w:r>
            <w:r w:rsidR="000C53A0">
              <w:rPr>
                <w:webHidden/>
              </w:rPr>
              <w:fldChar w:fldCharType="begin"/>
            </w:r>
            <w:r w:rsidR="000C53A0">
              <w:rPr>
                <w:webHidden/>
              </w:rPr>
              <w:instrText xml:space="preserve"> PAGEREF _Toc26217725 \h </w:instrText>
            </w:r>
            <w:r w:rsidR="000C53A0">
              <w:rPr>
                <w:webHidden/>
              </w:rPr>
            </w:r>
            <w:r w:rsidR="000C53A0">
              <w:rPr>
                <w:webHidden/>
              </w:rPr>
              <w:fldChar w:fldCharType="separate"/>
            </w:r>
            <w:r w:rsidR="009D3CD0">
              <w:rPr>
                <w:webHidden/>
              </w:rPr>
              <w:t>5</w:t>
            </w:r>
            <w:r w:rsidR="000C53A0">
              <w:rPr>
                <w:webHidden/>
              </w:rPr>
              <w:fldChar w:fldCharType="end"/>
            </w:r>
          </w:hyperlink>
        </w:p>
        <w:p w14:paraId="32884490" w14:textId="77777777" w:rsidR="000C53A0" w:rsidRDefault="002A19CB">
          <w:pPr>
            <w:pStyle w:val="TOC2"/>
            <w:rPr>
              <w:rFonts w:asciiTheme="minorHAnsi" w:eastAsiaTheme="minorEastAsia" w:hAnsiTheme="minorHAnsi" w:cstheme="minorBidi"/>
              <w:b w:val="0"/>
              <w:sz w:val="22"/>
              <w:szCs w:val="22"/>
              <w:lang w:eastAsia="en-GB"/>
            </w:rPr>
          </w:pPr>
          <w:hyperlink w:anchor="_Toc26217726" w:history="1">
            <w:r w:rsidR="000C53A0" w:rsidRPr="0017487F">
              <w:rPr>
                <w:rStyle w:val="Hyperlink"/>
              </w:rPr>
              <w:t>Impacts, outcomes and outputs</w:t>
            </w:r>
            <w:r w:rsidR="000C53A0">
              <w:rPr>
                <w:webHidden/>
              </w:rPr>
              <w:tab/>
            </w:r>
            <w:r w:rsidR="000C53A0">
              <w:rPr>
                <w:webHidden/>
              </w:rPr>
              <w:fldChar w:fldCharType="begin"/>
            </w:r>
            <w:r w:rsidR="000C53A0">
              <w:rPr>
                <w:webHidden/>
              </w:rPr>
              <w:instrText xml:space="preserve"> PAGEREF _Toc26217726 \h </w:instrText>
            </w:r>
            <w:r w:rsidR="000C53A0">
              <w:rPr>
                <w:webHidden/>
              </w:rPr>
            </w:r>
            <w:r w:rsidR="000C53A0">
              <w:rPr>
                <w:webHidden/>
              </w:rPr>
              <w:fldChar w:fldCharType="separate"/>
            </w:r>
            <w:r w:rsidR="009D3CD0">
              <w:rPr>
                <w:webHidden/>
              </w:rPr>
              <w:t>5</w:t>
            </w:r>
            <w:r w:rsidR="000C53A0">
              <w:rPr>
                <w:webHidden/>
              </w:rPr>
              <w:fldChar w:fldCharType="end"/>
            </w:r>
          </w:hyperlink>
        </w:p>
        <w:p w14:paraId="30BB1497" w14:textId="77777777" w:rsidR="000C53A0" w:rsidRDefault="002A19CB">
          <w:pPr>
            <w:pStyle w:val="TOC2"/>
            <w:rPr>
              <w:rFonts w:asciiTheme="minorHAnsi" w:eastAsiaTheme="minorEastAsia" w:hAnsiTheme="minorHAnsi" w:cstheme="minorBidi"/>
              <w:b w:val="0"/>
              <w:sz w:val="22"/>
              <w:szCs w:val="22"/>
              <w:lang w:eastAsia="en-GB"/>
            </w:rPr>
          </w:pPr>
          <w:hyperlink w:anchor="_Toc26217727" w:history="1">
            <w:r w:rsidR="000C53A0" w:rsidRPr="0017487F">
              <w:rPr>
                <w:rStyle w:val="Hyperlink"/>
              </w:rPr>
              <w:t>How will this project contribute to Defra objectives and priorities?</w:t>
            </w:r>
            <w:r w:rsidR="000C53A0">
              <w:rPr>
                <w:webHidden/>
              </w:rPr>
              <w:tab/>
            </w:r>
            <w:r w:rsidR="000C53A0">
              <w:rPr>
                <w:webHidden/>
              </w:rPr>
              <w:fldChar w:fldCharType="begin"/>
            </w:r>
            <w:r w:rsidR="000C53A0">
              <w:rPr>
                <w:webHidden/>
              </w:rPr>
              <w:instrText xml:space="preserve"> PAGEREF _Toc26217727 \h </w:instrText>
            </w:r>
            <w:r w:rsidR="000C53A0">
              <w:rPr>
                <w:webHidden/>
              </w:rPr>
            </w:r>
            <w:r w:rsidR="000C53A0">
              <w:rPr>
                <w:webHidden/>
              </w:rPr>
              <w:fldChar w:fldCharType="separate"/>
            </w:r>
            <w:r w:rsidR="009D3CD0">
              <w:rPr>
                <w:webHidden/>
              </w:rPr>
              <w:t>9</w:t>
            </w:r>
            <w:r w:rsidR="000C53A0">
              <w:rPr>
                <w:webHidden/>
              </w:rPr>
              <w:fldChar w:fldCharType="end"/>
            </w:r>
          </w:hyperlink>
        </w:p>
        <w:p w14:paraId="1411BB40" w14:textId="77777777" w:rsidR="000C53A0" w:rsidRDefault="002A19CB">
          <w:pPr>
            <w:pStyle w:val="TOC2"/>
            <w:rPr>
              <w:rFonts w:asciiTheme="minorHAnsi" w:eastAsiaTheme="minorEastAsia" w:hAnsiTheme="minorHAnsi" w:cstheme="minorBidi"/>
              <w:b w:val="0"/>
              <w:sz w:val="22"/>
              <w:szCs w:val="22"/>
              <w:lang w:eastAsia="en-GB"/>
            </w:rPr>
          </w:pPr>
          <w:hyperlink w:anchor="_Toc26217728" w:history="1">
            <w:r w:rsidR="000C53A0" w:rsidRPr="0017487F">
              <w:rPr>
                <w:rStyle w:val="Hyperlink"/>
              </w:rPr>
              <w:t>Compliance with the International Development Gender Equality Act</w:t>
            </w:r>
            <w:r w:rsidR="000C53A0">
              <w:rPr>
                <w:webHidden/>
              </w:rPr>
              <w:tab/>
            </w:r>
            <w:r w:rsidR="000C53A0">
              <w:rPr>
                <w:webHidden/>
              </w:rPr>
              <w:fldChar w:fldCharType="begin"/>
            </w:r>
            <w:r w:rsidR="000C53A0">
              <w:rPr>
                <w:webHidden/>
              </w:rPr>
              <w:instrText xml:space="preserve"> PAGEREF _Toc26217728 \h </w:instrText>
            </w:r>
            <w:r w:rsidR="000C53A0">
              <w:rPr>
                <w:webHidden/>
              </w:rPr>
            </w:r>
            <w:r w:rsidR="000C53A0">
              <w:rPr>
                <w:webHidden/>
              </w:rPr>
              <w:fldChar w:fldCharType="separate"/>
            </w:r>
            <w:r w:rsidR="009D3CD0">
              <w:rPr>
                <w:webHidden/>
              </w:rPr>
              <w:t>10</w:t>
            </w:r>
            <w:r w:rsidR="000C53A0">
              <w:rPr>
                <w:webHidden/>
              </w:rPr>
              <w:fldChar w:fldCharType="end"/>
            </w:r>
          </w:hyperlink>
        </w:p>
        <w:p w14:paraId="07494A4A" w14:textId="77777777" w:rsidR="000C53A0" w:rsidRDefault="002A19CB">
          <w:pPr>
            <w:pStyle w:val="TOC1"/>
            <w:rPr>
              <w:rFonts w:asciiTheme="minorHAnsi" w:eastAsiaTheme="minorEastAsia" w:hAnsiTheme="minorHAnsi" w:cstheme="minorBidi"/>
              <w:noProof/>
              <w:sz w:val="22"/>
              <w:szCs w:val="22"/>
              <w:lang w:eastAsia="en-GB"/>
            </w:rPr>
          </w:pPr>
          <w:hyperlink w:anchor="_Toc26217729" w:history="1">
            <w:r w:rsidR="000C53A0" w:rsidRPr="0017487F">
              <w:rPr>
                <w:rStyle w:val="Hyperlink"/>
                <w:noProof/>
              </w:rPr>
              <w:t>Economic Case</w:t>
            </w:r>
            <w:r w:rsidR="000C53A0">
              <w:rPr>
                <w:noProof/>
                <w:webHidden/>
              </w:rPr>
              <w:tab/>
            </w:r>
            <w:r w:rsidR="000C53A0">
              <w:rPr>
                <w:noProof/>
                <w:webHidden/>
              </w:rPr>
              <w:fldChar w:fldCharType="begin"/>
            </w:r>
            <w:r w:rsidR="000C53A0">
              <w:rPr>
                <w:noProof/>
                <w:webHidden/>
              </w:rPr>
              <w:instrText xml:space="preserve"> PAGEREF _Toc26217729 \h </w:instrText>
            </w:r>
            <w:r w:rsidR="000C53A0">
              <w:rPr>
                <w:noProof/>
                <w:webHidden/>
              </w:rPr>
            </w:r>
            <w:r w:rsidR="000C53A0">
              <w:rPr>
                <w:noProof/>
                <w:webHidden/>
              </w:rPr>
              <w:fldChar w:fldCharType="separate"/>
            </w:r>
            <w:r w:rsidR="009D3CD0">
              <w:rPr>
                <w:noProof/>
                <w:webHidden/>
              </w:rPr>
              <w:t>11</w:t>
            </w:r>
            <w:r w:rsidR="000C53A0">
              <w:rPr>
                <w:noProof/>
                <w:webHidden/>
              </w:rPr>
              <w:fldChar w:fldCharType="end"/>
            </w:r>
          </w:hyperlink>
        </w:p>
        <w:p w14:paraId="21B3A9AA" w14:textId="77777777" w:rsidR="000C53A0" w:rsidRDefault="002A19CB">
          <w:pPr>
            <w:pStyle w:val="TOC2"/>
            <w:rPr>
              <w:rFonts w:asciiTheme="minorHAnsi" w:eastAsiaTheme="minorEastAsia" w:hAnsiTheme="minorHAnsi" w:cstheme="minorBidi"/>
              <w:b w:val="0"/>
              <w:sz w:val="22"/>
              <w:szCs w:val="22"/>
              <w:lang w:eastAsia="en-GB"/>
            </w:rPr>
          </w:pPr>
          <w:hyperlink w:anchor="_Toc26217730" w:history="1">
            <w:r w:rsidR="000C53A0" w:rsidRPr="0017487F">
              <w:rPr>
                <w:rStyle w:val="Hyperlink"/>
              </w:rPr>
              <w:t>Options for achieving the objectives identified in the Strategic Case</w:t>
            </w:r>
            <w:r w:rsidR="000C53A0">
              <w:rPr>
                <w:webHidden/>
              </w:rPr>
              <w:tab/>
            </w:r>
            <w:r w:rsidR="000C53A0">
              <w:rPr>
                <w:webHidden/>
              </w:rPr>
              <w:fldChar w:fldCharType="begin"/>
            </w:r>
            <w:r w:rsidR="000C53A0">
              <w:rPr>
                <w:webHidden/>
              </w:rPr>
              <w:instrText xml:space="preserve"> PAGEREF _Toc26217730 \h </w:instrText>
            </w:r>
            <w:r w:rsidR="000C53A0">
              <w:rPr>
                <w:webHidden/>
              </w:rPr>
            </w:r>
            <w:r w:rsidR="000C53A0">
              <w:rPr>
                <w:webHidden/>
              </w:rPr>
              <w:fldChar w:fldCharType="separate"/>
            </w:r>
            <w:r w:rsidR="009D3CD0">
              <w:rPr>
                <w:webHidden/>
              </w:rPr>
              <w:t>11</w:t>
            </w:r>
            <w:r w:rsidR="000C53A0">
              <w:rPr>
                <w:webHidden/>
              </w:rPr>
              <w:fldChar w:fldCharType="end"/>
            </w:r>
          </w:hyperlink>
        </w:p>
        <w:p w14:paraId="04809BC1" w14:textId="77777777" w:rsidR="000C53A0" w:rsidRDefault="002A19CB">
          <w:pPr>
            <w:pStyle w:val="TOC1"/>
            <w:rPr>
              <w:rFonts w:asciiTheme="minorHAnsi" w:eastAsiaTheme="minorEastAsia" w:hAnsiTheme="minorHAnsi" w:cstheme="minorBidi"/>
              <w:noProof/>
              <w:sz w:val="22"/>
              <w:szCs w:val="22"/>
              <w:lang w:eastAsia="en-GB"/>
            </w:rPr>
          </w:pPr>
          <w:hyperlink w:anchor="_Toc26217731" w:history="1">
            <w:r w:rsidR="000C53A0" w:rsidRPr="0017487F">
              <w:rPr>
                <w:rStyle w:val="Hyperlink"/>
                <w:noProof/>
              </w:rPr>
              <w:t>Commercial Case</w:t>
            </w:r>
            <w:r w:rsidR="000C53A0">
              <w:rPr>
                <w:noProof/>
                <w:webHidden/>
              </w:rPr>
              <w:tab/>
            </w:r>
            <w:r w:rsidR="000C53A0">
              <w:rPr>
                <w:noProof/>
                <w:webHidden/>
              </w:rPr>
              <w:fldChar w:fldCharType="begin"/>
            </w:r>
            <w:r w:rsidR="000C53A0">
              <w:rPr>
                <w:noProof/>
                <w:webHidden/>
              </w:rPr>
              <w:instrText xml:space="preserve"> PAGEREF _Toc26217731 \h </w:instrText>
            </w:r>
            <w:r w:rsidR="000C53A0">
              <w:rPr>
                <w:noProof/>
                <w:webHidden/>
              </w:rPr>
            </w:r>
            <w:r w:rsidR="000C53A0">
              <w:rPr>
                <w:noProof/>
                <w:webHidden/>
              </w:rPr>
              <w:fldChar w:fldCharType="separate"/>
            </w:r>
            <w:r w:rsidR="009D3CD0">
              <w:rPr>
                <w:noProof/>
                <w:webHidden/>
              </w:rPr>
              <w:t>15</w:t>
            </w:r>
            <w:r w:rsidR="000C53A0">
              <w:rPr>
                <w:noProof/>
                <w:webHidden/>
              </w:rPr>
              <w:fldChar w:fldCharType="end"/>
            </w:r>
          </w:hyperlink>
        </w:p>
        <w:p w14:paraId="54E3E90B" w14:textId="77777777" w:rsidR="000C53A0" w:rsidRDefault="002A19CB">
          <w:pPr>
            <w:pStyle w:val="TOC2"/>
            <w:rPr>
              <w:rFonts w:asciiTheme="minorHAnsi" w:eastAsiaTheme="minorEastAsia" w:hAnsiTheme="minorHAnsi" w:cstheme="minorBidi"/>
              <w:b w:val="0"/>
              <w:sz w:val="22"/>
              <w:szCs w:val="22"/>
              <w:lang w:eastAsia="en-GB"/>
            </w:rPr>
          </w:pPr>
          <w:hyperlink w:anchor="_Toc26217732" w:history="1">
            <w:r w:rsidR="000C53A0" w:rsidRPr="0017487F">
              <w:rPr>
                <w:rStyle w:val="Hyperlink"/>
              </w:rPr>
              <w:t>Commercial requirement for the intervention</w:t>
            </w:r>
            <w:r w:rsidR="000C53A0">
              <w:rPr>
                <w:webHidden/>
              </w:rPr>
              <w:tab/>
            </w:r>
            <w:r w:rsidR="000C53A0">
              <w:rPr>
                <w:webHidden/>
              </w:rPr>
              <w:fldChar w:fldCharType="begin"/>
            </w:r>
            <w:r w:rsidR="000C53A0">
              <w:rPr>
                <w:webHidden/>
              </w:rPr>
              <w:instrText xml:space="preserve"> PAGEREF _Toc26217732 \h </w:instrText>
            </w:r>
            <w:r w:rsidR="000C53A0">
              <w:rPr>
                <w:webHidden/>
              </w:rPr>
            </w:r>
            <w:r w:rsidR="000C53A0">
              <w:rPr>
                <w:webHidden/>
              </w:rPr>
              <w:fldChar w:fldCharType="separate"/>
            </w:r>
            <w:r w:rsidR="009D3CD0">
              <w:rPr>
                <w:webHidden/>
              </w:rPr>
              <w:t>15</w:t>
            </w:r>
            <w:r w:rsidR="000C53A0">
              <w:rPr>
                <w:webHidden/>
              </w:rPr>
              <w:fldChar w:fldCharType="end"/>
            </w:r>
          </w:hyperlink>
        </w:p>
        <w:p w14:paraId="46703219" w14:textId="77777777" w:rsidR="000C53A0" w:rsidRDefault="002A19CB">
          <w:pPr>
            <w:pStyle w:val="TOC2"/>
            <w:rPr>
              <w:rFonts w:asciiTheme="minorHAnsi" w:eastAsiaTheme="minorEastAsia" w:hAnsiTheme="minorHAnsi" w:cstheme="minorBidi"/>
              <w:b w:val="0"/>
              <w:sz w:val="22"/>
              <w:szCs w:val="22"/>
              <w:lang w:eastAsia="en-GB"/>
            </w:rPr>
          </w:pPr>
          <w:hyperlink w:anchor="_Toc26217733" w:history="1">
            <w:r w:rsidR="000C53A0" w:rsidRPr="0017487F">
              <w:rPr>
                <w:rStyle w:val="Hyperlink"/>
              </w:rPr>
              <w:t>Competency of the delivery organisation</w:t>
            </w:r>
            <w:r w:rsidR="000C53A0">
              <w:rPr>
                <w:webHidden/>
              </w:rPr>
              <w:tab/>
            </w:r>
            <w:r w:rsidR="000C53A0">
              <w:rPr>
                <w:webHidden/>
              </w:rPr>
              <w:fldChar w:fldCharType="begin"/>
            </w:r>
            <w:r w:rsidR="000C53A0">
              <w:rPr>
                <w:webHidden/>
              </w:rPr>
              <w:instrText xml:space="preserve"> PAGEREF _Toc26217733 \h </w:instrText>
            </w:r>
            <w:r w:rsidR="000C53A0">
              <w:rPr>
                <w:webHidden/>
              </w:rPr>
            </w:r>
            <w:r w:rsidR="000C53A0">
              <w:rPr>
                <w:webHidden/>
              </w:rPr>
              <w:fldChar w:fldCharType="separate"/>
            </w:r>
            <w:r w:rsidR="009D3CD0">
              <w:rPr>
                <w:webHidden/>
              </w:rPr>
              <w:t>15</w:t>
            </w:r>
            <w:r w:rsidR="000C53A0">
              <w:rPr>
                <w:webHidden/>
              </w:rPr>
              <w:fldChar w:fldCharType="end"/>
            </w:r>
          </w:hyperlink>
        </w:p>
        <w:p w14:paraId="593EC086" w14:textId="77777777" w:rsidR="000C53A0" w:rsidRDefault="002A19CB">
          <w:pPr>
            <w:pStyle w:val="TOC2"/>
            <w:rPr>
              <w:rFonts w:asciiTheme="minorHAnsi" w:eastAsiaTheme="minorEastAsia" w:hAnsiTheme="minorHAnsi" w:cstheme="minorBidi"/>
              <w:b w:val="0"/>
              <w:sz w:val="22"/>
              <w:szCs w:val="22"/>
              <w:lang w:eastAsia="en-GB"/>
            </w:rPr>
          </w:pPr>
          <w:hyperlink w:anchor="_Toc26217734" w:history="1">
            <w:r w:rsidR="000C53A0" w:rsidRPr="0017487F">
              <w:rPr>
                <w:rStyle w:val="Hyperlink"/>
              </w:rPr>
              <w:t>Appointment and competancy of subcontractors</w:t>
            </w:r>
            <w:r w:rsidR="000C53A0">
              <w:rPr>
                <w:webHidden/>
              </w:rPr>
              <w:tab/>
            </w:r>
            <w:r w:rsidR="000C53A0">
              <w:rPr>
                <w:webHidden/>
              </w:rPr>
              <w:fldChar w:fldCharType="begin"/>
            </w:r>
            <w:r w:rsidR="000C53A0">
              <w:rPr>
                <w:webHidden/>
              </w:rPr>
              <w:instrText xml:space="preserve"> PAGEREF _Toc26217734 \h </w:instrText>
            </w:r>
            <w:r w:rsidR="000C53A0">
              <w:rPr>
                <w:webHidden/>
              </w:rPr>
            </w:r>
            <w:r w:rsidR="000C53A0">
              <w:rPr>
                <w:webHidden/>
              </w:rPr>
              <w:fldChar w:fldCharType="separate"/>
            </w:r>
            <w:r w:rsidR="009D3CD0">
              <w:rPr>
                <w:webHidden/>
              </w:rPr>
              <w:t>15</w:t>
            </w:r>
            <w:r w:rsidR="000C53A0">
              <w:rPr>
                <w:webHidden/>
              </w:rPr>
              <w:fldChar w:fldCharType="end"/>
            </w:r>
          </w:hyperlink>
        </w:p>
        <w:p w14:paraId="576CAD8B" w14:textId="77777777" w:rsidR="000C53A0" w:rsidRDefault="002A19CB">
          <w:pPr>
            <w:pStyle w:val="TOC2"/>
            <w:rPr>
              <w:rFonts w:asciiTheme="minorHAnsi" w:eastAsiaTheme="minorEastAsia" w:hAnsiTheme="minorHAnsi" w:cstheme="minorBidi"/>
              <w:b w:val="0"/>
              <w:sz w:val="22"/>
              <w:szCs w:val="22"/>
              <w:lang w:eastAsia="en-GB"/>
            </w:rPr>
          </w:pPr>
          <w:hyperlink w:anchor="_Toc26217735" w:history="1">
            <w:r w:rsidR="000C53A0" w:rsidRPr="0017487F">
              <w:rPr>
                <w:rStyle w:val="Hyperlink"/>
              </w:rPr>
              <w:t>Why is the proposed funding arrangement the right one for this intervention, with this delivery partner?</w:t>
            </w:r>
            <w:r w:rsidR="000C53A0">
              <w:rPr>
                <w:webHidden/>
              </w:rPr>
              <w:tab/>
            </w:r>
            <w:r w:rsidR="000C53A0">
              <w:rPr>
                <w:webHidden/>
              </w:rPr>
              <w:fldChar w:fldCharType="begin"/>
            </w:r>
            <w:r w:rsidR="000C53A0">
              <w:rPr>
                <w:webHidden/>
              </w:rPr>
              <w:instrText xml:space="preserve"> PAGEREF _Toc26217735 \h </w:instrText>
            </w:r>
            <w:r w:rsidR="000C53A0">
              <w:rPr>
                <w:webHidden/>
              </w:rPr>
            </w:r>
            <w:r w:rsidR="000C53A0">
              <w:rPr>
                <w:webHidden/>
              </w:rPr>
              <w:fldChar w:fldCharType="separate"/>
            </w:r>
            <w:r w:rsidR="009D3CD0">
              <w:rPr>
                <w:webHidden/>
              </w:rPr>
              <w:t>15</w:t>
            </w:r>
            <w:r w:rsidR="000C53A0">
              <w:rPr>
                <w:webHidden/>
              </w:rPr>
              <w:fldChar w:fldCharType="end"/>
            </w:r>
          </w:hyperlink>
        </w:p>
        <w:p w14:paraId="7F4A97AA" w14:textId="77777777" w:rsidR="000C53A0" w:rsidRDefault="002A19CB">
          <w:pPr>
            <w:pStyle w:val="TOC1"/>
            <w:rPr>
              <w:rFonts w:asciiTheme="minorHAnsi" w:eastAsiaTheme="minorEastAsia" w:hAnsiTheme="minorHAnsi" w:cstheme="minorBidi"/>
              <w:noProof/>
              <w:sz w:val="22"/>
              <w:szCs w:val="22"/>
              <w:lang w:eastAsia="en-GB"/>
            </w:rPr>
          </w:pPr>
          <w:hyperlink w:anchor="_Toc26217736" w:history="1">
            <w:r w:rsidR="000C53A0" w:rsidRPr="0017487F">
              <w:rPr>
                <w:rStyle w:val="Hyperlink"/>
                <w:noProof/>
              </w:rPr>
              <w:t>Financial Case</w:t>
            </w:r>
            <w:r w:rsidR="000C53A0">
              <w:rPr>
                <w:noProof/>
                <w:webHidden/>
              </w:rPr>
              <w:tab/>
            </w:r>
            <w:r w:rsidR="000C53A0">
              <w:rPr>
                <w:noProof/>
                <w:webHidden/>
              </w:rPr>
              <w:fldChar w:fldCharType="begin"/>
            </w:r>
            <w:r w:rsidR="000C53A0">
              <w:rPr>
                <w:noProof/>
                <w:webHidden/>
              </w:rPr>
              <w:instrText xml:space="preserve"> PAGEREF _Toc26217736 \h </w:instrText>
            </w:r>
            <w:r w:rsidR="000C53A0">
              <w:rPr>
                <w:noProof/>
                <w:webHidden/>
              </w:rPr>
            </w:r>
            <w:r w:rsidR="000C53A0">
              <w:rPr>
                <w:noProof/>
                <w:webHidden/>
              </w:rPr>
              <w:fldChar w:fldCharType="separate"/>
            </w:r>
            <w:r w:rsidR="009D3CD0">
              <w:rPr>
                <w:noProof/>
                <w:webHidden/>
              </w:rPr>
              <w:t>16</w:t>
            </w:r>
            <w:r w:rsidR="000C53A0">
              <w:rPr>
                <w:noProof/>
                <w:webHidden/>
              </w:rPr>
              <w:fldChar w:fldCharType="end"/>
            </w:r>
          </w:hyperlink>
        </w:p>
        <w:p w14:paraId="6BA963B8" w14:textId="77777777" w:rsidR="000C53A0" w:rsidRDefault="002A19CB">
          <w:pPr>
            <w:pStyle w:val="TOC2"/>
            <w:rPr>
              <w:rFonts w:asciiTheme="minorHAnsi" w:eastAsiaTheme="minorEastAsia" w:hAnsiTheme="minorHAnsi" w:cstheme="minorBidi"/>
              <w:b w:val="0"/>
              <w:sz w:val="22"/>
              <w:szCs w:val="22"/>
              <w:lang w:eastAsia="en-GB"/>
            </w:rPr>
          </w:pPr>
          <w:hyperlink w:anchor="_Toc26217737" w:history="1">
            <w:r w:rsidR="000C53A0" w:rsidRPr="0017487F">
              <w:rPr>
                <w:rStyle w:val="Hyperlink"/>
              </w:rPr>
              <w:t>Nature and value of the expected costs</w:t>
            </w:r>
            <w:r w:rsidR="000C53A0">
              <w:rPr>
                <w:webHidden/>
              </w:rPr>
              <w:tab/>
            </w:r>
            <w:r w:rsidR="000C53A0">
              <w:rPr>
                <w:webHidden/>
              </w:rPr>
              <w:fldChar w:fldCharType="begin"/>
            </w:r>
            <w:r w:rsidR="000C53A0">
              <w:rPr>
                <w:webHidden/>
              </w:rPr>
              <w:instrText xml:space="preserve"> PAGEREF _Toc26217737 \h </w:instrText>
            </w:r>
            <w:r w:rsidR="000C53A0">
              <w:rPr>
                <w:webHidden/>
              </w:rPr>
            </w:r>
            <w:r w:rsidR="000C53A0">
              <w:rPr>
                <w:webHidden/>
              </w:rPr>
              <w:fldChar w:fldCharType="separate"/>
            </w:r>
            <w:r w:rsidR="009D3CD0">
              <w:rPr>
                <w:webHidden/>
              </w:rPr>
              <w:t>16</w:t>
            </w:r>
            <w:r w:rsidR="000C53A0">
              <w:rPr>
                <w:webHidden/>
              </w:rPr>
              <w:fldChar w:fldCharType="end"/>
            </w:r>
          </w:hyperlink>
        </w:p>
        <w:p w14:paraId="5C63798F" w14:textId="77777777" w:rsidR="000C53A0" w:rsidRDefault="002A19CB">
          <w:pPr>
            <w:pStyle w:val="TOC2"/>
            <w:rPr>
              <w:rFonts w:asciiTheme="minorHAnsi" w:eastAsiaTheme="minorEastAsia" w:hAnsiTheme="minorHAnsi" w:cstheme="minorBidi"/>
              <w:b w:val="0"/>
              <w:sz w:val="22"/>
              <w:szCs w:val="22"/>
              <w:lang w:eastAsia="en-GB"/>
            </w:rPr>
          </w:pPr>
          <w:hyperlink w:anchor="_Toc26217738" w:history="1">
            <w:r w:rsidR="000C53A0" w:rsidRPr="0017487F">
              <w:rPr>
                <w:rStyle w:val="Hyperlink"/>
              </w:rPr>
              <w:t>Financial management: monitoring, reporting, accounting</w:t>
            </w:r>
            <w:r w:rsidR="000C53A0">
              <w:rPr>
                <w:webHidden/>
              </w:rPr>
              <w:tab/>
            </w:r>
            <w:r w:rsidR="000C53A0">
              <w:rPr>
                <w:webHidden/>
              </w:rPr>
              <w:fldChar w:fldCharType="begin"/>
            </w:r>
            <w:r w:rsidR="000C53A0">
              <w:rPr>
                <w:webHidden/>
              </w:rPr>
              <w:instrText xml:space="preserve"> PAGEREF _Toc26217738 \h </w:instrText>
            </w:r>
            <w:r w:rsidR="000C53A0">
              <w:rPr>
                <w:webHidden/>
              </w:rPr>
            </w:r>
            <w:r w:rsidR="000C53A0">
              <w:rPr>
                <w:webHidden/>
              </w:rPr>
              <w:fldChar w:fldCharType="separate"/>
            </w:r>
            <w:r w:rsidR="009D3CD0">
              <w:rPr>
                <w:webHidden/>
              </w:rPr>
              <w:t>16</w:t>
            </w:r>
            <w:r w:rsidR="000C53A0">
              <w:rPr>
                <w:webHidden/>
              </w:rPr>
              <w:fldChar w:fldCharType="end"/>
            </w:r>
          </w:hyperlink>
        </w:p>
        <w:p w14:paraId="6F3B5C8E" w14:textId="77777777" w:rsidR="000C53A0" w:rsidRDefault="002A19CB">
          <w:pPr>
            <w:pStyle w:val="TOC2"/>
            <w:rPr>
              <w:rFonts w:asciiTheme="minorHAnsi" w:eastAsiaTheme="minorEastAsia" w:hAnsiTheme="minorHAnsi" w:cstheme="minorBidi"/>
              <w:b w:val="0"/>
              <w:sz w:val="22"/>
              <w:szCs w:val="22"/>
              <w:lang w:eastAsia="en-GB"/>
            </w:rPr>
          </w:pPr>
          <w:hyperlink w:anchor="_Toc26217739" w:history="1">
            <w:r w:rsidR="000C53A0" w:rsidRPr="0017487F">
              <w:rPr>
                <w:rStyle w:val="Hyperlink"/>
              </w:rPr>
              <w:t>Financial and fraud risk assessment</w:t>
            </w:r>
            <w:r w:rsidR="000C53A0">
              <w:rPr>
                <w:webHidden/>
              </w:rPr>
              <w:tab/>
            </w:r>
            <w:r w:rsidR="000C53A0">
              <w:rPr>
                <w:webHidden/>
              </w:rPr>
              <w:fldChar w:fldCharType="begin"/>
            </w:r>
            <w:r w:rsidR="000C53A0">
              <w:rPr>
                <w:webHidden/>
              </w:rPr>
              <w:instrText xml:space="preserve"> PAGEREF _Toc26217739 \h </w:instrText>
            </w:r>
            <w:r w:rsidR="000C53A0">
              <w:rPr>
                <w:webHidden/>
              </w:rPr>
            </w:r>
            <w:r w:rsidR="000C53A0">
              <w:rPr>
                <w:webHidden/>
              </w:rPr>
              <w:fldChar w:fldCharType="separate"/>
            </w:r>
            <w:r w:rsidR="009D3CD0">
              <w:rPr>
                <w:b w:val="0"/>
                <w:bCs/>
                <w:webHidden/>
                <w:lang w:val="en-US"/>
              </w:rPr>
              <w:t>Error! Bookmark not defined.</w:t>
            </w:r>
            <w:r w:rsidR="000C53A0">
              <w:rPr>
                <w:webHidden/>
              </w:rPr>
              <w:fldChar w:fldCharType="end"/>
            </w:r>
          </w:hyperlink>
        </w:p>
        <w:p w14:paraId="535AAC38" w14:textId="77777777" w:rsidR="000C53A0" w:rsidRDefault="002A19CB">
          <w:pPr>
            <w:pStyle w:val="TOC1"/>
            <w:rPr>
              <w:rFonts w:asciiTheme="minorHAnsi" w:eastAsiaTheme="minorEastAsia" w:hAnsiTheme="minorHAnsi" w:cstheme="minorBidi"/>
              <w:noProof/>
              <w:sz w:val="22"/>
              <w:szCs w:val="22"/>
              <w:lang w:eastAsia="en-GB"/>
            </w:rPr>
          </w:pPr>
          <w:hyperlink w:anchor="_Toc26217740" w:history="1">
            <w:r w:rsidR="000C53A0" w:rsidRPr="0017487F">
              <w:rPr>
                <w:rStyle w:val="Hyperlink"/>
                <w:noProof/>
              </w:rPr>
              <w:t>Management Case</w:t>
            </w:r>
            <w:r w:rsidR="000C53A0">
              <w:rPr>
                <w:noProof/>
                <w:webHidden/>
              </w:rPr>
              <w:tab/>
            </w:r>
            <w:r w:rsidR="000C53A0">
              <w:rPr>
                <w:noProof/>
                <w:webHidden/>
              </w:rPr>
              <w:fldChar w:fldCharType="begin"/>
            </w:r>
            <w:r w:rsidR="000C53A0">
              <w:rPr>
                <w:noProof/>
                <w:webHidden/>
              </w:rPr>
              <w:instrText xml:space="preserve"> PAGEREF _Toc26217740 \h </w:instrText>
            </w:r>
            <w:r w:rsidR="000C53A0">
              <w:rPr>
                <w:noProof/>
                <w:webHidden/>
              </w:rPr>
            </w:r>
            <w:r w:rsidR="000C53A0">
              <w:rPr>
                <w:noProof/>
                <w:webHidden/>
              </w:rPr>
              <w:fldChar w:fldCharType="separate"/>
            </w:r>
            <w:r w:rsidR="009D3CD0">
              <w:rPr>
                <w:noProof/>
                <w:webHidden/>
              </w:rPr>
              <w:t>18</w:t>
            </w:r>
            <w:r w:rsidR="000C53A0">
              <w:rPr>
                <w:noProof/>
                <w:webHidden/>
              </w:rPr>
              <w:fldChar w:fldCharType="end"/>
            </w:r>
          </w:hyperlink>
        </w:p>
        <w:p w14:paraId="588DCB44" w14:textId="77777777" w:rsidR="000C53A0" w:rsidRDefault="002A19CB">
          <w:pPr>
            <w:pStyle w:val="TOC2"/>
            <w:rPr>
              <w:rFonts w:asciiTheme="minorHAnsi" w:eastAsiaTheme="minorEastAsia" w:hAnsiTheme="minorHAnsi" w:cstheme="minorBidi"/>
              <w:b w:val="0"/>
              <w:sz w:val="22"/>
              <w:szCs w:val="22"/>
              <w:lang w:eastAsia="en-GB"/>
            </w:rPr>
          </w:pPr>
          <w:hyperlink w:anchor="_Toc26217741" w:history="1">
            <w:r w:rsidR="000C53A0" w:rsidRPr="0017487F">
              <w:rPr>
                <w:rStyle w:val="Hyperlink"/>
              </w:rPr>
              <w:t>What are the management and goverance arrangements for implementing the intervention?</w:t>
            </w:r>
            <w:r w:rsidR="000C53A0">
              <w:rPr>
                <w:webHidden/>
              </w:rPr>
              <w:tab/>
            </w:r>
            <w:r w:rsidR="000C53A0">
              <w:rPr>
                <w:webHidden/>
              </w:rPr>
              <w:fldChar w:fldCharType="begin"/>
            </w:r>
            <w:r w:rsidR="000C53A0">
              <w:rPr>
                <w:webHidden/>
              </w:rPr>
              <w:instrText xml:space="preserve"> PAGEREF _Toc26217741 \h </w:instrText>
            </w:r>
            <w:r w:rsidR="000C53A0">
              <w:rPr>
                <w:webHidden/>
              </w:rPr>
            </w:r>
            <w:r w:rsidR="000C53A0">
              <w:rPr>
                <w:webHidden/>
              </w:rPr>
              <w:fldChar w:fldCharType="separate"/>
            </w:r>
            <w:r w:rsidR="009D3CD0">
              <w:rPr>
                <w:webHidden/>
              </w:rPr>
              <w:t>18</w:t>
            </w:r>
            <w:r w:rsidR="000C53A0">
              <w:rPr>
                <w:webHidden/>
              </w:rPr>
              <w:fldChar w:fldCharType="end"/>
            </w:r>
          </w:hyperlink>
        </w:p>
        <w:p w14:paraId="52BBD142" w14:textId="77777777" w:rsidR="000C53A0" w:rsidRDefault="002A19CB">
          <w:pPr>
            <w:pStyle w:val="TOC2"/>
            <w:rPr>
              <w:rFonts w:asciiTheme="minorHAnsi" w:eastAsiaTheme="minorEastAsia" w:hAnsiTheme="minorHAnsi" w:cstheme="minorBidi"/>
              <w:b w:val="0"/>
              <w:sz w:val="22"/>
              <w:szCs w:val="22"/>
              <w:lang w:eastAsia="en-GB"/>
            </w:rPr>
          </w:pPr>
          <w:hyperlink w:anchor="_Toc26217742" w:history="1">
            <w:r w:rsidR="000C53A0" w:rsidRPr="0017487F">
              <w:rPr>
                <w:rStyle w:val="Hyperlink"/>
              </w:rPr>
              <w:t>HM Government staffing – Resource Requiremnts</w:t>
            </w:r>
            <w:r w:rsidR="000C53A0">
              <w:rPr>
                <w:webHidden/>
              </w:rPr>
              <w:tab/>
            </w:r>
            <w:r w:rsidR="000C53A0">
              <w:rPr>
                <w:webHidden/>
              </w:rPr>
              <w:fldChar w:fldCharType="begin"/>
            </w:r>
            <w:r w:rsidR="000C53A0">
              <w:rPr>
                <w:webHidden/>
              </w:rPr>
              <w:instrText xml:space="preserve"> PAGEREF _Toc26217742 \h </w:instrText>
            </w:r>
            <w:r w:rsidR="000C53A0">
              <w:rPr>
                <w:webHidden/>
              </w:rPr>
            </w:r>
            <w:r w:rsidR="000C53A0">
              <w:rPr>
                <w:webHidden/>
              </w:rPr>
              <w:fldChar w:fldCharType="separate"/>
            </w:r>
            <w:r w:rsidR="009D3CD0">
              <w:rPr>
                <w:webHidden/>
              </w:rPr>
              <w:t>18</w:t>
            </w:r>
            <w:r w:rsidR="000C53A0">
              <w:rPr>
                <w:webHidden/>
              </w:rPr>
              <w:fldChar w:fldCharType="end"/>
            </w:r>
          </w:hyperlink>
        </w:p>
        <w:p w14:paraId="0A57BDDA" w14:textId="77777777" w:rsidR="000C53A0" w:rsidRDefault="002A19CB">
          <w:pPr>
            <w:pStyle w:val="TOC2"/>
            <w:rPr>
              <w:rFonts w:asciiTheme="minorHAnsi" w:eastAsiaTheme="minorEastAsia" w:hAnsiTheme="minorHAnsi" w:cstheme="minorBidi"/>
              <w:b w:val="0"/>
              <w:sz w:val="22"/>
              <w:szCs w:val="22"/>
              <w:lang w:eastAsia="en-GB"/>
            </w:rPr>
          </w:pPr>
          <w:hyperlink w:anchor="_Toc26217743" w:history="1">
            <w:r w:rsidR="000C53A0" w:rsidRPr="0017487F">
              <w:rPr>
                <w:rStyle w:val="Hyperlink"/>
              </w:rPr>
              <w:t>How will progress and results be monitored, measured and evaluated?</w:t>
            </w:r>
            <w:r w:rsidR="000C53A0">
              <w:rPr>
                <w:webHidden/>
              </w:rPr>
              <w:tab/>
            </w:r>
            <w:r w:rsidR="000C53A0">
              <w:rPr>
                <w:webHidden/>
              </w:rPr>
              <w:fldChar w:fldCharType="begin"/>
            </w:r>
            <w:r w:rsidR="000C53A0">
              <w:rPr>
                <w:webHidden/>
              </w:rPr>
              <w:instrText xml:space="preserve"> PAGEREF _Toc26217743 \h </w:instrText>
            </w:r>
            <w:r w:rsidR="000C53A0">
              <w:rPr>
                <w:webHidden/>
              </w:rPr>
            </w:r>
            <w:r w:rsidR="000C53A0">
              <w:rPr>
                <w:webHidden/>
              </w:rPr>
              <w:fldChar w:fldCharType="separate"/>
            </w:r>
            <w:r w:rsidR="009D3CD0">
              <w:rPr>
                <w:webHidden/>
              </w:rPr>
              <w:t>18</w:t>
            </w:r>
            <w:r w:rsidR="000C53A0">
              <w:rPr>
                <w:webHidden/>
              </w:rPr>
              <w:fldChar w:fldCharType="end"/>
            </w:r>
          </w:hyperlink>
        </w:p>
        <w:p w14:paraId="631B04BF" w14:textId="77777777" w:rsidR="000C53A0" w:rsidRDefault="002A19CB">
          <w:pPr>
            <w:pStyle w:val="TOC2"/>
            <w:rPr>
              <w:rFonts w:asciiTheme="minorHAnsi" w:eastAsiaTheme="minorEastAsia" w:hAnsiTheme="minorHAnsi" w:cstheme="minorBidi"/>
              <w:b w:val="0"/>
              <w:sz w:val="22"/>
              <w:szCs w:val="22"/>
              <w:lang w:eastAsia="en-GB"/>
            </w:rPr>
          </w:pPr>
          <w:hyperlink w:anchor="_Toc26217744" w:history="1">
            <w:r w:rsidR="000C53A0" w:rsidRPr="0017487F">
              <w:rPr>
                <w:rStyle w:val="Hyperlink"/>
              </w:rPr>
              <w:t>What are the risks and how will they be managed?</w:t>
            </w:r>
            <w:r w:rsidR="000C53A0">
              <w:rPr>
                <w:webHidden/>
              </w:rPr>
              <w:tab/>
            </w:r>
            <w:r w:rsidR="000C53A0">
              <w:rPr>
                <w:webHidden/>
              </w:rPr>
              <w:fldChar w:fldCharType="begin"/>
            </w:r>
            <w:r w:rsidR="000C53A0">
              <w:rPr>
                <w:webHidden/>
              </w:rPr>
              <w:instrText xml:space="preserve"> PAGEREF _Toc26217744 \h </w:instrText>
            </w:r>
            <w:r w:rsidR="000C53A0">
              <w:rPr>
                <w:webHidden/>
              </w:rPr>
            </w:r>
            <w:r w:rsidR="000C53A0">
              <w:rPr>
                <w:webHidden/>
              </w:rPr>
              <w:fldChar w:fldCharType="separate"/>
            </w:r>
            <w:r w:rsidR="009D3CD0">
              <w:rPr>
                <w:webHidden/>
              </w:rPr>
              <w:t>19</w:t>
            </w:r>
            <w:r w:rsidR="000C53A0">
              <w:rPr>
                <w:webHidden/>
              </w:rPr>
              <w:fldChar w:fldCharType="end"/>
            </w:r>
          </w:hyperlink>
        </w:p>
        <w:p w14:paraId="2D50E930" w14:textId="77777777" w:rsidR="001112A6" w:rsidRPr="00C84077" w:rsidRDefault="00090C14" w:rsidP="00F86AED">
          <w:pPr>
            <w:jc w:val="both"/>
            <w:rPr>
              <w:b/>
              <w:noProof/>
              <w:sz w:val="22"/>
              <w:szCs w:val="22"/>
            </w:rPr>
            <w:sectPr w:rsidR="001112A6" w:rsidRPr="00C84077" w:rsidSect="000650A0">
              <w:headerReference w:type="default" r:id="rId7"/>
              <w:footerReference w:type="default" r:id="rId8"/>
              <w:headerReference w:type="first" r:id="rId9"/>
              <w:footerReference w:type="first" r:id="rId10"/>
              <w:pgSz w:w="11906" w:h="16838"/>
              <w:pgMar w:top="37" w:right="1077" w:bottom="1247" w:left="1077" w:header="567" w:footer="284" w:gutter="0"/>
              <w:cols w:space="708"/>
              <w:titlePg/>
              <w:docGrid w:linePitch="360"/>
            </w:sectPr>
          </w:pPr>
          <w:r w:rsidRPr="00C84077">
            <w:rPr>
              <w:b/>
              <w:bCs/>
              <w:noProof/>
              <w:sz w:val="20"/>
              <w:szCs w:val="2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968"/>
      </w:tblGrid>
      <w:tr w:rsidR="00743E91" w:rsidRPr="00616B76" w14:paraId="6473B3F3" w14:textId="77777777" w:rsidTr="002C0BCA">
        <w:tc>
          <w:tcPr>
            <w:tcW w:w="9968" w:type="dxa"/>
            <w:shd w:val="clear" w:color="auto" w:fill="FFFFFF" w:themeFill="background1"/>
          </w:tcPr>
          <w:p w14:paraId="11F44E7C" w14:textId="79C3F798" w:rsidR="00743E91" w:rsidRPr="00C84077" w:rsidRDefault="00C36647" w:rsidP="002C0BCA">
            <w:pPr>
              <w:pStyle w:val="Heading1"/>
            </w:pPr>
            <w:bookmarkStart w:id="0" w:name="_Toc26217715"/>
            <w:r w:rsidRPr="00C84077">
              <w:t xml:space="preserve">Intervention </w:t>
            </w:r>
            <w:r w:rsidRPr="002C0BCA">
              <w:t>Summary</w:t>
            </w:r>
            <w:bookmarkEnd w:id="0"/>
            <w:r w:rsidRPr="00C84077">
              <w:t xml:space="preserve"> </w:t>
            </w:r>
          </w:p>
        </w:tc>
      </w:tr>
    </w:tbl>
    <w:p w14:paraId="45CB675D" w14:textId="77777777" w:rsidR="00743E91" w:rsidRPr="00C8553F" w:rsidRDefault="00743E91" w:rsidP="00743E91">
      <w:pPr>
        <w:jc w:val="both"/>
        <w:rPr>
          <w:color w:val="76923C" w:themeColor="accent3" w:themeShade="BF"/>
          <w:sz w:val="6"/>
          <w:szCs w:val="6"/>
        </w:rPr>
      </w:pPr>
    </w:p>
    <w:p w14:paraId="4B125692" w14:textId="77777777" w:rsidR="00350404" w:rsidRPr="00A27113" w:rsidRDefault="00350404" w:rsidP="00350404">
      <w:pPr>
        <w:spacing w:line="240" w:lineRule="auto"/>
        <w:outlineLvl w:val="1"/>
        <w:rPr>
          <w:rFonts w:eastAsia="MS Gothic"/>
          <w:b/>
          <w:color w:val="76923C"/>
          <w:lang w:val="en-US"/>
        </w:rPr>
      </w:pPr>
      <w:bookmarkStart w:id="1" w:name="_Toc26217717"/>
      <w:bookmarkStart w:id="2" w:name="_Toc26217716"/>
      <w:bookmarkStart w:id="3" w:name="_Toc429057527"/>
      <w:r w:rsidRPr="00537E38">
        <w:rPr>
          <w:rFonts w:eastAsia="MS Gothic"/>
          <w:b/>
          <w:color w:val="76923C"/>
          <w:lang w:val="en-US"/>
        </w:rPr>
        <w:t>What support will the UK provide?</w:t>
      </w:r>
      <w:bookmarkEnd w:id="1"/>
    </w:p>
    <w:p w14:paraId="198FF07D" w14:textId="77777777" w:rsidR="00350404" w:rsidRDefault="00350404" w:rsidP="00350404">
      <w:pPr>
        <w:rPr>
          <w:rFonts w:ascii="Calibri" w:hAnsi="Calibri"/>
        </w:rPr>
      </w:pPr>
      <w:r w:rsidRPr="00A27113">
        <w:rPr>
          <w:rFonts w:ascii="Calibri" w:hAnsi="Calibri"/>
        </w:rPr>
        <w:t>Defra will invest £560,000 of Official Develop Assistance (ODA) into the Cities4Forests programme, managed by the World Resource</w:t>
      </w:r>
      <w:r>
        <w:rPr>
          <w:rFonts w:ascii="Calibri" w:hAnsi="Calibri"/>
        </w:rPr>
        <w:t>s</w:t>
      </w:r>
      <w:r w:rsidRPr="00A27113">
        <w:rPr>
          <w:rFonts w:ascii="Calibri" w:hAnsi="Calibri"/>
        </w:rPr>
        <w:t xml:space="preserve"> Institute (WRI). This investment will </w:t>
      </w:r>
      <w:r>
        <w:rPr>
          <w:rFonts w:ascii="Calibri" w:hAnsi="Calibri"/>
        </w:rPr>
        <w:t>specifically finance</w:t>
      </w:r>
      <w:r w:rsidRPr="00A27113">
        <w:rPr>
          <w:rFonts w:ascii="Calibri" w:hAnsi="Calibri"/>
        </w:rPr>
        <w:t xml:space="preserve"> a range of technical assistant proposals that will support developing country city members to value and plan for </w:t>
      </w:r>
      <w:r>
        <w:rPr>
          <w:rFonts w:ascii="Calibri" w:hAnsi="Calibri"/>
        </w:rPr>
        <w:t>forest restoration and protection investments. Defra’s investment will specifically:</w:t>
      </w:r>
    </w:p>
    <w:p w14:paraId="4209AFE5" w14:textId="49CABCB9" w:rsidR="00350404" w:rsidRPr="00663BE5" w:rsidRDefault="00350404" w:rsidP="00350404">
      <w:pPr>
        <w:pStyle w:val="ListParagraph"/>
        <w:numPr>
          <w:ilvl w:val="0"/>
          <w:numId w:val="19"/>
        </w:numPr>
        <w:tabs>
          <w:tab w:val="left" w:pos="7248"/>
        </w:tabs>
        <w:spacing w:after="120" w:line="252" w:lineRule="auto"/>
        <w:contextualSpacing w:val="0"/>
        <w:jc w:val="both"/>
        <w:rPr>
          <w:rFonts w:ascii="Calibri" w:hAnsi="Calibri"/>
        </w:rPr>
      </w:pPr>
      <w:r w:rsidRPr="00663BE5">
        <w:rPr>
          <w:rFonts w:ascii="Calibri" w:hAnsi="Calibri"/>
        </w:rPr>
        <w:t>Deliver tree mapping, baselines and forest</w:t>
      </w:r>
      <w:r>
        <w:rPr>
          <w:rFonts w:ascii="Calibri" w:hAnsi="Calibri"/>
        </w:rPr>
        <w:t xml:space="preserve"> and Nature Based Solut</w:t>
      </w:r>
      <w:r w:rsidR="00804E18">
        <w:rPr>
          <w:rFonts w:ascii="Calibri" w:hAnsi="Calibri"/>
        </w:rPr>
        <w:t>ions</w:t>
      </w:r>
      <w:r>
        <w:rPr>
          <w:rFonts w:ascii="Calibri" w:hAnsi="Calibri"/>
        </w:rPr>
        <w:t xml:space="preserve"> (NBS)</w:t>
      </w:r>
      <w:r w:rsidRPr="00663BE5">
        <w:rPr>
          <w:rFonts w:ascii="Calibri" w:hAnsi="Calibri"/>
        </w:rPr>
        <w:t xml:space="preserve"> investment plans for </w:t>
      </w:r>
      <w:r w:rsidRPr="00AE0472">
        <w:rPr>
          <w:rFonts w:ascii="Calibri" w:hAnsi="Calibri"/>
        </w:rPr>
        <w:t>five countries</w:t>
      </w:r>
      <w:r w:rsidRPr="00663BE5">
        <w:rPr>
          <w:rFonts w:ascii="Calibri" w:hAnsi="Calibri"/>
        </w:rPr>
        <w:t xml:space="preserve"> – </w:t>
      </w:r>
      <w:r>
        <w:rPr>
          <w:rFonts w:ascii="Calibri" w:hAnsi="Calibri"/>
        </w:rPr>
        <w:t xml:space="preserve">Madagascar, Brazil, India, </w:t>
      </w:r>
      <w:proofErr w:type="gramStart"/>
      <w:r>
        <w:rPr>
          <w:rFonts w:ascii="Calibri" w:hAnsi="Calibri"/>
        </w:rPr>
        <w:t>Indonesia</w:t>
      </w:r>
      <w:proofErr w:type="gramEnd"/>
      <w:r>
        <w:rPr>
          <w:rFonts w:ascii="Calibri" w:hAnsi="Calibri"/>
        </w:rPr>
        <w:t xml:space="preserve"> and Mexico. </w:t>
      </w:r>
    </w:p>
    <w:p w14:paraId="08ADBEC9" w14:textId="77777777" w:rsidR="00350404" w:rsidRPr="00663BE5" w:rsidRDefault="00350404" w:rsidP="00350404">
      <w:pPr>
        <w:pStyle w:val="ListParagraph"/>
        <w:numPr>
          <w:ilvl w:val="0"/>
          <w:numId w:val="19"/>
        </w:numPr>
        <w:tabs>
          <w:tab w:val="left" w:pos="7248"/>
        </w:tabs>
        <w:spacing w:after="120" w:line="252" w:lineRule="auto"/>
        <w:contextualSpacing w:val="0"/>
        <w:jc w:val="both"/>
        <w:rPr>
          <w:rFonts w:ascii="Calibri" w:hAnsi="Calibri"/>
        </w:rPr>
      </w:pPr>
      <w:r w:rsidRPr="00663BE5">
        <w:rPr>
          <w:rFonts w:ascii="Calibri" w:hAnsi="Calibri"/>
        </w:rPr>
        <w:t>Build the evidence base and supporting communications for a global mayor-led call to action on NBS for the Super Year of Nature – 2020; and</w:t>
      </w:r>
    </w:p>
    <w:p w14:paraId="0C7CC94A" w14:textId="77777777" w:rsidR="00350404" w:rsidRPr="00663BE5" w:rsidRDefault="00350404" w:rsidP="00350404">
      <w:pPr>
        <w:pStyle w:val="ListParagraph"/>
        <w:numPr>
          <w:ilvl w:val="0"/>
          <w:numId w:val="19"/>
        </w:numPr>
        <w:tabs>
          <w:tab w:val="left" w:pos="7248"/>
        </w:tabs>
        <w:spacing w:after="120" w:line="252" w:lineRule="auto"/>
        <w:contextualSpacing w:val="0"/>
        <w:jc w:val="both"/>
        <w:rPr>
          <w:rFonts w:ascii="Calibri" w:hAnsi="Calibri"/>
        </w:rPr>
      </w:pPr>
      <w:r w:rsidRPr="00663BE5">
        <w:rPr>
          <w:rFonts w:ascii="Calibri" w:hAnsi="Calibri"/>
        </w:rPr>
        <w:t xml:space="preserve">Develop and deploy evidence-based knowledge products to value forests and create feasible investment strategies for </w:t>
      </w:r>
      <w:r>
        <w:rPr>
          <w:rFonts w:ascii="Calibri" w:hAnsi="Calibri"/>
        </w:rPr>
        <w:t>29 developing country</w:t>
      </w:r>
      <w:r w:rsidRPr="00663BE5">
        <w:rPr>
          <w:rFonts w:ascii="Calibri" w:hAnsi="Calibri"/>
        </w:rPr>
        <w:t xml:space="preserve"> member cities across Cities4Forests. </w:t>
      </w:r>
    </w:p>
    <w:p w14:paraId="2A42CC10" w14:textId="77777777" w:rsidR="00350404" w:rsidRPr="00A27113" w:rsidRDefault="00350404" w:rsidP="00350404">
      <w:pPr>
        <w:rPr>
          <w:rFonts w:ascii="Calibri" w:hAnsi="Calibri"/>
        </w:rPr>
      </w:pPr>
      <w:r>
        <w:rPr>
          <w:rFonts w:ascii="Calibri" w:hAnsi="Calibri"/>
        </w:rPr>
        <w:t>The Cities4Forests programme provides a network, between cities in developing nations, to share lessons learned and baselines on forest restoration and protection programmes. This allows best practice to be identified and adopted across cities’ interventions and facilitates accelerated innovation. Defra funds will also mean more cities in the network can benefit from tailored, specific deep dive investments.</w:t>
      </w:r>
    </w:p>
    <w:p w14:paraId="5F9B53C8" w14:textId="77777777" w:rsidR="00350404" w:rsidRDefault="00350404" w:rsidP="00350404">
      <w:pPr>
        <w:pStyle w:val="Heading2"/>
        <w:rPr>
          <w:color w:val="0070C0"/>
        </w:rPr>
      </w:pPr>
    </w:p>
    <w:p w14:paraId="64EA14EB" w14:textId="77777777" w:rsidR="00350404" w:rsidRPr="00A56E54" w:rsidRDefault="00350404" w:rsidP="00350404">
      <w:pPr>
        <w:spacing w:line="240" w:lineRule="auto"/>
        <w:outlineLvl w:val="1"/>
        <w:rPr>
          <w:rFonts w:eastAsia="MS Gothic"/>
          <w:b/>
          <w:color w:val="76923C"/>
          <w:lang w:val="en-US"/>
        </w:rPr>
      </w:pPr>
      <w:r w:rsidRPr="00A56E54">
        <w:rPr>
          <w:rFonts w:eastAsia="MS Gothic"/>
          <w:b/>
          <w:color w:val="76923C"/>
          <w:lang w:val="en-US"/>
        </w:rPr>
        <w:t>Context and Need for UK Government Intervention</w:t>
      </w:r>
      <w:bookmarkEnd w:id="2"/>
      <w:r w:rsidRPr="00A56E54">
        <w:rPr>
          <w:rFonts w:eastAsia="MS Gothic"/>
          <w:b/>
          <w:color w:val="76923C"/>
          <w:lang w:val="en-US"/>
        </w:rPr>
        <w:t xml:space="preserve"> </w:t>
      </w:r>
    </w:p>
    <w:p w14:paraId="03315F7B" w14:textId="630C4B17" w:rsidR="00350404" w:rsidRDefault="00350404" w:rsidP="00350404">
      <w:pPr>
        <w:spacing w:before="240"/>
        <w:rPr>
          <w:rFonts w:ascii="Calibri" w:hAnsi="Calibri"/>
        </w:rPr>
      </w:pPr>
      <w:r>
        <w:rPr>
          <w:rFonts w:ascii="Calibri" w:hAnsi="Calibri"/>
        </w:rPr>
        <w:t xml:space="preserve">Transforming the way our natural resources are managed and utilising </w:t>
      </w:r>
      <w:r w:rsidR="00AB61EE">
        <w:rPr>
          <w:rFonts w:ascii="Calibri" w:hAnsi="Calibri"/>
        </w:rPr>
        <w:t>‘Nature based Solutions’ (NBS), in particular forests,</w:t>
      </w:r>
      <w:r>
        <w:rPr>
          <w:rFonts w:ascii="Calibri" w:hAnsi="Calibri"/>
        </w:rPr>
        <w:t xml:space="preserve"> is one of the key mechanisms we can use </w:t>
      </w:r>
      <w:r w:rsidRPr="0012389D">
        <w:rPr>
          <w:rFonts w:ascii="Calibri" w:hAnsi="Calibri"/>
        </w:rPr>
        <w:t xml:space="preserve">to </w:t>
      </w:r>
      <w:r>
        <w:rPr>
          <w:rFonts w:ascii="Calibri" w:hAnsi="Calibri"/>
        </w:rPr>
        <w:t xml:space="preserve">mitigate against the most catastrophic impacts of climate change. </w:t>
      </w:r>
    </w:p>
    <w:p w14:paraId="18289893" w14:textId="77777777" w:rsidR="00350404" w:rsidRDefault="00350404" w:rsidP="00350404">
      <w:pPr>
        <w:rPr>
          <w:rFonts w:ascii="Calibri" w:hAnsi="Calibri"/>
        </w:rPr>
      </w:pPr>
      <w:r>
        <w:rPr>
          <w:rFonts w:ascii="Calibri" w:hAnsi="Calibri"/>
        </w:rPr>
        <w:t xml:space="preserve">It is estimated that NBS </w:t>
      </w:r>
      <w:r w:rsidRPr="00D4796B">
        <w:rPr>
          <w:rFonts w:ascii="Calibri" w:hAnsi="Calibri"/>
        </w:rPr>
        <w:t xml:space="preserve">can deliver 30 percent of the </w:t>
      </w:r>
      <w:r>
        <w:rPr>
          <w:rFonts w:ascii="Calibri" w:hAnsi="Calibri"/>
        </w:rPr>
        <w:t xml:space="preserve">climate solutions needed by 2030, two thirds of which is in forest protection and restoration. However, there has been limited global action in this area. The World Resources Institute (WRI) estimated that the tropics lost </w:t>
      </w:r>
      <w:r w:rsidRPr="006172B8">
        <w:rPr>
          <w:rFonts w:ascii="Calibri" w:hAnsi="Calibri"/>
        </w:rPr>
        <w:t>12 million hectares of tree</w:t>
      </w:r>
      <w:r>
        <w:rPr>
          <w:rFonts w:ascii="Calibri" w:hAnsi="Calibri"/>
        </w:rPr>
        <w:t xml:space="preserve"> cover</w:t>
      </w:r>
      <w:r w:rsidRPr="009457E6">
        <w:rPr>
          <w:rFonts w:ascii="Calibri" w:hAnsi="Calibri"/>
        </w:rPr>
        <w:t xml:space="preserve"> </w:t>
      </w:r>
      <w:r>
        <w:rPr>
          <w:rFonts w:ascii="Calibri" w:hAnsi="Calibri"/>
        </w:rPr>
        <w:t xml:space="preserve">in 2018, </w:t>
      </w:r>
      <w:r w:rsidRPr="006172B8">
        <w:rPr>
          <w:rFonts w:ascii="Calibri" w:hAnsi="Calibri"/>
        </w:rPr>
        <w:t xml:space="preserve">3.6 million hectares of </w:t>
      </w:r>
      <w:r>
        <w:rPr>
          <w:rFonts w:ascii="Calibri" w:hAnsi="Calibri"/>
        </w:rPr>
        <w:t xml:space="preserve">which was primary rainforest. Furthermore, </w:t>
      </w:r>
      <w:r w:rsidRPr="006172B8">
        <w:rPr>
          <w:rFonts w:ascii="Calibri" w:hAnsi="Calibri"/>
        </w:rPr>
        <w:t xml:space="preserve">A 2019 assessment of the New York Declaration of Forests (NYDF) goals states that “five years later there is little evidence that these goals are on </w:t>
      </w:r>
      <w:proofErr w:type="gramStart"/>
      <w:r w:rsidRPr="006172B8">
        <w:rPr>
          <w:rFonts w:ascii="Calibri" w:hAnsi="Calibri"/>
        </w:rPr>
        <w:t>track, and</w:t>
      </w:r>
      <w:proofErr w:type="gramEnd"/>
      <w:r w:rsidRPr="006172B8">
        <w:rPr>
          <w:rFonts w:ascii="Calibri" w:hAnsi="Calibri"/>
        </w:rPr>
        <w:t xml:space="preserve"> achieving the 2020 NYDF </w:t>
      </w:r>
      <w:r>
        <w:rPr>
          <w:rFonts w:ascii="Calibri" w:hAnsi="Calibri"/>
        </w:rPr>
        <w:t>targets is likely impossible”.</w:t>
      </w:r>
    </w:p>
    <w:p w14:paraId="6871FD4B" w14:textId="77777777" w:rsidR="00350404" w:rsidRDefault="00350404" w:rsidP="00350404">
      <w:pPr>
        <w:rPr>
          <w:rFonts w:ascii="Calibri" w:hAnsi="Calibri"/>
        </w:rPr>
      </w:pPr>
      <w:r>
        <w:rPr>
          <w:rFonts w:ascii="Calibri" w:hAnsi="Calibri"/>
        </w:rPr>
        <w:t>D</w:t>
      </w:r>
      <w:r w:rsidRPr="0012389D">
        <w:rPr>
          <w:rFonts w:ascii="Calibri" w:hAnsi="Calibri"/>
        </w:rPr>
        <w:t>efo</w:t>
      </w:r>
      <w:r>
        <w:rPr>
          <w:rFonts w:ascii="Calibri" w:hAnsi="Calibri"/>
        </w:rPr>
        <w:t xml:space="preserve">restation is largely driven by </w:t>
      </w:r>
      <w:r w:rsidRPr="0012389D">
        <w:rPr>
          <w:rFonts w:ascii="Calibri" w:hAnsi="Calibri"/>
        </w:rPr>
        <w:t>a global market failure that</w:t>
      </w:r>
      <w:r>
        <w:rPr>
          <w:rFonts w:ascii="Calibri" w:hAnsi="Calibri"/>
        </w:rPr>
        <w:t xml:space="preserve"> incentivises the conversion of forests into agricultural land. The costs associated with forest loss, particularly an acceleration of climate change, are not properly internalised in the production of commodities, often making deforestation more profitable than leaving forests intact.  </w:t>
      </w:r>
    </w:p>
    <w:p w14:paraId="780F186F" w14:textId="69A9A890" w:rsidR="00350404" w:rsidRDefault="00350404" w:rsidP="00350404">
      <w:pPr>
        <w:rPr>
          <w:rFonts w:ascii="Calibri" w:hAnsi="Calibri"/>
        </w:rPr>
      </w:pPr>
      <w:r w:rsidRPr="00A31AC8">
        <w:rPr>
          <w:rFonts w:ascii="Calibri" w:hAnsi="Calibri"/>
        </w:rPr>
        <w:t>Address</w:t>
      </w:r>
      <w:r>
        <w:rPr>
          <w:rFonts w:ascii="Calibri" w:hAnsi="Calibri"/>
        </w:rPr>
        <w:t>ing this issue requires action to change the way these commodities are consumed, particularly in c</w:t>
      </w:r>
      <w:r w:rsidRPr="00A31AC8">
        <w:rPr>
          <w:rFonts w:ascii="Calibri" w:hAnsi="Calibri"/>
        </w:rPr>
        <w:t>ities</w:t>
      </w:r>
      <w:r>
        <w:rPr>
          <w:rFonts w:ascii="Calibri" w:hAnsi="Calibri"/>
        </w:rPr>
        <w:t>, where a vast number of consumers reside. However, due to a market barrier known as information asymmetry, changing these patterns of consumption can be difficult. This is because residents are often not aware of the impact of their consumption and cannot identify goods that are driving deforestation. Information asymmetry also means that decision makers in cities do not realise that nearby forests are critical to the supply of cheap, fresh water and air. These same actors also often do not have access to the tools and resources needed</w:t>
      </w:r>
      <w:r w:rsidRPr="00D9154E">
        <w:rPr>
          <w:rFonts w:ascii="Calibri" w:hAnsi="Calibri"/>
        </w:rPr>
        <w:t xml:space="preserve"> to</w:t>
      </w:r>
      <w:r>
        <w:rPr>
          <w:rFonts w:ascii="Calibri" w:hAnsi="Calibri"/>
        </w:rPr>
        <w:t xml:space="preserve"> conduct the required analysis to</w:t>
      </w:r>
      <w:r w:rsidRPr="00D9154E">
        <w:rPr>
          <w:rFonts w:ascii="Calibri" w:hAnsi="Calibri"/>
        </w:rPr>
        <w:t xml:space="preserve"> </w:t>
      </w:r>
      <w:r>
        <w:rPr>
          <w:rFonts w:ascii="Calibri" w:hAnsi="Calibri"/>
        </w:rPr>
        <w:t>realise the benefits provided by forests to their cities</w:t>
      </w:r>
      <w:r w:rsidRPr="00D9154E">
        <w:rPr>
          <w:rFonts w:ascii="Calibri" w:hAnsi="Calibri"/>
        </w:rPr>
        <w:t>.</w:t>
      </w:r>
      <w:r>
        <w:rPr>
          <w:rFonts w:ascii="Calibri" w:hAnsi="Calibri"/>
        </w:rPr>
        <w:t xml:space="preserve"> </w:t>
      </w:r>
    </w:p>
    <w:p w14:paraId="762953A1" w14:textId="77777777" w:rsidR="00350404" w:rsidRDefault="00350404" w:rsidP="00350404">
      <w:pPr>
        <w:rPr>
          <w:rFonts w:ascii="Calibri" w:hAnsi="Calibri"/>
        </w:rPr>
      </w:pPr>
      <w:r>
        <w:rPr>
          <w:rFonts w:ascii="Calibri" w:hAnsi="Calibri"/>
        </w:rPr>
        <w:t xml:space="preserve">However, promoting and supporting city decision makers to </w:t>
      </w:r>
      <w:proofErr w:type="gramStart"/>
      <w:r>
        <w:rPr>
          <w:rFonts w:ascii="Calibri" w:hAnsi="Calibri"/>
        </w:rPr>
        <w:t>take action</w:t>
      </w:r>
      <w:proofErr w:type="gramEnd"/>
      <w:r>
        <w:rPr>
          <w:rFonts w:ascii="Calibri" w:hAnsi="Calibri"/>
        </w:rPr>
        <w:t xml:space="preserve"> on forests is essential. These actors have the political power, </w:t>
      </w:r>
      <w:proofErr w:type="gramStart"/>
      <w:r>
        <w:rPr>
          <w:rFonts w:ascii="Calibri" w:hAnsi="Calibri"/>
        </w:rPr>
        <w:t>responsibility</w:t>
      </w:r>
      <w:proofErr w:type="gramEnd"/>
      <w:r>
        <w:rPr>
          <w:rFonts w:ascii="Calibri" w:hAnsi="Calibri"/>
        </w:rPr>
        <w:t xml:space="preserve"> and financial resource to directly affect decisions that can reduce deforestation and facilitate forest restoration. Likewise, changing consumption patterns in cities could shift demand for deforestation-free supply chains. As such, decision makers need access to tools and resources that will help them to identify the benefits associated with forest protection, and to implement policies and programmes that can shift consumption habits and protect forests both regionally and globally.   </w:t>
      </w:r>
    </w:p>
    <w:p w14:paraId="2A7A4AB0" w14:textId="77777777" w:rsidR="00350404" w:rsidRDefault="00350404" w:rsidP="00350404">
      <w:pPr>
        <w:spacing w:after="0"/>
        <w:rPr>
          <w:rFonts w:ascii="Calibri" w:hAnsi="Calibri"/>
        </w:rPr>
      </w:pPr>
    </w:p>
    <w:p w14:paraId="30901DE0" w14:textId="369A4126" w:rsidR="00350404" w:rsidRDefault="00350404" w:rsidP="00350404">
      <w:pPr>
        <w:spacing w:after="60" w:line="240" w:lineRule="auto"/>
        <w:outlineLvl w:val="1"/>
        <w:rPr>
          <w:rFonts w:eastAsia="MS Gothic"/>
          <w:b/>
          <w:color w:val="76923C"/>
          <w:lang w:val="en-US"/>
        </w:rPr>
      </w:pPr>
      <w:bookmarkStart w:id="4" w:name="_Toc429057528"/>
      <w:bookmarkStart w:id="5" w:name="_Toc26217718"/>
      <w:r w:rsidRPr="00537E38">
        <w:rPr>
          <w:rFonts w:eastAsia="MS Gothic"/>
          <w:b/>
          <w:color w:val="76923C"/>
          <w:lang w:val="en-US"/>
        </w:rPr>
        <w:t>What are the main project activities</w:t>
      </w:r>
      <w:r w:rsidR="00287519">
        <w:rPr>
          <w:rFonts w:eastAsia="MS Gothic"/>
          <w:b/>
          <w:color w:val="76923C"/>
          <w:lang w:val="en-US"/>
        </w:rPr>
        <w:t xml:space="preserve"> and expected results</w:t>
      </w:r>
      <w:r w:rsidRPr="00537E38">
        <w:rPr>
          <w:rFonts w:eastAsia="MS Gothic"/>
          <w:b/>
          <w:color w:val="76923C"/>
          <w:lang w:val="en-US"/>
        </w:rPr>
        <w:t>?</w:t>
      </w:r>
      <w:bookmarkEnd w:id="4"/>
      <w:bookmarkEnd w:id="5"/>
    </w:p>
    <w:p w14:paraId="23D6EF59" w14:textId="024F002A" w:rsidR="00350404" w:rsidRDefault="00350404" w:rsidP="00350404">
      <w:pPr>
        <w:tabs>
          <w:tab w:val="left" w:pos="7248"/>
        </w:tabs>
        <w:spacing w:before="240" w:after="120" w:line="252" w:lineRule="auto"/>
        <w:jc w:val="both"/>
        <w:rPr>
          <w:rFonts w:ascii="Calibri" w:hAnsi="Calibri"/>
        </w:rPr>
      </w:pPr>
      <w:r w:rsidRPr="00FB2180">
        <w:rPr>
          <w:rFonts w:ascii="Calibri" w:hAnsi="Calibri"/>
        </w:rPr>
        <w:t xml:space="preserve">Defra’s investment </w:t>
      </w:r>
      <w:r>
        <w:rPr>
          <w:rFonts w:ascii="Calibri" w:hAnsi="Calibri"/>
        </w:rPr>
        <w:t xml:space="preserve">in Cities4Forests </w:t>
      </w:r>
      <w:r w:rsidRPr="00FB2180">
        <w:rPr>
          <w:rFonts w:ascii="Calibri" w:hAnsi="Calibri"/>
        </w:rPr>
        <w:t xml:space="preserve">will finance specific activities </w:t>
      </w:r>
      <w:r>
        <w:rPr>
          <w:rFonts w:ascii="Calibri" w:hAnsi="Calibri"/>
        </w:rPr>
        <w:t>that will help decision makers and officials in cities</w:t>
      </w:r>
      <w:r w:rsidR="00F75902">
        <w:rPr>
          <w:rFonts w:ascii="Calibri" w:hAnsi="Calibri"/>
        </w:rPr>
        <w:t>,</w:t>
      </w:r>
      <w:r>
        <w:rPr>
          <w:rFonts w:ascii="Calibri" w:hAnsi="Calibri"/>
        </w:rPr>
        <w:t xml:space="preserve"> </w:t>
      </w:r>
      <w:r w:rsidR="00F75902">
        <w:rPr>
          <w:rFonts w:ascii="Calibri" w:hAnsi="Calibri"/>
        </w:rPr>
        <w:t xml:space="preserve">in </w:t>
      </w:r>
      <w:proofErr w:type="gramStart"/>
      <w:r w:rsidR="00F75902">
        <w:rPr>
          <w:rFonts w:ascii="Calibri" w:hAnsi="Calibri"/>
        </w:rPr>
        <w:t>a number of</w:t>
      </w:r>
      <w:proofErr w:type="gramEnd"/>
      <w:r w:rsidR="00F75902">
        <w:rPr>
          <w:rFonts w:ascii="Calibri" w:hAnsi="Calibri"/>
        </w:rPr>
        <w:t xml:space="preserve"> developing countries, </w:t>
      </w:r>
      <w:r>
        <w:rPr>
          <w:rFonts w:ascii="Calibri" w:hAnsi="Calibri"/>
        </w:rPr>
        <w:t xml:space="preserve">access tools, resources and technical assistance that can support them in developing policies and interventions to protect and restore forests. The programme will also seek </w:t>
      </w:r>
      <w:r w:rsidRPr="00F51728">
        <w:rPr>
          <w:rFonts w:ascii="Calibri" w:hAnsi="Calibri"/>
        </w:rPr>
        <w:t>to</w:t>
      </w:r>
      <w:r>
        <w:rPr>
          <w:rFonts w:ascii="Calibri" w:hAnsi="Calibri"/>
        </w:rPr>
        <w:t xml:space="preserve"> deliver a ‘</w:t>
      </w:r>
      <w:r w:rsidRPr="0008723E">
        <w:rPr>
          <w:rFonts w:ascii="Calibri" w:hAnsi="Calibri"/>
        </w:rPr>
        <w:t>global mayoral declaration</w:t>
      </w:r>
      <w:r>
        <w:rPr>
          <w:rFonts w:ascii="Calibri" w:hAnsi="Calibri"/>
        </w:rPr>
        <w:t xml:space="preserve">’ </w:t>
      </w:r>
      <w:r w:rsidRPr="007604AE">
        <w:rPr>
          <w:rFonts w:ascii="Calibri" w:hAnsi="Calibri"/>
        </w:rPr>
        <w:t>on the value of trees and forests</w:t>
      </w:r>
      <w:r>
        <w:rPr>
          <w:rFonts w:ascii="Calibri" w:hAnsi="Calibri"/>
        </w:rPr>
        <w:t xml:space="preserve"> and their role in combatting climate change. This declaration will be used to steer negotiations at upcoming global events on biodiversity and climate change (</w:t>
      </w:r>
      <w:r w:rsidRPr="007604AE">
        <w:rPr>
          <w:rFonts w:ascii="Calibri" w:hAnsi="Calibri"/>
        </w:rPr>
        <w:t>Convention on Biological Diversity in October 2020</w:t>
      </w:r>
      <w:r>
        <w:rPr>
          <w:rFonts w:ascii="Calibri" w:hAnsi="Calibri"/>
        </w:rPr>
        <w:t xml:space="preserve"> and </w:t>
      </w:r>
      <w:r w:rsidRPr="007604AE">
        <w:rPr>
          <w:rFonts w:ascii="Calibri" w:hAnsi="Calibri"/>
        </w:rPr>
        <w:t>the 2</w:t>
      </w:r>
      <w:r>
        <w:rPr>
          <w:rFonts w:ascii="Calibri" w:hAnsi="Calibri"/>
        </w:rPr>
        <w:t xml:space="preserve">6th UNFCCC COP </w:t>
      </w:r>
      <w:r w:rsidR="0087131F">
        <w:rPr>
          <w:rFonts w:ascii="Calibri" w:hAnsi="Calibri"/>
        </w:rPr>
        <w:t>i</w:t>
      </w:r>
      <w:r>
        <w:rPr>
          <w:rFonts w:ascii="Calibri" w:hAnsi="Calibri"/>
        </w:rPr>
        <w:t xml:space="preserve">n November 2020) and will make specific city commitments to protect trees and forests. A summary of the key activities is as follows: </w:t>
      </w:r>
    </w:p>
    <w:p w14:paraId="07A8DC10" w14:textId="77777777" w:rsidR="00350404" w:rsidRPr="001C0155" w:rsidRDefault="00350404" w:rsidP="00350404">
      <w:pPr>
        <w:pStyle w:val="ListParagraph"/>
        <w:numPr>
          <w:ilvl w:val="0"/>
          <w:numId w:val="20"/>
        </w:numPr>
        <w:tabs>
          <w:tab w:val="left" w:pos="7248"/>
        </w:tabs>
        <w:spacing w:after="0" w:line="252" w:lineRule="auto"/>
        <w:contextualSpacing w:val="0"/>
        <w:jc w:val="both"/>
        <w:rPr>
          <w:rFonts w:ascii="Calibri" w:hAnsi="Calibri"/>
        </w:rPr>
      </w:pPr>
      <w:r>
        <w:rPr>
          <w:rFonts w:ascii="Calibri" w:hAnsi="Calibri"/>
        </w:rPr>
        <w:t>Strengthening</w:t>
      </w:r>
      <w:r w:rsidRPr="001C0155">
        <w:rPr>
          <w:rFonts w:ascii="Calibri" w:hAnsi="Calibri"/>
        </w:rPr>
        <w:t xml:space="preserve"> institutional capacity and capability through technical assistance </w:t>
      </w:r>
      <w:r>
        <w:rPr>
          <w:rFonts w:ascii="Calibri" w:hAnsi="Calibri"/>
        </w:rPr>
        <w:t>to improve</w:t>
      </w:r>
      <w:r w:rsidRPr="001C0155">
        <w:rPr>
          <w:rFonts w:ascii="Calibri" w:hAnsi="Calibri"/>
        </w:rPr>
        <w:t xml:space="preserve"> </w:t>
      </w:r>
      <w:r>
        <w:rPr>
          <w:rFonts w:ascii="Calibri" w:hAnsi="Calibri"/>
        </w:rPr>
        <w:t xml:space="preserve">developing country’s </w:t>
      </w:r>
      <w:r w:rsidRPr="001C0155">
        <w:rPr>
          <w:rFonts w:ascii="Calibri" w:hAnsi="Calibri"/>
        </w:rPr>
        <w:t>city government support for and investment in trees, forests, and green infrastructure.</w:t>
      </w:r>
    </w:p>
    <w:p w14:paraId="740F0429" w14:textId="77777777" w:rsidR="00350404" w:rsidRPr="00F51728" w:rsidRDefault="00350404" w:rsidP="00350404">
      <w:pPr>
        <w:pStyle w:val="ListParagraph"/>
        <w:numPr>
          <w:ilvl w:val="0"/>
          <w:numId w:val="20"/>
        </w:numPr>
        <w:tabs>
          <w:tab w:val="left" w:pos="7248"/>
        </w:tabs>
        <w:spacing w:before="240" w:after="120" w:line="252" w:lineRule="auto"/>
        <w:jc w:val="both"/>
        <w:rPr>
          <w:rFonts w:ascii="Calibri" w:hAnsi="Calibri"/>
        </w:rPr>
      </w:pPr>
      <w:r>
        <w:rPr>
          <w:rFonts w:ascii="Calibri" w:hAnsi="Calibri"/>
        </w:rPr>
        <w:t xml:space="preserve">Supporting developing country’s </w:t>
      </w:r>
      <w:r w:rsidRPr="001C0155">
        <w:rPr>
          <w:rFonts w:ascii="Calibri" w:hAnsi="Calibri"/>
        </w:rPr>
        <w:t xml:space="preserve">city governments </w:t>
      </w:r>
      <w:r>
        <w:rPr>
          <w:rFonts w:ascii="Calibri" w:hAnsi="Calibri"/>
        </w:rPr>
        <w:t xml:space="preserve">to </w:t>
      </w:r>
      <w:r w:rsidRPr="001C0155">
        <w:rPr>
          <w:rFonts w:ascii="Calibri" w:hAnsi="Calibri"/>
        </w:rPr>
        <w:t>increase investment (political, economic, and social) and implement new and/or improved programs to support the management and conservation of inner and nearby forests.</w:t>
      </w:r>
    </w:p>
    <w:p w14:paraId="6D09E0F4" w14:textId="349FB771" w:rsidR="00350404" w:rsidRPr="00287519" w:rsidRDefault="00350404" w:rsidP="00350404">
      <w:pPr>
        <w:pStyle w:val="ListParagraph"/>
        <w:numPr>
          <w:ilvl w:val="0"/>
          <w:numId w:val="20"/>
        </w:numPr>
        <w:tabs>
          <w:tab w:val="left" w:pos="7248"/>
        </w:tabs>
        <w:spacing w:before="240" w:after="120" w:line="252" w:lineRule="auto"/>
        <w:jc w:val="both"/>
        <w:rPr>
          <w:rFonts w:ascii="Calibri" w:hAnsi="Calibri"/>
        </w:rPr>
      </w:pPr>
      <w:r>
        <w:rPr>
          <w:rFonts w:ascii="Calibri" w:hAnsi="Calibri"/>
        </w:rPr>
        <w:t>Supporting and encouraging developing country m</w:t>
      </w:r>
      <w:r w:rsidRPr="001C0155">
        <w:rPr>
          <w:rFonts w:ascii="Calibri" w:hAnsi="Calibri"/>
        </w:rPr>
        <w:t>ayors</w:t>
      </w:r>
      <w:r>
        <w:rPr>
          <w:rFonts w:ascii="Calibri" w:hAnsi="Calibri"/>
        </w:rPr>
        <w:t xml:space="preserve"> to </w:t>
      </w:r>
      <w:r w:rsidRPr="001C0155">
        <w:rPr>
          <w:rFonts w:ascii="Calibri" w:hAnsi="Calibri"/>
        </w:rPr>
        <w:t>increase political action and support for trees and forests as a solution for combatting climate change, supporting better water management, and improv</w:t>
      </w:r>
      <w:bookmarkStart w:id="6" w:name="_Toc429057530"/>
      <w:bookmarkStart w:id="7" w:name="_Toc26217719"/>
      <w:r>
        <w:rPr>
          <w:rFonts w:ascii="Calibri" w:hAnsi="Calibri"/>
        </w:rPr>
        <w:t>ing human health and well-being.</w:t>
      </w:r>
      <w:bookmarkEnd w:id="6"/>
      <w:bookmarkEnd w:id="7"/>
    </w:p>
    <w:p w14:paraId="3E6EF6C9" w14:textId="77777777" w:rsidR="00287519" w:rsidRDefault="00287519" w:rsidP="00350404">
      <w:pPr>
        <w:tabs>
          <w:tab w:val="left" w:pos="7248"/>
        </w:tabs>
        <w:spacing w:before="240" w:after="120" w:line="252" w:lineRule="auto"/>
        <w:jc w:val="both"/>
        <w:rPr>
          <w:rFonts w:eastAsia="MS Gothic"/>
          <w:b/>
          <w:color w:val="76923C"/>
          <w:lang w:val="en-US"/>
        </w:rPr>
      </w:pPr>
      <w:bookmarkStart w:id="8" w:name="_Toc429057531"/>
      <w:bookmarkStart w:id="9" w:name="_Toc26217720"/>
    </w:p>
    <w:p w14:paraId="5B7C2526" w14:textId="41FE5D3A" w:rsidR="00350404" w:rsidRPr="00A56E54" w:rsidRDefault="00350404" w:rsidP="00350404">
      <w:pPr>
        <w:tabs>
          <w:tab w:val="left" w:pos="7248"/>
        </w:tabs>
        <w:spacing w:before="240" w:after="120" w:line="252" w:lineRule="auto"/>
        <w:jc w:val="both"/>
        <w:rPr>
          <w:rFonts w:eastAsia="MS Gothic"/>
          <w:b/>
          <w:color w:val="76923C"/>
          <w:lang w:val="en-US"/>
        </w:rPr>
      </w:pPr>
      <w:r w:rsidRPr="00A56E54">
        <w:rPr>
          <w:rFonts w:eastAsia="MS Gothic"/>
          <w:b/>
          <w:color w:val="76923C"/>
          <w:lang w:val="en-US"/>
        </w:rPr>
        <w:t xml:space="preserve">How does the project meet </w:t>
      </w:r>
      <w:bookmarkEnd w:id="8"/>
      <w:bookmarkEnd w:id="9"/>
      <w:r w:rsidRPr="00A56E54">
        <w:rPr>
          <w:rFonts w:eastAsia="MS Gothic"/>
          <w:b/>
          <w:color w:val="76923C"/>
          <w:lang w:val="en-US"/>
        </w:rPr>
        <w:t>Defra objectives and priorities?</w:t>
      </w:r>
    </w:p>
    <w:p w14:paraId="44A9FB5F" w14:textId="77777777" w:rsidR="00350404" w:rsidRDefault="00350404" w:rsidP="00350404">
      <w:pPr>
        <w:tabs>
          <w:tab w:val="left" w:pos="7248"/>
        </w:tabs>
        <w:spacing w:before="240" w:after="120" w:line="252" w:lineRule="auto"/>
        <w:jc w:val="both"/>
        <w:rPr>
          <w:rFonts w:ascii="Calibri" w:hAnsi="Calibri"/>
        </w:rPr>
      </w:pPr>
      <w:r>
        <w:rPr>
          <w:rFonts w:ascii="Calibri" w:hAnsi="Calibri"/>
        </w:rPr>
        <w:t xml:space="preserve">The proposed investment in the Cities4Forests programme will: </w:t>
      </w:r>
    </w:p>
    <w:p w14:paraId="481D39D0" w14:textId="77777777" w:rsidR="00350404" w:rsidRPr="00AC06BB" w:rsidRDefault="00350404" w:rsidP="00350404">
      <w:pPr>
        <w:pStyle w:val="ListParagraph"/>
        <w:numPr>
          <w:ilvl w:val="0"/>
          <w:numId w:val="21"/>
        </w:numPr>
        <w:tabs>
          <w:tab w:val="left" w:pos="7248"/>
        </w:tabs>
        <w:spacing w:before="240" w:after="0" w:line="252" w:lineRule="auto"/>
        <w:jc w:val="both"/>
        <w:rPr>
          <w:rFonts w:eastAsia="MS Gothic"/>
          <w:b/>
          <w:lang w:val="en-US"/>
        </w:rPr>
      </w:pPr>
      <w:r w:rsidRPr="00AC06BB">
        <w:rPr>
          <w:rFonts w:ascii="Calibri" w:hAnsi="Calibri"/>
        </w:rPr>
        <w:t xml:space="preserve">Allow Defra to meet its commitments, as set out in the 25 Year Environment Plan, to help developing nations protect and improve the environment and to support and protect international forests. </w:t>
      </w:r>
    </w:p>
    <w:p w14:paraId="243FB349" w14:textId="1742738E" w:rsidR="00350404" w:rsidRPr="00B44746" w:rsidRDefault="00350404" w:rsidP="00350404">
      <w:pPr>
        <w:pStyle w:val="ListParagraph"/>
        <w:numPr>
          <w:ilvl w:val="0"/>
          <w:numId w:val="21"/>
        </w:numPr>
        <w:tabs>
          <w:tab w:val="left" w:pos="7248"/>
        </w:tabs>
        <w:spacing w:before="240" w:after="0" w:line="252" w:lineRule="auto"/>
        <w:jc w:val="both"/>
        <w:rPr>
          <w:rFonts w:eastAsia="MS Gothic"/>
          <w:b/>
          <w:lang w:val="en-US"/>
        </w:rPr>
      </w:pPr>
      <w:r w:rsidRPr="002C3A4C">
        <w:rPr>
          <w:rFonts w:ascii="Calibri" w:hAnsi="Calibri"/>
        </w:rPr>
        <w:t xml:space="preserve">Allow </w:t>
      </w:r>
      <w:r>
        <w:rPr>
          <w:rFonts w:ascii="Calibri" w:hAnsi="Calibri"/>
        </w:rPr>
        <w:t>Defra to demonstrate the potential of nature-based solutions (NBS) in combatting climate change and</w:t>
      </w:r>
      <w:r w:rsidR="00F75902">
        <w:rPr>
          <w:rFonts w:ascii="Calibri" w:hAnsi="Calibri"/>
        </w:rPr>
        <w:t xml:space="preserve"> reversing biodiversity loss, while promoting</w:t>
      </w:r>
      <w:r>
        <w:rPr>
          <w:rFonts w:ascii="Calibri" w:hAnsi="Calibri"/>
        </w:rPr>
        <w:t xml:space="preserve"> their use. This forms </w:t>
      </w:r>
      <w:r w:rsidRPr="00AC06BB">
        <w:rPr>
          <w:rFonts w:ascii="Calibri" w:hAnsi="Calibri"/>
        </w:rPr>
        <w:t>a key objective of Defra’s international strategy, including its ambition for delivering International Climate Finance and for delivering the ob</w:t>
      </w:r>
      <w:r>
        <w:rPr>
          <w:rFonts w:ascii="Calibri" w:hAnsi="Calibri"/>
        </w:rPr>
        <w:t xml:space="preserve">jectives of the Paris Agreement. </w:t>
      </w:r>
    </w:p>
    <w:p w14:paraId="3ACDBF60" w14:textId="77777777" w:rsidR="00350404" w:rsidRPr="00B44746" w:rsidRDefault="00350404" w:rsidP="00350404">
      <w:pPr>
        <w:pStyle w:val="ListParagraph"/>
        <w:numPr>
          <w:ilvl w:val="0"/>
          <w:numId w:val="21"/>
        </w:numPr>
        <w:tabs>
          <w:tab w:val="left" w:pos="7248"/>
        </w:tabs>
        <w:spacing w:before="240" w:after="0" w:line="252" w:lineRule="auto"/>
        <w:jc w:val="both"/>
        <w:rPr>
          <w:rFonts w:eastAsia="MS Gothic"/>
          <w:b/>
          <w:lang w:val="en-US"/>
        </w:rPr>
      </w:pPr>
      <w:r>
        <w:rPr>
          <w:rFonts w:ascii="Calibri" w:hAnsi="Calibri"/>
        </w:rPr>
        <w:t xml:space="preserve">Meet wider HMG / UK objectives ahead of </w:t>
      </w:r>
      <w:r w:rsidRPr="00AC06BB">
        <w:rPr>
          <w:rFonts w:ascii="Calibri" w:hAnsi="Calibri"/>
        </w:rPr>
        <w:t>the UNFCCC COP 26, hosted in Glasgow in 2020</w:t>
      </w:r>
      <w:r>
        <w:rPr>
          <w:rFonts w:ascii="Calibri" w:hAnsi="Calibri"/>
        </w:rPr>
        <w:t>, where</w:t>
      </w:r>
      <w:r w:rsidRPr="00B44746">
        <w:rPr>
          <w:rFonts w:ascii="Calibri" w:hAnsi="Calibri"/>
        </w:rPr>
        <w:t xml:space="preserve"> </w:t>
      </w:r>
      <w:r w:rsidRPr="00AC06BB">
        <w:rPr>
          <w:rFonts w:ascii="Calibri" w:hAnsi="Calibri"/>
        </w:rPr>
        <w:t>NBS will</w:t>
      </w:r>
      <w:r>
        <w:rPr>
          <w:rFonts w:ascii="Calibri" w:hAnsi="Calibri"/>
        </w:rPr>
        <w:t xml:space="preserve"> likely be a key theme.</w:t>
      </w:r>
      <w:bookmarkEnd w:id="3"/>
    </w:p>
    <w:p w14:paraId="0233A723" w14:textId="77777777" w:rsidR="00350404" w:rsidRPr="00627EF7" w:rsidRDefault="00350404" w:rsidP="00350404">
      <w:pPr>
        <w:pStyle w:val="ListParagraph"/>
        <w:numPr>
          <w:ilvl w:val="0"/>
          <w:numId w:val="21"/>
        </w:numPr>
        <w:tabs>
          <w:tab w:val="left" w:pos="7248"/>
        </w:tabs>
        <w:spacing w:before="240" w:after="0" w:line="252" w:lineRule="auto"/>
        <w:jc w:val="both"/>
        <w:rPr>
          <w:rFonts w:eastAsia="MS Gothic"/>
          <w:b/>
          <w:lang w:val="en-US"/>
        </w:rPr>
      </w:pPr>
      <w:r w:rsidRPr="00627EF7">
        <w:rPr>
          <w:rFonts w:ascii="Calibri" w:hAnsi="Calibri"/>
        </w:rPr>
        <w:t>Allow Defra to deliver against its international forest strategy aims to scale finance to forests</w:t>
      </w:r>
      <w:r>
        <w:rPr>
          <w:rFonts w:ascii="Calibri" w:hAnsi="Calibri"/>
        </w:rPr>
        <w:t xml:space="preserve"> and the wider Defra/ UK government</w:t>
      </w:r>
      <w:r w:rsidRPr="00627EF7">
        <w:rPr>
          <w:rFonts w:ascii="Calibri" w:hAnsi="Calibri"/>
        </w:rPr>
        <w:t xml:space="preserve"> objective to promote deforestation-free supply chains. </w:t>
      </w:r>
    </w:p>
    <w:p w14:paraId="129F945A" w14:textId="77777777" w:rsidR="00350404" w:rsidRPr="00627EF7" w:rsidRDefault="00350404" w:rsidP="00350404">
      <w:pPr>
        <w:pStyle w:val="ListParagraph"/>
        <w:tabs>
          <w:tab w:val="left" w:pos="7248"/>
        </w:tabs>
        <w:spacing w:before="240" w:after="0" w:line="252" w:lineRule="auto"/>
        <w:jc w:val="both"/>
        <w:rPr>
          <w:rFonts w:eastAsia="MS Gothic"/>
          <w:b/>
          <w:lang w:val="en-US"/>
        </w:rPr>
      </w:pPr>
    </w:p>
    <w:p w14:paraId="0F0B01BD" w14:textId="77777777" w:rsidR="00350404" w:rsidRPr="00627EF7" w:rsidRDefault="00350404" w:rsidP="00350404">
      <w:pPr>
        <w:tabs>
          <w:tab w:val="left" w:pos="7248"/>
        </w:tabs>
        <w:spacing w:before="240" w:after="120" w:line="252" w:lineRule="auto"/>
        <w:jc w:val="both"/>
        <w:rPr>
          <w:rFonts w:eastAsia="MS Gothic"/>
          <w:b/>
          <w:color w:val="76923C"/>
          <w:lang w:val="en-US"/>
        </w:rPr>
      </w:pPr>
      <w:bookmarkStart w:id="10" w:name="_Toc429057532"/>
      <w:bookmarkStart w:id="11" w:name="_Toc26217721"/>
      <w:r w:rsidRPr="00627EF7">
        <w:rPr>
          <w:rFonts w:eastAsia="MS Gothic"/>
          <w:b/>
          <w:color w:val="76923C"/>
          <w:lang w:val="en-US"/>
        </w:rPr>
        <w:t>What are the key r</w:t>
      </w:r>
      <w:r>
        <w:rPr>
          <w:rFonts w:eastAsia="MS Gothic"/>
          <w:b/>
          <w:color w:val="76923C"/>
          <w:lang w:val="en-US"/>
        </w:rPr>
        <w:t>isks to success of the programme</w:t>
      </w:r>
      <w:r w:rsidRPr="00627EF7">
        <w:rPr>
          <w:rFonts w:eastAsia="MS Gothic"/>
          <w:b/>
          <w:color w:val="76923C"/>
          <w:lang w:val="en-US"/>
        </w:rPr>
        <w:t>?</w:t>
      </w:r>
      <w:bookmarkEnd w:id="10"/>
      <w:bookmarkEnd w:id="11"/>
    </w:p>
    <w:p w14:paraId="344E6D41" w14:textId="77777777" w:rsidR="00350404" w:rsidRDefault="00350404" w:rsidP="00350404">
      <w:pPr>
        <w:tabs>
          <w:tab w:val="left" w:pos="7248"/>
        </w:tabs>
        <w:spacing w:before="240" w:after="0" w:line="252" w:lineRule="auto"/>
        <w:jc w:val="both"/>
        <w:rPr>
          <w:rFonts w:ascii="Calibri" w:hAnsi="Calibri"/>
        </w:rPr>
      </w:pPr>
      <w:r w:rsidRPr="006A463A">
        <w:rPr>
          <w:rFonts w:ascii="Calibri" w:hAnsi="Calibri"/>
        </w:rPr>
        <w:t>Some of the key financial, commercial and management risks are as follow</w:t>
      </w:r>
      <w:r>
        <w:rPr>
          <w:rFonts w:ascii="Calibri" w:hAnsi="Calibri"/>
        </w:rPr>
        <w:t>s:</w:t>
      </w:r>
    </w:p>
    <w:p w14:paraId="3FC215EE" w14:textId="41F60D40" w:rsidR="00350404" w:rsidRPr="006A463A" w:rsidRDefault="00350404" w:rsidP="00350404">
      <w:pPr>
        <w:pStyle w:val="ListParagraph"/>
        <w:numPr>
          <w:ilvl w:val="0"/>
          <w:numId w:val="22"/>
        </w:numPr>
        <w:tabs>
          <w:tab w:val="left" w:pos="7248"/>
        </w:tabs>
        <w:spacing w:before="240" w:after="0" w:line="252" w:lineRule="auto"/>
        <w:jc w:val="both"/>
        <w:rPr>
          <w:rFonts w:ascii="Calibri" w:hAnsi="Calibri"/>
        </w:rPr>
      </w:pPr>
      <w:r w:rsidRPr="00514192">
        <w:rPr>
          <w:rFonts w:asciiTheme="minorHAnsi" w:hAnsiTheme="minorHAnsi"/>
          <w:b/>
        </w:rPr>
        <w:t>Delivery risk:</w:t>
      </w:r>
      <w:r w:rsidRPr="00514192">
        <w:rPr>
          <w:rFonts w:asciiTheme="minorHAnsi" w:hAnsiTheme="minorHAnsi"/>
        </w:rPr>
        <w:t xml:space="preserve"> Timelines are short for the delivery of activities across outputs, which aim to be delivered by March 31</w:t>
      </w:r>
      <w:proofErr w:type="gramStart"/>
      <w:r w:rsidRPr="00514192">
        <w:rPr>
          <w:rFonts w:asciiTheme="minorHAnsi" w:hAnsiTheme="minorHAnsi"/>
        </w:rPr>
        <w:t xml:space="preserve"> 2020</w:t>
      </w:r>
      <w:proofErr w:type="gramEnd"/>
      <w:r w:rsidRPr="00514192">
        <w:rPr>
          <w:rFonts w:asciiTheme="minorHAnsi" w:hAnsiTheme="minorHAnsi"/>
        </w:rPr>
        <w:t>.</w:t>
      </w:r>
    </w:p>
    <w:p w14:paraId="13D01199" w14:textId="0562C38A" w:rsidR="00350404" w:rsidRPr="006A463A" w:rsidRDefault="00350404" w:rsidP="00350404">
      <w:pPr>
        <w:pStyle w:val="ListParagraph"/>
        <w:numPr>
          <w:ilvl w:val="0"/>
          <w:numId w:val="22"/>
        </w:numPr>
        <w:tabs>
          <w:tab w:val="left" w:pos="7248"/>
        </w:tabs>
        <w:spacing w:before="240" w:after="0" w:line="252" w:lineRule="auto"/>
        <w:jc w:val="both"/>
        <w:rPr>
          <w:rFonts w:ascii="Calibri" w:hAnsi="Calibri"/>
        </w:rPr>
      </w:pPr>
      <w:r w:rsidRPr="00514192">
        <w:rPr>
          <w:rFonts w:asciiTheme="minorHAnsi" w:hAnsiTheme="minorHAnsi"/>
          <w:b/>
        </w:rPr>
        <w:t xml:space="preserve">Risk to achieving impact: </w:t>
      </w:r>
      <w:r w:rsidR="00F75902" w:rsidRPr="00F75902">
        <w:rPr>
          <w:rFonts w:asciiTheme="minorHAnsi" w:hAnsiTheme="minorHAnsi"/>
        </w:rPr>
        <w:t xml:space="preserve">A risk </w:t>
      </w:r>
      <w:r w:rsidR="00F75902">
        <w:rPr>
          <w:rFonts w:asciiTheme="minorHAnsi" w:hAnsiTheme="minorHAnsi"/>
        </w:rPr>
        <w:t>t</w:t>
      </w:r>
      <w:r w:rsidRPr="00514192">
        <w:rPr>
          <w:rFonts w:asciiTheme="minorHAnsi" w:hAnsiTheme="minorHAnsi"/>
        </w:rPr>
        <w:t xml:space="preserve">hat technical assistance products are not relevant or needed by the cities in the network, which means that Defra’s </w:t>
      </w:r>
      <w:proofErr w:type="gramStart"/>
      <w:r w:rsidRPr="00514192">
        <w:rPr>
          <w:rFonts w:asciiTheme="minorHAnsi" w:hAnsiTheme="minorHAnsi"/>
        </w:rPr>
        <w:t>medium term</w:t>
      </w:r>
      <w:proofErr w:type="gramEnd"/>
      <w:r w:rsidRPr="00514192">
        <w:rPr>
          <w:rFonts w:asciiTheme="minorHAnsi" w:hAnsiTheme="minorHAnsi"/>
        </w:rPr>
        <w:t xml:space="preserve"> outcomes and long-term impact and results are not achieved.</w:t>
      </w:r>
    </w:p>
    <w:p w14:paraId="303FCEA9" w14:textId="77777777" w:rsidR="00350404" w:rsidRPr="006A463A" w:rsidRDefault="00350404" w:rsidP="00350404">
      <w:pPr>
        <w:pStyle w:val="ListParagraph"/>
        <w:numPr>
          <w:ilvl w:val="0"/>
          <w:numId w:val="22"/>
        </w:numPr>
        <w:tabs>
          <w:tab w:val="left" w:pos="7248"/>
        </w:tabs>
        <w:spacing w:before="240" w:after="0" w:line="252" w:lineRule="auto"/>
        <w:jc w:val="both"/>
        <w:rPr>
          <w:rFonts w:ascii="Calibri" w:hAnsi="Calibri"/>
        </w:rPr>
      </w:pPr>
      <w:r w:rsidRPr="00514192">
        <w:rPr>
          <w:rFonts w:asciiTheme="minorHAnsi" w:hAnsiTheme="minorHAnsi"/>
          <w:b/>
        </w:rPr>
        <w:t>Political will risk:</w:t>
      </w:r>
      <w:r w:rsidRPr="00514192">
        <w:rPr>
          <w:rFonts w:asciiTheme="minorHAnsi" w:hAnsiTheme="minorHAnsi"/>
        </w:rPr>
        <w:t xml:space="preserve"> There is a risk that city leadership may change over time and thereby political support for the project declines. This results in Defra’s long-term objectives and results for forests not being met.</w:t>
      </w:r>
    </w:p>
    <w:p w14:paraId="426C7FC8" w14:textId="6409C9B8" w:rsidR="00C8553F" w:rsidRDefault="00C8553F"/>
    <w:p w14:paraId="47D4EE21" w14:textId="77777777" w:rsidR="009027D3" w:rsidRDefault="009027D3">
      <w:r>
        <w:rPr>
          <w:b/>
        </w:rPr>
        <w:br w:type="page"/>
      </w:r>
    </w:p>
    <w:p w14:paraId="562ECF3F" w14:textId="6A83A93E" w:rsidR="00C9526A" w:rsidRPr="00C9526A" w:rsidRDefault="00C9526A" w:rsidP="002C0BCA">
      <w:pPr>
        <w:pStyle w:val="Heading1"/>
      </w:pPr>
      <w:bookmarkStart w:id="12" w:name="_Toc26217722"/>
      <w:r w:rsidRPr="00C9526A">
        <w:t>Strategic Case</w:t>
      </w:r>
      <w:bookmarkEnd w:id="12"/>
    </w:p>
    <w:p w14:paraId="7127F400" w14:textId="77777777" w:rsidR="00C9526A" w:rsidRDefault="00C9526A" w:rsidP="002C0BCA">
      <w:pPr>
        <w:pStyle w:val="Heading2"/>
      </w:pPr>
    </w:p>
    <w:p w14:paraId="14192B3B" w14:textId="77777777" w:rsidR="00C84077" w:rsidRPr="00581F01" w:rsidRDefault="00C84077" w:rsidP="002C0BCA">
      <w:pPr>
        <w:pStyle w:val="Heading2"/>
        <w:rPr>
          <w:color w:val="0070C0"/>
        </w:rPr>
      </w:pPr>
      <w:bookmarkStart w:id="13" w:name="_Toc26217723"/>
      <w:r w:rsidRPr="00581F01">
        <w:rPr>
          <w:color w:val="0070C0"/>
        </w:rPr>
        <w:t>Context and Need for a UK intervention</w:t>
      </w:r>
      <w:bookmarkEnd w:id="13"/>
    </w:p>
    <w:p w14:paraId="29CE424C" w14:textId="526D0584" w:rsidR="009277AE" w:rsidRPr="00E46FF8" w:rsidRDefault="00A3764E" w:rsidP="00EA4E44">
      <w:pPr>
        <w:pStyle w:val="ListParagraph"/>
        <w:numPr>
          <w:ilvl w:val="0"/>
          <w:numId w:val="8"/>
        </w:numPr>
        <w:tabs>
          <w:tab w:val="left" w:pos="7248"/>
        </w:tabs>
        <w:spacing w:after="120" w:line="252" w:lineRule="auto"/>
        <w:ind w:left="20"/>
        <w:contextualSpacing w:val="0"/>
        <w:jc w:val="both"/>
        <w:rPr>
          <w:color w:val="0070C0"/>
        </w:rPr>
      </w:pPr>
      <w:r w:rsidRPr="00CA3765">
        <w:rPr>
          <w:rFonts w:ascii="Calibri" w:hAnsi="Calibri"/>
        </w:rPr>
        <w:t xml:space="preserve">The Intergovernmental Panel on Climate Change is clear that we have just over a decade to </w:t>
      </w:r>
      <w:r>
        <w:rPr>
          <w:rFonts w:ascii="Calibri" w:hAnsi="Calibri"/>
        </w:rPr>
        <w:t>transform t</w:t>
      </w:r>
      <w:r w:rsidRPr="00CA3765">
        <w:rPr>
          <w:rFonts w:ascii="Calibri" w:hAnsi="Calibri"/>
        </w:rPr>
        <w:t xml:space="preserve">he way the world </w:t>
      </w:r>
      <w:r>
        <w:rPr>
          <w:rFonts w:ascii="Calibri" w:hAnsi="Calibri"/>
        </w:rPr>
        <w:t>manages</w:t>
      </w:r>
      <w:r w:rsidRPr="00CA3765">
        <w:rPr>
          <w:rFonts w:ascii="Calibri" w:hAnsi="Calibri"/>
        </w:rPr>
        <w:t xml:space="preserve"> its natural resources if we are to stand a chance of keeping global temperature rise to below 1.5 degrees and avoid the catastrophic impacts associated with this.</w:t>
      </w:r>
      <w:r w:rsidR="00E46FF8">
        <w:rPr>
          <w:rStyle w:val="FootnoteReference"/>
          <w:rFonts w:ascii="Calibri" w:hAnsi="Calibri"/>
        </w:rPr>
        <w:footnoteReference w:id="1"/>
      </w:r>
      <w:r>
        <w:rPr>
          <w:rFonts w:ascii="Calibri" w:hAnsi="Calibri"/>
        </w:rPr>
        <w:t xml:space="preserve"> Nature-based solutions</w:t>
      </w:r>
      <w:r w:rsidR="009277AE">
        <w:rPr>
          <w:rFonts w:ascii="Calibri" w:hAnsi="Calibri"/>
        </w:rPr>
        <w:t xml:space="preserve"> (NBS)</w:t>
      </w:r>
      <w:r>
        <w:rPr>
          <w:rFonts w:ascii="Calibri" w:hAnsi="Calibri"/>
        </w:rPr>
        <w:t xml:space="preserve"> are key to cost-effectively mitigating climate change and adapting to its impacts.</w:t>
      </w:r>
      <w:r w:rsidRPr="00CA3765">
        <w:rPr>
          <w:rFonts w:ascii="Calibri" w:hAnsi="Calibri"/>
        </w:rPr>
        <w:t xml:space="preserve"> </w:t>
      </w:r>
      <w:r>
        <w:rPr>
          <w:rFonts w:ascii="Calibri" w:hAnsi="Calibri"/>
        </w:rPr>
        <w:t xml:space="preserve">Forests play a critical role in </w:t>
      </w:r>
      <w:r w:rsidR="009277AE">
        <w:rPr>
          <w:rFonts w:ascii="Calibri" w:hAnsi="Calibri"/>
        </w:rPr>
        <w:t>NBS</w:t>
      </w:r>
      <w:r>
        <w:rPr>
          <w:rFonts w:ascii="Calibri" w:hAnsi="Calibri"/>
        </w:rPr>
        <w:t xml:space="preserve"> – some estimates place two thirds of NBS </w:t>
      </w:r>
      <w:r w:rsidR="009277AE">
        <w:rPr>
          <w:rFonts w:ascii="Calibri" w:hAnsi="Calibri"/>
        </w:rPr>
        <w:t>mitigation</w:t>
      </w:r>
      <w:r>
        <w:rPr>
          <w:rFonts w:ascii="Calibri" w:hAnsi="Calibri"/>
        </w:rPr>
        <w:t xml:space="preserve"> opportunity in forest protection and restoration.</w:t>
      </w:r>
      <w:r w:rsidR="009277AE">
        <w:rPr>
          <w:rStyle w:val="FootnoteReference"/>
          <w:rFonts w:ascii="Calibri" w:hAnsi="Calibri"/>
        </w:rPr>
        <w:footnoteReference w:id="2"/>
      </w:r>
      <w:r w:rsidR="009277AE">
        <w:rPr>
          <w:rFonts w:ascii="Calibri" w:hAnsi="Calibri"/>
        </w:rPr>
        <w:t xml:space="preserve"> </w:t>
      </w:r>
    </w:p>
    <w:p w14:paraId="72E92B14" w14:textId="42E71656" w:rsidR="009D0D0B" w:rsidRPr="009D0D0B" w:rsidRDefault="00E46FF8" w:rsidP="00EA4E44">
      <w:pPr>
        <w:pStyle w:val="ListParagraph"/>
        <w:numPr>
          <w:ilvl w:val="0"/>
          <w:numId w:val="8"/>
        </w:numPr>
        <w:tabs>
          <w:tab w:val="left" w:pos="7248"/>
        </w:tabs>
        <w:spacing w:after="120" w:line="252" w:lineRule="auto"/>
        <w:ind w:left="20"/>
        <w:contextualSpacing w:val="0"/>
        <w:jc w:val="both"/>
        <w:rPr>
          <w:color w:val="0070C0"/>
        </w:rPr>
      </w:pPr>
      <w:r>
        <w:rPr>
          <w:rFonts w:ascii="Calibri" w:hAnsi="Calibri"/>
        </w:rPr>
        <w:t>Despite the importance of forests to meeting global climate goals, global action to protect and</w:t>
      </w:r>
      <w:r w:rsidR="005F420F">
        <w:rPr>
          <w:rFonts w:ascii="Calibri" w:hAnsi="Calibri"/>
        </w:rPr>
        <w:t xml:space="preserve"> restore forests is </w:t>
      </w:r>
      <w:r>
        <w:rPr>
          <w:rFonts w:ascii="Calibri" w:hAnsi="Calibri"/>
        </w:rPr>
        <w:t>king. A 2019 assessment of the New York Declaration of Forests (NYDF) goals states that “five years later there is little evidence that these goals are on track, and achieving the 2020 NYDF targets is likely impossible”.</w:t>
      </w:r>
      <w:r>
        <w:rPr>
          <w:rStyle w:val="FootnoteReference"/>
          <w:rFonts w:ascii="Calibri" w:hAnsi="Calibri"/>
        </w:rPr>
        <w:footnoteReference w:id="3"/>
      </w:r>
      <w:r>
        <w:rPr>
          <w:rFonts w:ascii="Calibri" w:hAnsi="Calibri"/>
        </w:rPr>
        <w:t xml:space="preserve"> </w:t>
      </w:r>
      <w:r w:rsidR="009D0D0B">
        <w:rPr>
          <w:rFonts w:ascii="Calibri" w:hAnsi="Calibri"/>
        </w:rPr>
        <w:t>Forest clearance for commercial and subsistence agriculture is a leading cause of tropical and sub-tropical deforestation, but the drivers behind this are complex and multi-faceted, including global demand for commodities, insecure tenure rights, weak enforcement institutions, lack of transparency in the finance sector, lack of awareness by consumers and citizens to the importance of standing forests and much more.</w:t>
      </w:r>
      <w:r w:rsidR="00375987">
        <w:rPr>
          <w:rStyle w:val="FootnoteReference"/>
          <w:rFonts w:ascii="Calibri" w:hAnsi="Calibri"/>
        </w:rPr>
        <w:footnoteReference w:id="4"/>
      </w:r>
      <w:r w:rsidR="00375987">
        <w:rPr>
          <w:rStyle w:val="FootnoteReference"/>
          <w:rFonts w:ascii="Calibri" w:hAnsi="Calibri"/>
        </w:rPr>
        <w:footnoteReference w:id="5"/>
      </w:r>
    </w:p>
    <w:p w14:paraId="0A1D6DAA" w14:textId="3DDB52DC" w:rsidR="00683E4F" w:rsidRPr="00683E4F" w:rsidRDefault="009D0D0B" w:rsidP="00EA4E44">
      <w:pPr>
        <w:pStyle w:val="ListParagraph"/>
        <w:numPr>
          <w:ilvl w:val="0"/>
          <w:numId w:val="8"/>
        </w:numPr>
        <w:tabs>
          <w:tab w:val="left" w:pos="7248"/>
        </w:tabs>
        <w:spacing w:after="120" w:line="252" w:lineRule="auto"/>
        <w:ind w:left="20"/>
        <w:contextualSpacing w:val="0"/>
        <w:jc w:val="both"/>
        <w:rPr>
          <w:color w:val="0070C0"/>
        </w:rPr>
      </w:pPr>
      <w:r>
        <w:rPr>
          <w:rFonts w:ascii="Calibri" w:hAnsi="Calibri"/>
        </w:rPr>
        <w:t xml:space="preserve">There is a need to revalue standing forests to shift current market incentives away from deforestation. </w:t>
      </w:r>
      <w:r w:rsidR="00683E4F">
        <w:rPr>
          <w:rFonts w:ascii="Calibri" w:hAnsi="Calibri"/>
        </w:rPr>
        <w:t>Forests provide benefits besides being sinks for carbon emissions. The</w:t>
      </w:r>
      <w:r w:rsidR="005D089B">
        <w:rPr>
          <w:rFonts w:ascii="Calibri" w:hAnsi="Calibri"/>
        </w:rPr>
        <w:t>y</w:t>
      </w:r>
      <w:r w:rsidR="00683E4F">
        <w:rPr>
          <w:rFonts w:ascii="Calibri" w:hAnsi="Calibri"/>
        </w:rPr>
        <w:t xml:space="preserve"> regulate local and regional climate </w:t>
      </w:r>
      <w:r w:rsidR="00A83FE0">
        <w:rPr>
          <w:rFonts w:ascii="Calibri" w:hAnsi="Calibri"/>
        </w:rPr>
        <w:t>and</w:t>
      </w:r>
      <w:r w:rsidR="00683E4F">
        <w:rPr>
          <w:rFonts w:ascii="Calibri" w:hAnsi="Calibri"/>
        </w:rPr>
        <w:t xml:space="preserve"> precipitation, directly affecting food security and economy. Forests regulate streamflow and </w:t>
      </w:r>
      <w:r w:rsidR="00A83FE0">
        <w:rPr>
          <w:rFonts w:ascii="Calibri" w:hAnsi="Calibri"/>
        </w:rPr>
        <w:t>water flow</w:t>
      </w:r>
      <w:r w:rsidR="00683E4F">
        <w:rPr>
          <w:rFonts w:ascii="Calibri" w:hAnsi="Calibri"/>
        </w:rPr>
        <w:t>, preventing flooding downstream, including in urban areas. 2.4</w:t>
      </w:r>
      <w:r w:rsidR="0087131F">
        <w:rPr>
          <w:rFonts w:ascii="Calibri" w:hAnsi="Calibri"/>
        </w:rPr>
        <w:t xml:space="preserve"> </w:t>
      </w:r>
      <w:r w:rsidR="00683E4F">
        <w:rPr>
          <w:rFonts w:ascii="Calibri" w:hAnsi="Calibri"/>
        </w:rPr>
        <w:t xml:space="preserve">billion people globally rely on </w:t>
      </w:r>
      <w:proofErr w:type="spellStart"/>
      <w:r w:rsidR="00683E4F">
        <w:rPr>
          <w:rFonts w:ascii="Calibri" w:hAnsi="Calibri"/>
        </w:rPr>
        <w:t>woodfuel</w:t>
      </w:r>
      <w:proofErr w:type="spellEnd"/>
      <w:r w:rsidR="00683E4F">
        <w:rPr>
          <w:rFonts w:ascii="Calibri" w:hAnsi="Calibri"/>
        </w:rPr>
        <w:t xml:space="preserve"> to cook and sterilise their water. The forestry sector supports an estimated 85</w:t>
      </w:r>
      <w:r w:rsidR="0087131F">
        <w:rPr>
          <w:rFonts w:ascii="Calibri" w:hAnsi="Calibri"/>
        </w:rPr>
        <w:t xml:space="preserve"> </w:t>
      </w:r>
      <w:r w:rsidR="00683E4F">
        <w:rPr>
          <w:rFonts w:ascii="Calibri" w:hAnsi="Calibri"/>
        </w:rPr>
        <w:t>m</w:t>
      </w:r>
      <w:r w:rsidR="0087131F">
        <w:rPr>
          <w:rFonts w:ascii="Calibri" w:hAnsi="Calibri"/>
        </w:rPr>
        <w:t>illion</w:t>
      </w:r>
      <w:r w:rsidR="00683E4F">
        <w:rPr>
          <w:rFonts w:ascii="Calibri" w:hAnsi="Calibri"/>
        </w:rPr>
        <w:t xml:space="preserve"> to 105</w:t>
      </w:r>
      <w:r w:rsidR="0087131F">
        <w:rPr>
          <w:rFonts w:ascii="Calibri" w:hAnsi="Calibri"/>
        </w:rPr>
        <w:t xml:space="preserve"> </w:t>
      </w:r>
      <w:r w:rsidR="00683E4F">
        <w:rPr>
          <w:rFonts w:ascii="Calibri" w:hAnsi="Calibri"/>
        </w:rPr>
        <w:t>m</w:t>
      </w:r>
      <w:r w:rsidR="0087131F">
        <w:rPr>
          <w:rFonts w:ascii="Calibri" w:hAnsi="Calibri"/>
        </w:rPr>
        <w:t>illion</w:t>
      </w:r>
      <w:r w:rsidR="00683E4F">
        <w:rPr>
          <w:rFonts w:ascii="Calibri" w:hAnsi="Calibri"/>
        </w:rPr>
        <w:t xml:space="preserve"> jobs worldwide. The genetic diversity of natural forests and their ecosystems are key to adapting to temperature shifts as the global climate warms, providing natural resilience to changes that are already occurring globally. </w:t>
      </w:r>
    </w:p>
    <w:p w14:paraId="2154E4E7" w14:textId="0FCC7CC3" w:rsidR="00E46FF8" w:rsidRPr="00A60A07" w:rsidRDefault="009D0D0B" w:rsidP="00EA4E44">
      <w:pPr>
        <w:pStyle w:val="ListParagraph"/>
        <w:numPr>
          <w:ilvl w:val="0"/>
          <w:numId w:val="8"/>
        </w:numPr>
        <w:tabs>
          <w:tab w:val="left" w:pos="7248"/>
        </w:tabs>
        <w:spacing w:after="120" w:line="252" w:lineRule="auto"/>
        <w:ind w:left="20"/>
        <w:contextualSpacing w:val="0"/>
        <w:jc w:val="both"/>
        <w:rPr>
          <w:color w:val="0070C0"/>
        </w:rPr>
      </w:pPr>
      <w:r>
        <w:rPr>
          <w:rFonts w:ascii="Calibri" w:hAnsi="Calibri"/>
        </w:rPr>
        <w:t>New, innovative ways to</w:t>
      </w:r>
      <w:r w:rsidR="00683E4F">
        <w:rPr>
          <w:rFonts w:ascii="Calibri" w:hAnsi="Calibri"/>
        </w:rPr>
        <w:t xml:space="preserve"> advocate for, value and finance </w:t>
      </w:r>
      <w:r>
        <w:rPr>
          <w:rFonts w:ascii="Calibri" w:hAnsi="Calibri"/>
        </w:rPr>
        <w:t xml:space="preserve">the protection and restoration of forests </w:t>
      </w:r>
      <w:r w:rsidR="006C35A1">
        <w:rPr>
          <w:rFonts w:ascii="Calibri" w:hAnsi="Calibri"/>
        </w:rPr>
        <w:t>are</w:t>
      </w:r>
      <w:r>
        <w:rPr>
          <w:rFonts w:ascii="Calibri" w:hAnsi="Calibri"/>
        </w:rPr>
        <w:t xml:space="preserve"> critical </w:t>
      </w:r>
      <w:r w:rsidR="00683E4F">
        <w:rPr>
          <w:rFonts w:ascii="Calibri" w:hAnsi="Calibri"/>
        </w:rPr>
        <w:t xml:space="preserve">to meeting global goals for forests and the </w:t>
      </w:r>
      <w:r w:rsidR="00A83FE0">
        <w:rPr>
          <w:rFonts w:ascii="Calibri" w:hAnsi="Calibri"/>
        </w:rPr>
        <w:t>Sustainable</w:t>
      </w:r>
      <w:r w:rsidR="00683E4F">
        <w:rPr>
          <w:rFonts w:ascii="Calibri" w:hAnsi="Calibri"/>
        </w:rPr>
        <w:t xml:space="preserve"> Development Goals more broadly.</w:t>
      </w:r>
      <w:r w:rsidR="00A60A07">
        <w:rPr>
          <w:rFonts w:ascii="Calibri" w:hAnsi="Calibri"/>
        </w:rPr>
        <w:t xml:space="preserve"> City actors are a largely untapped</w:t>
      </w:r>
      <w:r w:rsidR="00683E4F">
        <w:rPr>
          <w:rFonts w:ascii="Calibri" w:hAnsi="Calibri"/>
        </w:rPr>
        <w:t xml:space="preserve"> group of global actors that have political power and financial clout to tip the balance in favour of forests in many regions. </w:t>
      </w:r>
      <w:r w:rsidR="00A60A07">
        <w:rPr>
          <w:rFonts w:ascii="Calibri" w:hAnsi="Calibri"/>
        </w:rPr>
        <w:t>Cities have authority and responsibility to directly affect deci</w:t>
      </w:r>
      <w:r w:rsidR="00B41DE5">
        <w:rPr>
          <w:rFonts w:ascii="Calibri" w:hAnsi="Calibri"/>
        </w:rPr>
        <w:t>s</w:t>
      </w:r>
      <w:r w:rsidR="00A60A07">
        <w:rPr>
          <w:rFonts w:ascii="Calibri" w:hAnsi="Calibri"/>
        </w:rPr>
        <w:t xml:space="preserve">ions that affect deforestation and the potential for forest restoration. </w:t>
      </w:r>
      <w:r w:rsidR="00683E4F">
        <w:rPr>
          <w:rFonts w:ascii="Calibri" w:hAnsi="Calibri"/>
        </w:rPr>
        <w:t xml:space="preserve">This includes mayor’s offices and agencies within city governments, as well as public water utilities and the consumption patterns of urban residents themselves. </w:t>
      </w:r>
      <w:r w:rsidR="00B41DE5">
        <w:rPr>
          <w:rFonts w:ascii="Calibri" w:hAnsi="Calibri"/>
        </w:rPr>
        <w:t xml:space="preserve">Due to similarities in the challenges faced, e.g. water, sanitation, heat island, flooding, fresh food, etc, cities see real potential in learning from each other. Therefore, any network which allows lessons learned from pilots to be shared quickly across </w:t>
      </w:r>
      <w:r w:rsidR="00A83FE0">
        <w:rPr>
          <w:rFonts w:ascii="Calibri" w:hAnsi="Calibri"/>
        </w:rPr>
        <w:t>cities</w:t>
      </w:r>
      <w:r w:rsidR="00B41DE5">
        <w:rPr>
          <w:rFonts w:ascii="Calibri" w:hAnsi="Calibri"/>
        </w:rPr>
        <w:t xml:space="preserve">, accelerates innovation in this space and forest protection and restoration.  </w:t>
      </w:r>
    </w:p>
    <w:p w14:paraId="33C83C03" w14:textId="50B5F268" w:rsidR="00A60A07" w:rsidRPr="009277AE" w:rsidRDefault="006A3DF6" w:rsidP="00EA4E44">
      <w:pPr>
        <w:pStyle w:val="ListParagraph"/>
        <w:numPr>
          <w:ilvl w:val="0"/>
          <w:numId w:val="8"/>
        </w:numPr>
        <w:tabs>
          <w:tab w:val="left" w:pos="7248"/>
        </w:tabs>
        <w:spacing w:after="120" w:line="252" w:lineRule="auto"/>
        <w:ind w:left="20"/>
        <w:contextualSpacing w:val="0"/>
        <w:jc w:val="both"/>
        <w:rPr>
          <w:color w:val="0070C0"/>
        </w:rPr>
      </w:pPr>
      <w:r>
        <w:rPr>
          <w:rFonts w:ascii="Calibri" w:hAnsi="Calibri"/>
        </w:rPr>
        <w:t>C</w:t>
      </w:r>
      <w:r w:rsidR="00683B23">
        <w:rPr>
          <w:rFonts w:ascii="Calibri" w:hAnsi="Calibri"/>
        </w:rPr>
        <w:t xml:space="preserve">ities are </w:t>
      </w:r>
      <w:r w:rsidR="00B41DE5">
        <w:rPr>
          <w:rFonts w:ascii="Calibri" w:hAnsi="Calibri"/>
        </w:rPr>
        <w:t xml:space="preserve">one of </w:t>
      </w:r>
      <w:r w:rsidR="00683B23">
        <w:rPr>
          <w:rFonts w:ascii="Calibri" w:hAnsi="Calibri"/>
        </w:rPr>
        <w:t xml:space="preserve">the main drivers of deforestation through the consumption habits of their </w:t>
      </w:r>
      <w:r w:rsidR="006C35A1">
        <w:rPr>
          <w:rFonts w:ascii="Calibri" w:hAnsi="Calibri"/>
        </w:rPr>
        <w:t>residents</w:t>
      </w:r>
      <w:r w:rsidR="00683B23">
        <w:rPr>
          <w:rFonts w:ascii="Calibri" w:hAnsi="Calibri"/>
        </w:rPr>
        <w:t>. Over fifty percent of the world’s p</w:t>
      </w:r>
      <w:r>
        <w:rPr>
          <w:rFonts w:ascii="Calibri" w:hAnsi="Calibri"/>
        </w:rPr>
        <w:t>opulation lives in urban areas</w:t>
      </w:r>
      <w:r w:rsidR="00683B23">
        <w:rPr>
          <w:rFonts w:ascii="Calibri" w:hAnsi="Calibri"/>
        </w:rPr>
        <w:t>.</w:t>
      </w:r>
      <w:r>
        <w:rPr>
          <w:rStyle w:val="FootnoteReference"/>
          <w:rFonts w:ascii="Calibri" w:hAnsi="Calibri"/>
        </w:rPr>
        <w:footnoteReference w:id="6"/>
      </w:r>
      <w:r w:rsidR="00683B23">
        <w:rPr>
          <w:rFonts w:ascii="Calibri" w:hAnsi="Calibri"/>
        </w:rPr>
        <w:t xml:space="preserve"> Changes in their consumption patterns could radically shift demand for deforestation-free supply chains. In addition, cities’ requirements for fresh water and air, reduction in heat island </w:t>
      </w:r>
      <w:r w:rsidR="5E32F3DE">
        <w:rPr>
          <w:rFonts w:ascii="Calibri" w:hAnsi="Calibri"/>
        </w:rPr>
        <w:t>e</w:t>
      </w:r>
      <w:r w:rsidR="00683B23">
        <w:rPr>
          <w:rFonts w:ascii="Calibri" w:hAnsi="Calibri"/>
        </w:rPr>
        <w:t xml:space="preserve">ffect, reduction in flooding and timber products for building and other, e.g. furniture, give them extensive power over the market incentives that affect forests. </w:t>
      </w:r>
    </w:p>
    <w:p w14:paraId="2D50E946" w14:textId="77777777" w:rsidR="00BA692A" w:rsidRPr="00581F01" w:rsidRDefault="00BA692A" w:rsidP="002C0BCA">
      <w:pPr>
        <w:pStyle w:val="Heading2"/>
        <w:rPr>
          <w:color w:val="0070C0"/>
        </w:rPr>
      </w:pPr>
      <w:bookmarkStart w:id="14" w:name="_Toc26217724"/>
      <w:r w:rsidRPr="00581F01">
        <w:rPr>
          <w:color w:val="0070C0"/>
        </w:rPr>
        <w:t xml:space="preserve">Market, </w:t>
      </w:r>
      <w:proofErr w:type="gramStart"/>
      <w:r w:rsidRPr="00581F01">
        <w:rPr>
          <w:color w:val="0070C0"/>
        </w:rPr>
        <w:t>governance</w:t>
      </w:r>
      <w:proofErr w:type="gramEnd"/>
      <w:r w:rsidRPr="00581F01">
        <w:rPr>
          <w:color w:val="0070C0"/>
        </w:rPr>
        <w:t xml:space="preserve"> and information failures</w:t>
      </w:r>
      <w:bookmarkEnd w:id="14"/>
      <w:r w:rsidRPr="00581F01">
        <w:rPr>
          <w:color w:val="0070C0"/>
        </w:rPr>
        <w:t xml:space="preserve"> </w:t>
      </w:r>
    </w:p>
    <w:p w14:paraId="7936E556" w14:textId="15FEE23D" w:rsidR="00C84077" w:rsidRDefault="00DE4236" w:rsidP="00EA4E44">
      <w:pPr>
        <w:pStyle w:val="ListParagraph"/>
        <w:numPr>
          <w:ilvl w:val="0"/>
          <w:numId w:val="8"/>
        </w:numPr>
        <w:tabs>
          <w:tab w:val="left" w:pos="7248"/>
        </w:tabs>
        <w:spacing w:after="120" w:line="252" w:lineRule="auto"/>
        <w:ind w:left="20"/>
        <w:contextualSpacing w:val="0"/>
        <w:jc w:val="both"/>
        <w:rPr>
          <w:rFonts w:ascii="Calibri" w:hAnsi="Calibri"/>
        </w:rPr>
      </w:pPr>
      <w:r w:rsidRPr="00DE4236">
        <w:rPr>
          <w:rFonts w:ascii="Calibri" w:hAnsi="Calibri"/>
        </w:rPr>
        <w:t>Defo</w:t>
      </w:r>
      <w:r>
        <w:rPr>
          <w:rFonts w:ascii="Calibri" w:hAnsi="Calibri"/>
        </w:rPr>
        <w:t>restation is largely the result</w:t>
      </w:r>
      <w:r w:rsidRPr="00DE4236">
        <w:rPr>
          <w:rFonts w:ascii="Calibri" w:hAnsi="Calibri"/>
        </w:rPr>
        <w:t xml:space="preserve"> of a global market failure that does not correctly price the value of standing forests. </w:t>
      </w:r>
      <w:r>
        <w:rPr>
          <w:rFonts w:ascii="Calibri" w:hAnsi="Calibri"/>
        </w:rPr>
        <w:t>The benefit accrued to th</w:t>
      </w:r>
      <w:r w:rsidR="00D45E9C">
        <w:rPr>
          <w:rFonts w:ascii="Calibri" w:hAnsi="Calibri"/>
        </w:rPr>
        <w:t>ose that deforest land (e.g.</w:t>
      </w:r>
      <w:r>
        <w:rPr>
          <w:rFonts w:ascii="Calibri" w:hAnsi="Calibri"/>
        </w:rPr>
        <w:t xml:space="preserve"> being able to cattle farm and sell beef for a profit) affects other people in a way that is not accounted for in the market price. In other words, the costs of catastrophic global temperature rise and associated impacts, soil erosion, sedimentation build up in hydropower plants, flooding downstream, </w:t>
      </w:r>
      <w:r w:rsidR="00CC7B97">
        <w:rPr>
          <w:rFonts w:ascii="Calibri" w:hAnsi="Calibri"/>
        </w:rPr>
        <w:t xml:space="preserve">poor air quality, changes in rainfall patterns, reduced water quality in cities, reduced global biodiversity, etc, are not accounted for in the price of commodities produced on cleared forest land. </w:t>
      </w:r>
    </w:p>
    <w:p w14:paraId="3899763E" w14:textId="32D80509" w:rsidR="00CC7B97" w:rsidRDefault="00CC7B97" w:rsidP="00EA4E44">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For actors that wish to shift the incentives in favour of forests, there is often</w:t>
      </w:r>
      <w:r w:rsidR="006C35A1">
        <w:rPr>
          <w:rFonts w:ascii="Calibri" w:hAnsi="Calibri"/>
        </w:rPr>
        <w:t xml:space="preserve"> the</w:t>
      </w:r>
      <w:r>
        <w:rPr>
          <w:rFonts w:ascii="Calibri" w:hAnsi="Calibri"/>
        </w:rPr>
        <w:t xml:space="preserve"> market barrier of </w:t>
      </w:r>
      <w:r w:rsidRPr="00D45E9C">
        <w:rPr>
          <w:rFonts w:ascii="Calibri" w:hAnsi="Calibri"/>
          <w:b/>
        </w:rPr>
        <w:t>information asymmetry</w:t>
      </w:r>
      <w:r>
        <w:rPr>
          <w:rFonts w:ascii="Calibri" w:hAnsi="Calibri"/>
        </w:rPr>
        <w:t xml:space="preserve">. </w:t>
      </w:r>
      <w:r w:rsidR="00683B23">
        <w:rPr>
          <w:rFonts w:ascii="Calibri" w:hAnsi="Calibri"/>
        </w:rPr>
        <w:t xml:space="preserve">For example, consumers in cities may not be aware of the impact their consumption of certain agricultural products and </w:t>
      </w:r>
      <w:r w:rsidR="006A3DF6">
        <w:rPr>
          <w:rFonts w:ascii="Calibri" w:hAnsi="Calibri"/>
        </w:rPr>
        <w:t xml:space="preserve">cannot distinguish between goods that are driving deforestation and those that are not. </w:t>
      </w:r>
      <w:r w:rsidR="00D45E9C">
        <w:rPr>
          <w:rFonts w:ascii="Calibri" w:hAnsi="Calibri"/>
        </w:rPr>
        <w:t xml:space="preserve">Decision-makers in cities may not realise that nearby forests are critical to the supply of cheap, fresh water and naturally filter air quality to improve health and </w:t>
      </w:r>
      <w:r w:rsidR="00A83FE0">
        <w:rPr>
          <w:rFonts w:ascii="Calibri" w:hAnsi="Calibri"/>
        </w:rPr>
        <w:t>wellbeing</w:t>
      </w:r>
      <w:r w:rsidR="00D45E9C">
        <w:rPr>
          <w:rFonts w:ascii="Calibri" w:hAnsi="Calibri"/>
        </w:rPr>
        <w:t xml:space="preserve"> of residents. </w:t>
      </w:r>
    </w:p>
    <w:p w14:paraId="2CC8AB13" w14:textId="64501044" w:rsidR="00BC13C2" w:rsidRPr="00DE4236" w:rsidRDefault="00BC13C2" w:rsidP="00EA4E44">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There is also a technical barrier in that cities may not have the capacity, resources or understanding to conduct key mapping and analysis to value their natural capital and its potential. There is a need to test new approaches, provide baselines and convene networks to share lessons learned. </w:t>
      </w:r>
    </w:p>
    <w:p w14:paraId="3F351708" w14:textId="77777777" w:rsidR="00C84077" w:rsidRPr="00581F01" w:rsidRDefault="00C84077" w:rsidP="002C0BCA">
      <w:pPr>
        <w:pStyle w:val="Heading2"/>
        <w:rPr>
          <w:color w:val="0070C0"/>
        </w:rPr>
      </w:pPr>
      <w:bookmarkStart w:id="15" w:name="_Toc26217725"/>
      <w:r w:rsidRPr="00581F01">
        <w:rPr>
          <w:color w:val="0070C0"/>
        </w:rPr>
        <w:t>What support will the UK provide?</w:t>
      </w:r>
      <w:bookmarkEnd w:id="15"/>
    </w:p>
    <w:p w14:paraId="4BDB68C6" w14:textId="4A00B9AF" w:rsidR="002C0BCA" w:rsidRDefault="00473DA6" w:rsidP="00EA4E44">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Defra’s investment </w:t>
      </w:r>
      <w:r w:rsidRPr="00AE0472">
        <w:rPr>
          <w:rFonts w:ascii="Calibri" w:hAnsi="Calibri"/>
        </w:rPr>
        <w:t xml:space="preserve">of </w:t>
      </w:r>
      <w:r w:rsidR="005F58BE" w:rsidRPr="00AE0472">
        <w:rPr>
          <w:rFonts w:ascii="Calibri" w:hAnsi="Calibri"/>
        </w:rPr>
        <w:t>£560</w:t>
      </w:r>
      <w:r w:rsidRPr="00AE0472">
        <w:rPr>
          <w:rFonts w:ascii="Calibri" w:hAnsi="Calibri"/>
        </w:rPr>
        <w:t>,000 represents</w:t>
      </w:r>
      <w:r>
        <w:rPr>
          <w:rFonts w:ascii="Calibri" w:hAnsi="Calibri"/>
        </w:rPr>
        <w:t xml:space="preserve"> </w:t>
      </w:r>
      <w:r w:rsidR="00AE0472">
        <w:rPr>
          <w:rFonts w:ascii="Calibri" w:hAnsi="Calibri"/>
        </w:rPr>
        <w:t>9</w:t>
      </w:r>
      <w:r w:rsidR="00AE0472" w:rsidRPr="00AE0472">
        <w:rPr>
          <w:rFonts w:ascii="Calibri" w:hAnsi="Calibri"/>
        </w:rPr>
        <w:t>.4</w:t>
      </w:r>
      <w:r w:rsidRPr="00AE0472">
        <w:rPr>
          <w:rFonts w:ascii="Calibri" w:hAnsi="Calibri"/>
        </w:rPr>
        <w:t>%</w:t>
      </w:r>
      <w:r>
        <w:rPr>
          <w:rFonts w:ascii="Calibri" w:hAnsi="Calibri"/>
        </w:rPr>
        <w:t xml:space="preserve"> of the programme’s budget and is financing a range of tangible activities that align with the department’s strategic objectives. </w:t>
      </w:r>
      <w:r w:rsidR="00BC13C2" w:rsidRPr="00BC13C2">
        <w:rPr>
          <w:rFonts w:ascii="Calibri" w:hAnsi="Calibri"/>
        </w:rPr>
        <w:t>Total funding for this project is £5,96</w:t>
      </w:r>
      <w:r w:rsidR="00BC13C2">
        <w:rPr>
          <w:rFonts w:ascii="Calibri" w:hAnsi="Calibri"/>
        </w:rPr>
        <w:t xml:space="preserve">0,000 from five partners including Defra. The project runs for a total of three years (2019 to 2021), </w:t>
      </w:r>
      <w:r w:rsidR="00952079">
        <w:rPr>
          <w:rFonts w:ascii="Calibri" w:hAnsi="Calibri"/>
        </w:rPr>
        <w:t>and</w:t>
      </w:r>
      <w:r w:rsidR="00BC13C2">
        <w:rPr>
          <w:rFonts w:ascii="Calibri" w:hAnsi="Calibri"/>
        </w:rPr>
        <w:t xml:space="preserve"> Defra’s funding contributes to specific activities occurring in Year 2 of the project. </w:t>
      </w:r>
    </w:p>
    <w:p w14:paraId="45352A31" w14:textId="23A070CB" w:rsidR="00B92E42" w:rsidRPr="00B92E42" w:rsidRDefault="00B92E42" w:rsidP="00B92E42">
      <w:pPr>
        <w:pStyle w:val="Heading2"/>
        <w:rPr>
          <w:color w:val="0070C0"/>
        </w:rPr>
      </w:pPr>
      <w:bookmarkStart w:id="16" w:name="_Toc26217726"/>
      <w:r w:rsidRPr="00B92E42">
        <w:rPr>
          <w:color w:val="0070C0"/>
        </w:rPr>
        <w:t xml:space="preserve">Impacts, </w:t>
      </w:r>
      <w:proofErr w:type="gramStart"/>
      <w:r w:rsidRPr="00B92E42">
        <w:rPr>
          <w:color w:val="0070C0"/>
        </w:rPr>
        <w:t>outcomes</w:t>
      </w:r>
      <w:proofErr w:type="gramEnd"/>
      <w:r w:rsidRPr="00B92E42">
        <w:rPr>
          <w:color w:val="0070C0"/>
        </w:rPr>
        <w:t xml:space="preserve"> and outputs</w:t>
      </w:r>
      <w:bookmarkEnd w:id="16"/>
    </w:p>
    <w:p w14:paraId="657FB619" w14:textId="3B759AC8" w:rsidR="00B92E42" w:rsidRPr="00B92E42" w:rsidRDefault="00B92E42" w:rsidP="00B92E42">
      <w:pPr>
        <w:pStyle w:val="ListParagraph"/>
        <w:tabs>
          <w:tab w:val="left" w:pos="7248"/>
        </w:tabs>
        <w:spacing w:after="120" w:line="252" w:lineRule="auto"/>
        <w:ind w:left="20"/>
        <w:contextualSpacing w:val="0"/>
        <w:jc w:val="both"/>
        <w:rPr>
          <w:rFonts w:ascii="Calibri" w:hAnsi="Calibri"/>
          <w:b/>
        </w:rPr>
      </w:pPr>
      <w:r w:rsidRPr="00B92E42">
        <w:rPr>
          <w:rFonts w:ascii="Calibri" w:hAnsi="Calibri"/>
          <w:b/>
        </w:rPr>
        <w:t>Impact (beyond the lifetime of the programme)</w:t>
      </w:r>
    </w:p>
    <w:p w14:paraId="79FA008F" w14:textId="393FDB47" w:rsidR="00B92E42" w:rsidRDefault="007818A6" w:rsidP="002047CB">
      <w:pPr>
        <w:pStyle w:val="ListParagraph"/>
        <w:numPr>
          <w:ilvl w:val="0"/>
          <w:numId w:val="8"/>
        </w:numPr>
        <w:tabs>
          <w:tab w:val="left" w:pos="7248"/>
        </w:tabs>
        <w:spacing w:after="120" w:line="252" w:lineRule="auto"/>
        <w:ind w:left="20"/>
        <w:contextualSpacing w:val="0"/>
        <w:jc w:val="both"/>
        <w:rPr>
          <w:rFonts w:ascii="Calibri" w:hAnsi="Calibri"/>
        </w:rPr>
      </w:pPr>
      <w:r w:rsidRPr="007818A6">
        <w:rPr>
          <w:rFonts w:ascii="Calibri" w:hAnsi="Calibri"/>
        </w:rPr>
        <w:t>Greater conservation, restoration, and sustainable management of forests, due in par</w:t>
      </w:r>
      <w:r>
        <w:rPr>
          <w:rFonts w:ascii="Calibri" w:hAnsi="Calibri"/>
        </w:rPr>
        <w:t>t to greater political, program</w:t>
      </w:r>
      <w:r w:rsidRPr="007818A6">
        <w:rPr>
          <w:rFonts w:ascii="Calibri" w:hAnsi="Calibri"/>
        </w:rPr>
        <w:t xml:space="preserve"> and investment support by cities</w:t>
      </w:r>
      <w:r w:rsidR="000C5800">
        <w:rPr>
          <w:rFonts w:ascii="Calibri" w:hAnsi="Calibri"/>
        </w:rPr>
        <w:t xml:space="preserve">. </w:t>
      </w:r>
    </w:p>
    <w:p w14:paraId="68F94E16" w14:textId="75B67676" w:rsidR="00B92E42" w:rsidRPr="00B92E42" w:rsidRDefault="00B92E42" w:rsidP="00B92E42">
      <w:pPr>
        <w:pStyle w:val="ListParagraph"/>
        <w:tabs>
          <w:tab w:val="left" w:pos="7248"/>
        </w:tabs>
        <w:spacing w:after="120" w:line="252" w:lineRule="auto"/>
        <w:ind w:left="20"/>
        <w:contextualSpacing w:val="0"/>
        <w:jc w:val="both"/>
        <w:rPr>
          <w:rFonts w:ascii="Calibri" w:hAnsi="Calibri"/>
          <w:b/>
        </w:rPr>
      </w:pPr>
      <w:proofErr w:type="gramStart"/>
      <w:r>
        <w:rPr>
          <w:rFonts w:ascii="Calibri" w:hAnsi="Calibri"/>
          <w:b/>
        </w:rPr>
        <w:t xml:space="preserve">Outcomes </w:t>
      </w:r>
      <w:r w:rsidR="005418C6">
        <w:rPr>
          <w:rFonts w:ascii="Calibri" w:hAnsi="Calibri"/>
          <w:b/>
        </w:rPr>
        <w:t xml:space="preserve"> and</w:t>
      </w:r>
      <w:proofErr w:type="gramEnd"/>
      <w:r w:rsidR="005418C6">
        <w:rPr>
          <w:rFonts w:ascii="Calibri" w:hAnsi="Calibri"/>
          <w:b/>
        </w:rPr>
        <w:t xml:space="preserve"> outputs</w:t>
      </w:r>
    </w:p>
    <w:p w14:paraId="4E18488E" w14:textId="1A32D081" w:rsidR="00BF3267" w:rsidRPr="00B92E42" w:rsidRDefault="00B92E42" w:rsidP="002047CB">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De</w:t>
      </w:r>
      <w:r w:rsidR="00EA4E44" w:rsidRPr="00B92E42">
        <w:rPr>
          <w:rFonts w:ascii="Calibri" w:hAnsi="Calibri"/>
        </w:rPr>
        <w:t xml:space="preserve">fra’s investment will finance </w:t>
      </w:r>
      <w:r w:rsidR="005418C6">
        <w:rPr>
          <w:rFonts w:ascii="Calibri" w:hAnsi="Calibri"/>
        </w:rPr>
        <w:t xml:space="preserve">specific activities </w:t>
      </w:r>
      <w:r w:rsidR="006C35A1">
        <w:rPr>
          <w:rFonts w:ascii="Calibri" w:hAnsi="Calibri"/>
        </w:rPr>
        <w:t>t</w:t>
      </w:r>
      <w:r w:rsidR="00CC4D8E">
        <w:rPr>
          <w:rFonts w:ascii="Calibri" w:hAnsi="Calibri"/>
        </w:rPr>
        <w:t>hat benefit developing country</w:t>
      </w:r>
      <w:r w:rsidR="006C35A1">
        <w:rPr>
          <w:rFonts w:ascii="Calibri" w:hAnsi="Calibri"/>
        </w:rPr>
        <w:t xml:space="preserve"> cities by helping to achieve the following outcomes and associated outputs. </w:t>
      </w:r>
      <w:r w:rsidR="00EA4E44" w:rsidRPr="00B92E42">
        <w:rPr>
          <w:rFonts w:ascii="Calibri" w:hAnsi="Calibri"/>
        </w:rPr>
        <w:t xml:space="preserve"> </w:t>
      </w:r>
    </w:p>
    <w:p w14:paraId="0570592B" w14:textId="2AB67BFA" w:rsidR="007818A6" w:rsidRPr="001C0155" w:rsidRDefault="007818A6" w:rsidP="001C0155">
      <w:pPr>
        <w:pStyle w:val="ListParagraph"/>
        <w:numPr>
          <w:ilvl w:val="0"/>
          <w:numId w:val="8"/>
        </w:numPr>
        <w:tabs>
          <w:tab w:val="left" w:pos="7248"/>
        </w:tabs>
        <w:spacing w:after="120" w:line="252" w:lineRule="auto"/>
        <w:ind w:left="20"/>
        <w:contextualSpacing w:val="0"/>
        <w:jc w:val="both"/>
        <w:rPr>
          <w:rFonts w:ascii="Calibri" w:hAnsi="Calibri"/>
        </w:rPr>
      </w:pPr>
      <w:r w:rsidRPr="001C0155">
        <w:rPr>
          <w:rFonts w:ascii="Calibri" w:hAnsi="Calibri"/>
          <w:b/>
        </w:rPr>
        <w:t>Outcome 1:</w:t>
      </w:r>
      <w:r w:rsidRPr="001C0155">
        <w:rPr>
          <w:rFonts w:ascii="Calibri" w:hAnsi="Calibri"/>
        </w:rPr>
        <w:t xml:space="preserve"> Strengthened institutional capacity and capability through technical assistance leads to improved </w:t>
      </w:r>
      <w:r w:rsidR="00CC4D8E">
        <w:rPr>
          <w:rFonts w:ascii="Calibri" w:hAnsi="Calibri"/>
        </w:rPr>
        <w:t xml:space="preserve">developing country’s </w:t>
      </w:r>
      <w:r w:rsidRPr="001C0155">
        <w:rPr>
          <w:rFonts w:ascii="Calibri" w:hAnsi="Calibri"/>
        </w:rPr>
        <w:t>city government support for and investment in trees, forests, and green infrastructure.</w:t>
      </w:r>
    </w:p>
    <w:p w14:paraId="4EFB9434" w14:textId="3E5B042C" w:rsidR="005418C6" w:rsidRDefault="005418C6" w:rsidP="001C0155">
      <w:pPr>
        <w:pStyle w:val="ListParagraph"/>
        <w:numPr>
          <w:ilvl w:val="0"/>
          <w:numId w:val="10"/>
        </w:numPr>
        <w:tabs>
          <w:tab w:val="left" w:pos="7248"/>
        </w:tabs>
        <w:spacing w:after="120" w:line="252" w:lineRule="auto"/>
        <w:contextualSpacing w:val="0"/>
        <w:jc w:val="both"/>
        <w:rPr>
          <w:rFonts w:ascii="Calibri" w:hAnsi="Calibri"/>
        </w:rPr>
      </w:pPr>
      <w:r w:rsidRPr="26BF515B">
        <w:rPr>
          <w:rFonts w:ascii="Calibri" w:hAnsi="Calibri"/>
          <w:b/>
          <w:bCs/>
        </w:rPr>
        <w:t>Output 1.1: Strengthen policy and planning for urban forests</w:t>
      </w:r>
      <w:r w:rsidR="00CC4D8E" w:rsidRPr="26BF515B">
        <w:rPr>
          <w:rFonts w:ascii="Calibri" w:hAnsi="Calibri"/>
          <w:b/>
          <w:bCs/>
        </w:rPr>
        <w:t xml:space="preserve"> in developing countries</w:t>
      </w:r>
      <w:r w:rsidRPr="26BF515B">
        <w:rPr>
          <w:rFonts w:ascii="Calibri" w:hAnsi="Calibri"/>
          <w:b/>
          <w:bCs/>
        </w:rPr>
        <w:t>.</w:t>
      </w:r>
      <w:r w:rsidRPr="26BF515B">
        <w:rPr>
          <w:rFonts w:ascii="Calibri" w:hAnsi="Calibri"/>
        </w:rPr>
        <w:t xml:space="preserve"> A strong urban forest policy and associated strategic plan are the foundation to ensuring a robust and resilient urban canopy which builds the resilience of the city to climate change impacts, such as through improving air quality, offsetting heat </w:t>
      </w:r>
      <w:proofErr w:type="gramStart"/>
      <w:r w:rsidRPr="26BF515B">
        <w:rPr>
          <w:rFonts w:ascii="Calibri" w:hAnsi="Calibri"/>
        </w:rPr>
        <w:t>islands</w:t>
      </w:r>
      <w:proofErr w:type="gramEnd"/>
      <w:r w:rsidRPr="26BF515B">
        <w:rPr>
          <w:rFonts w:ascii="Calibri" w:hAnsi="Calibri"/>
        </w:rPr>
        <w:t xml:space="preserve"> and managing stormwater. However, information on how to develop, implement and integrate these policies with other, often evolving urban development investments and plans is complex and not easily accessible. </w:t>
      </w:r>
      <w:r w:rsidR="00CC4D8E" w:rsidRPr="26BF515B">
        <w:rPr>
          <w:rFonts w:ascii="Calibri" w:hAnsi="Calibri"/>
        </w:rPr>
        <w:t>This particularly true for developing country cities which have often not yet created strong urban forest policies. As part of initial surveying of member cities, many of the developing country cities involved in Cities4Forests have expressed interest in working with C4F to develop, implement and integrate new and improved urban forest polic</w:t>
      </w:r>
      <w:r w:rsidR="173BEE99" w:rsidRPr="26BF515B">
        <w:rPr>
          <w:rFonts w:ascii="Calibri" w:hAnsi="Calibri"/>
        </w:rPr>
        <w:t>ie</w:t>
      </w:r>
      <w:r w:rsidR="00CC4D8E" w:rsidRPr="26BF515B">
        <w:rPr>
          <w:rFonts w:ascii="Calibri" w:hAnsi="Calibri"/>
        </w:rPr>
        <w:t xml:space="preserve">s, including Antananarivo, Madagascar; Addis Ababa, Ethiopia; Cali, Colombia; Jakarta, Indonesia; Kochi, India; </w:t>
      </w:r>
      <w:proofErr w:type="spellStart"/>
      <w:r w:rsidR="00CC4D8E" w:rsidRPr="26BF515B">
        <w:rPr>
          <w:rFonts w:ascii="Calibri" w:hAnsi="Calibri"/>
        </w:rPr>
        <w:t>Culiacán</w:t>
      </w:r>
      <w:proofErr w:type="spellEnd"/>
      <w:r w:rsidR="00CC4D8E" w:rsidRPr="26BF515B">
        <w:rPr>
          <w:rFonts w:ascii="Calibri" w:hAnsi="Calibri"/>
        </w:rPr>
        <w:t xml:space="preserve">, León, Mérida, Guadalajara, and Mexico City, Mexico, and Belo Horizonte, Campinas, and Rio Branco, Brazil. </w:t>
      </w:r>
      <w:r w:rsidRPr="26BF515B">
        <w:rPr>
          <w:rFonts w:ascii="Calibri" w:hAnsi="Calibri"/>
        </w:rPr>
        <w:t xml:space="preserve">Cities4Forests, with Defra’s support, will deliver the free online course for </w:t>
      </w:r>
      <w:r w:rsidR="00A83FE0" w:rsidRPr="26BF515B">
        <w:rPr>
          <w:rFonts w:ascii="Calibri" w:hAnsi="Calibri"/>
        </w:rPr>
        <w:t>planners</w:t>
      </w:r>
      <w:r w:rsidRPr="26BF515B">
        <w:rPr>
          <w:rFonts w:ascii="Calibri" w:hAnsi="Calibri"/>
        </w:rPr>
        <w:t xml:space="preserve"> and policymakers</w:t>
      </w:r>
      <w:r w:rsidR="00CC4D8E" w:rsidRPr="26BF515B">
        <w:rPr>
          <w:rFonts w:ascii="Calibri" w:hAnsi="Calibri"/>
        </w:rPr>
        <w:t xml:space="preserve"> in these developing countries</w:t>
      </w:r>
      <w:r w:rsidRPr="26BF515B">
        <w:rPr>
          <w:rFonts w:ascii="Calibri" w:hAnsi="Calibri"/>
        </w:rPr>
        <w:t xml:space="preserve"> to learn how other leading cities around the world are tackling urban forest management in the face of limited budgets, growing populations and climate change. Defra funds will support the research and creation of the peer-revi</w:t>
      </w:r>
      <w:r w:rsidR="00A83FE0" w:rsidRPr="26BF515B">
        <w:rPr>
          <w:rFonts w:ascii="Calibri" w:hAnsi="Calibri"/>
        </w:rPr>
        <w:t>ewed content and curriculum for the</w:t>
      </w:r>
      <w:r w:rsidRPr="26BF515B">
        <w:rPr>
          <w:rFonts w:ascii="Calibri" w:hAnsi="Calibri"/>
        </w:rPr>
        <w:t xml:space="preserve"> Cities4Forests </w:t>
      </w:r>
      <w:r w:rsidRPr="26BF515B">
        <w:rPr>
          <w:rFonts w:ascii="Calibri" w:hAnsi="Calibri"/>
          <w:i/>
          <w:iCs/>
        </w:rPr>
        <w:t>Policy and Planning for Urban Forests Course</w:t>
      </w:r>
      <w:r w:rsidRPr="26BF515B">
        <w:rPr>
          <w:rFonts w:ascii="Calibri" w:hAnsi="Calibri"/>
        </w:rPr>
        <w:t xml:space="preserve">. </w:t>
      </w:r>
    </w:p>
    <w:p w14:paraId="24715FAA" w14:textId="23945AA6" w:rsidR="005418C6" w:rsidRDefault="005418C6" w:rsidP="001C0155">
      <w:pPr>
        <w:pStyle w:val="ListParagraph"/>
        <w:numPr>
          <w:ilvl w:val="0"/>
          <w:numId w:val="10"/>
        </w:numPr>
        <w:tabs>
          <w:tab w:val="left" w:pos="7248"/>
        </w:tabs>
        <w:spacing w:after="120" w:line="252" w:lineRule="auto"/>
        <w:contextualSpacing w:val="0"/>
        <w:jc w:val="both"/>
        <w:rPr>
          <w:rFonts w:ascii="Calibri" w:hAnsi="Calibri"/>
        </w:rPr>
      </w:pPr>
      <w:r>
        <w:rPr>
          <w:rFonts w:ascii="Calibri" w:hAnsi="Calibri"/>
          <w:b/>
        </w:rPr>
        <w:t xml:space="preserve">Output 1.2: </w:t>
      </w:r>
      <w:r w:rsidRPr="006C1B67">
        <w:rPr>
          <w:rFonts w:ascii="Calibri" w:hAnsi="Calibri"/>
          <w:b/>
        </w:rPr>
        <w:t xml:space="preserve">Helping </w:t>
      </w:r>
      <w:r w:rsidR="00140483">
        <w:rPr>
          <w:rFonts w:ascii="Calibri" w:hAnsi="Calibri"/>
          <w:b/>
        </w:rPr>
        <w:t xml:space="preserve">developing country </w:t>
      </w:r>
      <w:r w:rsidRPr="006C1B67">
        <w:rPr>
          <w:rFonts w:ascii="Calibri" w:hAnsi="Calibri"/>
          <w:b/>
        </w:rPr>
        <w:t xml:space="preserve">cities access the best tools for </w:t>
      </w:r>
      <w:r w:rsidR="00140483">
        <w:rPr>
          <w:rFonts w:ascii="Calibri" w:hAnsi="Calibri"/>
          <w:b/>
        </w:rPr>
        <w:t>nature-based solutions</w:t>
      </w:r>
      <w:r w:rsidRPr="006C1B67">
        <w:rPr>
          <w:rFonts w:ascii="Calibri" w:hAnsi="Calibri"/>
          <w:b/>
        </w:rPr>
        <w:t xml:space="preserve"> </w:t>
      </w:r>
      <w:r w:rsidR="00140483">
        <w:rPr>
          <w:rFonts w:ascii="Calibri" w:hAnsi="Calibri"/>
          <w:b/>
        </w:rPr>
        <w:t>d</w:t>
      </w:r>
      <w:r w:rsidRPr="006C1B67">
        <w:rPr>
          <w:rFonts w:ascii="Calibri" w:hAnsi="Calibri"/>
          <w:b/>
        </w:rPr>
        <w:t>ecision-making.</w:t>
      </w:r>
      <w:r>
        <w:rPr>
          <w:rFonts w:ascii="Calibri" w:hAnsi="Calibri"/>
        </w:rPr>
        <w:t xml:space="preserve"> Through Cities4Forests, </w:t>
      </w:r>
      <w:r w:rsidR="001762FA">
        <w:rPr>
          <w:rFonts w:ascii="Calibri" w:hAnsi="Calibri"/>
        </w:rPr>
        <w:t>2</w:t>
      </w:r>
      <w:r w:rsidR="005B05C7">
        <w:rPr>
          <w:rFonts w:ascii="Calibri" w:hAnsi="Calibri"/>
        </w:rPr>
        <w:t>9</w:t>
      </w:r>
      <w:r w:rsidR="001762FA">
        <w:rPr>
          <w:rFonts w:ascii="Calibri" w:hAnsi="Calibri"/>
        </w:rPr>
        <w:t xml:space="preserve"> developing country</w:t>
      </w:r>
      <w:r>
        <w:rPr>
          <w:rFonts w:ascii="Calibri" w:hAnsi="Calibri"/>
        </w:rPr>
        <w:t xml:space="preserve"> cities have </w:t>
      </w:r>
      <w:r w:rsidR="00A83FE0">
        <w:rPr>
          <w:rFonts w:ascii="Calibri" w:hAnsi="Calibri"/>
        </w:rPr>
        <w:t>committed</w:t>
      </w:r>
      <w:r>
        <w:rPr>
          <w:rFonts w:ascii="Calibri" w:hAnsi="Calibri"/>
        </w:rPr>
        <w:t xml:space="preserve"> to increase </w:t>
      </w:r>
      <w:r w:rsidR="00A83FE0">
        <w:rPr>
          <w:rFonts w:ascii="Calibri" w:hAnsi="Calibri"/>
        </w:rPr>
        <w:t>their</w:t>
      </w:r>
      <w:r>
        <w:rPr>
          <w:rFonts w:ascii="Calibri" w:hAnsi="Calibri"/>
        </w:rPr>
        <w:t xml:space="preserve"> support for forests inside and outside their political </w:t>
      </w:r>
      <w:r w:rsidR="00A83FE0">
        <w:rPr>
          <w:rFonts w:ascii="Calibri" w:hAnsi="Calibri"/>
        </w:rPr>
        <w:t>boundaries</w:t>
      </w:r>
      <w:r>
        <w:rPr>
          <w:rFonts w:ascii="Calibri" w:hAnsi="Calibri"/>
        </w:rPr>
        <w:t xml:space="preserve">. Yet, with hundreds of guidelines, quantitative </w:t>
      </w:r>
      <w:proofErr w:type="gramStart"/>
      <w:r>
        <w:rPr>
          <w:rFonts w:ascii="Calibri" w:hAnsi="Calibri"/>
        </w:rPr>
        <w:t>tools</w:t>
      </w:r>
      <w:proofErr w:type="gramEnd"/>
      <w:r>
        <w:rPr>
          <w:rFonts w:ascii="Calibri" w:hAnsi="Calibri"/>
        </w:rPr>
        <w:t xml:space="preserve"> and shiny models, it can be difficult to know where to start. To make it easier for </w:t>
      </w:r>
      <w:r w:rsidR="001762FA">
        <w:rPr>
          <w:rFonts w:ascii="Calibri" w:hAnsi="Calibri"/>
        </w:rPr>
        <w:t xml:space="preserve">these </w:t>
      </w:r>
      <w:r>
        <w:rPr>
          <w:rFonts w:ascii="Calibri" w:hAnsi="Calibri"/>
        </w:rPr>
        <w:t xml:space="preserve">city officials to incorporate trees, </w:t>
      </w:r>
      <w:proofErr w:type="gramStart"/>
      <w:r>
        <w:rPr>
          <w:rFonts w:ascii="Calibri" w:hAnsi="Calibri"/>
        </w:rPr>
        <w:t>forests</w:t>
      </w:r>
      <w:proofErr w:type="gramEnd"/>
      <w:r>
        <w:rPr>
          <w:rFonts w:ascii="Calibri" w:hAnsi="Calibri"/>
        </w:rPr>
        <w:t xml:space="preserve"> and green infrastructure into their decision-making, planning and investments, Cities4Forests will develop a user-friendly toolbox to help city officials access the best tools available based on their thematic needs, locations and technical capacity. The toolkit will also provide </w:t>
      </w:r>
      <w:r w:rsidR="00A83FE0">
        <w:rPr>
          <w:rFonts w:ascii="Calibri" w:hAnsi="Calibri"/>
        </w:rPr>
        <w:t>connections</w:t>
      </w:r>
      <w:r>
        <w:rPr>
          <w:rFonts w:ascii="Calibri" w:hAnsi="Calibri"/>
        </w:rPr>
        <w:t xml:space="preserve"> with tool developers, access to </w:t>
      </w:r>
      <w:r w:rsidR="00A83FE0">
        <w:rPr>
          <w:rFonts w:ascii="Calibri" w:hAnsi="Calibri"/>
        </w:rPr>
        <w:t>case</w:t>
      </w:r>
      <w:r>
        <w:rPr>
          <w:rFonts w:ascii="Calibri" w:hAnsi="Calibri"/>
        </w:rPr>
        <w:t xml:space="preserve"> studies where specific tools have led to successful outcomes, and the opportunity for </w:t>
      </w:r>
      <w:r w:rsidR="00A83FE0">
        <w:rPr>
          <w:rFonts w:ascii="Calibri" w:hAnsi="Calibri"/>
        </w:rPr>
        <w:t>training</w:t>
      </w:r>
      <w:r>
        <w:rPr>
          <w:rFonts w:ascii="Calibri" w:hAnsi="Calibri"/>
        </w:rPr>
        <w:t xml:space="preserve"> on tool utilisation. Defra funds will support the research and creation of the </w:t>
      </w:r>
      <w:r w:rsidRPr="006C1B67">
        <w:rPr>
          <w:rFonts w:ascii="Calibri" w:hAnsi="Calibri"/>
          <w:i/>
        </w:rPr>
        <w:t>Cirties4Forests Toolbox</w:t>
      </w:r>
      <w:r>
        <w:rPr>
          <w:rFonts w:ascii="Calibri" w:hAnsi="Calibri"/>
        </w:rPr>
        <w:t xml:space="preserve">, which will be </w:t>
      </w:r>
      <w:proofErr w:type="spellStart"/>
      <w:r w:rsidR="00A83FE0">
        <w:rPr>
          <w:rFonts w:ascii="Calibri" w:hAnsi="Calibri"/>
        </w:rPr>
        <w:t>publically</w:t>
      </w:r>
      <w:proofErr w:type="spellEnd"/>
      <w:r>
        <w:rPr>
          <w:rFonts w:ascii="Calibri" w:hAnsi="Calibri"/>
        </w:rPr>
        <w:t xml:space="preserve"> available. </w:t>
      </w:r>
      <w:r w:rsidR="001762FA">
        <w:rPr>
          <w:rFonts w:ascii="Calibri" w:hAnsi="Calibri"/>
        </w:rPr>
        <w:t xml:space="preserve">These (and the outputs of 1.3 below) will then be tested across the following cities: Accra, Ghana; Addis Ababa, Ethiopia; Antananarivo, Madagascar; Nairobi, Kenya; Jakarta, Indonesia; Kochi, India; </w:t>
      </w:r>
      <w:r w:rsidR="001762FA" w:rsidRPr="001762FA">
        <w:rPr>
          <w:rFonts w:ascii="Calibri" w:hAnsi="Calibri"/>
        </w:rPr>
        <w:t xml:space="preserve">Belo Horizonte, Campinas, </w:t>
      </w:r>
      <w:proofErr w:type="spellStart"/>
      <w:r w:rsidR="001762FA" w:rsidRPr="001762FA">
        <w:rPr>
          <w:rFonts w:ascii="Calibri" w:hAnsi="Calibri"/>
        </w:rPr>
        <w:t>Macapá</w:t>
      </w:r>
      <w:proofErr w:type="spellEnd"/>
      <w:r w:rsidR="001762FA" w:rsidRPr="001762FA">
        <w:rPr>
          <w:rFonts w:ascii="Calibri" w:hAnsi="Calibri"/>
        </w:rPr>
        <w:t xml:space="preserve">, Palmas, Porto Velho, Rio Branco, Salvador, São Luis, São Paulo, </w:t>
      </w:r>
      <w:proofErr w:type="spellStart"/>
      <w:r w:rsidR="001762FA" w:rsidRPr="001762FA">
        <w:rPr>
          <w:rFonts w:ascii="Calibri" w:hAnsi="Calibri"/>
        </w:rPr>
        <w:t>Brazi</w:t>
      </w:r>
      <w:proofErr w:type="spellEnd"/>
      <w:r w:rsidR="001762FA" w:rsidRPr="001762FA">
        <w:rPr>
          <w:rFonts w:ascii="Calibri" w:hAnsi="Calibri"/>
        </w:rPr>
        <w:t xml:space="preserve">; </w:t>
      </w:r>
      <w:proofErr w:type="spellStart"/>
      <w:r w:rsidR="001762FA" w:rsidRPr="001762FA">
        <w:rPr>
          <w:rFonts w:ascii="Calibri" w:hAnsi="Calibri"/>
        </w:rPr>
        <w:t>Culiacán</w:t>
      </w:r>
      <w:proofErr w:type="spellEnd"/>
      <w:r w:rsidR="001762FA" w:rsidRPr="001762FA">
        <w:rPr>
          <w:rFonts w:ascii="Calibri" w:hAnsi="Calibri"/>
        </w:rPr>
        <w:t>, León, Mérida, Guadalajara, Mexico City</w:t>
      </w:r>
      <w:r w:rsidR="001762FA">
        <w:rPr>
          <w:rFonts w:ascii="Calibri" w:hAnsi="Calibri"/>
        </w:rPr>
        <w:t xml:space="preserve">, Mexico; </w:t>
      </w:r>
      <w:r w:rsidR="001762FA" w:rsidRPr="001762FA">
        <w:rPr>
          <w:rFonts w:ascii="Calibri" w:hAnsi="Calibri"/>
        </w:rPr>
        <w:t xml:space="preserve">Bogotá, Cali, Medellín, Colombia; </w:t>
      </w:r>
      <w:r w:rsidR="001762FA">
        <w:rPr>
          <w:rFonts w:ascii="Calibri" w:hAnsi="Calibri"/>
        </w:rPr>
        <w:t xml:space="preserve">and </w:t>
      </w:r>
      <w:r w:rsidR="001762FA" w:rsidRPr="001762FA">
        <w:rPr>
          <w:rFonts w:ascii="Calibri" w:hAnsi="Calibri"/>
        </w:rPr>
        <w:t>Quito, Ecuador.</w:t>
      </w:r>
      <w:r w:rsidR="001762FA">
        <w:t xml:space="preserve"> </w:t>
      </w:r>
    </w:p>
    <w:p w14:paraId="2C6FCF41" w14:textId="6618D234" w:rsidR="005418C6" w:rsidRDefault="005418C6" w:rsidP="001C0155">
      <w:pPr>
        <w:pStyle w:val="ListParagraph"/>
        <w:numPr>
          <w:ilvl w:val="0"/>
          <w:numId w:val="10"/>
        </w:numPr>
        <w:tabs>
          <w:tab w:val="left" w:pos="7248"/>
        </w:tabs>
        <w:spacing w:after="120" w:line="252" w:lineRule="auto"/>
        <w:contextualSpacing w:val="0"/>
        <w:jc w:val="both"/>
        <w:rPr>
          <w:rFonts w:ascii="Calibri" w:hAnsi="Calibri"/>
        </w:rPr>
      </w:pPr>
      <w:r>
        <w:rPr>
          <w:rFonts w:ascii="Calibri" w:hAnsi="Calibri"/>
          <w:b/>
        </w:rPr>
        <w:t xml:space="preserve">Output 1.3: </w:t>
      </w:r>
      <w:r w:rsidRPr="006C1B67">
        <w:rPr>
          <w:rFonts w:ascii="Calibri" w:hAnsi="Calibri"/>
          <w:b/>
        </w:rPr>
        <w:t>Assisting</w:t>
      </w:r>
      <w:r w:rsidR="00FE3BFB">
        <w:rPr>
          <w:rFonts w:ascii="Calibri" w:hAnsi="Calibri"/>
          <w:b/>
        </w:rPr>
        <w:t xml:space="preserve"> developing country</w:t>
      </w:r>
      <w:r w:rsidRPr="006C1B67">
        <w:rPr>
          <w:rFonts w:ascii="Calibri" w:hAnsi="Calibri"/>
          <w:b/>
        </w:rPr>
        <w:t xml:space="preserve"> cities to incorporate gender and social equity into </w:t>
      </w:r>
      <w:r w:rsidR="00FE3BFB">
        <w:rPr>
          <w:rFonts w:ascii="Calibri" w:hAnsi="Calibri"/>
          <w:b/>
        </w:rPr>
        <w:t>nature-based solutions</w:t>
      </w:r>
      <w:r w:rsidRPr="006C1B67">
        <w:rPr>
          <w:rFonts w:ascii="Calibri" w:hAnsi="Calibri"/>
          <w:b/>
        </w:rPr>
        <w:t xml:space="preserve"> projects.</w:t>
      </w:r>
      <w:r w:rsidRPr="006C1B67">
        <w:rPr>
          <w:rFonts w:ascii="Calibri" w:hAnsi="Calibri"/>
        </w:rPr>
        <w:t xml:space="preserve"> In conversations across the Cities4Forests network, city leaders consistently express the need for greater guidance on how to ensure that forest-related projects address growing local inequalities. To support cities with this challenge, Cities4Forests’ </w:t>
      </w:r>
      <w:hyperlink r:id="rId11">
        <w:r w:rsidRPr="006C1B67">
          <w:rPr>
            <w:rFonts w:ascii="Calibri" w:hAnsi="Calibri"/>
          </w:rPr>
          <w:t>Gender and Social Equity experts</w:t>
        </w:r>
      </w:hyperlink>
      <w:r w:rsidRPr="006C1B67">
        <w:rPr>
          <w:rFonts w:ascii="Calibri" w:hAnsi="Calibri"/>
        </w:rPr>
        <w:t xml:space="preserve"> will provide decision makers with the latest research, frameworks, case studies, and resources to guide cities toward positive, equitable, and inclusive forest-related projects. Defra funds will support the research and creation of the </w:t>
      </w:r>
      <w:r w:rsidRPr="006C1B67">
        <w:rPr>
          <w:rFonts w:ascii="Calibri" w:hAnsi="Calibri"/>
          <w:i/>
        </w:rPr>
        <w:t>Cities4Forests Gender and Social Equity Guidelines</w:t>
      </w:r>
      <w:r w:rsidRPr="006C1B67">
        <w:rPr>
          <w:rFonts w:ascii="Calibri" w:hAnsi="Calibri"/>
        </w:rPr>
        <w:t>, to be publicly available for piloting with</w:t>
      </w:r>
      <w:r w:rsidR="00FE3BFB">
        <w:rPr>
          <w:rFonts w:ascii="Calibri" w:hAnsi="Calibri"/>
        </w:rPr>
        <w:t xml:space="preserve"> developing cities mentioned in output 1.2 above</w:t>
      </w:r>
      <w:r>
        <w:rPr>
          <w:rFonts w:ascii="Calibri" w:hAnsi="Calibri"/>
        </w:rPr>
        <w:t xml:space="preserve">. </w:t>
      </w:r>
    </w:p>
    <w:p w14:paraId="2CBF4FF1" w14:textId="71F6A057" w:rsidR="00E03C9F" w:rsidRPr="00E03C9F" w:rsidRDefault="00E03C9F" w:rsidP="00E03C9F">
      <w:pPr>
        <w:pStyle w:val="ListParagraph"/>
        <w:numPr>
          <w:ilvl w:val="0"/>
          <w:numId w:val="10"/>
        </w:numPr>
        <w:tabs>
          <w:tab w:val="left" w:pos="7248"/>
        </w:tabs>
        <w:spacing w:after="120" w:line="252" w:lineRule="auto"/>
        <w:contextualSpacing w:val="0"/>
        <w:jc w:val="both"/>
        <w:rPr>
          <w:rFonts w:ascii="Calibri" w:hAnsi="Calibri"/>
        </w:rPr>
      </w:pPr>
      <w:r w:rsidRPr="00E03C9F">
        <w:rPr>
          <w:rFonts w:ascii="Calibri" w:hAnsi="Calibri"/>
          <w:b/>
        </w:rPr>
        <w:t>Output 1.4:</w:t>
      </w:r>
      <w:r>
        <w:rPr>
          <w:rFonts w:ascii="Calibri" w:hAnsi="Calibri"/>
        </w:rPr>
        <w:t xml:space="preserve"> </w:t>
      </w:r>
      <w:r w:rsidRPr="00E03C9F">
        <w:rPr>
          <w:rFonts w:ascii="Calibri" w:hAnsi="Calibri"/>
          <w:b/>
        </w:rPr>
        <w:t>Helping cities understand and reduce their impact on tropical “faraway” forests</w:t>
      </w:r>
      <w:r w:rsidRPr="00E03C9F">
        <w:rPr>
          <w:rFonts w:ascii="Calibri" w:hAnsi="Calibri"/>
        </w:rPr>
        <w:t xml:space="preserve">. Cities and their residents have an increasing impact on global tropical deforestation and resulting carbon emissions. However, city residents are often unaware of how their day-to-day consumption affects global forests, and currently there is no framework to measure, and thus manage, these impacts. Cities4Forests—in collaboration with other world leaders in this space including TRASE, Rainforest Foundation Norway, and Wildlife Conservation Society—will help cities calculate their consumption of forest-risk commodities, providing a springboard for cities to invest in protecting tropical forests through Cities4Forests’ Partner Forest Program (see #5 below). </w:t>
      </w:r>
      <w:r w:rsidR="007534A7">
        <w:rPr>
          <w:rFonts w:ascii="Calibri" w:hAnsi="Calibri"/>
        </w:rPr>
        <w:t>Defra’s support of the</w:t>
      </w:r>
      <w:r w:rsidRPr="00E03C9F">
        <w:rPr>
          <w:rFonts w:ascii="Calibri" w:hAnsi="Calibri"/>
        </w:rPr>
        <w:t xml:space="preserve"> Forest Footprint Framework will help </w:t>
      </w:r>
      <w:r w:rsidR="00215A46">
        <w:rPr>
          <w:rFonts w:ascii="Calibri" w:hAnsi="Calibri"/>
        </w:rPr>
        <w:t xml:space="preserve">developing country </w:t>
      </w:r>
      <w:r w:rsidRPr="00E03C9F">
        <w:rPr>
          <w:rFonts w:ascii="Calibri" w:hAnsi="Calibri"/>
        </w:rPr>
        <w:t xml:space="preserve">cities understand and visualize their impact on tropical forests, provide an analysis of the main causes of the deforestation that each city is responsible for, and offer insights on steps to reduce or offset their forest footprint. Defra funds will support the research and creation of the </w:t>
      </w:r>
      <w:r w:rsidRPr="00E03C9F">
        <w:rPr>
          <w:rFonts w:ascii="Calibri" w:hAnsi="Calibri"/>
          <w:i/>
        </w:rPr>
        <w:t>Cities4Forests Faraway Forests Footprint Framework</w:t>
      </w:r>
      <w:r w:rsidR="00215A46">
        <w:rPr>
          <w:rFonts w:ascii="Calibri" w:hAnsi="Calibri"/>
        </w:rPr>
        <w:t xml:space="preserve"> and the piloting of this framework with two developing country cities: </w:t>
      </w:r>
      <w:r w:rsidR="00215A46" w:rsidRPr="00215A46">
        <w:rPr>
          <w:rFonts w:ascii="Calibri" w:hAnsi="Calibri"/>
        </w:rPr>
        <w:t>Quito, Ecuador and Mexico City, Mexico</w:t>
      </w:r>
      <w:r w:rsidRPr="00215A46">
        <w:rPr>
          <w:rFonts w:ascii="Calibri" w:hAnsi="Calibri"/>
        </w:rPr>
        <w:t>.</w:t>
      </w:r>
    </w:p>
    <w:p w14:paraId="2D4576B8" w14:textId="77777777" w:rsidR="005418C6" w:rsidRDefault="005418C6" w:rsidP="001C0155">
      <w:pPr>
        <w:pStyle w:val="ListParagraph"/>
        <w:numPr>
          <w:ilvl w:val="0"/>
          <w:numId w:val="10"/>
        </w:numPr>
        <w:tabs>
          <w:tab w:val="left" w:pos="7248"/>
        </w:tabs>
        <w:spacing w:after="120" w:line="252" w:lineRule="auto"/>
        <w:contextualSpacing w:val="0"/>
        <w:jc w:val="both"/>
        <w:rPr>
          <w:rFonts w:ascii="Calibri" w:hAnsi="Calibri"/>
        </w:rPr>
      </w:pPr>
      <w:r>
        <w:rPr>
          <w:rFonts w:ascii="Calibri" w:hAnsi="Calibri"/>
          <w:b/>
        </w:rPr>
        <w:t xml:space="preserve">Output 1.5: </w:t>
      </w:r>
      <w:r w:rsidRPr="006C1B67">
        <w:rPr>
          <w:rFonts w:ascii="Calibri" w:hAnsi="Calibri"/>
          <w:b/>
        </w:rPr>
        <w:t>Creating partner forest relationships between cities and tropical forests.</w:t>
      </w:r>
      <w:r w:rsidRPr="006C1B67">
        <w:rPr>
          <w:rFonts w:ascii="Calibri" w:hAnsi="Calibri"/>
        </w:rPr>
        <w:t xml:space="preserve"> Showing the world meaningful and </w:t>
      </w:r>
      <w:proofErr w:type="gramStart"/>
      <w:r w:rsidRPr="006C1B67">
        <w:rPr>
          <w:rFonts w:ascii="Calibri" w:hAnsi="Calibri"/>
        </w:rPr>
        <w:t>mutually-beneficial</w:t>
      </w:r>
      <w:proofErr w:type="gramEnd"/>
      <w:r w:rsidRPr="006C1B67">
        <w:rPr>
          <w:rFonts w:ascii="Calibri" w:hAnsi="Calibri"/>
        </w:rPr>
        <w:t xml:space="preserve"> relationships between “western” cities and tropical forests is a core component of Cities4Forests’ theory of change. These “partner forest” relationships will draw attention to the urban-rural interdependencies that currently drive the majority of tropical deforestation and offer charismatic “forest-positive” alternatives that city residents and governments can feel proud of.  With Defra support, Cities4Forests will lead one targeted leadership workshop to accelerate Cities4Forests’ partner forest program in either Papua New Guinea, Ghana, or Ecuador. The outcome of the workshop will be a robust adaptable business model with budget, timeline, maps, tools, impact analysis (including carbon and biodiversity projections) and an organizational structure. This will accelerate the uptake of our member cities who are looking for climate action alternatives as they move towards net zero commitments. </w:t>
      </w:r>
    </w:p>
    <w:p w14:paraId="2C683468" w14:textId="499DEDCA" w:rsidR="007818A6" w:rsidRPr="001C0155" w:rsidRDefault="007818A6" w:rsidP="001C0155">
      <w:pPr>
        <w:pStyle w:val="ListParagraph"/>
        <w:numPr>
          <w:ilvl w:val="0"/>
          <w:numId w:val="8"/>
        </w:numPr>
        <w:tabs>
          <w:tab w:val="left" w:pos="7248"/>
        </w:tabs>
        <w:spacing w:after="120" w:line="252" w:lineRule="auto"/>
        <w:ind w:left="20"/>
        <w:contextualSpacing w:val="0"/>
        <w:jc w:val="both"/>
        <w:rPr>
          <w:rFonts w:ascii="Calibri" w:hAnsi="Calibri"/>
        </w:rPr>
      </w:pPr>
      <w:r w:rsidRPr="001C0155">
        <w:rPr>
          <w:rFonts w:ascii="Calibri" w:hAnsi="Calibri"/>
          <w:b/>
        </w:rPr>
        <w:t>Outcome 2:</w:t>
      </w:r>
      <w:r w:rsidRPr="001C0155">
        <w:rPr>
          <w:rFonts w:ascii="Calibri" w:hAnsi="Calibri"/>
        </w:rPr>
        <w:t xml:space="preserve"> </w:t>
      </w:r>
      <w:r w:rsidR="00927CAB">
        <w:rPr>
          <w:rFonts w:ascii="Calibri" w:hAnsi="Calibri"/>
        </w:rPr>
        <w:t xml:space="preserve">Developing country’s </w:t>
      </w:r>
      <w:r w:rsidRPr="001C0155">
        <w:rPr>
          <w:rFonts w:ascii="Calibri" w:hAnsi="Calibri"/>
        </w:rPr>
        <w:t>city governments increase investment (political, economic, social) and implement new and/or improved programs to support the management and conservation of inner and nearby forests.</w:t>
      </w:r>
    </w:p>
    <w:p w14:paraId="7C8BCE32" w14:textId="77777777" w:rsidR="005418C6" w:rsidRPr="00220065" w:rsidRDefault="005418C6" w:rsidP="005418C6">
      <w:pPr>
        <w:pStyle w:val="ListParagraph"/>
        <w:numPr>
          <w:ilvl w:val="0"/>
          <w:numId w:val="10"/>
        </w:numPr>
        <w:tabs>
          <w:tab w:val="left" w:pos="7248"/>
        </w:tabs>
        <w:spacing w:after="120" w:line="252" w:lineRule="auto"/>
        <w:contextualSpacing w:val="0"/>
        <w:jc w:val="both"/>
        <w:rPr>
          <w:rFonts w:ascii="Calibri" w:hAnsi="Calibri"/>
        </w:rPr>
      </w:pPr>
      <w:r>
        <w:rPr>
          <w:rFonts w:ascii="Calibri" w:hAnsi="Calibri"/>
          <w:b/>
        </w:rPr>
        <w:t xml:space="preserve">Output 2.1: </w:t>
      </w:r>
      <w:r w:rsidRPr="00220065">
        <w:rPr>
          <w:rFonts w:ascii="Calibri" w:hAnsi="Calibri"/>
          <w:b/>
        </w:rPr>
        <w:t>Mapping baseline tree cover in Antananarivo, Madagascar.</w:t>
      </w:r>
      <w:r w:rsidRPr="00220065">
        <w:rPr>
          <w:rFonts w:ascii="Calibri" w:hAnsi="Calibri"/>
        </w:rPr>
        <w:t xml:space="preserve"> Partnering with the Antananarivo City Hall and responding directly to the mayor’s request for technical assistance to increase tree cover, Cities4Forests hosted the </w:t>
      </w:r>
      <w:hyperlink r:id="rId12">
        <w:r w:rsidRPr="00220065">
          <w:rPr>
            <w:rFonts w:ascii="Calibri" w:hAnsi="Calibri"/>
          </w:rPr>
          <w:t>first-ever tree cover mapping workshop in the city</w:t>
        </w:r>
      </w:hyperlink>
      <w:r w:rsidRPr="00220065">
        <w:rPr>
          <w:rFonts w:ascii="Calibri" w:hAnsi="Calibri"/>
        </w:rPr>
        <w:t xml:space="preserve"> in August 2019. With Defra resources, Cities4Forests will partner with city government, civil society and academia to</w:t>
      </w:r>
      <w:hyperlink r:id="rId13">
        <w:r w:rsidRPr="00220065">
          <w:rPr>
            <w:rFonts w:ascii="Calibri" w:hAnsi="Calibri"/>
          </w:rPr>
          <w:t xml:space="preserve"> </w:t>
        </w:r>
      </w:hyperlink>
      <w:proofErr w:type="spellStart"/>
      <w:r w:rsidRPr="00220065">
        <w:rPr>
          <w:rFonts w:ascii="Calibri" w:hAnsi="Calibri"/>
        </w:rPr>
        <w:t>analyze</w:t>
      </w:r>
      <w:proofErr w:type="spellEnd"/>
      <w:r w:rsidRPr="00220065">
        <w:rPr>
          <w:rFonts w:ascii="Calibri" w:hAnsi="Calibri"/>
        </w:rPr>
        <w:t xml:space="preserve"> the data collected and establish the city’s first tree cover and tree count baselines. The analysis will be used to inform Antananarivo’s urban agroforestry expansion strategy, championed by the mayor as a solution to combat stormwater flooding</w:t>
      </w:r>
      <w:r>
        <w:rPr>
          <w:rFonts w:ascii="Calibri" w:hAnsi="Calibri"/>
        </w:rPr>
        <w:t>, adapt to climate change,</w:t>
      </w:r>
      <w:r w:rsidRPr="00220065">
        <w:rPr>
          <w:rFonts w:ascii="Calibri" w:hAnsi="Calibri"/>
        </w:rPr>
        <w:t xml:space="preserve"> and improve the health and well-being of the city’s more than 5 million residents. Defra’s funds will support the analysis and allow for deep socialization of the results with the Antananarivo City Hall and local media. This outcome will set the stage for expansion of this work to Antananarivo’s watersheds (nearby forests) which have suffered deforestation related to urban expansion and increased fuelwood demand.</w:t>
      </w:r>
    </w:p>
    <w:p w14:paraId="1A723CC4" w14:textId="77777777" w:rsidR="005418C6" w:rsidRPr="00220065" w:rsidRDefault="005418C6" w:rsidP="005418C6">
      <w:pPr>
        <w:pStyle w:val="ListParagraph"/>
        <w:numPr>
          <w:ilvl w:val="0"/>
          <w:numId w:val="10"/>
        </w:numPr>
        <w:tabs>
          <w:tab w:val="left" w:pos="7248"/>
        </w:tabs>
        <w:spacing w:after="120" w:line="252" w:lineRule="auto"/>
        <w:contextualSpacing w:val="0"/>
        <w:jc w:val="both"/>
        <w:rPr>
          <w:rFonts w:ascii="Calibri" w:hAnsi="Calibri"/>
        </w:rPr>
      </w:pPr>
      <w:r>
        <w:rPr>
          <w:rFonts w:ascii="Calibri" w:hAnsi="Calibri"/>
          <w:b/>
        </w:rPr>
        <w:t xml:space="preserve">Output 2.2: </w:t>
      </w:r>
      <w:r w:rsidRPr="00220065">
        <w:rPr>
          <w:rFonts w:ascii="Calibri" w:hAnsi="Calibri"/>
          <w:b/>
        </w:rPr>
        <w:t>Assessing the economic benefit of Campinas, Brazil’s Nearby Forests to provide clean and plentiful water for the city.</w:t>
      </w:r>
      <w:r w:rsidRPr="00220065">
        <w:rPr>
          <w:rFonts w:ascii="Calibri" w:hAnsi="Calibri"/>
        </w:rPr>
        <w:t xml:space="preserve"> Using WRI’s Green-Gray Assessment method, established to enable stakeholders to value the costs and benefits of integrating green infrastructure into water supply systems to improve performance, and building on previous successful applications in São Paulo and Rio de Janeiro, WRI </w:t>
      </w:r>
      <w:proofErr w:type="spellStart"/>
      <w:r w:rsidRPr="00220065">
        <w:rPr>
          <w:rFonts w:ascii="Calibri" w:hAnsi="Calibri"/>
        </w:rPr>
        <w:t>Brasil</w:t>
      </w:r>
      <w:proofErr w:type="spellEnd"/>
      <w:r w:rsidRPr="00220065">
        <w:rPr>
          <w:rFonts w:ascii="Calibri" w:hAnsi="Calibri"/>
        </w:rPr>
        <w:t xml:space="preserve"> will conduct a green-</w:t>
      </w:r>
      <w:proofErr w:type="spellStart"/>
      <w:r w:rsidRPr="00220065">
        <w:rPr>
          <w:rFonts w:ascii="Calibri" w:hAnsi="Calibri"/>
        </w:rPr>
        <w:t>gray</w:t>
      </w:r>
      <w:proofErr w:type="spellEnd"/>
      <w:r w:rsidRPr="00220065">
        <w:rPr>
          <w:rFonts w:ascii="Calibri" w:hAnsi="Calibri"/>
        </w:rPr>
        <w:t xml:space="preserve"> economic assessment of Campinas’ nearby forested watershed. The Santa Geneva Forest, along with the multiple green corridors and forest fragments found in Campinas’ watershed, play a critical role in providing water for the city and its 3 million residents. Yet, urban expansion and agricultural pressure threaten these forested ecosystems. Partnering with the city government and the local water utility, </w:t>
      </w:r>
      <w:proofErr w:type="spellStart"/>
      <w:r w:rsidRPr="00220065">
        <w:rPr>
          <w:rFonts w:ascii="Calibri" w:hAnsi="Calibri"/>
        </w:rPr>
        <w:t>Sanasa</w:t>
      </w:r>
      <w:proofErr w:type="spellEnd"/>
      <w:r w:rsidRPr="00220065">
        <w:rPr>
          <w:rFonts w:ascii="Calibri" w:hAnsi="Calibri"/>
        </w:rPr>
        <w:t xml:space="preserve">, WRI </w:t>
      </w:r>
      <w:proofErr w:type="spellStart"/>
      <w:r w:rsidRPr="00220065">
        <w:rPr>
          <w:rFonts w:ascii="Calibri" w:hAnsi="Calibri"/>
        </w:rPr>
        <w:t>Brasil</w:t>
      </w:r>
      <w:proofErr w:type="spellEnd"/>
      <w:r w:rsidRPr="00220065">
        <w:rPr>
          <w:rFonts w:ascii="Calibri" w:hAnsi="Calibri"/>
        </w:rPr>
        <w:t xml:space="preserve"> will execute an economic assessment to quantify the role that Campinas’ watershed forests play in reducing water turbidity (which lowers water treatment costs for the utility) and enhanced water security. With support from Defra, WRI </w:t>
      </w:r>
      <w:proofErr w:type="spellStart"/>
      <w:r w:rsidRPr="00220065">
        <w:rPr>
          <w:rFonts w:ascii="Calibri" w:hAnsi="Calibri"/>
        </w:rPr>
        <w:t>Brasil</w:t>
      </w:r>
      <w:proofErr w:type="spellEnd"/>
      <w:r w:rsidRPr="00220065">
        <w:rPr>
          <w:rFonts w:ascii="Calibri" w:hAnsi="Calibri"/>
        </w:rPr>
        <w:t xml:space="preserve"> will convene stakeholders and host a </w:t>
      </w:r>
      <w:proofErr w:type="spellStart"/>
      <w:r w:rsidRPr="00220065">
        <w:rPr>
          <w:rFonts w:ascii="Calibri" w:hAnsi="Calibri"/>
        </w:rPr>
        <w:t>kickoff</w:t>
      </w:r>
      <w:proofErr w:type="spellEnd"/>
      <w:r w:rsidRPr="00220065">
        <w:rPr>
          <w:rFonts w:ascii="Calibri" w:hAnsi="Calibri"/>
        </w:rPr>
        <w:t xml:space="preserve"> workshop to identify research needs, initiate data analysis, identify data gaps, broaden stakeholder buy-in, and finalize a work plan.</w:t>
      </w:r>
    </w:p>
    <w:p w14:paraId="2B91F48F" w14:textId="77777777" w:rsidR="005418C6" w:rsidRDefault="005418C6" w:rsidP="005418C6">
      <w:pPr>
        <w:pStyle w:val="ListParagraph"/>
        <w:numPr>
          <w:ilvl w:val="0"/>
          <w:numId w:val="10"/>
        </w:numPr>
        <w:tabs>
          <w:tab w:val="left" w:pos="7248"/>
        </w:tabs>
        <w:spacing w:after="120" w:line="252" w:lineRule="auto"/>
        <w:contextualSpacing w:val="0"/>
        <w:jc w:val="both"/>
        <w:rPr>
          <w:rFonts w:ascii="Calibri" w:hAnsi="Calibri"/>
        </w:rPr>
      </w:pPr>
      <w:r>
        <w:rPr>
          <w:rFonts w:ascii="Calibri" w:hAnsi="Calibri"/>
          <w:b/>
        </w:rPr>
        <w:t xml:space="preserve">Output 2.3: </w:t>
      </w:r>
      <w:r w:rsidRPr="00220065">
        <w:rPr>
          <w:rFonts w:ascii="Calibri" w:hAnsi="Calibri"/>
          <w:b/>
        </w:rPr>
        <w:t xml:space="preserve">Mapping the water and vegetation resources of Kochi, India. </w:t>
      </w:r>
      <w:r w:rsidRPr="00220065">
        <w:rPr>
          <w:rFonts w:ascii="Calibri" w:hAnsi="Calibri"/>
        </w:rPr>
        <w:t>Each year, Kochi suffers from extreme weather events such as widespread flooding and severe heat islands. The Kochi city government has identified tree cover expansion in strategic locations as the priority intervention to provide ecosystem benefits for the city and improve the lives of Kochi’s 900,000 residents. In collaboration with the city government, WRI India will lead an effort to map Kochi’s water and vegetation resources. The analysis—including the city’s first tree cover baseline—will serve as a decision-support tool for the city to identify and prioritize the most vulnerable areas and highest potential locations for strategic tree-based mitigation efforts to offset urban heat islands and reduce stormwater flood risk. In addition, the project aims to raise awareness and build capacity among local stakeholders regarding the benefits NBS can provide the city and its residents. Defra funds will support the creation of Kochi’s first tree cover baseline, which will be ready for the city government to incorporate into local policies.</w:t>
      </w:r>
    </w:p>
    <w:p w14:paraId="26DD73B7" w14:textId="668B98EA" w:rsidR="00E03C9F" w:rsidRPr="00E03C9F" w:rsidRDefault="00E03C9F" w:rsidP="00E03C9F">
      <w:pPr>
        <w:pStyle w:val="ListParagraph"/>
        <w:numPr>
          <w:ilvl w:val="0"/>
          <w:numId w:val="10"/>
        </w:numPr>
        <w:spacing w:before="240" w:after="0"/>
        <w:rPr>
          <w:rFonts w:ascii="Calibri" w:hAnsi="Calibri"/>
        </w:rPr>
      </w:pPr>
      <w:r w:rsidRPr="00E03C9F">
        <w:rPr>
          <w:rFonts w:ascii="Calibri" w:hAnsi="Calibri"/>
          <w:b/>
        </w:rPr>
        <w:t>Output 2.4: Mapping tree cover and gr</w:t>
      </w:r>
      <w:r>
        <w:rPr>
          <w:rFonts w:ascii="Calibri" w:hAnsi="Calibri"/>
          <w:b/>
        </w:rPr>
        <w:t xml:space="preserve">een space in Jakarta, Indonesia, </w:t>
      </w:r>
      <w:r w:rsidRPr="00E03C9F">
        <w:rPr>
          <w:rFonts w:ascii="Calibri" w:hAnsi="Calibri"/>
        </w:rPr>
        <w:t xml:space="preserve">as a primer for tree cover expansion to address air pollution concerns.  Partnering with the Jakarta Governor’s Office, Cities4Forests will host a mapping workshop to assess urban tree cover and the extent of green space in Jakarta. In June 2019, Jakarta came under local and international scrutiny for poor air quality caused by its aging transportation and energy sectors. While the city plans to reform and decarbonize these sectors, the Governor’s Office simultaneously prioritized tree planting and the expansion of green space to offset existing air pollution. In response to public outcry and calls for action from residents, the Governor’s Office issued the Gubernatorial Instruction No. 66/2019 which includes the need to </w:t>
      </w:r>
      <w:hyperlink r:id="rId14" w:history="1">
        <w:r w:rsidRPr="00E03C9F">
          <w:rPr>
            <w:rFonts w:ascii="Calibri" w:hAnsi="Calibri"/>
          </w:rPr>
          <w:t>expand tree cover and green space to offset air pollution</w:t>
        </w:r>
      </w:hyperlink>
      <w:r w:rsidRPr="00E03C9F">
        <w:rPr>
          <w:rFonts w:ascii="Calibri" w:hAnsi="Calibri"/>
        </w:rPr>
        <w:t xml:space="preserve">. Cities4Forests and WRI Indonesia are well-positioned to provide technical assistance to establish Jakarta’s tree cover and green space baselines and assess the opportunities for tree planting, thereby informing the Governor’s tree cover expansion strategy. Defra’s funds will support the analysis and allow for initial socialization of the results with the city government and local media. Further, Defra support will enable the team to begin developing the necessary guidance on optimal species selection, given the uncertainty of climate change and the specific air quality benefits desired. </w:t>
      </w:r>
    </w:p>
    <w:p w14:paraId="2DA5068B" w14:textId="00DADAF5" w:rsidR="002831BD" w:rsidRPr="002831BD" w:rsidRDefault="00E03C9F" w:rsidP="002831BD">
      <w:pPr>
        <w:pStyle w:val="ListParagraph"/>
        <w:numPr>
          <w:ilvl w:val="0"/>
          <w:numId w:val="10"/>
        </w:numPr>
        <w:spacing w:before="240" w:after="0"/>
        <w:rPr>
          <w:rFonts w:ascii="Calibri" w:hAnsi="Calibri"/>
        </w:rPr>
      </w:pPr>
      <w:r w:rsidRPr="00215A46">
        <w:rPr>
          <w:rFonts w:ascii="Calibri" w:hAnsi="Calibri"/>
          <w:b/>
        </w:rPr>
        <w:t>Output 2.5      Accessing finance for nature-based solutions in Mexico.</w:t>
      </w:r>
      <w:r w:rsidRPr="00E03C9F">
        <w:rPr>
          <w:rFonts w:ascii="Calibri" w:hAnsi="Calibri"/>
        </w:rPr>
        <w:t xml:space="preserve"> Cities4Forests has received overwhelming demand from the six participating Mexican cities (Aguascalientes, </w:t>
      </w:r>
      <w:proofErr w:type="spellStart"/>
      <w:r w:rsidRPr="00E03C9F">
        <w:rPr>
          <w:rFonts w:ascii="Calibri" w:hAnsi="Calibri"/>
        </w:rPr>
        <w:t>Culiacán</w:t>
      </w:r>
      <w:proofErr w:type="spellEnd"/>
      <w:r w:rsidRPr="00E03C9F">
        <w:rPr>
          <w:rFonts w:ascii="Calibri" w:hAnsi="Calibri"/>
        </w:rPr>
        <w:t xml:space="preserve">, León, Mérida, Guadalajara, and Mexico City) for increased technical support and capacity building around how to access public and private finance for nature-based solutions. Cities4Forests, in collaboration with WRI Mexico, proposes to address this need by delivering two workshops and one high-level convening event to build city government capacity and highlight relevant opportunities for the six Cities4Forests Mexican cities. </w:t>
      </w:r>
    </w:p>
    <w:p w14:paraId="3DE2A2A1" w14:textId="77777777" w:rsidR="00E03C9F" w:rsidRPr="00E03C9F" w:rsidRDefault="00E03C9F" w:rsidP="00E03C9F">
      <w:pPr>
        <w:pStyle w:val="ListParagraph"/>
        <w:numPr>
          <w:ilvl w:val="0"/>
          <w:numId w:val="10"/>
        </w:numPr>
        <w:spacing w:before="240" w:after="0"/>
        <w:rPr>
          <w:rFonts w:ascii="Calibri" w:hAnsi="Calibri"/>
        </w:rPr>
      </w:pPr>
      <w:r w:rsidRPr="00E03C9F">
        <w:rPr>
          <w:rFonts w:ascii="Calibri" w:hAnsi="Calibri"/>
        </w:rPr>
        <w:t xml:space="preserve">Of these six cities, two are also part of the Mexican cohort of </w:t>
      </w:r>
      <w:hyperlink r:id="rId15" w:history="1">
        <w:proofErr w:type="spellStart"/>
        <w:r w:rsidRPr="00E03C9F">
          <w:rPr>
            <w:rFonts w:ascii="Calibri" w:hAnsi="Calibri"/>
          </w:rPr>
          <w:t>TheCityFix</w:t>
        </w:r>
        <w:proofErr w:type="spellEnd"/>
        <w:r w:rsidRPr="00E03C9F">
          <w:rPr>
            <w:rFonts w:ascii="Calibri" w:hAnsi="Calibri"/>
          </w:rPr>
          <w:t xml:space="preserve"> Labs</w:t>
        </w:r>
      </w:hyperlink>
      <w:r w:rsidRPr="00E03C9F">
        <w:rPr>
          <w:rFonts w:ascii="Calibri" w:hAnsi="Calibri"/>
        </w:rPr>
        <w:t xml:space="preserve">, an initiative that helps cities access sustainable urban finance to implement green infrastructure projects. These two cities, </w:t>
      </w:r>
      <w:proofErr w:type="gramStart"/>
      <w:r w:rsidRPr="00E03C9F">
        <w:rPr>
          <w:rFonts w:ascii="Calibri" w:hAnsi="Calibri"/>
        </w:rPr>
        <w:t>Mérida</w:t>
      </w:r>
      <w:proofErr w:type="gramEnd"/>
      <w:r w:rsidRPr="00E03C9F">
        <w:rPr>
          <w:rFonts w:ascii="Calibri" w:hAnsi="Calibri"/>
        </w:rPr>
        <w:t xml:space="preserve"> and Mexico City, have well-defined nature-based solutions objectives in need of financing. Mérida aims to upgrade its stormwater drainage system from a pool of wells that channel polluted water directly to the city’s aquifers into a network of green infrastructure drainage systems. Mexico City aims to establish a third section of Bosque de Chapultepec, an expansive urban park that provides hydrological ecosystem services to the city and the broader metropolitan area, serving more than 22 million residents. Other </w:t>
      </w:r>
      <w:proofErr w:type="spellStart"/>
      <w:r w:rsidRPr="00E03C9F">
        <w:rPr>
          <w:rFonts w:ascii="Calibri" w:hAnsi="Calibri"/>
        </w:rPr>
        <w:t>CityFixLabs</w:t>
      </w:r>
      <w:proofErr w:type="spellEnd"/>
      <w:r w:rsidRPr="00E03C9F">
        <w:rPr>
          <w:rFonts w:ascii="Calibri" w:hAnsi="Calibri"/>
        </w:rPr>
        <w:t xml:space="preserve"> cohort cities, such as </w:t>
      </w:r>
      <w:proofErr w:type="spellStart"/>
      <w:r w:rsidRPr="00E03C9F">
        <w:rPr>
          <w:rFonts w:ascii="Calibri" w:hAnsi="Calibri"/>
        </w:rPr>
        <w:t>Xalapa</w:t>
      </w:r>
      <w:proofErr w:type="spellEnd"/>
      <w:r w:rsidRPr="00E03C9F">
        <w:rPr>
          <w:rFonts w:ascii="Calibri" w:hAnsi="Calibri"/>
        </w:rPr>
        <w:t xml:space="preserve"> and Hermosillo, as well as the larger state of Guanajuato, are also interested in joining Cities4Forests and would also be able to benefit from the Defra-funded workshops. </w:t>
      </w:r>
    </w:p>
    <w:p w14:paraId="57E33A57" w14:textId="7ED5C659" w:rsidR="00E03C9F" w:rsidRDefault="00E03C9F" w:rsidP="00E03C9F">
      <w:pPr>
        <w:pStyle w:val="ListParagraph"/>
        <w:numPr>
          <w:ilvl w:val="0"/>
          <w:numId w:val="10"/>
        </w:numPr>
        <w:spacing w:before="240" w:after="0"/>
        <w:rPr>
          <w:rFonts w:ascii="Calibri" w:hAnsi="Calibri"/>
        </w:rPr>
      </w:pPr>
      <w:r w:rsidRPr="00E03C9F">
        <w:rPr>
          <w:rFonts w:ascii="Calibri" w:hAnsi="Calibri"/>
        </w:rPr>
        <w:t xml:space="preserve">Defra funds would support the delivery of the two workshops and the high-level convening event, allowing multiple cities to participate, access technical expertise, and exchange best practices. The key takeaways and recommendations on accessing finance and improving project bankability will be circulated with other cities, and the long-term outcome would be to facilitate financial transactions between investors and Cities4Forests nature-based solutions projects in Mexico.  </w:t>
      </w:r>
    </w:p>
    <w:p w14:paraId="670E8F5D" w14:textId="77777777" w:rsidR="002831BD" w:rsidRPr="00E03C9F" w:rsidRDefault="002831BD" w:rsidP="002831BD">
      <w:pPr>
        <w:pStyle w:val="ListParagraph"/>
        <w:spacing w:before="240" w:after="0"/>
        <w:rPr>
          <w:rFonts w:ascii="Calibri" w:hAnsi="Calibri"/>
        </w:rPr>
      </w:pPr>
    </w:p>
    <w:p w14:paraId="06F6AF16" w14:textId="3E24561E" w:rsidR="00B92E42" w:rsidRPr="001C0155" w:rsidRDefault="007818A6" w:rsidP="001C0155">
      <w:pPr>
        <w:pStyle w:val="ListParagraph"/>
        <w:numPr>
          <w:ilvl w:val="0"/>
          <w:numId w:val="8"/>
        </w:numPr>
        <w:tabs>
          <w:tab w:val="left" w:pos="7248"/>
        </w:tabs>
        <w:spacing w:after="120" w:line="252" w:lineRule="auto"/>
        <w:ind w:left="20"/>
        <w:contextualSpacing w:val="0"/>
        <w:jc w:val="both"/>
        <w:rPr>
          <w:rFonts w:ascii="Calibri" w:hAnsi="Calibri"/>
        </w:rPr>
      </w:pPr>
      <w:r w:rsidRPr="001C0155">
        <w:rPr>
          <w:rFonts w:ascii="Calibri" w:hAnsi="Calibri"/>
          <w:b/>
        </w:rPr>
        <w:t>Outcome 3:</w:t>
      </w:r>
      <w:r w:rsidRPr="001C0155">
        <w:rPr>
          <w:rFonts w:ascii="Calibri" w:hAnsi="Calibri"/>
        </w:rPr>
        <w:t xml:space="preserve"> </w:t>
      </w:r>
      <w:r w:rsidR="00927CAB">
        <w:rPr>
          <w:rFonts w:ascii="Calibri" w:hAnsi="Calibri"/>
        </w:rPr>
        <w:t>Developing country m</w:t>
      </w:r>
      <w:r w:rsidRPr="001C0155">
        <w:rPr>
          <w:rFonts w:ascii="Calibri" w:hAnsi="Calibri"/>
        </w:rPr>
        <w:t>ayors increase political action and support for trees and forests as a solution for combatting climate change, supporting better water management, and improving human health and well-being, citing an established evidence-based narrative about the benefits of inner, nearby, and faraway forests to cities and their residents.</w:t>
      </w:r>
      <w:r w:rsidR="00B92E42" w:rsidRPr="001C0155">
        <w:rPr>
          <w:rFonts w:ascii="Calibri" w:hAnsi="Calibri"/>
        </w:rPr>
        <w:t xml:space="preserve"> </w:t>
      </w:r>
    </w:p>
    <w:p w14:paraId="604A856D" w14:textId="448B3527" w:rsidR="007604AE" w:rsidRPr="007604AE" w:rsidRDefault="007818A6" w:rsidP="007818A6">
      <w:pPr>
        <w:pStyle w:val="ListParagraph"/>
        <w:numPr>
          <w:ilvl w:val="0"/>
          <w:numId w:val="11"/>
        </w:numPr>
        <w:tabs>
          <w:tab w:val="left" w:pos="7248"/>
        </w:tabs>
        <w:spacing w:after="120" w:line="252" w:lineRule="auto"/>
        <w:contextualSpacing w:val="0"/>
        <w:jc w:val="both"/>
        <w:rPr>
          <w:rFonts w:ascii="Calibri" w:hAnsi="Calibri"/>
        </w:rPr>
      </w:pPr>
      <w:r>
        <w:rPr>
          <w:rFonts w:ascii="Calibri" w:hAnsi="Calibri"/>
          <w:b/>
        </w:rPr>
        <w:t>Output</w:t>
      </w:r>
      <w:r w:rsidR="00927CAB">
        <w:rPr>
          <w:rFonts w:ascii="Calibri" w:hAnsi="Calibri"/>
          <w:b/>
        </w:rPr>
        <w:t xml:space="preserve"> </w:t>
      </w:r>
      <w:r w:rsidR="009D3CD0">
        <w:rPr>
          <w:rFonts w:ascii="Calibri" w:hAnsi="Calibri"/>
          <w:b/>
        </w:rPr>
        <w:t>3.1</w:t>
      </w:r>
      <w:r>
        <w:rPr>
          <w:rFonts w:ascii="Calibri" w:hAnsi="Calibri"/>
          <w:b/>
        </w:rPr>
        <w:t xml:space="preserve">: </w:t>
      </w:r>
      <w:r w:rsidR="007604AE" w:rsidRPr="007604AE">
        <w:rPr>
          <w:rFonts w:ascii="Calibri" w:hAnsi="Calibri"/>
          <w:b/>
        </w:rPr>
        <w:t xml:space="preserve">Building local leadership on forests in Brazil. </w:t>
      </w:r>
      <w:r w:rsidR="007604AE" w:rsidRPr="007604AE">
        <w:rPr>
          <w:rFonts w:ascii="Calibri" w:hAnsi="Calibri"/>
        </w:rPr>
        <w:t xml:space="preserve">Local leadership in Brazil is needed to halt deforestation in the Amazon and other Brazilian biomes. Brazilian cities are stepping up, presenting Cities4Forests with an opportunity to galvanize their voices around a call to action on NBS. Brazilian cities are requesting technical support, capacity building, and access to finance to scale NBS interventions. Cities4Forests’s strong partnership with the Brazilian National Front of Mayors (FNP) – a network of more than 400 mayors – and the nine deeply engaged Cities4Forests cities in Brazil offers a key opportunity to address this challenge. Promoting inter-city exchanges between the nine Brazilian Cities4Forests cities is the first step towards unifying their voices in the Call to Action. Building on the progress made by the Amazon Cities Pact, Brazilian cities are well placed to advocate for the widespread adoption of NBS to enhance climate resilience, ensure biodiversity conservation, and improve the well-being of local people. Defra funds will help support an initial peer-to-peer exchange in March 2020 for Brazilian cities to share best practices on forest planning, </w:t>
      </w:r>
      <w:proofErr w:type="gramStart"/>
      <w:r w:rsidR="007604AE" w:rsidRPr="007604AE">
        <w:rPr>
          <w:rFonts w:ascii="Calibri" w:hAnsi="Calibri"/>
        </w:rPr>
        <w:t>financing</w:t>
      </w:r>
      <w:proofErr w:type="gramEnd"/>
      <w:r w:rsidR="007604AE" w:rsidRPr="007604AE">
        <w:rPr>
          <w:rFonts w:ascii="Calibri" w:hAnsi="Calibri"/>
        </w:rPr>
        <w:t xml:space="preserve"> and implementation, and come together around the planned call to action.</w:t>
      </w:r>
    </w:p>
    <w:p w14:paraId="2CA78130" w14:textId="145602B6" w:rsidR="007604AE" w:rsidRPr="007604AE" w:rsidRDefault="009D3CD0" w:rsidP="007818A6">
      <w:pPr>
        <w:pStyle w:val="ListParagraph"/>
        <w:numPr>
          <w:ilvl w:val="0"/>
          <w:numId w:val="11"/>
        </w:numPr>
        <w:tabs>
          <w:tab w:val="left" w:pos="7248"/>
        </w:tabs>
        <w:spacing w:after="120" w:line="252" w:lineRule="auto"/>
        <w:contextualSpacing w:val="0"/>
        <w:jc w:val="both"/>
        <w:rPr>
          <w:rFonts w:ascii="Calibri" w:hAnsi="Calibri"/>
        </w:rPr>
      </w:pPr>
      <w:r>
        <w:rPr>
          <w:rFonts w:ascii="Calibri" w:hAnsi="Calibri"/>
          <w:b/>
        </w:rPr>
        <w:t>Output 3.2</w:t>
      </w:r>
      <w:r w:rsidR="007818A6">
        <w:rPr>
          <w:rFonts w:ascii="Calibri" w:hAnsi="Calibri"/>
          <w:b/>
        </w:rPr>
        <w:t xml:space="preserve">: </w:t>
      </w:r>
      <w:r w:rsidR="007604AE" w:rsidRPr="007604AE">
        <w:rPr>
          <w:rFonts w:ascii="Calibri" w:hAnsi="Calibri"/>
          <w:b/>
        </w:rPr>
        <w:t>Delivering a global mayoral declaration:</w:t>
      </w:r>
      <w:r w:rsidR="007604AE" w:rsidRPr="007604AE">
        <w:rPr>
          <w:rFonts w:ascii="Calibri" w:hAnsi="Calibri"/>
        </w:rPr>
        <w:t xml:space="preserve"> Mayors command the ability to capture media attention, shift the public discourse, and inspire action from local and national leaders. Cities4Forests will work closely with mayors globally to garner pledges and commitments, craft key messages, and deliver a high-profile joint call to action. Two upcoming UN events provide key opportunities: 1) The Conference of Parties (COP) to the Convention on Biological Diversity in October 2020 in Kunming, and 2) the 26th UNFCCC COP </w:t>
      </w:r>
      <w:proofErr w:type="gramStart"/>
      <w:r w:rsidR="007604AE" w:rsidRPr="007604AE">
        <w:rPr>
          <w:rFonts w:ascii="Calibri" w:hAnsi="Calibri"/>
        </w:rPr>
        <w:t>on</w:t>
      </w:r>
      <w:proofErr w:type="gramEnd"/>
      <w:r w:rsidR="007604AE" w:rsidRPr="007604AE">
        <w:rPr>
          <w:rFonts w:ascii="Calibri" w:hAnsi="Calibri"/>
        </w:rPr>
        <w:t xml:space="preserve"> November 2020 in Glasgow. Cities4Forests will create a declaration, which will include high-level statements from mayors on the value of trees and forests, a call from mayors to COP negotiators to increase investment in trees and forests as a climate solution, and a collection of city-specific commitments to forest action. Defra funds will support the drafting of the declaration and key messaging</w:t>
      </w:r>
      <w:r w:rsidR="007604AE">
        <w:rPr>
          <w:rFonts w:ascii="Calibri" w:hAnsi="Calibri"/>
        </w:rPr>
        <w:t>.</w:t>
      </w:r>
    </w:p>
    <w:p w14:paraId="4AD296AA" w14:textId="6244FAD0" w:rsidR="003530C7" w:rsidRPr="00581F01" w:rsidRDefault="00C84077" w:rsidP="002C0BCA">
      <w:pPr>
        <w:pStyle w:val="Heading2"/>
        <w:rPr>
          <w:color w:val="0070C0"/>
        </w:rPr>
      </w:pPr>
      <w:bookmarkStart w:id="17" w:name="_Toc26217727"/>
      <w:r w:rsidRPr="00581F01">
        <w:rPr>
          <w:color w:val="0070C0"/>
        </w:rPr>
        <w:t>How will this project contribute to Defra objectives</w:t>
      </w:r>
      <w:r w:rsidR="007F596D">
        <w:rPr>
          <w:color w:val="0070C0"/>
        </w:rPr>
        <w:t xml:space="preserve"> and priorities</w:t>
      </w:r>
      <w:r w:rsidRPr="00581F01">
        <w:rPr>
          <w:color w:val="0070C0"/>
        </w:rPr>
        <w:t>?</w:t>
      </w:r>
      <w:bookmarkEnd w:id="17"/>
    </w:p>
    <w:p w14:paraId="7053C827" w14:textId="4F844699" w:rsidR="003530C7" w:rsidRDefault="00596756" w:rsidP="00EA4E44">
      <w:pPr>
        <w:pStyle w:val="ListParagraph"/>
        <w:numPr>
          <w:ilvl w:val="0"/>
          <w:numId w:val="8"/>
        </w:numPr>
        <w:tabs>
          <w:tab w:val="left" w:pos="7248"/>
        </w:tabs>
        <w:spacing w:after="120" w:line="252" w:lineRule="auto"/>
        <w:ind w:left="20"/>
        <w:contextualSpacing w:val="0"/>
        <w:jc w:val="both"/>
        <w:rPr>
          <w:rFonts w:ascii="Calibri" w:hAnsi="Calibri"/>
        </w:rPr>
      </w:pPr>
      <w:r w:rsidRPr="00596756">
        <w:rPr>
          <w:rFonts w:ascii="Calibri" w:hAnsi="Calibri"/>
        </w:rPr>
        <w:t xml:space="preserve">As set out in the 25 Year Environment Plan, Defra strives to help developing nations protect and improve the environment </w:t>
      </w:r>
      <w:proofErr w:type="gramStart"/>
      <w:r w:rsidRPr="00596756">
        <w:rPr>
          <w:rFonts w:ascii="Calibri" w:hAnsi="Calibri"/>
        </w:rPr>
        <w:t>and also</w:t>
      </w:r>
      <w:proofErr w:type="gramEnd"/>
      <w:r w:rsidRPr="00596756">
        <w:rPr>
          <w:rFonts w:ascii="Calibri" w:hAnsi="Calibri"/>
        </w:rPr>
        <w:t xml:space="preserve"> seeks to support and protect international forests. </w:t>
      </w:r>
      <w:r w:rsidR="007F596D" w:rsidRPr="00596756">
        <w:rPr>
          <w:rFonts w:ascii="Calibri" w:hAnsi="Calibri"/>
        </w:rPr>
        <w:t xml:space="preserve">Cities4Forests contributes </w:t>
      </w:r>
      <w:r w:rsidRPr="00596756">
        <w:rPr>
          <w:rFonts w:ascii="Calibri" w:hAnsi="Calibri"/>
        </w:rPr>
        <w:t>directly to both the</w:t>
      </w:r>
      <w:r w:rsidR="00737571">
        <w:rPr>
          <w:rFonts w:ascii="Calibri" w:hAnsi="Calibri"/>
        </w:rPr>
        <w:t>se</w:t>
      </w:r>
      <w:r w:rsidRPr="00596756">
        <w:rPr>
          <w:rFonts w:ascii="Calibri" w:hAnsi="Calibri"/>
        </w:rPr>
        <w:t xml:space="preserve"> objectives by providing developing countries’ cities and their urban residents with the tools they need to value the benefits forests provide them, shifting the incentives in favour of the </w:t>
      </w:r>
      <w:r w:rsidR="00737571">
        <w:rPr>
          <w:rFonts w:ascii="Calibri" w:hAnsi="Calibri"/>
        </w:rPr>
        <w:t>environment</w:t>
      </w:r>
      <w:r w:rsidRPr="00596756">
        <w:rPr>
          <w:rFonts w:ascii="Calibri" w:hAnsi="Calibri"/>
        </w:rPr>
        <w:t xml:space="preserve"> – leading to public and private investment in forest protection and restoration.  </w:t>
      </w:r>
    </w:p>
    <w:p w14:paraId="6A41CA10" w14:textId="3D988B0F" w:rsidR="00596756" w:rsidRDefault="00737571" w:rsidP="00EA4E44">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Cities4Forests is an innovative example of how to protect forests through nature-based solutions (NBS), which is a key objective of the Defra’s international strategy, including its ambition for delivering International </w:t>
      </w:r>
      <w:r w:rsidR="00A83FE0">
        <w:rPr>
          <w:rFonts w:ascii="Calibri" w:hAnsi="Calibri"/>
        </w:rPr>
        <w:t>Climate</w:t>
      </w:r>
      <w:r>
        <w:rPr>
          <w:rFonts w:ascii="Calibri" w:hAnsi="Calibri"/>
        </w:rPr>
        <w:t xml:space="preserve"> Finance and for delivering the objectives of the Paris Agreement; it is likely that NBS will be a key theme of the UNFCCC COP 26, hosted by the UK in Glasgow in 2020. Therefore</w:t>
      </w:r>
      <w:r w:rsidR="00A83FE0">
        <w:rPr>
          <w:rFonts w:ascii="Calibri" w:hAnsi="Calibri"/>
        </w:rPr>
        <w:t>, investments</w:t>
      </w:r>
      <w:r>
        <w:rPr>
          <w:rFonts w:ascii="Calibri" w:hAnsi="Calibri"/>
        </w:rPr>
        <w:t xml:space="preserve"> in NBS initiatives that </w:t>
      </w:r>
      <w:r w:rsidR="00414A55">
        <w:rPr>
          <w:rFonts w:ascii="Calibri" w:hAnsi="Calibri"/>
        </w:rPr>
        <w:t xml:space="preserve">help others implement NBS aligns directly with Defra’s and the UK’s international objectives. </w:t>
      </w:r>
    </w:p>
    <w:p w14:paraId="047CB32E" w14:textId="7AAF834B" w:rsidR="00414A55" w:rsidRPr="00596756" w:rsidRDefault="00ED4ED9" w:rsidP="00EA4E44">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Defra’s international forest strategy aims to scale finance </w:t>
      </w:r>
      <w:r w:rsidR="000E4350">
        <w:rPr>
          <w:rFonts w:ascii="Calibri" w:hAnsi="Calibri"/>
        </w:rPr>
        <w:t>to</w:t>
      </w:r>
      <w:r>
        <w:rPr>
          <w:rFonts w:ascii="Calibri" w:hAnsi="Calibri"/>
        </w:rPr>
        <w:t xml:space="preserve"> forests and Cities4Forests is pioneering new ways to do this and creating the enabling environment to attract this investment.  Cities4Forests also includes </w:t>
      </w:r>
      <w:r w:rsidR="00A83FE0">
        <w:rPr>
          <w:rFonts w:ascii="Calibri" w:hAnsi="Calibri"/>
        </w:rPr>
        <w:t>initiatives</w:t>
      </w:r>
      <w:r>
        <w:rPr>
          <w:rFonts w:ascii="Calibri" w:hAnsi="Calibri"/>
        </w:rPr>
        <w:t xml:space="preserve"> to raise awareness amongst cities and their businesses and residents as to the deforestation-footprint linked to their consumption patterns</w:t>
      </w:r>
      <w:r w:rsidR="000E4350">
        <w:rPr>
          <w:rFonts w:ascii="Calibri" w:hAnsi="Calibri"/>
        </w:rPr>
        <w:t xml:space="preserve"> and then help link developing country’s tropical forests with developed country cities, creating a sense of partnership and responsibility</w:t>
      </w:r>
      <w:r>
        <w:rPr>
          <w:rFonts w:ascii="Calibri" w:hAnsi="Calibri"/>
        </w:rPr>
        <w:t>. The promotion of deforestation-free supply chain</w:t>
      </w:r>
      <w:r w:rsidR="000E4350">
        <w:rPr>
          <w:rFonts w:ascii="Calibri" w:hAnsi="Calibri"/>
        </w:rPr>
        <w:t>s</w:t>
      </w:r>
      <w:r>
        <w:rPr>
          <w:rFonts w:ascii="Calibri" w:hAnsi="Calibri"/>
        </w:rPr>
        <w:t xml:space="preserve"> is another key objective of Defra’s and the UK Government more widely. </w:t>
      </w:r>
    </w:p>
    <w:p w14:paraId="1B4A3F30" w14:textId="2520C949" w:rsidR="007F596D" w:rsidRDefault="007F596D" w:rsidP="007F596D">
      <w:pPr>
        <w:pStyle w:val="Heading2"/>
        <w:rPr>
          <w:color w:val="0070C0"/>
        </w:rPr>
      </w:pPr>
      <w:bookmarkStart w:id="18" w:name="_Toc26217728"/>
      <w:r>
        <w:rPr>
          <w:color w:val="0070C0"/>
        </w:rPr>
        <w:t>Compliance with the International Development Gender Equality Act</w:t>
      </w:r>
      <w:bookmarkEnd w:id="18"/>
      <w:r>
        <w:rPr>
          <w:color w:val="0070C0"/>
        </w:rPr>
        <w:t xml:space="preserve"> </w:t>
      </w:r>
    </w:p>
    <w:p w14:paraId="62745F40" w14:textId="3D7D2E6E" w:rsidR="004F0C24" w:rsidRPr="005D089B" w:rsidRDefault="004F0C24" w:rsidP="005D089B">
      <w:pPr>
        <w:pStyle w:val="ListParagraph"/>
        <w:numPr>
          <w:ilvl w:val="0"/>
          <w:numId w:val="8"/>
        </w:numPr>
        <w:tabs>
          <w:tab w:val="left" w:pos="7248"/>
        </w:tabs>
        <w:spacing w:after="120" w:line="252" w:lineRule="auto"/>
        <w:ind w:left="20"/>
        <w:contextualSpacing w:val="0"/>
        <w:jc w:val="both"/>
        <w:rPr>
          <w:rFonts w:ascii="Calibri" w:hAnsi="Calibri"/>
        </w:rPr>
      </w:pPr>
      <w:r w:rsidRPr="005D089B">
        <w:rPr>
          <w:rFonts w:ascii="Calibri" w:hAnsi="Calibri"/>
        </w:rPr>
        <w:t xml:space="preserve">The Cities4Forests </w:t>
      </w:r>
      <w:r w:rsidR="00A83FE0" w:rsidRPr="005D089B">
        <w:rPr>
          <w:rFonts w:ascii="Calibri" w:hAnsi="Calibri"/>
        </w:rPr>
        <w:t>initiative</w:t>
      </w:r>
      <w:r w:rsidRPr="005D089B">
        <w:rPr>
          <w:rFonts w:ascii="Calibri" w:hAnsi="Calibri"/>
        </w:rPr>
        <w:t xml:space="preserve"> follows WRI’s gender equality approach. Pilot Projects and REVOLVE</w:t>
      </w:r>
      <w:r w:rsidR="00A10C6C">
        <w:rPr>
          <w:rFonts w:ascii="Calibri" w:hAnsi="Calibri"/>
        </w:rPr>
        <w:t>, partners who help deliver the programme,</w:t>
      </w:r>
      <w:r w:rsidRPr="005D089B">
        <w:rPr>
          <w:rFonts w:ascii="Calibri" w:hAnsi="Calibri"/>
        </w:rPr>
        <w:t xml:space="preserve"> have a</w:t>
      </w:r>
      <w:r w:rsidR="00A10C6C">
        <w:rPr>
          <w:rFonts w:ascii="Calibri" w:hAnsi="Calibri"/>
        </w:rPr>
        <w:t>greed to compl</w:t>
      </w:r>
      <w:r w:rsidRPr="005D089B">
        <w:rPr>
          <w:rFonts w:ascii="Calibri" w:hAnsi="Calibri"/>
        </w:rPr>
        <w:t>y with WRI’s gender equality statement, as outlined in their respective contracts and subgrants. In addition to commitment to gender equality, over-arching principles that guide programmatic and institutional pr</w:t>
      </w:r>
      <w:r w:rsidR="00A10C6C">
        <w:rPr>
          <w:rFonts w:ascii="Calibri" w:hAnsi="Calibri"/>
        </w:rPr>
        <w:t>a</w:t>
      </w:r>
      <w:r w:rsidRPr="005D089B">
        <w:rPr>
          <w:rFonts w:ascii="Calibri" w:hAnsi="Calibri"/>
        </w:rPr>
        <w:t xml:space="preserve">ctices, WRI advocates for and champions diversity, </w:t>
      </w:r>
      <w:proofErr w:type="gramStart"/>
      <w:r w:rsidRPr="005D089B">
        <w:rPr>
          <w:rFonts w:ascii="Calibri" w:hAnsi="Calibri"/>
        </w:rPr>
        <w:t>equity</w:t>
      </w:r>
      <w:proofErr w:type="gramEnd"/>
      <w:r w:rsidRPr="005D089B">
        <w:rPr>
          <w:rFonts w:ascii="Calibri" w:hAnsi="Calibri"/>
        </w:rPr>
        <w:t xml:space="preserve"> and inclusion in its work with governments, businesses, donors, civil society and other </w:t>
      </w:r>
      <w:r w:rsidR="00A83FE0" w:rsidRPr="005D089B">
        <w:rPr>
          <w:rFonts w:ascii="Calibri" w:hAnsi="Calibri"/>
        </w:rPr>
        <w:t>institutions</w:t>
      </w:r>
      <w:r w:rsidRPr="005D089B">
        <w:rPr>
          <w:rFonts w:ascii="Calibri" w:hAnsi="Calibri"/>
        </w:rPr>
        <w:t xml:space="preserve">. One of the workstreams of this programme includes the creation of Cities4Forests Gender and Social Equity Guidelines. Therefore, taken together, the programme will have an indirect, but beneficial impact on gender equality by providing tools and guidelines for cities to incorporate gender equality issues and concerns into their plans, </w:t>
      </w:r>
      <w:proofErr w:type="gramStart"/>
      <w:r w:rsidRPr="005D089B">
        <w:rPr>
          <w:rFonts w:ascii="Calibri" w:hAnsi="Calibri"/>
        </w:rPr>
        <w:t>strategies</w:t>
      </w:r>
      <w:proofErr w:type="gramEnd"/>
      <w:r w:rsidRPr="005D089B">
        <w:rPr>
          <w:rFonts w:ascii="Calibri" w:hAnsi="Calibri"/>
        </w:rPr>
        <w:t xml:space="preserve"> and general development. </w:t>
      </w:r>
    </w:p>
    <w:p w14:paraId="2E63ADA6" w14:textId="77777777" w:rsidR="004F0C24" w:rsidRDefault="004F0C24" w:rsidP="004F0C24">
      <w:pPr>
        <w:rPr>
          <w:lang w:val="en-US"/>
        </w:rPr>
      </w:pPr>
    </w:p>
    <w:p w14:paraId="26986D0A" w14:textId="77777777" w:rsidR="004F0C24" w:rsidRPr="004F0C24" w:rsidRDefault="004F0C24" w:rsidP="004F0C24">
      <w:pPr>
        <w:rPr>
          <w:lang w:val="en-US"/>
        </w:rPr>
      </w:pPr>
    </w:p>
    <w:p w14:paraId="62C00337" w14:textId="77777777" w:rsidR="007F596D" w:rsidRDefault="007F596D" w:rsidP="007F596D">
      <w:pPr>
        <w:pStyle w:val="ListParagraph"/>
        <w:tabs>
          <w:tab w:val="left" w:pos="7248"/>
        </w:tabs>
        <w:spacing w:after="120" w:line="252" w:lineRule="auto"/>
        <w:ind w:left="20"/>
        <w:contextualSpacing w:val="0"/>
        <w:jc w:val="both"/>
        <w:rPr>
          <w:sz w:val="22"/>
          <w:szCs w:val="22"/>
        </w:rPr>
      </w:pPr>
    </w:p>
    <w:p w14:paraId="218232E4" w14:textId="6ED60C38" w:rsidR="00865FD3" w:rsidRPr="009D33ED" w:rsidRDefault="00937702" w:rsidP="00EA4E44">
      <w:pPr>
        <w:pStyle w:val="ListParagraph"/>
        <w:numPr>
          <w:ilvl w:val="0"/>
          <w:numId w:val="8"/>
        </w:numPr>
        <w:tabs>
          <w:tab w:val="left" w:pos="7248"/>
        </w:tabs>
        <w:spacing w:after="120" w:line="252" w:lineRule="auto"/>
        <w:ind w:left="20"/>
        <w:contextualSpacing w:val="0"/>
        <w:jc w:val="both"/>
        <w:rPr>
          <w:sz w:val="22"/>
          <w:szCs w:val="22"/>
        </w:rPr>
      </w:pPr>
      <w:r w:rsidRPr="00647266">
        <w:rPr>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962"/>
      </w:tblGrid>
      <w:tr w:rsidR="005F6296" w:rsidRPr="00616B76" w14:paraId="2D50EA9C" w14:textId="77777777" w:rsidTr="00545501">
        <w:trPr>
          <w:trHeight w:val="421"/>
        </w:trPr>
        <w:tc>
          <w:tcPr>
            <w:tcW w:w="9962" w:type="dxa"/>
            <w:shd w:val="clear" w:color="auto" w:fill="FFFFFF" w:themeFill="background1"/>
          </w:tcPr>
          <w:p w14:paraId="2D50EA9B" w14:textId="3620ADB8" w:rsidR="005F6296" w:rsidRPr="00C84077" w:rsidRDefault="00687204" w:rsidP="002C0BCA">
            <w:pPr>
              <w:pStyle w:val="Heading1"/>
            </w:pPr>
            <w:bookmarkStart w:id="19" w:name="_Toc26217729"/>
            <w:r w:rsidRPr="00C84077">
              <w:t>Economic Case</w:t>
            </w:r>
            <w:bookmarkEnd w:id="19"/>
          </w:p>
        </w:tc>
      </w:tr>
    </w:tbl>
    <w:p w14:paraId="2D50EA9D" w14:textId="77777777" w:rsidR="005F6296" w:rsidRDefault="005F6296" w:rsidP="00F86AED">
      <w:pPr>
        <w:jc w:val="both"/>
        <w:rPr>
          <w:sz w:val="6"/>
          <w:szCs w:val="6"/>
        </w:rPr>
      </w:pPr>
    </w:p>
    <w:p w14:paraId="2D50EA9E" w14:textId="77777777" w:rsidR="00377A60" w:rsidRPr="00F31306" w:rsidRDefault="00377A60" w:rsidP="002C0BCA">
      <w:pPr>
        <w:pStyle w:val="Heading2"/>
        <w:rPr>
          <w:color w:val="0070C0"/>
        </w:rPr>
      </w:pPr>
      <w:bookmarkStart w:id="20" w:name="_Toc425926318"/>
      <w:bookmarkStart w:id="21" w:name="_Toc426997628"/>
      <w:bookmarkStart w:id="22" w:name="_Toc26217730"/>
      <w:r w:rsidRPr="00F31306">
        <w:rPr>
          <w:color w:val="0070C0"/>
        </w:rPr>
        <w:t>Options for achieving the objectives identified in the Strategic Case</w:t>
      </w:r>
      <w:bookmarkEnd w:id="20"/>
      <w:bookmarkEnd w:id="21"/>
      <w:bookmarkEnd w:id="22"/>
    </w:p>
    <w:p w14:paraId="01B5F649" w14:textId="3108D281" w:rsidR="00E22A57" w:rsidRDefault="00E22A57" w:rsidP="00E22A57">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In considering options for achieving the impact set out in the theory of change, i.e.</w:t>
      </w:r>
      <w:r w:rsidRPr="00E22A57">
        <w:rPr>
          <w:rFonts w:ascii="Calibri" w:hAnsi="Calibri"/>
          <w:i/>
        </w:rPr>
        <w:t xml:space="preserve"> Greater </w:t>
      </w:r>
      <w:r w:rsidR="000E4350">
        <w:rPr>
          <w:rFonts w:ascii="Calibri" w:hAnsi="Calibri"/>
          <w:i/>
        </w:rPr>
        <w:t>conservation, restoration, and</w:t>
      </w:r>
      <w:r w:rsidRPr="00E22A57">
        <w:rPr>
          <w:rFonts w:ascii="Calibri" w:hAnsi="Calibri"/>
          <w:i/>
        </w:rPr>
        <w:t xml:space="preserve"> sustainable management of forests, due in part to greater political, program and investment support by cities</w:t>
      </w:r>
      <w:r>
        <w:rPr>
          <w:rFonts w:ascii="Calibri" w:hAnsi="Calibri"/>
          <w:i/>
        </w:rPr>
        <w:t xml:space="preserve">, </w:t>
      </w:r>
      <w:r>
        <w:rPr>
          <w:rFonts w:ascii="Calibri" w:hAnsi="Calibri"/>
        </w:rPr>
        <w:t xml:space="preserve">we considered three options assessed against the following criteria: </w:t>
      </w:r>
    </w:p>
    <w:p w14:paraId="4D9A221A" w14:textId="6C75962C" w:rsidR="00E22A57" w:rsidRDefault="00E22A57" w:rsidP="00E22A57">
      <w:pPr>
        <w:pStyle w:val="ListParagraph"/>
        <w:numPr>
          <w:ilvl w:val="1"/>
          <w:numId w:val="8"/>
        </w:numPr>
        <w:tabs>
          <w:tab w:val="left" w:pos="7248"/>
        </w:tabs>
        <w:spacing w:after="120" w:line="252" w:lineRule="auto"/>
        <w:contextualSpacing w:val="0"/>
        <w:jc w:val="both"/>
        <w:rPr>
          <w:rFonts w:ascii="Calibri" w:hAnsi="Calibri"/>
        </w:rPr>
      </w:pPr>
      <w:r w:rsidRPr="00092EC7">
        <w:rPr>
          <w:rFonts w:ascii="Calibri" w:hAnsi="Calibri"/>
          <w:b/>
        </w:rPr>
        <w:t>Costs</w:t>
      </w:r>
      <w:r>
        <w:rPr>
          <w:rFonts w:ascii="Calibri" w:hAnsi="Calibri"/>
        </w:rPr>
        <w:t>, including Defra’s management costs (i.e. both resource and financial)</w:t>
      </w:r>
      <w:r w:rsidR="00AD4064">
        <w:rPr>
          <w:rFonts w:ascii="Calibri" w:hAnsi="Calibri"/>
        </w:rPr>
        <w:t xml:space="preserve"> </w:t>
      </w:r>
    </w:p>
    <w:p w14:paraId="59DB9C7C" w14:textId="0B6613E0" w:rsidR="00E22A57" w:rsidRDefault="00E22A57" w:rsidP="00E22A57">
      <w:pPr>
        <w:pStyle w:val="ListParagraph"/>
        <w:numPr>
          <w:ilvl w:val="1"/>
          <w:numId w:val="8"/>
        </w:numPr>
        <w:tabs>
          <w:tab w:val="left" w:pos="7248"/>
        </w:tabs>
        <w:spacing w:after="120" w:line="252" w:lineRule="auto"/>
        <w:contextualSpacing w:val="0"/>
        <w:jc w:val="both"/>
        <w:rPr>
          <w:rFonts w:ascii="Calibri" w:hAnsi="Calibri"/>
        </w:rPr>
      </w:pPr>
      <w:r>
        <w:rPr>
          <w:rFonts w:ascii="Calibri" w:hAnsi="Calibri"/>
        </w:rPr>
        <w:t xml:space="preserve">Climate change mitigation and adaptation </w:t>
      </w:r>
      <w:r w:rsidRPr="00092EC7">
        <w:rPr>
          <w:rFonts w:ascii="Calibri" w:hAnsi="Calibri"/>
          <w:b/>
        </w:rPr>
        <w:t>benefits</w:t>
      </w:r>
      <w:r>
        <w:rPr>
          <w:rFonts w:ascii="Calibri" w:hAnsi="Calibri"/>
        </w:rPr>
        <w:t xml:space="preserve"> through avoided deforestation and/or forest restoration</w:t>
      </w:r>
      <w:r w:rsidR="00A84C4D">
        <w:rPr>
          <w:rFonts w:ascii="Calibri" w:hAnsi="Calibri"/>
        </w:rPr>
        <w:t xml:space="preserve"> – Will the project result in a reduction in greenhouse gas emissions? </w:t>
      </w:r>
    </w:p>
    <w:p w14:paraId="2E818492" w14:textId="7A6CD087" w:rsidR="00E22A57" w:rsidRDefault="00E22A57" w:rsidP="00E22A57">
      <w:pPr>
        <w:pStyle w:val="ListParagraph"/>
        <w:numPr>
          <w:ilvl w:val="1"/>
          <w:numId w:val="8"/>
        </w:numPr>
        <w:tabs>
          <w:tab w:val="left" w:pos="7248"/>
        </w:tabs>
        <w:spacing w:after="120" w:line="252" w:lineRule="auto"/>
        <w:contextualSpacing w:val="0"/>
        <w:jc w:val="both"/>
        <w:rPr>
          <w:rFonts w:ascii="Calibri" w:hAnsi="Calibri"/>
        </w:rPr>
      </w:pPr>
      <w:r>
        <w:rPr>
          <w:rFonts w:ascii="Calibri" w:hAnsi="Calibri"/>
        </w:rPr>
        <w:t xml:space="preserve">Potential for influencing </w:t>
      </w:r>
      <w:r w:rsidRPr="00092EC7">
        <w:rPr>
          <w:rFonts w:ascii="Calibri" w:hAnsi="Calibri"/>
          <w:b/>
        </w:rPr>
        <w:t>ambition</w:t>
      </w:r>
      <w:r>
        <w:rPr>
          <w:rFonts w:ascii="Calibri" w:hAnsi="Calibri"/>
        </w:rPr>
        <w:t xml:space="preserve"> and action at </w:t>
      </w:r>
      <w:r w:rsidR="002053E2">
        <w:rPr>
          <w:rFonts w:ascii="Calibri" w:hAnsi="Calibri"/>
        </w:rPr>
        <w:t xml:space="preserve">UNFCCC </w:t>
      </w:r>
      <w:r>
        <w:rPr>
          <w:rFonts w:ascii="Calibri" w:hAnsi="Calibri"/>
        </w:rPr>
        <w:t>COP26 in Glasgow</w:t>
      </w:r>
      <w:r w:rsidR="00A84C4D">
        <w:rPr>
          <w:rFonts w:ascii="Calibri" w:hAnsi="Calibri"/>
        </w:rPr>
        <w:t xml:space="preserve"> – Will the project drive ambition and action at COP26 in Glasgow? </w:t>
      </w:r>
    </w:p>
    <w:p w14:paraId="74650A15" w14:textId="0534CF6A" w:rsidR="00E22A57" w:rsidRPr="002053E2" w:rsidRDefault="00A84C4D" w:rsidP="00E22A57">
      <w:pPr>
        <w:pStyle w:val="ListParagraph"/>
        <w:numPr>
          <w:ilvl w:val="1"/>
          <w:numId w:val="8"/>
        </w:numPr>
        <w:tabs>
          <w:tab w:val="left" w:pos="7248"/>
        </w:tabs>
        <w:spacing w:after="120" w:line="252" w:lineRule="auto"/>
        <w:contextualSpacing w:val="0"/>
        <w:jc w:val="both"/>
        <w:rPr>
          <w:rFonts w:ascii="Calibri" w:hAnsi="Calibri"/>
        </w:rPr>
      </w:pPr>
      <w:r>
        <w:rPr>
          <w:rFonts w:ascii="Calibri" w:hAnsi="Calibri"/>
        </w:rPr>
        <w:t xml:space="preserve">UK </w:t>
      </w:r>
      <w:r w:rsidR="00092EC7">
        <w:rPr>
          <w:rFonts w:ascii="Calibri" w:hAnsi="Calibri"/>
          <w:b/>
        </w:rPr>
        <w:t>v</w:t>
      </w:r>
      <w:r w:rsidRPr="00092EC7">
        <w:rPr>
          <w:rFonts w:ascii="Calibri" w:hAnsi="Calibri"/>
          <w:b/>
        </w:rPr>
        <w:t>isibility</w:t>
      </w:r>
      <w:r>
        <w:rPr>
          <w:rFonts w:ascii="Calibri" w:hAnsi="Calibri"/>
        </w:rPr>
        <w:t xml:space="preserve"> – Will the UK be seen as a provider of support and as a leader in tackling climate change through nature-based </w:t>
      </w:r>
      <w:r w:rsidRPr="002053E2">
        <w:rPr>
          <w:rFonts w:ascii="Calibri" w:hAnsi="Calibri"/>
        </w:rPr>
        <w:t xml:space="preserve">solutions?  </w:t>
      </w:r>
    </w:p>
    <w:p w14:paraId="4EE36ED4" w14:textId="132BF88F" w:rsidR="00AD4064" w:rsidRPr="002053E2" w:rsidRDefault="00743D0E" w:rsidP="00E22A57">
      <w:pPr>
        <w:pStyle w:val="ListParagraph"/>
        <w:numPr>
          <w:ilvl w:val="1"/>
          <w:numId w:val="8"/>
        </w:numPr>
        <w:tabs>
          <w:tab w:val="left" w:pos="7248"/>
        </w:tabs>
        <w:spacing w:after="120" w:line="252" w:lineRule="auto"/>
        <w:contextualSpacing w:val="0"/>
        <w:jc w:val="both"/>
        <w:rPr>
          <w:rFonts w:ascii="Calibri" w:hAnsi="Calibri"/>
        </w:rPr>
      </w:pPr>
      <w:r w:rsidRPr="002053E2">
        <w:rPr>
          <w:rFonts w:ascii="Calibri" w:hAnsi="Calibri"/>
          <w:b/>
        </w:rPr>
        <w:t>Timing</w:t>
      </w:r>
      <w:r w:rsidR="000E4350">
        <w:rPr>
          <w:rFonts w:ascii="Calibri" w:hAnsi="Calibri"/>
          <w:b/>
        </w:rPr>
        <w:t xml:space="preserve"> </w:t>
      </w:r>
      <w:r w:rsidR="000E4350" w:rsidRPr="000E4350">
        <w:rPr>
          <w:rFonts w:ascii="Calibri" w:hAnsi="Calibri"/>
        </w:rPr>
        <w:t>–</w:t>
      </w:r>
      <w:r w:rsidR="000E4350">
        <w:rPr>
          <w:rFonts w:ascii="Calibri" w:hAnsi="Calibri"/>
          <w:b/>
        </w:rPr>
        <w:t xml:space="preserve"> </w:t>
      </w:r>
      <w:r w:rsidR="000E4350">
        <w:rPr>
          <w:rFonts w:ascii="Calibri" w:hAnsi="Calibri"/>
        </w:rPr>
        <w:t>H</w:t>
      </w:r>
      <w:r w:rsidR="000E4350" w:rsidRPr="000E4350">
        <w:rPr>
          <w:rFonts w:ascii="Calibri" w:hAnsi="Calibri"/>
        </w:rPr>
        <w:t>ow</w:t>
      </w:r>
      <w:r w:rsidR="000E4350">
        <w:rPr>
          <w:rFonts w:ascii="Calibri" w:hAnsi="Calibri"/>
          <w:b/>
        </w:rPr>
        <w:t xml:space="preserve"> </w:t>
      </w:r>
      <w:r w:rsidRPr="002053E2">
        <w:rPr>
          <w:rFonts w:ascii="Calibri" w:hAnsi="Calibri"/>
        </w:rPr>
        <w:t xml:space="preserve">long does it take to set up? </w:t>
      </w:r>
    </w:p>
    <w:p w14:paraId="243D158B" w14:textId="647FFA14" w:rsidR="00AD4064" w:rsidRPr="002053E2" w:rsidRDefault="00AD4064" w:rsidP="00AD4064">
      <w:pPr>
        <w:tabs>
          <w:tab w:val="left" w:pos="7248"/>
        </w:tabs>
        <w:spacing w:after="120" w:line="252" w:lineRule="auto"/>
        <w:jc w:val="both"/>
        <w:rPr>
          <w:rFonts w:ascii="Calibri" w:hAnsi="Calibri"/>
        </w:rPr>
      </w:pPr>
      <w:r w:rsidRPr="002053E2">
        <w:rPr>
          <w:rFonts w:ascii="Calibri" w:hAnsi="Calibri"/>
        </w:rPr>
        <w:t>The three options are</w:t>
      </w:r>
      <w:r w:rsidR="000E4350">
        <w:rPr>
          <w:rFonts w:ascii="Calibri" w:hAnsi="Calibri"/>
        </w:rPr>
        <w:t xml:space="preserve"> to</w:t>
      </w:r>
      <w:r w:rsidRPr="002053E2">
        <w:rPr>
          <w:rFonts w:ascii="Calibri" w:hAnsi="Calibri"/>
        </w:rPr>
        <w:t xml:space="preserve"> </w:t>
      </w:r>
      <w:proofErr w:type="spellStart"/>
      <w:r w:rsidRPr="002053E2">
        <w:rPr>
          <w:rFonts w:ascii="Calibri" w:hAnsi="Calibri"/>
        </w:rPr>
        <w:t>i</w:t>
      </w:r>
      <w:proofErr w:type="spellEnd"/>
      <w:r w:rsidRPr="002053E2">
        <w:rPr>
          <w:rFonts w:ascii="Calibri" w:hAnsi="Calibri"/>
        </w:rPr>
        <w:t>) do nothing; ii) invest in the Citie</w:t>
      </w:r>
      <w:r w:rsidR="000E4350">
        <w:rPr>
          <w:rFonts w:ascii="Calibri" w:hAnsi="Calibri"/>
        </w:rPr>
        <w:t xml:space="preserve">s4Forests Initiative; and iii) </w:t>
      </w:r>
      <w:r w:rsidRPr="002053E2">
        <w:rPr>
          <w:rFonts w:ascii="Calibri" w:hAnsi="Calibri"/>
        </w:rPr>
        <w:t xml:space="preserve">procure a delivery partner through competitive grant to create a </w:t>
      </w:r>
      <w:r w:rsidR="004648FA" w:rsidRPr="002053E2">
        <w:rPr>
          <w:rFonts w:ascii="Calibri" w:hAnsi="Calibri"/>
        </w:rPr>
        <w:t>forest</w:t>
      </w:r>
      <w:r w:rsidRPr="002053E2">
        <w:rPr>
          <w:rFonts w:ascii="Calibri" w:hAnsi="Calibri"/>
        </w:rPr>
        <w:t xml:space="preserve"> </w:t>
      </w:r>
      <w:r w:rsidR="00A83FE0" w:rsidRPr="002053E2">
        <w:rPr>
          <w:rFonts w:ascii="Calibri" w:hAnsi="Calibri"/>
        </w:rPr>
        <w:t>initiative</w:t>
      </w:r>
      <w:r w:rsidRPr="002053E2">
        <w:rPr>
          <w:rFonts w:ascii="Calibri" w:hAnsi="Calibri"/>
        </w:rPr>
        <w:t xml:space="preserve"> for cities. The results of this multi-criteria analysis are demonstrated in Table </w:t>
      </w:r>
      <w:r w:rsidR="004648FA" w:rsidRPr="002053E2">
        <w:rPr>
          <w:rFonts w:ascii="Calibri" w:hAnsi="Calibri"/>
        </w:rPr>
        <w:t>1</w:t>
      </w:r>
      <w:r w:rsidRPr="002053E2">
        <w:rPr>
          <w:rFonts w:ascii="Calibri" w:hAnsi="Calibri"/>
        </w:rPr>
        <w:t xml:space="preserve">. </w:t>
      </w:r>
    </w:p>
    <w:p w14:paraId="73C36A5C" w14:textId="1BFAC6E1" w:rsidR="00AD4064" w:rsidRPr="00AD4064" w:rsidRDefault="00AD4064" w:rsidP="00AD4064">
      <w:pPr>
        <w:tabs>
          <w:tab w:val="left" w:pos="7248"/>
        </w:tabs>
        <w:spacing w:after="120" w:line="252" w:lineRule="auto"/>
        <w:jc w:val="both"/>
        <w:rPr>
          <w:rFonts w:ascii="Calibri" w:hAnsi="Calibri"/>
        </w:rPr>
      </w:pPr>
      <w:r w:rsidRPr="002053E2">
        <w:rPr>
          <w:rFonts w:ascii="Calibri" w:hAnsi="Calibri"/>
        </w:rPr>
        <w:t xml:space="preserve">Table </w:t>
      </w:r>
      <w:r w:rsidR="004648FA" w:rsidRPr="002053E2">
        <w:rPr>
          <w:rFonts w:ascii="Calibri" w:hAnsi="Calibri"/>
        </w:rPr>
        <w:t>1</w:t>
      </w:r>
      <w:r w:rsidRPr="002053E2">
        <w:rPr>
          <w:rFonts w:ascii="Calibri" w:hAnsi="Calibri"/>
        </w:rPr>
        <w:t>. Results of multi</w:t>
      </w:r>
      <w:r>
        <w:rPr>
          <w:rFonts w:ascii="Calibri" w:hAnsi="Calibri"/>
        </w:rPr>
        <w:t xml:space="preserve">-criteria analysis against key criteria. </w:t>
      </w:r>
    </w:p>
    <w:tbl>
      <w:tblPr>
        <w:tblStyle w:val="TableGrid"/>
        <w:tblW w:w="0" w:type="auto"/>
        <w:tblLook w:val="04A0" w:firstRow="1" w:lastRow="0" w:firstColumn="1" w:lastColumn="0" w:noHBand="0" w:noVBand="1"/>
      </w:tblPr>
      <w:tblGrid>
        <w:gridCol w:w="1578"/>
        <w:gridCol w:w="1382"/>
        <w:gridCol w:w="1526"/>
        <w:gridCol w:w="1427"/>
        <w:gridCol w:w="1747"/>
        <w:gridCol w:w="1365"/>
        <w:gridCol w:w="1057"/>
      </w:tblGrid>
      <w:tr w:rsidR="00AD4064" w14:paraId="21CE01ED" w14:textId="17B3F63F" w:rsidTr="00916350">
        <w:tc>
          <w:tcPr>
            <w:tcW w:w="1413" w:type="dxa"/>
          </w:tcPr>
          <w:p w14:paraId="4A4D77F4" w14:textId="7E7DCD86" w:rsidR="00AD4064" w:rsidRPr="00AD4064" w:rsidRDefault="00AD4064" w:rsidP="00AD4064">
            <w:pPr>
              <w:tabs>
                <w:tab w:val="left" w:pos="7248"/>
              </w:tabs>
              <w:spacing w:after="120" w:line="252" w:lineRule="auto"/>
              <w:jc w:val="both"/>
              <w:rPr>
                <w:rFonts w:ascii="Calibri" w:hAnsi="Calibri"/>
                <w:b/>
              </w:rPr>
            </w:pPr>
            <w:r w:rsidRPr="00AD4064">
              <w:rPr>
                <w:rFonts w:ascii="Calibri" w:hAnsi="Calibri"/>
                <w:b/>
              </w:rPr>
              <w:t>Programme</w:t>
            </w:r>
          </w:p>
        </w:tc>
        <w:tc>
          <w:tcPr>
            <w:tcW w:w="1407" w:type="dxa"/>
          </w:tcPr>
          <w:p w14:paraId="18FF9F0A" w14:textId="3B42918E" w:rsidR="00AD4064" w:rsidRPr="00AD4064" w:rsidRDefault="00AD4064" w:rsidP="00AD4064">
            <w:pPr>
              <w:tabs>
                <w:tab w:val="left" w:pos="7248"/>
              </w:tabs>
              <w:spacing w:after="120" w:line="252" w:lineRule="auto"/>
              <w:jc w:val="both"/>
              <w:rPr>
                <w:rFonts w:ascii="Calibri" w:hAnsi="Calibri"/>
                <w:b/>
              </w:rPr>
            </w:pPr>
            <w:r w:rsidRPr="00AD4064">
              <w:rPr>
                <w:rFonts w:ascii="Calibri" w:hAnsi="Calibri"/>
                <w:b/>
              </w:rPr>
              <w:t>Costs</w:t>
            </w:r>
          </w:p>
        </w:tc>
        <w:tc>
          <w:tcPr>
            <w:tcW w:w="1560" w:type="dxa"/>
          </w:tcPr>
          <w:p w14:paraId="2184FC7B" w14:textId="03D6C271" w:rsidR="00AD4064" w:rsidRPr="00AD4064" w:rsidRDefault="00AD4064" w:rsidP="00AD4064">
            <w:pPr>
              <w:tabs>
                <w:tab w:val="left" w:pos="7248"/>
              </w:tabs>
              <w:spacing w:after="120" w:line="252" w:lineRule="auto"/>
              <w:jc w:val="both"/>
              <w:rPr>
                <w:rFonts w:ascii="Calibri" w:hAnsi="Calibri"/>
                <w:b/>
              </w:rPr>
            </w:pPr>
            <w:r w:rsidRPr="00AD4064">
              <w:rPr>
                <w:rFonts w:ascii="Calibri" w:hAnsi="Calibri"/>
                <w:b/>
              </w:rPr>
              <w:t>CC Benefits</w:t>
            </w:r>
          </w:p>
        </w:tc>
        <w:tc>
          <w:tcPr>
            <w:tcW w:w="1427" w:type="dxa"/>
          </w:tcPr>
          <w:p w14:paraId="05D6B6DB" w14:textId="60EE11F6" w:rsidR="00AD4064" w:rsidRPr="00AD4064" w:rsidRDefault="00AD4064" w:rsidP="00AD4064">
            <w:pPr>
              <w:tabs>
                <w:tab w:val="left" w:pos="7248"/>
              </w:tabs>
              <w:spacing w:after="120" w:line="252" w:lineRule="auto"/>
              <w:jc w:val="both"/>
              <w:rPr>
                <w:rFonts w:ascii="Calibri" w:hAnsi="Calibri"/>
                <w:b/>
              </w:rPr>
            </w:pPr>
            <w:r w:rsidRPr="00AD4064">
              <w:rPr>
                <w:rFonts w:ascii="Calibri" w:hAnsi="Calibri"/>
                <w:b/>
              </w:rPr>
              <w:t xml:space="preserve">Ambition </w:t>
            </w:r>
          </w:p>
        </w:tc>
        <w:tc>
          <w:tcPr>
            <w:tcW w:w="1797" w:type="dxa"/>
          </w:tcPr>
          <w:p w14:paraId="19319D91" w14:textId="1D2843CA" w:rsidR="00AD4064" w:rsidRPr="00AD4064" w:rsidRDefault="00743D0E" w:rsidP="00AD4064">
            <w:pPr>
              <w:tabs>
                <w:tab w:val="left" w:pos="7248"/>
              </w:tabs>
              <w:spacing w:after="120" w:line="252" w:lineRule="auto"/>
              <w:jc w:val="both"/>
              <w:rPr>
                <w:rFonts w:ascii="Calibri" w:hAnsi="Calibri"/>
                <w:b/>
              </w:rPr>
            </w:pPr>
            <w:r>
              <w:rPr>
                <w:rFonts w:ascii="Calibri" w:hAnsi="Calibri"/>
                <w:b/>
              </w:rPr>
              <w:t>U</w:t>
            </w:r>
            <w:r w:rsidR="00092EC7">
              <w:rPr>
                <w:rFonts w:ascii="Calibri" w:hAnsi="Calibri"/>
                <w:b/>
              </w:rPr>
              <w:t>K v</w:t>
            </w:r>
            <w:r>
              <w:rPr>
                <w:rFonts w:ascii="Calibri" w:hAnsi="Calibri"/>
                <w:b/>
              </w:rPr>
              <w:t>isibility</w:t>
            </w:r>
          </w:p>
        </w:tc>
        <w:tc>
          <w:tcPr>
            <w:tcW w:w="1398" w:type="dxa"/>
          </w:tcPr>
          <w:p w14:paraId="1F768B62" w14:textId="4F602CEA" w:rsidR="00AD4064" w:rsidRPr="00AD4064" w:rsidRDefault="00743D0E" w:rsidP="00AD4064">
            <w:pPr>
              <w:tabs>
                <w:tab w:val="left" w:pos="7248"/>
              </w:tabs>
              <w:spacing w:after="120" w:line="252" w:lineRule="auto"/>
              <w:jc w:val="both"/>
              <w:rPr>
                <w:rFonts w:ascii="Calibri" w:hAnsi="Calibri"/>
                <w:b/>
              </w:rPr>
            </w:pPr>
            <w:r>
              <w:rPr>
                <w:rFonts w:ascii="Calibri" w:hAnsi="Calibri"/>
                <w:b/>
              </w:rPr>
              <w:t>Timing</w:t>
            </w:r>
          </w:p>
        </w:tc>
        <w:tc>
          <w:tcPr>
            <w:tcW w:w="1080" w:type="dxa"/>
          </w:tcPr>
          <w:p w14:paraId="6DFA9CBC" w14:textId="0791DCDC" w:rsidR="00AD4064" w:rsidRPr="00AD4064" w:rsidRDefault="00AD4064" w:rsidP="00AD4064">
            <w:pPr>
              <w:tabs>
                <w:tab w:val="left" w:pos="7248"/>
              </w:tabs>
              <w:spacing w:after="120" w:line="252" w:lineRule="auto"/>
              <w:jc w:val="both"/>
              <w:rPr>
                <w:rFonts w:ascii="Calibri" w:hAnsi="Calibri"/>
                <w:b/>
              </w:rPr>
            </w:pPr>
            <w:r>
              <w:rPr>
                <w:rFonts w:ascii="Calibri" w:hAnsi="Calibri"/>
                <w:b/>
              </w:rPr>
              <w:t>Total</w:t>
            </w:r>
          </w:p>
        </w:tc>
      </w:tr>
      <w:tr w:rsidR="00AD4064" w14:paraId="10DFA81B" w14:textId="425BCDEF" w:rsidTr="00916350">
        <w:tc>
          <w:tcPr>
            <w:tcW w:w="1413" w:type="dxa"/>
          </w:tcPr>
          <w:p w14:paraId="772C93F9" w14:textId="475A15A6" w:rsidR="00AD4064" w:rsidRDefault="00AD4064" w:rsidP="00AD4064">
            <w:pPr>
              <w:tabs>
                <w:tab w:val="left" w:pos="7248"/>
              </w:tabs>
              <w:spacing w:after="120" w:line="252" w:lineRule="auto"/>
              <w:jc w:val="both"/>
              <w:rPr>
                <w:rFonts w:ascii="Calibri" w:hAnsi="Calibri"/>
              </w:rPr>
            </w:pPr>
            <w:r>
              <w:rPr>
                <w:rFonts w:ascii="Calibri" w:hAnsi="Calibri"/>
              </w:rPr>
              <w:t>Do nothing</w:t>
            </w:r>
          </w:p>
        </w:tc>
        <w:tc>
          <w:tcPr>
            <w:tcW w:w="1407" w:type="dxa"/>
            <w:shd w:val="clear" w:color="auto" w:fill="00B050"/>
          </w:tcPr>
          <w:p w14:paraId="04359E1D" w14:textId="04B5007C" w:rsidR="00AD4064" w:rsidRDefault="00916350" w:rsidP="00AD4064">
            <w:pPr>
              <w:tabs>
                <w:tab w:val="left" w:pos="7248"/>
              </w:tabs>
              <w:spacing w:after="120" w:line="252" w:lineRule="auto"/>
              <w:jc w:val="both"/>
              <w:rPr>
                <w:rFonts w:ascii="Calibri" w:hAnsi="Calibri"/>
              </w:rPr>
            </w:pPr>
            <w:r>
              <w:rPr>
                <w:rFonts w:ascii="Calibri" w:hAnsi="Calibri"/>
              </w:rPr>
              <w:t>Low (2)</w:t>
            </w:r>
          </w:p>
        </w:tc>
        <w:tc>
          <w:tcPr>
            <w:tcW w:w="1560" w:type="dxa"/>
            <w:shd w:val="clear" w:color="auto" w:fill="F79646" w:themeFill="accent6"/>
          </w:tcPr>
          <w:p w14:paraId="17FF6C52" w14:textId="73AD7397" w:rsidR="00AD4064" w:rsidRDefault="00916350" w:rsidP="00AD4064">
            <w:pPr>
              <w:tabs>
                <w:tab w:val="left" w:pos="7248"/>
              </w:tabs>
              <w:spacing w:after="120" w:line="252" w:lineRule="auto"/>
              <w:jc w:val="both"/>
              <w:rPr>
                <w:rFonts w:ascii="Calibri" w:hAnsi="Calibri"/>
              </w:rPr>
            </w:pPr>
            <w:r>
              <w:rPr>
                <w:rFonts w:ascii="Calibri" w:hAnsi="Calibri"/>
              </w:rPr>
              <w:t>Medium (</w:t>
            </w:r>
            <w:proofErr w:type="gramStart"/>
            <w:r w:rsidR="00A84C4D">
              <w:rPr>
                <w:rFonts w:ascii="Calibri" w:hAnsi="Calibri"/>
              </w:rPr>
              <w:t>1</w:t>
            </w:r>
            <w:r>
              <w:rPr>
                <w:rFonts w:ascii="Calibri" w:hAnsi="Calibri"/>
              </w:rPr>
              <w:t>)*</w:t>
            </w:r>
            <w:proofErr w:type="gramEnd"/>
          </w:p>
        </w:tc>
        <w:tc>
          <w:tcPr>
            <w:tcW w:w="1427" w:type="dxa"/>
            <w:shd w:val="clear" w:color="auto" w:fill="F79646" w:themeFill="accent6"/>
          </w:tcPr>
          <w:p w14:paraId="3CEB3897" w14:textId="4F11B529" w:rsidR="00AD4064" w:rsidRDefault="00916350" w:rsidP="00916350">
            <w:pPr>
              <w:tabs>
                <w:tab w:val="left" w:pos="1080"/>
              </w:tabs>
              <w:spacing w:after="120" w:line="252" w:lineRule="auto"/>
              <w:jc w:val="both"/>
              <w:rPr>
                <w:rFonts w:ascii="Calibri" w:hAnsi="Calibri"/>
              </w:rPr>
            </w:pPr>
            <w:proofErr w:type="gramStart"/>
            <w:r>
              <w:rPr>
                <w:rFonts w:ascii="Calibri" w:hAnsi="Calibri"/>
              </w:rPr>
              <w:t>Medium(</w:t>
            </w:r>
            <w:proofErr w:type="gramEnd"/>
            <w:r w:rsidR="00A84C4D">
              <w:rPr>
                <w:rFonts w:ascii="Calibri" w:hAnsi="Calibri"/>
              </w:rPr>
              <w:t>1</w:t>
            </w:r>
            <w:r>
              <w:rPr>
                <w:rFonts w:ascii="Calibri" w:hAnsi="Calibri"/>
              </w:rPr>
              <w:t>)*</w:t>
            </w:r>
          </w:p>
        </w:tc>
        <w:tc>
          <w:tcPr>
            <w:tcW w:w="1797" w:type="dxa"/>
            <w:shd w:val="clear" w:color="auto" w:fill="FF0000"/>
          </w:tcPr>
          <w:p w14:paraId="26E6D88A" w14:textId="1025536F" w:rsidR="00AD4064" w:rsidRDefault="00916350" w:rsidP="00AD4064">
            <w:pPr>
              <w:tabs>
                <w:tab w:val="left" w:pos="7248"/>
              </w:tabs>
              <w:spacing w:after="120" w:line="252" w:lineRule="auto"/>
              <w:jc w:val="both"/>
              <w:rPr>
                <w:rFonts w:ascii="Calibri" w:hAnsi="Calibri"/>
              </w:rPr>
            </w:pPr>
            <w:r>
              <w:rPr>
                <w:rFonts w:ascii="Calibri" w:hAnsi="Calibri"/>
              </w:rPr>
              <w:t>Low (</w:t>
            </w:r>
            <w:r w:rsidR="007635D9">
              <w:rPr>
                <w:rFonts w:ascii="Calibri" w:hAnsi="Calibri"/>
              </w:rPr>
              <w:t>0</w:t>
            </w:r>
            <w:r>
              <w:rPr>
                <w:rFonts w:ascii="Calibri" w:hAnsi="Calibri"/>
              </w:rPr>
              <w:t>)</w:t>
            </w:r>
          </w:p>
        </w:tc>
        <w:tc>
          <w:tcPr>
            <w:tcW w:w="1398" w:type="dxa"/>
            <w:shd w:val="clear" w:color="auto" w:fill="FFFFFF" w:themeFill="background1"/>
          </w:tcPr>
          <w:p w14:paraId="010DFE41" w14:textId="6AFC221E" w:rsidR="00AD4064" w:rsidRDefault="00A84C4D" w:rsidP="00AD4064">
            <w:pPr>
              <w:tabs>
                <w:tab w:val="left" w:pos="7248"/>
              </w:tabs>
              <w:spacing w:after="120" w:line="252" w:lineRule="auto"/>
              <w:jc w:val="both"/>
              <w:rPr>
                <w:rFonts w:ascii="Calibri" w:hAnsi="Calibri"/>
              </w:rPr>
            </w:pPr>
            <w:r>
              <w:rPr>
                <w:rFonts w:ascii="Calibri" w:hAnsi="Calibri"/>
              </w:rPr>
              <w:t>n/a</w:t>
            </w:r>
          </w:p>
        </w:tc>
        <w:tc>
          <w:tcPr>
            <w:tcW w:w="1080" w:type="dxa"/>
          </w:tcPr>
          <w:p w14:paraId="56F82A8E" w14:textId="2D9159BD" w:rsidR="00AD4064" w:rsidRDefault="00112F35" w:rsidP="00AD4064">
            <w:pPr>
              <w:tabs>
                <w:tab w:val="left" w:pos="7248"/>
              </w:tabs>
              <w:spacing w:after="120" w:line="252" w:lineRule="auto"/>
              <w:jc w:val="both"/>
              <w:rPr>
                <w:rFonts w:ascii="Calibri" w:hAnsi="Calibri"/>
              </w:rPr>
            </w:pPr>
            <w:r>
              <w:rPr>
                <w:rFonts w:ascii="Calibri" w:hAnsi="Calibri"/>
              </w:rPr>
              <w:t>4</w:t>
            </w:r>
          </w:p>
        </w:tc>
      </w:tr>
      <w:tr w:rsidR="00AD4064" w14:paraId="4F5073BC" w14:textId="09857689" w:rsidTr="00916350">
        <w:tc>
          <w:tcPr>
            <w:tcW w:w="1413" w:type="dxa"/>
          </w:tcPr>
          <w:p w14:paraId="6F40D8E4" w14:textId="749A3C12" w:rsidR="00AD4064" w:rsidRDefault="000E4350" w:rsidP="00AD4064">
            <w:pPr>
              <w:tabs>
                <w:tab w:val="left" w:pos="7248"/>
              </w:tabs>
              <w:spacing w:after="120" w:line="252" w:lineRule="auto"/>
              <w:jc w:val="both"/>
              <w:rPr>
                <w:rFonts w:ascii="Calibri" w:hAnsi="Calibri"/>
              </w:rPr>
            </w:pPr>
            <w:r>
              <w:rPr>
                <w:rFonts w:ascii="Calibri" w:hAnsi="Calibri"/>
              </w:rPr>
              <w:t>Cities4Forests</w:t>
            </w:r>
          </w:p>
        </w:tc>
        <w:tc>
          <w:tcPr>
            <w:tcW w:w="1407" w:type="dxa"/>
            <w:shd w:val="clear" w:color="auto" w:fill="F79646" w:themeFill="accent6"/>
          </w:tcPr>
          <w:p w14:paraId="25CD9A4E" w14:textId="0EEE3AE4" w:rsidR="00AD4064" w:rsidRDefault="00916350" w:rsidP="00AD4064">
            <w:pPr>
              <w:tabs>
                <w:tab w:val="left" w:pos="7248"/>
              </w:tabs>
              <w:spacing w:after="120" w:line="252" w:lineRule="auto"/>
              <w:jc w:val="both"/>
              <w:rPr>
                <w:rFonts w:ascii="Calibri" w:hAnsi="Calibri"/>
              </w:rPr>
            </w:pPr>
            <w:r>
              <w:rPr>
                <w:rFonts w:ascii="Calibri" w:hAnsi="Calibri"/>
              </w:rPr>
              <w:t>Medium (</w:t>
            </w:r>
            <w:r w:rsidR="007635D9">
              <w:rPr>
                <w:rFonts w:ascii="Calibri" w:hAnsi="Calibri"/>
              </w:rPr>
              <w:t>1</w:t>
            </w:r>
            <w:r>
              <w:rPr>
                <w:rFonts w:ascii="Calibri" w:hAnsi="Calibri"/>
              </w:rPr>
              <w:t>)</w:t>
            </w:r>
          </w:p>
        </w:tc>
        <w:tc>
          <w:tcPr>
            <w:tcW w:w="1560" w:type="dxa"/>
            <w:shd w:val="clear" w:color="auto" w:fill="00B050"/>
          </w:tcPr>
          <w:p w14:paraId="5BA55AC1" w14:textId="2FC0BB02" w:rsidR="00AD4064" w:rsidRDefault="00916350" w:rsidP="00AD4064">
            <w:pPr>
              <w:tabs>
                <w:tab w:val="left" w:pos="7248"/>
              </w:tabs>
              <w:spacing w:after="120" w:line="252" w:lineRule="auto"/>
              <w:jc w:val="both"/>
              <w:rPr>
                <w:rFonts w:ascii="Calibri" w:hAnsi="Calibri"/>
              </w:rPr>
            </w:pPr>
            <w:r>
              <w:rPr>
                <w:rFonts w:ascii="Calibri" w:hAnsi="Calibri"/>
              </w:rPr>
              <w:t>High (</w:t>
            </w:r>
            <w:r w:rsidR="007635D9">
              <w:rPr>
                <w:rFonts w:ascii="Calibri" w:hAnsi="Calibri"/>
              </w:rPr>
              <w:t>2</w:t>
            </w:r>
            <w:r>
              <w:rPr>
                <w:rFonts w:ascii="Calibri" w:hAnsi="Calibri"/>
              </w:rPr>
              <w:t>)</w:t>
            </w:r>
          </w:p>
        </w:tc>
        <w:tc>
          <w:tcPr>
            <w:tcW w:w="1427" w:type="dxa"/>
            <w:shd w:val="clear" w:color="auto" w:fill="00B050"/>
          </w:tcPr>
          <w:p w14:paraId="719795B2" w14:textId="146931CC" w:rsidR="00AD4064" w:rsidRDefault="00916350" w:rsidP="00916350">
            <w:pPr>
              <w:tabs>
                <w:tab w:val="left" w:pos="7248"/>
              </w:tabs>
              <w:spacing w:after="120" w:line="252" w:lineRule="auto"/>
              <w:jc w:val="both"/>
              <w:rPr>
                <w:rFonts w:ascii="Calibri" w:hAnsi="Calibri"/>
              </w:rPr>
            </w:pPr>
            <w:r>
              <w:rPr>
                <w:rFonts w:ascii="Calibri" w:hAnsi="Calibri"/>
              </w:rPr>
              <w:t>High (2)</w:t>
            </w:r>
          </w:p>
        </w:tc>
        <w:tc>
          <w:tcPr>
            <w:tcW w:w="1797" w:type="dxa"/>
            <w:shd w:val="clear" w:color="auto" w:fill="F79646" w:themeFill="accent6"/>
          </w:tcPr>
          <w:p w14:paraId="5F56C9F8" w14:textId="2F9C014A" w:rsidR="00AD4064" w:rsidRDefault="00916350" w:rsidP="00AD4064">
            <w:pPr>
              <w:tabs>
                <w:tab w:val="left" w:pos="7248"/>
              </w:tabs>
              <w:spacing w:after="120" w:line="252" w:lineRule="auto"/>
              <w:jc w:val="both"/>
              <w:rPr>
                <w:rFonts w:ascii="Calibri" w:hAnsi="Calibri"/>
              </w:rPr>
            </w:pPr>
            <w:r>
              <w:rPr>
                <w:rFonts w:ascii="Calibri" w:hAnsi="Calibri"/>
              </w:rPr>
              <w:t>Partial (</w:t>
            </w:r>
            <w:r w:rsidR="00743D0E">
              <w:rPr>
                <w:rFonts w:ascii="Calibri" w:hAnsi="Calibri"/>
              </w:rPr>
              <w:t>1</w:t>
            </w:r>
            <w:r>
              <w:rPr>
                <w:rFonts w:ascii="Calibri" w:hAnsi="Calibri"/>
              </w:rPr>
              <w:t>)</w:t>
            </w:r>
          </w:p>
        </w:tc>
        <w:tc>
          <w:tcPr>
            <w:tcW w:w="1398" w:type="dxa"/>
            <w:shd w:val="clear" w:color="auto" w:fill="00B050"/>
          </w:tcPr>
          <w:p w14:paraId="1F8F161F" w14:textId="7BB8F466" w:rsidR="00AD4064" w:rsidRDefault="00916350" w:rsidP="00AD4064">
            <w:pPr>
              <w:tabs>
                <w:tab w:val="left" w:pos="7248"/>
              </w:tabs>
              <w:spacing w:after="120" w:line="252" w:lineRule="auto"/>
              <w:jc w:val="both"/>
              <w:rPr>
                <w:rFonts w:ascii="Calibri" w:hAnsi="Calibri"/>
              </w:rPr>
            </w:pPr>
            <w:r>
              <w:rPr>
                <w:rFonts w:ascii="Calibri" w:hAnsi="Calibri"/>
              </w:rPr>
              <w:t>Fast (2)</w:t>
            </w:r>
          </w:p>
        </w:tc>
        <w:tc>
          <w:tcPr>
            <w:tcW w:w="1080" w:type="dxa"/>
          </w:tcPr>
          <w:p w14:paraId="60211D4A" w14:textId="27B5231A" w:rsidR="00AD4064" w:rsidRDefault="00916350" w:rsidP="00AD4064">
            <w:pPr>
              <w:tabs>
                <w:tab w:val="left" w:pos="7248"/>
              </w:tabs>
              <w:spacing w:after="120" w:line="252" w:lineRule="auto"/>
              <w:jc w:val="both"/>
              <w:rPr>
                <w:rFonts w:ascii="Calibri" w:hAnsi="Calibri"/>
              </w:rPr>
            </w:pPr>
            <w:r>
              <w:rPr>
                <w:rFonts w:ascii="Calibri" w:hAnsi="Calibri"/>
              </w:rPr>
              <w:t>8</w:t>
            </w:r>
          </w:p>
        </w:tc>
      </w:tr>
      <w:tr w:rsidR="00AD4064" w14:paraId="1F0ADAEF" w14:textId="716D9093" w:rsidTr="00916350">
        <w:tc>
          <w:tcPr>
            <w:tcW w:w="1413" w:type="dxa"/>
          </w:tcPr>
          <w:p w14:paraId="5C74D048" w14:textId="4131880C" w:rsidR="00AD4064" w:rsidRDefault="00AD4064" w:rsidP="00AD4064">
            <w:pPr>
              <w:tabs>
                <w:tab w:val="left" w:pos="7248"/>
              </w:tabs>
              <w:spacing w:after="120" w:line="252" w:lineRule="auto"/>
              <w:jc w:val="both"/>
              <w:rPr>
                <w:rFonts w:ascii="Calibri" w:hAnsi="Calibri"/>
              </w:rPr>
            </w:pPr>
            <w:r>
              <w:rPr>
                <w:rFonts w:ascii="Calibri" w:hAnsi="Calibri"/>
              </w:rPr>
              <w:t>Defra developed</w:t>
            </w:r>
          </w:p>
        </w:tc>
        <w:tc>
          <w:tcPr>
            <w:tcW w:w="1407" w:type="dxa"/>
            <w:shd w:val="clear" w:color="auto" w:fill="FF0000"/>
          </w:tcPr>
          <w:p w14:paraId="086743F5" w14:textId="3D491B6A" w:rsidR="00AD4064" w:rsidRDefault="00916350" w:rsidP="00AD4064">
            <w:pPr>
              <w:tabs>
                <w:tab w:val="left" w:pos="7248"/>
              </w:tabs>
              <w:spacing w:after="120" w:line="252" w:lineRule="auto"/>
              <w:jc w:val="both"/>
              <w:rPr>
                <w:rFonts w:ascii="Calibri" w:hAnsi="Calibri"/>
              </w:rPr>
            </w:pPr>
            <w:r>
              <w:rPr>
                <w:rFonts w:ascii="Calibri" w:hAnsi="Calibri"/>
              </w:rPr>
              <w:t>High (</w:t>
            </w:r>
            <w:r w:rsidR="007635D9">
              <w:rPr>
                <w:rFonts w:ascii="Calibri" w:hAnsi="Calibri"/>
              </w:rPr>
              <w:t>0</w:t>
            </w:r>
            <w:r>
              <w:rPr>
                <w:rFonts w:ascii="Calibri" w:hAnsi="Calibri"/>
              </w:rPr>
              <w:t>)</w:t>
            </w:r>
          </w:p>
        </w:tc>
        <w:tc>
          <w:tcPr>
            <w:tcW w:w="1560" w:type="dxa"/>
            <w:shd w:val="clear" w:color="auto" w:fill="F79646" w:themeFill="accent6"/>
          </w:tcPr>
          <w:p w14:paraId="7CA6D3C2" w14:textId="5FA98B26" w:rsidR="00AD4064" w:rsidRDefault="00916350" w:rsidP="007635D9">
            <w:pPr>
              <w:tabs>
                <w:tab w:val="left" w:pos="1140"/>
              </w:tabs>
              <w:spacing w:after="120" w:line="252" w:lineRule="auto"/>
              <w:jc w:val="both"/>
              <w:rPr>
                <w:rFonts w:ascii="Calibri" w:hAnsi="Calibri"/>
              </w:rPr>
            </w:pPr>
            <w:r>
              <w:rPr>
                <w:rFonts w:ascii="Calibri" w:hAnsi="Calibri"/>
              </w:rPr>
              <w:t>Medium (</w:t>
            </w:r>
            <w:r w:rsidR="00D96E78">
              <w:rPr>
                <w:rFonts w:ascii="Calibri" w:hAnsi="Calibri"/>
              </w:rPr>
              <w:t>1</w:t>
            </w:r>
            <w:r>
              <w:rPr>
                <w:rFonts w:ascii="Calibri" w:hAnsi="Calibri"/>
              </w:rPr>
              <w:t>)</w:t>
            </w:r>
            <w:r w:rsidR="007635D9">
              <w:rPr>
                <w:rFonts w:ascii="Calibri" w:hAnsi="Calibri"/>
              </w:rPr>
              <w:tab/>
            </w:r>
          </w:p>
        </w:tc>
        <w:tc>
          <w:tcPr>
            <w:tcW w:w="1427" w:type="dxa"/>
            <w:shd w:val="clear" w:color="auto" w:fill="F79646" w:themeFill="accent6"/>
          </w:tcPr>
          <w:p w14:paraId="2716BDCD" w14:textId="755FB4F1" w:rsidR="00AD4064" w:rsidRDefault="00916350" w:rsidP="00AD4064">
            <w:pPr>
              <w:tabs>
                <w:tab w:val="left" w:pos="7248"/>
              </w:tabs>
              <w:spacing w:after="120" w:line="252" w:lineRule="auto"/>
              <w:jc w:val="both"/>
              <w:rPr>
                <w:rFonts w:ascii="Calibri" w:hAnsi="Calibri"/>
              </w:rPr>
            </w:pPr>
            <w:r>
              <w:rPr>
                <w:rFonts w:ascii="Calibri" w:hAnsi="Calibri"/>
              </w:rPr>
              <w:t>Medium (</w:t>
            </w:r>
            <w:proofErr w:type="gramStart"/>
            <w:r>
              <w:rPr>
                <w:rFonts w:ascii="Calibri" w:hAnsi="Calibri"/>
              </w:rPr>
              <w:t>1)*</w:t>
            </w:r>
            <w:proofErr w:type="gramEnd"/>
          </w:p>
        </w:tc>
        <w:tc>
          <w:tcPr>
            <w:tcW w:w="1797" w:type="dxa"/>
            <w:shd w:val="clear" w:color="auto" w:fill="00B050"/>
          </w:tcPr>
          <w:p w14:paraId="2E7C32EC" w14:textId="567B3F7B" w:rsidR="00AD4064" w:rsidRDefault="00916350" w:rsidP="00AD4064">
            <w:pPr>
              <w:tabs>
                <w:tab w:val="left" w:pos="7248"/>
              </w:tabs>
              <w:spacing w:after="120" w:line="252" w:lineRule="auto"/>
              <w:jc w:val="both"/>
              <w:rPr>
                <w:rFonts w:ascii="Calibri" w:hAnsi="Calibri"/>
              </w:rPr>
            </w:pPr>
            <w:r>
              <w:rPr>
                <w:rFonts w:ascii="Calibri" w:hAnsi="Calibri"/>
              </w:rPr>
              <w:t>High (</w:t>
            </w:r>
            <w:r w:rsidR="007635D9">
              <w:rPr>
                <w:rFonts w:ascii="Calibri" w:hAnsi="Calibri"/>
              </w:rPr>
              <w:t>2</w:t>
            </w:r>
            <w:r>
              <w:rPr>
                <w:rFonts w:ascii="Calibri" w:hAnsi="Calibri"/>
              </w:rPr>
              <w:t>)</w:t>
            </w:r>
          </w:p>
        </w:tc>
        <w:tc>
          <w:tcPr>
            <w:tcW w:w="1398" w:type="dxa"/>
            <w:shd w:val="clear" w:color="auto" w:fill="FF0000"/>
          </w:tcPr>
          <w:p w14:paraId="6DBA4C37" w14:textId="19F22BAE" w:rsidR="00AD4064" w:rsidRDefault="00916350" w:rsidP="00AD4064">
            <w:pPr>
              <w:tabs>
                <w:tab w:val="left" w:pos="7248"/>
              </w:tabs>
              <w:spacing w:after="120" w:line="252" w:lineRule="auto"/>
              <w:jc w:val="both"/>
              <w:rPr>
                <w:rFonts w:ascii="Calibri" w:hAnsi="Calibri"/>
              </w:rPr>
            </w:pPr>
            <w:r>
              <w:rPr>
                <w:rFonts w:ascii="Calibri" w:hAnsi="Calibri"/>
              </w:rPr>
              <w:t>Slow (</w:t>
            </w:r>
            <w:r w:rsidR="00743D0E">
              <w:rPr>
                <w:rFonts w:ascii="Calibri" w:hAnsi="Calibri"/>
              </w:rPr>
              <w:t>0</w:t>
            </w:r>
            <w:r>
              <w:rPr>
                <w:rFonts w:ascii="Calibri" w:hAnsi="Calibri"/>
              </w:rPr>
              <w:t>)</w:t>
            </w:r>
          </w:p>
        </w:tc>
        <w:tc>
          <w:tcPr>
            <w:tcW w:w="1080" w:type="dxa"/>
          </w:tcPr>
          <w:p w14:paraId="13503870" w14:textId="310F809F" w:rsidR="00AD4064" w:rsidRDefault="00916350" w:rsidP="00AD4064">
            <w:pPr>
              <w:tabs>
                <w:tab w:val="left" w:pos="7248"/>
              </w:tabs>
              <w:spacing w:after="120" w:line="252" w:lineRule="auto"/>
              <w:jc w:val="both"/>
              <w:rPr>
                <w:rFonts w:ascii="Calibri" w:hAnsi="Calibri"/>
              </w:rPr>
            </w:pPr>
            <w:r>
              <w:rPr>
                <w:rFonts w:ascii="Calibri" w:hAnsi="Calibri"/>
              </w:rPr>
              <w:t>4</w:t>
            </w:r>
          </w:p>
        </w:tc>
      </w:tr>
    </w:tbl>
    <w:p w14:paraId="4AA08F0A" w14:textId="0666B2A4" w:rsidR="00AD4064" w:rsidRPr="00916350" w:rsidRDefault="00916350" w:rsidP="00AD4064">
      <w:pPr>
        <w:tabs>
          <w:tab w:val="left" w:pos="7248"/>
        </w:tabs>
        <w:spacing w:after="120" w:line="252" w:lineRule="auto"/>
        <w:jc w:val="both"/>
        <w:rPr>
          <w:rFonts w:ascii="Calibri" w:hAnsi="Calibri"/>
          <w:sz w:val="20"/>
          <w:szCs w:val="20"/>
        </w:rPr>
      </w:pPr>
      <w:r w:rsidRPr="00916350">
        <w:rPr>
          <w:rFonts w:ascii="Calibri" w:hAnsi="Calibri"/>
          <w:sz w:val="20"/>
          <w:szCs w:val="20"/>
        </w:rPr>
        <w:t xml:space="preserve">*note that a ‘medium’ score is given in these options as the </w:t>
      </w:r>
      <w:r w:rsidR="000E4350">
        <w:rPr>
          <w:rFonts w:ascii="Calibri" w:hAnsi="Calibri"/>
          <w:sz w:val="20"/>
          <w:szCs w:val="20"/>
        </w:rPr>
        <w:t>Cities4Forests</w:t>
      </w:r>
      <w:r w:rsidRPr="00916350">
        <w:rPr>
          <w:rFonts w:ascii="Calibri" w:hAnsi="Calibri"/>
          <w:sz w:val="20"/>
          <w:szCs w:val="20"/>
        </w:rPr>
        <w:t xml:space="preserve"> programme will still exist and it will still bring about some of these benefits, but they will not be as extensive without UK support. </w:t>
      </w:r>
    </w:p>
    <w:p w14:paraId="3ADC3F2C" w14:textId="160A438A" w:rsidR="00E439AE" w:rsidRDefault="00E439AE" w:rsidP="00663BE5">
      <w:pPr>
        <w:pStyle w:val="ListParagraph"/>
        <w:numPr>
          <w:ilvl w:val="0"/>
          <w:numId w:val="8"/>
        </w:numPr>
        <w:tabs>
          <w:tab w:val="left" w:pos="7248"/>
        </w:tabs>
        <w:spacing w:after="120" w:line="252" w:lineRule="auto"/>
        <w:ind w:left="20"/>
        <w:contextualSpacing w:val="0"/>
        <w:jc w:val="both"/>
        <w:rPr>
          <w:rFonts w:ascii="Calibri" w:hAnsi="Calibri"/>
          <w:b/>
        </w:rPr>
      </w:pPr>
      <w:r>
        <w:rPr>
          <w:rFonts w:ascii="Calibri" w:hAnsi="Calibri"/>
          <w:b/>
        </w:rPr>
        <w:t>Option 1: Do nothing</w:t>
      </w:r>
    </w:p>
    <w:p w14:paraId="08F733ED" w14:textId="3F739CD2" w:rsidR="00A84C4D" w:rsidRPr="00A84C4D" w:rsidRDefault="00743D0E" w:rsidP="000C53A0">
      <w:pPr>
        <w:pStyle w:val="ListParagraph"/>
        <w:numPr>
          <w:ilvl w:val="0"/>
          <w:numId w:val="8"/>
        </w:numPr>
        <w:tabs>
          <w:tab w:val="left" w:pos="7248"/>
        </w:tabs>
        <w:spacing w:after="120" w:line="252" w:lineRule="auto"/>
        <w:ind w:left="20"/>
        <w:contextualSpacing w:val="0"/>
        <w:jc w:val="both"/>
        <w:rPr>
          <w:rFonts w:ascii="Calibri" w:hAnsi="Calibri"/>
          <w:b/>
        </w:rPr>
      </w:pPr>
      <w:r w:rsidRPr="00A84C4D">
        <w:rPr>
          <w:rFonts w:ascii="Calibri" w:hAnsi="Calibri"/>
        </w:rPr>
        <w:t>For this option, the UK would not invest in Cities4forests</w:t>
      </w:r>
      <w:r w:rsidR="000E4350">
        <w:rPr>
          <w:rFonts w:ascii="Calibri" w:hAnsi="Calibri"/>
        </w:rPr>
        <w:t xml:space="preserve"> or develop a similar </w:t>
      </w:r>
      <w:proofErr w:type="spellStart"/>
      <w:r w:rsidR="000E4350">
        <w:rPr>
          <w:rFonts w:ascii="Calibri" w:hAnsi="Calibri"/>
        </w:rPr>
        <w:t>initaitive</w:t>
      </w:r>
      <w:proofErr w:type="spellEnd"/>
      <w:r w:rsidRPr="00A84C4D">
        <w:rPr>
          <w:rFonts w:ascii="Calibri" w:hAnsi="Calibri"/>
        </w:rPr>
        <w:t xml:space="preserve">. </w:t>
      </w:r>
      <w:r w:rsidR="00A84C4D" w:rsidRPr="00A84C4D">
        <w:rPr>
          <w:rFonts w:ascii="Calibri" w:hAnsi="Calibri"/>
        </w:rPr>
        <w:t>D</w:t>
      </w:r>
      <w:r w:rsidRPr="00A84C4D">
        <w:rPr>
          <w:rFonts w:ascii="Calibri" w:hAnsi="Calibri"/>
        </w:rPr>
        <w:t xml:space="preserve">o nothing would result in no costs to Defra directly and there would be no resource costs of time associated with managing the programme. </w:t>
      </w:r>
    </w:p>
    <w:p w14:paraId="22500581" w14:textId="32E13A46" w:rsidR="00743D0E" w:rsidRPr="00EB2EEF" w:rsidRDefault="00A84C4D" w:rsidP="000C53A0">
      <w:pPr>
        <w:pStyle w:val="ListParagraph"/>
        <w:numPr>
          <w:ilvl w:val="0"/>
          <w:numId w:val="8"/>
        </w:numPr>
        <w:tabs>
          <w:tab w:val="left" w:pos="7248"/>
        </w:tabs>
        <w:spacing w:after="120" w:line="252" w:lineRule="auto"/>
        <w:ind w:left="20"/>
        <w:contextualSpacing w:val="0"/>
        <w:jc w:val="both"/>
        <w:rPr>
          <w:rFonts w:ascii="Calibri" w:hAnsi="Calibri"/>
          <w:b/>
        </w:rPr>
      </w:pPr>
      <w:r w:rsidRPr="00A84C4D">
        <w:rPr>
          <w:rFonts w:ascii="Calibri" w:hAnsi="Calibri"/>
        </w:rPr>
        <w:t xml:space="preserve">There would be wider social costs in that </w:t>
      </w:r>
      <w:r w:rsidR="00EB2EEF">
        <w:rPr>
          <w:rFonts w:ascii="Calibri" w:hAnsi="Calibri"/>
        </w:rPr>
        <w:t>Cities4Forests would not be able to fund all its ambition. This would result in less technical assistance to few</w:t>
      </w:r>
      <w:r w:rsidR="002C3D59">
        <w:rPr>
          <w:rFonts w:ascii="Calibri" w:hAnsi="Calibri"/>
        </w:rPr>
        <w:t>er</w:t>
      </w:r>
      <w:r w:rsidR="00EB2EEF">
        <w:rPr>
          <w:rFonts w:ascii="Calibri" w:hAnsi="Calibri"/>
        </w:rPr>
        <w:t xml:space="preserve"> </w:t>
      </w:r>
      <w:r w:rsidR="000E4350">
        <w:rPr>
          <w:rFonts w:ascii="Calibri" w:hAnsi="Calibri"/>
        </w:rPr>
        <w:t xml:space="preserve">developing country </w:t>
      </w:r>
      <w:r w:rsidR="00EB2EEF">
        <w:rPr>
          <w:rFonts w:ascii="Calibri" w:hAnsi="Calibri"/>
        </w:rPr>
        <w:t>cities, reducing the results of the programme in terms of climate change benefits from forest restoration and protection. There may also be less resources and ability for the Cities4forests to mobilise ambition and action of mayors ahead of COP</w:t>
      </w:r>
      <w:r w:rsidR="002053E2">
        <w:rPr>
          <w:rFonts w:ascii="Calibri" w:hAnsi="Calibri"/>
        </w:rPr>
        <w:t>26</w:t>
      </w:r>
      <w:r w:rsidR="00EB2EEF">
        <w:rPr>
          <w:rFonts w:ascii="Calibri" w:hAnsi="Calibri"/>
        </w:rPr>
        <w:t xml:space="preserve">. Thus, it may be less effective than it would be without Defra support. The UK would not be seen to be pioneering </w:t>
      </w:r>
      <w:proofErr w:type="gramStart"/>
      <w:r w:rsidR="00EB2EEF">
        <w:rPr>
          <w:rFonts w:ascii="Calibri" w:hAnsi="Calibri"/>
        </w:rPr>
        <w:t>nature based</w:t>
      </w:r>
      <w:proofErr w:type="gramEnd"/>
      <w:r w:rsidR="00EB2EEF">
        <w:rPr>
          <w:rFonts w:ascii="Calibri" w:hAnsi="Calibri"/>
        </w:rPr>
        <w:t xml:space="preserve"> solutions with </w:t>
      </w:r>
      <w:r w:rsidR="000E4350">
        <w:rPr>
          <w:rFonts w:ascii="Calibri" w:hAnsi="Calibri"/>
        </w:rPr>
        <w:t xml:space="preserve">developing country </w:t>
      </w:r>
      <w:r w:rsidR="00EB2EEF">
        <w:rPr>
          <w:rFonts w:ascii="Calibri" w:hAnsi="Calibri"/>
        </w:rPr>
        <w:t xml:space="preserve">cities, in advance of COP26. </w:t>
      </w:r>
    </w:p>
    <w:p w14:paraId="5CD08942" w14:textId="595011AC" w:rsidR="00EB2EEF" w:rsidRPr="00EB2EEF" w:rsidRDefault="00EB2EEF" w:rsidP="000C53A0">
      <w:pPr>
        <w:pStyle w:val="ListParagraph"/>
        <w:numPr>
          <w:ilvl w:val="0"/>
          <w:numId w:val="8"/>
        </w:numPr>
        <w:tabs>
          <w:tab w:val="left" w:pos="7248"/>
        </w:tabs>
        <w:spacing w:after="120" w:line="252" w:lineRule="auto"/>
        <w:ind w:left="20"/>
        <w:contextualSpacing w:val="0"/>
        <w:jc w:val="both"/>
        <w:rPr>
          <w:rFonts w:ascii="Calibri" w:hAnsi="Calibri"/>
          <w:b/>
        </w:rPr>
      </w:pPr>
      <w:r w:rsidRPr="00EB2EEF">
        <w:rPr>
          <w:rFonts w:ascii="Calibri" w:hAnsi="Calibri"/>
          <w:b/>
        </w:rPr>
        <w:t>Option 2: Invest in Cities4Forests</w:t>
      </w:r>
    </w:p>
    <w:p w14:paraId="29D282D0" w14:textId="6CBAA11D" w:rsidR="00D95D4B" w:rsidRPr="00663BE5" w:rsidRDefault="00D95D4B" w:rsidP="00663BE5">
      <w:pPr>
        <w:pStyle w:val="ListParagraph"/>
        <w:numPr>
          <w:ilvl w:val="0"/>
          <w:numId w:val="8"/>
        </w:numPr>
        <w:tabs>
          <w:tab w:val="left" w:pos="7248"/>
        </w:tabs>
        <w:spacing w:after="120" w:line="252" w:lineRule="auto"/>
        <w:ind w:left="20"/>
        <w:contextualSpacing w:val="0"/>
        <w:jc w:val="both"/>
        <w:rPr>
          <w:rFonts w:ascii="Calibri" w:hAnsi="Calibri"/>
        </w:rPr>
      </w:pPr>
      <w:r w:rsidRPr="00663BE5">
        <w:rPr>
          <w:rFonts w:ascii="Calibri" w:hAnsi="Calibri"/>
        </w:rPr>
        <w:t xml:space="preserve">Summary: Option 1 is to </w:t>
      </w:r>
      <w:r w:rsidRPr="00AE0472">
        <w:rPr>
          <w:rFonts w:ascii="Calibri" w:hAnsi="Calibri"/>
        </w:rPr>
        <w:t xml:space="preserve">invest </w:t>
      </w:r>
      <w:r w:rsidR="005F58BE" w:rsidRPr="00AE0472">
        <w:rPr>
          <w:rFonts w:ascii="Calibri" w:hAnsi="Calibri"/>
        </w:rPr>
        <w:t>£56</w:t>
      </w:r>
      <w:r w:rsidRPr="00AE0472">
        <w:rPr>
          <w:rFonts w:ascii="Calibri" w:hAnsi="Calibri"/>
        </w:rPr>
        <w:t>0,000 into</w:t>
      </w:r>
      <w:r w:rsidRPr="00663BE5">
        <w:rPr>
          <w:rFonts w:ascii="Calibri" w:hAnsi="Calibri"/>
        </w:rPr>
        <w:t xml:space="preserve"> the Cities4Forests initiative</w:t>
      </w:r>
      <w:r w:rsidR="000E4350">
        <w:rPr>
          <w:rFonts w:ascii="Calibri" w:hAnsi="Calibri"/>
        </w:rPr>
        <w:t>, specifically</w:t>
      </w:r>
      <w:r w:rsidRPr="00663BE5">
        <w:rPr>
          <w:rFonts w:ascii="Calibri" w:hAnsi="Calibri"/>
        </w:rPr>
        <w:t xml:space="preserve"> financing a range of technical assistant proposals that will support </w:t>
      </w:r>
      <w:r w:rsidR="000E4350">
        <w:rPr>
          <w:rFonts w:ascii="Calibri" w:hAnsi="Calibri"/>
        </w:rPr>
        <w:t>developing country city members</w:t>
      </w:r>
      <w:r w:rsidRPr="00663BE5">
        <w:rPr>
          <w:rFonts w:ascii="Calibri" w:hAnsi="Calibri"/>
        </w:rPr>
        <w:t xml:space="preserve"> to value and plan for investment into forests</w:t>
      </w:r>
      <w:r w:rsidR="002C3D59">
        <w:rPr>
          <w:rFonts w:ascii="Calibri" w:hAnsi="Calibri"/>
        </w:rPr>
        <w:t xml:space="preserve"> -</w:t>
      </w:r>
      <w:r w:rsidRPr="00663BE5">
        <w:rPr>
          <w:rFonts w:ascii="Calibri" w:hAnsi="Calibri"/>
        </w:rPr>
        <w:t xml:space="preserve"> both restoration and protection. It will contribute to the budget to: </w:t>
      </w:r>
    </w:p>
    <w:p w14:paraId="0C86DF3A" w14:textId="2C77BEAA" w:rsidR="00D95D4B" w:rsidRPr="00663BE5" w:rsidRDefault="00D95D4B" w:rsidP="00663BE5">
      <w:pPr>
        <w:pStyle w:val="ListParagraph"/>
        <w:numPr>
          <w:ilvl w:val="1"/>
          <w:numId w:val="8"/>
        </w:numPr>
        <w:tabs>
          <w:tab w:val="left" w:pos="7248"/>
        </w:tabs>
        <w:spacing w:after="120" w:line="252" w:lineRule="auto"/>
        <w:contextualSpacing w:val="0"/>
        <w:jc w:val="both"/>
        <w:rPr>
          <w:rFonts w:ascii="Calibri" w:hAnsi="Calibri"/>
        </w:rPr>
      </w:pPr>
      <w:r w:rsidRPr="26BF515B">
        <w:rPr>
          <w:rFonts w:ascii="Calibri" w:hAnsi="Calibri"/>
        </w:rPr>
        <w:t xml:space="preserve">Deliver tree mapping, </w:t>
      </w:r>
      <w:proofErr w:type="gramStart"/>
      <w:r w:rsidRPr="26BF515B">
        <w:rPr>
          <w:rFonts w:ascii="Calibri" w:hAnsi="Calibri"/>
        </w:rPr>
        <w:t>baselines</w:t>
      </w:r>
      <w:proofErr w:type="gramEnd"/>
      <w:r w:rsidRPr="26BF515B">
        <w:rPr>
          <w:rFonts w:ascii="Calibri" w:hAnsi="Calibri"/>
        </w:rPr>
        <w:t xml:space="preserve"> and forest</w:t>
      </w:r>
      <w:r w:rsidR="00AE0472" w:rsidRPr="26BF515B">
        <w:rPr>
          <w:rFonts w:ascii="Calibri" w:hAnsi="Calibri"/>
        </w:rPr>
        <w:t xml:space="preserve"> and </w:t>
      </w:r>
      <w:proofErr w:type="spellStart"/>
      <w:r w:rsidR="22395738" w:rsidRPr="26BF515B">
        <w:rPr>
          <w:rFonts w:ascii="Calibri" w:hAnsi="Calibri"/>
        </w:rPr>
        <w:t>NbS</w:t>
      </w:r>
      <w:proofErr w:type="spellEnd"/>
      <w:r w:rsidR="22395738" w:rsidRPr="26BF515B">
        <w:rPr>
          <w:rFonts w:ascii="Calibri" w:hAnsi="Calibri"/>
        </w:rPr>
        <w:t xml:space="preserve"> </w:t>
      </w:r>
      <w:r w:rsidRPr="26BF515B">
        <w:rPr>
          <w:rFonts w:ascii="Calibri" w:hAnsi="Calibri"/>
        </w:rPr>
        <w:t xml:space="preserve">investment plans for </w:t>
      </w:r>
      <w:r w:rsidR="005F58BE" w:rsidRPr="26BF515B">
        <w:rPr>
          <w:rFonts w:ascii="Calibri" w:hAnsi="Calibri"/>
        </w:rPr>
        <w:t>five</w:t>
      </w:r>
      <w:r w:rsidRPr="26BF515B">
        <w:rPr>
          <w:rFonts w:ascii="Calibri" w:hAnsi="Calibri"/>
        </w:rPr>
        <w:t xml:space="preserve"> </w:t>
      </w:r>
      <w:r w:rsidR="005F58BE" w:rsidRPr="26BF515B">
        <w:rPr>
          <w:rFonts w:ascii="Calibri" w:hAnsi="Calibri"/>
        </w:rPr>
        <w:t>countries</w:t>
      </w:r>
      <w:r w:rsidRPr="26BF515B">
        <w:rPr>
          <w:rFonts w:ascii="Calibri" w:hAnsi="Calibri"/>
        </w:rPr>
        <w:t xml:space="preserve"> – </w:t>
      </w:r>
      <w:proofErr w:type="spellStart"/>
      <w:r w:rsidR="005F58BE" w:rsidRPr="26BF515B">
        <w:rPr>
          <w:rFonts w:ascii="Calibri" w:hAnsi="Calibri"/>
        </w:rPr>
        <w:t>Madagasac</w:t>
      </w:r>
      <w:r w:rsidR="209D86E9" w:rsidRPr="26BF515B">
        <w:rPr>
          <w:rFonts w:ascii="Calibri" w:hAnsi="Calibri"/>
        </w:rPr>
        <w:t>a</w:t>
      </w:r>
      <w:r w:rsidR="005F58BE" w:rsidRPr="26BF515B">
        <w:rPr>
          <w:rFonts w:ascii="Calibri" w:hAnsi="Calibri"/>
        </w:rPr>
        <w:t>r</w:t>
      </w:r>
      <w:proofErr w:type="spellEnd"/>
      <w:r w:rsidR="005F58BE" w:rsidRPr="26BF515B">
        <w:rPr>
          <w:rFonts w:ascii="Calibri" w:hAnsi="Calibri"/>
        </w:rPr>
        <w:t xml:space="preserve">, Brazil, India, Indonesia and Mexico. </w:t>
      </w:r>
    </w:p>
    <w:p w14:paraId="2EEFBA6B" w14:textId="2D8E079C" w:rsidR="00D95D4B" w:rsidRPr="00663BE5" w:rsidRDefault="00A83FE0" w:rsidP="00663BE5">
      <w:pPr>
        <w:pStyle w:val="ListParagraph"/>
        <w:numPr>
          <w:ilvl w:val="1"/>
          <w:numId w:val="8"/>
        </w:numPr>
        <w:tabs>
          <w:tab w:val="left" w:pos="7248"/>
        </w:tabs>
        <w:spacing w:after="120" w:line="252" w:lineRule="auto"/>
        <w:contextualSpacing w:val="0"/>
        <w:jc w:val="both"/>
        <w:rPr>
          <w:rFonts w:ascii="Calibri" w:hAnsi="Calibri"/>
        </w:rPr>
      </w:pPr>
      <w:r w:rsidRPr="00663BE5">
        <w:rPr>
          <w:rFonts w:ascii="Calibri" w:hAnsi="Calibri"/>
        </w:rPr>
        <w:t>Build</w:t>
      </w:r>
      <w:r w:rsidR="00D95D4B" w:rsidRPr="00663BE5">
        <w:rPr>
          <w:rFonts w:ascii="Calibri" w:hAnsi="Calibri"/>
        </w:rPr>
        <w:t xml:space="preserve"> the evidence base and supporting communications for a global mayor-led call to action on NBS for the Super Year of Nature – 2020; and</w:t>
      </w:r>
    </w:p>
    <w:p w14:paraId="6B9B2274" w14:textId="101E5A35" w:rsidR="00D95D4B" w:rsidRPr="00663BE5" w:rsidRDefault="00D95D4B" w:rsidP="00663BE5">
      <w:pPr>
        <w:pStyle w:val="ListParagraph"/>
        <w:numPr>
          <w:ilvl w:val="1"/>
          <w:numId w:val="8"/>
        </w:numPr>
        <w:tabs>
          <w:tab w:val="left" w:pos="7248"/>
        </w:tabs>
        <w:spacing w:after="120" w:line="252" w:lineRule="auto"/>
        <w:contextualSpacing w:val="0"/>
        <w:jc w:val="both"/>
        <w:rPr>
          <w:rFonts w:ascii="Calibri" w:hAnsi="Calibri"/>
        </w:rPr>
      </w:pPr>
      <w:r w:rsidRPr="00663BE5">
        <w:rPr>
          <w:rFonts w:ascii="Calibri" w:hAnsi="Calibri"/>
        </w:rPr>
        <w:t xml:space="preserve">Develop and deploy evidence-based knowledge products to value forests and create feasible investment strategies for </w:t>
      </w:r>
      <w:r w:rsidR="000E4350">
        <w:rPr>
          <w:rFonts w:ascii="Calibri" w:hAnsi="Calibri"/>
        </w:rPr>
        <w:t>2</w:t>
      </w:r>
      <w:r w:rsidR="005B05C7">
        <w:rPr>
          <w:rFonts w:ascii="Calibri" w:hAnsi="Calibri"/>
        </w:rPr>
        <w:t>9</w:t>
      </w:r>
      <w:r w:rsidR="000E4350">
        <w:rPr>
          <w:rFonts w:ascii="Calibri" w:hAnsi="Calibri"/>
        </w:rPr>
        <w:t xml:space="preserve"> developing country</w:t>
      </w:r>
      <w:r w:rsidRPr="00663BE5">
        <w:rPr>
          <w:rFonts w:ascii="Calibri" w:hAnsi="Calibri"/>
        </w:rPr>
        <w:t xml:space="preserve"> member cities across Cities4Forests. </w:t>
      </w:r>
    </w:p>
    <w:p w14:paraId="65CF4980" w14:textId="3B81F745" w:rsidR="000768D1" w:rsidRDefault="000768D1" w:rsidP="00663BE5">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In terms of </w:t>
      </w:r>
      <w:r w:rsidRPr="00864782">
        <w:rPr>
          <w:rFonts w:ascii="Calibri" w:hAnsi="Calibri"/>
          <w:b/>
        </w:rPr>
        <w:t>economy</w:t>
      </w:r>
      <w:r>
        <w:rPr>
          <w:rFonts w:ascii="Calibri" w:hAnsi="Calibri"/>
        </w:rPr>
        <w:t xml:space="preserve">, </w:t>
      </w:r>
      <w:r w:rsidR="00864782">
        <w:rPr>
          <w:rFonts w:ascii="Calibri" w:hAnsi="Calibri"/>
        </w:rPr>
        <w:t xml:space="preserve">there will be financial </w:t>
      </w:r>
      <w:r w:rsidR="00864782" w:rsidRPr="00AE0472">
        <w:rPr>
          <w:rFonts w:ascii="Calibri" w:hAnsi="Calibri"/>
        </w:rPr>
        <w:t xml:space="preserve">costs of </w:t>
      </w:r>
      <w:r w:rsidR="005F58BE" w:rsidRPr="00AE0472">
        <w:rPr>
          <w:rFonts w:ascii="Calibri" w:hAnsi="Calibri"/>
        </w:rPr>
        <w:t>£56</w:t>
      </w:r>
      <w:r w:rsidR="00864782" w:rsidRPr="00AE0472">
        <w:rPr>
          <w:rFonts w:ascii="Calibri" w:hAnsi="Calibri"/>
        </w:rPr>
        <w:t>0,000 in Year</w:t>
      </w:r>
      <w:r w:rsidR="00864782">
        <w:rPr>
          <w:rFonts w:ascii="Calibri" w:hAnsi="Calibri"/>
        </w:rPr>
        <w:t xml:space="preserve"> 2 of the project, and staff time for policy engagement and progr</w:t>
      </w:r>
      <w:r w:rsidR="000E4350">
        <w:rPr>
          <w:rFonts w:ascii="Calibri" w:hAnsi="Calibri"/>
        </w:rPr>
        <w:t>amme management estimated at 0.2</w:t>
      </w:r>
      <w:r w:rsidR="00864782">
        <w:rPr>
          <w:rFonts w:ascii="Calibri" w:hAnsi="Calibri"/>
        </w:rPr>
        <w:t xml:space="preserve"> FTE over two years. </w:t>
      </w:r>
      <w:r w:rsidR="002C3D59">
        <w:rPr>
          <w:rFonts w:ascii="Calibri" w:hAnsi="Calibri"/>
        </w:rPr>
        <w:t>Defra’s funds</w:t>
      </w:r>
      <w:r w:rsidR="00864782">
        <w:rPr>
          <w:rFonts w:ascii="Calibri" w:hAnsi="Calibri"/>
        </w:rPr>
        <w:t xml:space="preserve"> will finance a multitude of tools and evidence-based knowledge products to value forests and c</w:t>
      </w:r>
      <w:r w:rsidR="002D0B94">
        <w:rPr>
          <w:rFonts w:ascii="Calibri" w:hAnsi="Calibri"/>
        </w:rPr>
        <w:t xml:space="preserve">reate feasible investment strategies for </w:t>
      </w:r>
      <w:r w:rsidR="002A3129">
        <w:rPr>
          <w:rFonts w:ascii="Calibri" w:hAnsi="Calibri"/>
        </w:rPr>
        <w:t xml:space="preserve">the </w:t>
      </w:r>
      <w:r w:rsidR="000E4350">
        <w:rPr>
          <w:rFonts w:ascii="Calibri" w:hAnsi="Calibri"/>
        </w:rPr>
        <w:t>2</w:t>
      </w:r>
      <w:r w:rsidR="005B05C7">
        <w:rPr>
          <w:rFonts w:ascii="Calibri" w:hAnsi="Calibri"/>
        </w:rPr>
        <w:t>9</w:t>
      </w:r>
      <w:r w:rsidR="000E4350">
        <w:rPr>
          <w:rFonts w:ascii="Calibri" w:hAnsi="Calibri"/>
        </w:rPr>
        <w:t xml:space="preserve"> </w:t>
      </w:r>
      <w:proofErr w:type="spellStart"/>
      <w:r w:rsidR="000E4350">
        <w:rPr>
          <w:rFonts w:ascii="Calibri" w:hAnsi="Calibri"/>
        </w:rPr>
        <w:t>developming</w:t>
      </w:r>
      <w:proofErr w:type="spellEnd"/>
      <w:r w:rsidR="000E4350">
        <w:rPr>
          <w:rFonts w:ascii="Calibri" w:hAnsi="Calibri"/>
        </w:rPr>
        <w:t xml:space="preserve"> country</w:t>
      </w:r>
      <w:r w:rsidR="002A3129">
        <w:rPr>
          <w:rFonts w:ascii="Calibri" w:hAnsi="Calibri"/>
        </w:rPr>
        <w:t xml:space="preserve"> member cities across Cit</w:t>
      </w:r>
      <w:r w:rsidR="002D0B94">
        <w:rPr>
          <w:rFonts w:ascii="Calibri" w:hAnsi="Calibri"/>
        </w:rPr>
        <w:t xml:space="preserve">ies4Forests. Defra funds will mean more cities in the network can benefit from tailored, specific deep dive investments, e.g. forest investment plans in India, </w:t>
      </w:r>
      <w:proofErr w:type="gramStart"/>
      <w:r w:rsidR="002D0B94">
        <w:rPr>
          <w:rFonts w:ascii="Calibri" w:hAnsi="Calibri"/>
        </w:rPr>
        <w:t>Brazil</w:t>
      </w:r>
      <w:proofErr w:type="gramEnd"/>
      <w:r w:rsidR="002D0B94">
        <w:rPr>
          <w:rFonts w:ascii="Calibri" w:hAnsi="Calibri"/>
        </w:rPr>
        <w:t xml:space="preserve"> and Madagascar. In addition, there can be greater acceleration to action; </w:t>
      </w:r>
      <w:r w:rsidR="002C3D59">
        <w:rPr>
          <w:rFonts w:ascii="Calibri" w:hAnsi="Calibri"/>
        </w:rPr>
        <w:t>in 2020</w:t>
      </w:r>
      <w:r w:rsidR="002D0B94">
        <w:rPr>
          <w:rFonts w:ascii="Calibri" w:hAnsi="Calibri"/>
        </w:rPr>
        <w:t xml:space="preserve"> there is a unique opportunity to galvanise action for forests</w:t>
      </w:r>
      <w:r w:rsidR="002C3D59">
        <w:rPr>
          <w:rFonts w:ascii="Calibri" w:hAnsi="Calibri"/>
        </w:rPr>
        <w:t>, given the two major COPs,</w:t>
      </w:r>
      <w:r w:rsidR="002D0B94">
        <w:rPr>
          <w:rFonts w:ascii="Calibri" w:hAnsi="Calibri"/>
        </w:rPr>
        <w:t xml:space="preserve"> and Defra funds can build momentum in a global mayor-led call to action on </w:t>
      </w:r>
      <w:r w:rsidR="000E4350">
        <w:rPr>
          <w:rFonts w:ascii="Calibri" w:hAnsi="Calibri"/>
        </w:rPr>
        <w:t>nature-based solutions</w:t>
      </w:r>
      <w:r w:rsidR="002D0B94">
        <w:rPr>
          <w:rFonts w:ascii="Calibri" w:hAnsi="Calibri"/>
        </w:rPr>
        <w:t>. Defra funds expand the range of tools that can be finance</w:t>
      </w:r>
      <w:r w:rsidR="002A3129">
        <w:rPr>
          <w:rFonts w:ascii="Calibri" w:hAnsi="Calibri"/>
        </w:rPr>
        <w:t>d</w:t>
      </w:r>
      <w:r w:rsidR="002D0B94">
        <w:rPr>
          <w:rFonts w:ascii="Calibri" w:hAnsi="Calibri"/>
        </w:rPr>
        <w:t xml:space="preserve"> to help cities protect forests, e.g. through the </w:t>
      </w:r>
      <w:r w:rsidR="000E4350">
        <w:rPr>
          <w:rFonts w:ascii="Calibri" w:hAnsi="Calibri"/>
        </w:rPr>
        <w:t>piloting</w:t>
      </w:r>
      <w:r w:rsidR="002D0B94">
        <w:rPr>
          <w:rFonts w:ascii="Calibri" w:hAnsi="Calibri"/>
        </w:rPr>
        <w:t xml:space="preserve"> of </w:t>
      </w:r>
      <w:r w:rsidR="000E4350">
        <w:rPr>
          <w:rFonts w:ascii="Calibri" w:hAnsi="Calibri"/>
        </w:rPr>
        <w:t>Partner Forest Programme</w:t>
      </w:r>
      <w:r w:rsidR="002D0B94">
        <w:rPr>
          <w:rFonts w:ascii="Calibri" w:hAnsi="Calibri"/>
        </w:rPr>
        <w:t xml:space="preserve">, </w:t>
      </w:r>
      <w:proofErr w:type="gramStart"/>
      <w:r w:rsidR="002D0B94">
        <w:rPr>
          <w:rFonts w:ascii="Calibri" w:hAnsi="Calibri"/>
        </w:rPr>
        <w:t>as a result of</w:t>
      </w:r>
      <w:proofErr w:type="gramEnd"/>
      <w:r w:rsidR="002D0B94">
        <w:rPr>
          <w:rFonts w:ascii="Calibri" w:hAnsi="Calibri"/>
        </w:rPr>
        <w:t xml:space="preserve"> Defra funds. </w:t>
      </w:r>
    </w:p>
    <w:p w14:paraId="5725DC16" w14:textId="699CBF92" w:rsidR="007C2F57" w:rsidRDefault="007C2F57" w:rsidP="00663BE5">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There is a high level of expertise involved in the project, with leading global experts on forests protection and restoration providing significant time on the project. </w:t>
      </w:r>
    </w:p>
    <w:p w14:paraId="25872D69" w14:textId="183668CE" w:rsidR="002D0B94" w:rsidRDefault="002D0B94" w:rsidP="00663BE5">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There are </w:t>
      </w:r>
      <w:r w:rsidRPr="002D0B94">
        <w:rPr>
          <w:rFonts w:ascii="Calibri" w:hAnsi="Calibri"/>
          <w:b/>
        </w:rPr>
        <w:t>efficiencies</w:t>
      </w:r>
      <w:r>
        <w:rPr>
          <w:rFonts w:ascii="Calibri" w:hAnsi="Calibri"/>
        </w:rPr>
        <w:t xml:space="preserve"> of scale which occur </w:t>
      </w:r>
      <w:proofErr w:type="gramStart"/>
      <w:r>
        <w:rPr>
          <w:rFonts w:ascii="Calibri" w:hAnsi="Calibri"/>
        </w:rPr>
        <w:t>as a result of</w:t>
      </w:r>
      <w:proofErr w:type="gramEnd"/>
      <w:r>
        <w:rPr>
          <w:rFonts w:ascii="Calibri" w:hAnsi="Calibri"/>
        </w:rPr>
        <w:t xml:space="preserve"> Defra investing in Cities4Forests. Costs associated with set up are not </w:t>
      </w:r>
      <w:r w:rsidR="002C3D59">
        <w:rPr>
          <w:rFonts w:ascii="Calibri" w:hAnsi="Calibri"/>
        </w:rPr>
        <w:t xml:space="preserve">applicable </w:t>
      </w:r>
      <w:r w:rsidR="00A83FE0">
        <w:rPr>
          <w:rFonts w:ascii="Calibri" w:hAnsi="Calibri"/>
        </w:rPr>
        <w:t>because</w:t>
      </w:r>
      <w:r w:rsidR="002C3D59">
        <w:rPr>
          <w:rFonts w:ascii="Calibri" w:hAnsi="Calibri"/>
        </w:rPr>
        <w:t xml:space="preserve"> this is an existing </w:t>
      </w:r>
      <w:r w:rsidR="00A83FE0">
        <w:rPr>
          <w:rFonts w:ascii="Calibri" w:hAnsi="Calibri"/>
        </w:rPr>
        <w:t>initiative</w:t>
      </w:r>
      <w:r w:rsidR="002C3D59">
        <w:rPr>
          <w:rFonts w:ascii="Calibri" w:hAnsi="Calibri"/>
        </w:rPr>
        <w:t xml:space="preserve">. As a result, </w:t>
      </w:r>
      <w:r>
        <w:rPr>
          <w:rFonts w:ascii="Calibri" w:hAnsi="Calibri"/>
        </w:rPr>
        <w:t xml:space="preserve">a greater proportion of Defra’s funds </w:t>
      </w:r>
      <w:r w:rsidR="002C3D59">
        <w:rPr>
          <w:rFonts w:ascii="Calibri" w:hAnsi="Calibri"/>
        </w:rPr>
        <w:t>will</w:t>
      </w:r>
      <w:r>
        <w:rPr>
          <w:rFonts w:ascii="Calibri" w:hAnsi="Calibri"/>
        </w:rPr>
        <w:t xml:space="preserve"> directly </w:t>
      </w:r>
      <w:r w:rsidR="002C3D59">
        <w:rPr>
          <w:rFonts w:ascii="Calibri" w:hAnsi="Calibri"/>
        </w:rPr>
        <w:t>support</w:t>
      </w:r>
      <w:r w:rsidR="005B05C7">
        <w:rPr>
          <w:rFonts w:ascii="Calibri" w:hAnsi="Calibri"/>
        </w:rPr>
        <w:t xml:space="preserve"> developing countries’ needs</w:t>
      </w:r>
      <w:r>
        <w:rPr>
          <w:rFonts w:ascii="Calibri" w:hAnsi="Calibri"/>
        </w:rPr>
        <w:t>. Cities4Forests already has a</w:t>
      </w:r>
      <w:r w:rsidR="00110770">
        <w:rPr>
          <w:rFonts w:ascii="Calibri" w:hAnsi="Calibri"/>
        </w:rPr>
        <w:t>n established</w:t>
      </w:r>
      <w:r>
        <w:rPr>
          <w:rFonts w:ascii="Calibri" w:hAnsi="Calibri"/>
        </w:rPr>
        <w:t xml:space="preserve"> membership</w:t>
      </w:r>
      <w:r w:rsidR="005B05C7">
        <w:rPr>
          <w:rFonts w:ascii="Calibri" w:hAnsi="Calibri"/>
        </w:rPr>
        <w:t>, which includes 29 developing country</w:t>
      </w:r>
      <w:r w:rsidR="00110770">
        <w:rPr>
          <w:rFonts w:ascii="Calibri" w:hAnsi="Calibri"/>
        </w:rPr>
        <w:t xml:space="preserve"> cities</w:t>
      </w:r>
      <w:r w:rsidR="005B05C7">
        <w:rPr>
          <w:rFonts w:ascii="Calibri" w:hAnsi="Calibri"/>
        </w:rPr>
        <w:t>. As a result,</w:t>
      </w:r>
      <w:r w:rsidR="00110770">
        <w:rPr>
          <w:rFonts w:ascii="Calibri" w:hAnsi="Calibri"/>
        </w:rPr>
        <w:t xml:space="preserve"> tools and evidence developed by Defra funds will be used and taken up by a greater number of cities than if Defra were to create a project on its own or work directly with a few cities in a bilateral approach.</w:t>
      </w:r>
      <w:r w:rsidR="002053E2">
        <w:rPr>
          <w:rFonts w:ascii="Calibri" w:hAnsi="Calibri"/>
        </w:rPr>
        <w:t xml:space="preserve"> In total, </w:t>
      </w:r>
      <w:r w:rsidR="00AD1DA3">
        <w:rPr>
          <w:rFonts w:ascii="Calibri" w:hAnsi="Calibri"/>
        </w:rPr>
        <w:t>over 100million</w:t>
      </w:r>
      <w:r w:rsidR="002053E2">
        <w:rPr>
          <w:rFonts w:ascii="Calibri" w:hAnsi="Calibri"/>
        </w:rPr>
        <w:t xml:space="preserve"> people reside in the Cities4Forests network</w:t>
      </w:r>
      <w:r w:rsidR="00AD1DA3">
        <w:rPr>
          <w:rFonts w:ascii="Calibri" w:hAnsi="Calibri"/>
        </w:rPr>
        <w:t xml:space="preserve"> of developing country</w:t>
      </w:r>
      <w:r w:rsidR="002053E2">
        <w:rPr>
          <w:rFonts w:ascii="Calibri" w:hAnsi="Calibri"/>
        </w:rPr>
        <w:t xml:space="preserve"> cities.</w:t>
      </w:r>
      <w:r w:rsidR="00110770">
        <w:rPr>
          <w:rFonts w:ascii="Calibri" w:hAnsi="Calibri"/>
        </w:rPr>
        <w:t xml:space="preserve"> The network also shares learning across it, accelerating innovation and identifying good practice quickly – meaning that as cities </w:t>
      </w:r>
      <w:r w:rsidR="004648FA">
        <w:rPr>
          <w:rFonts w:ascii="Calibri" w:hAnsi="Calibri"/>
        </w:rPr>
        <w:t>across</w:t>
      </w:r>
      <w:r w:rsidR="00110770">
        <w:rPr>
          <w:rFonts w:ascii="Calibri" w:hAnsi="Calibri"/>
        </w:rPr>
        <w:t xml:space="preserve"> the network pilot new ideas for NBS, they can more quickly learn what works. </w:t>
      </w:r>
    </w:p>
    <w:p w14:paraId="1492D133" w14:textId="18543FFD" w:rsidR="00110770" w:rsidRDefault="00110770" w:rsidP="00663BE5">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In addition, for relatively little </w:t>
      </w:r>
      <w:r w:rsidRPr="00AE0472">
        <w:rPr>
          <w:rFonts w:ascii="Calibri" w:hAnsi="Calibri"/>
        </w:rPr>
        <w:t>investment (</w:t>
      </w:r>
      <w:r w:rsidR="00AE0472" w:rsidRPr="00AE0472">
        <w:rPr>
          <w:rFonts w:ascii="Calibri" w:hAnsi="Calibri"/>
        </w:rPr>
        <w:t>9.4</w:t>
      </w:r>
      <w:r w:rsidRPr="00AE0472">
        <w:rPr>
          <w:rFonts w:ascii="Calibri" w:hAnsi="Calibri"/>
        </w:rPr>
        <w:t>% of total funds), Defra will be seen as one of the funders and partners of the Cities4Forests and benefit from</w:t>
      </w:r>
      <w:r>
        <w:rPr>
          <w:rFonts w:ascii="Calibri" w:hAnsi="Calibri"/>
        </w:rPr>
        <w:t xml:space="preserve"> being associated across the network, whatever its total investment. </w:t>
      </w:r>
      <w:r w:rsidR="002C3D59">
        <w:rPr>
          <w:rFonts w:ascii="Calibri" w:hAnsi="Calibri"/>
        </w:rPr>
        <w:t>F</w:t>
      </w:r>
      <w:r>
        <w:rPr>
          <w:rFonts w:ascii="Calibri" w:hAnsi="Calibri"/>
        </w:rPr>
        <w:t xml:space="preserve">or only a </w:t>
      </w:r>
      <w:r w:rsidR="002C3D59">
        <w:rPr>
          <w:rFonts w:ascii="Calibri" w:hAnsi="Calibri"/>
        </w:rPr>
        <w:t xml:space="preserve">relatively </w:t>
      </w:r>
      <w:r>
        <w:rPr>
          <w:rFonts w:ascii="Calibri" w:hAnsi="Calibri"/>
        </w:rPr>
        <w:t>small investment</w:t>
      </w:r>
      <w:r w:rsidR="004648FA">
        <w:rPr>
          <w:rFonts w:ascii="Calibri" w:hAnsi="Calibri"/>
        </w:rPr>
        <w:t>, Defra can reap UK v</w:t>
      </w:r>
      <w:r>
        <w:rPr>
          <w:rFonts w:ascii="Calibri" w:hAnsi="Calibri"/>
        </w:rPr>
        <w:t xml:space="preserve">isibility benefits from piloting NBS solutions across </w:t>
      </w:r>
      <w:r w:rsidR="00AD1DA3">
        <w:rPr>
          <w:rFonts w:ascii="Calibri" w:hAnsi="Calibri"/>
        </w:rPr>
        <w:t>29 developing country cities</w:t>
      </w:r>
      <w:r>
        <w:rPr>
          <w:rFonts w:ascii="Calibri" w:hAnsi="Calibri"/>
        </w:rPr>
        <w:t xml:space="preserve"> and in contributing to the raised ambition associated with any Mayor-Led D</w:t>
      </w:r>
      <w:r w:rsidR="00856203">
        <w:rPr>
          <w:rFonts w:ascii="Calibri" w:hAnsi="Calibri"/>
        </w:rPr>
        <w:t>eclaration in advance of COP26.</w:t>
      </w:r>
    </w:p>
    <w:p w14:paraId="7526C790" w14:textId="3B78578F" w:rsidR="00856203" w:rsidRDefault="00856203" w:rsidP="00663BE5">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Given that responding to climate change is time critical, and protecting</w:t>
      </w:r>
      <w:r w:rsidR="004648FA">
        <w:rPr>
          <w:rFonts w:ascii="Calibri" w:hAnsi="Calibri"/>
        </w:rPr>
        <w:t xml:space="preserve"> and restoring</w:t>
      </w:r>
      <w:r>
        <w:rPr>
          <w:rFonts w:ascii="Calibri" w:hAnsi="Calibri"/>
        </w:rPr>
        <w:t xml:space="preserve"> forests more so, Cities4forests allows Defra to accelerate support for forests quickly. </w:t>
      </w:r>
    </w:p>
    <w:p w14:paraId="444BBFA4" w14:textId="2603843F" w:rsidR="00110770" w:rsidRDefault="00110770" w:rsidP="000C53A0">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The </w:t>
      </w:r>
      <w:r w:rsidR="00A83FE0">
        <w:rPr>
          <w:rFonts w:ascii="Calibri" w:hAnsi="Calibri"/>
          <w:b/>
        </w:rPr>
        <w:t xml:space="preserve">effectiveness </w:t>
      </w:r>
      <w:r w:rsidR="00A83FE0">
        <w:rPr>
          <w:rFonts w:ascii="Calibri" w:hAnsi="Calibri"/>
        </w:rPr>
        <w:t>of</w:t>
      </w:r>
      <w:r>
        <w:rPr>
          <w:rFonts w:ascii="Calibri" w:hAnsi="Calibri"/>
        </w:rPr>
        <w:t xml:space="preserve"> the Cities4Forests programme cannot easily be evidenced as it is only nearing the end of its first year. However, the interest and willingness of cities to be members is demonstrated by the high membership figure of </w:t>
      </w:r>
      <w:r w:rsidR="00AE0472">
        <w:rPr>
          <w:rFonts w:ascii="Calibri" w:hAnsi="Calibri"/>
        </w:rPr>
        <w:t>29 developing country cities</w:t>
      </w:r>
      <w:r>
        <w:rPr>
          <w:rFonts w:ascii="Calibri" w:hAnsi="Calibri"/>
        </w:rPr>
        <w:t xml:space="preserve">. </w:t>
      </w:r>
      <w:r w:rsidR="00D529B0">
        <w:rPr>
          <w:rFonts w:ascii="Calibri" w:hAnsi="Calibri"/>
        </w:rPr>
        <w:t xml:space="preserve">In addition, WRI has extensive experience of managing successful technical assistance programmes in developing country contexts. For example, WRI and its partners developed tools to implement and monitor community-based natural resource management programmes in Indonesia and the Democratic Republic of the Congo. These initiatives supported sustainable forestry, </w:t>
      </w:r>
      <w:proofErr w:type="gramStart"/>
      <w:r w:rsidR="00D529B0">
        <w:rPr>
          <w:rFonts w:ascii="Calibri" w:hAnsi="Calibri"/>
        </w:rPr>
        <w:t>agriculture</w:t>
      </w:r>
      <w:proofErr w:type="gramEnd"/>
      <w:r w:rsidR="00D529B0">
        <w:rPr>
          <w:rFonts w:ascii="Calibri" w:hAnsi="Calibri"/>
        </w:rPr>
        <w:t xml:space="preserve"> and ecological land management in vulnerable areas, improving livelihoods. Preliminary results from the WRI Indonesia project demonstrate positive impacts, including decreased tree cover loss, higher income among farmers and fewer conflicts over land tenure. </w:t>
      </w:r>
    </w:p>
    <w:p w14:paraId="30BF32E7" w14:textId="79905A32" w:rsidR="00D529B0" w:rsidRDefault="00D529B0" w:rsidP="000C53A0">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Another example demonstrates the effectiveness of the tools and technologies that WRI has developed. For example, WRI’s tool Global Forest Watch tracks tree cover loss globally, and its most recent development – a new mobile app called Forest Watcher, helps those on the ground find and halt illegal deforestation in tropical forest countries.</w:t>
      </w:r>
      <w:r w:rsidR="00E710BE">
        <w:rPr>
          <w:rFonts w:ascii="Calibri" w:hAnsi="Calibri"/>
        </w:rPr>
        <w:t xml:space="preserve"> This works alongside WRI’s Global Land Analysis &amp; Discover</w:t>
      </w:r>
      <w:r w:rsidR="004648FA">
        <w:rPr>
          <w:rFonts w:ascii="Calibri" w:hAnsi="Calibri"/>
        </w:rPr>
        <w:t xml:space="preserve"> (GLAD)</w:t>
      </w:r>
      <w:r w:rsidR="00E710BE">
        <w:rPr>
          <w:rFonts w:ascii="Calibri" w:hAnsi="Calibri"/>
        </w:rPr>
        <w:t xml:space="preserve"> alerts to pinpoint where deforestation is happening.</w:t>
      </w:r>
      <w:r>
        <w:rPr>
          <w:rFonts w:ascii="Calibri" w:hAnsi="Calibri"/>
        </w:rPr>
        <w:t xml:space="preserve"> The latest version of Forest Watcher</w:t>
      </w:r>
      <w:r w:rsidR="00E710BE">
        <w:rPr>
          <w:rFonts w:ascii="Calibri" w:hAnsi="Calibri"/>
        </w:rPr>
        <w:t xml:space="preserve"> and GLAD</w:t>
      </w:r>
      <w:r>
        <w:rPr>
          <w:rFonts w:ascii="Calibri" w:hAnsi="Calibri"/>
        </w:rPr>
        <w:t xml:space="preserve"> has been downloaded over 6,000 </w:t>
      </w:r>
      <w:r w:rsidR="00A83FE0">
        <w:rPr>
          <w:rFonts w:ascii="Calibri" w:hAnsi="Calibri"/>
        </w:rPr>
        <w:t>times</w:t>
      </w:r>
      <w:r>
        <w:rPr>
          <w:rFonts w:ascii="Calibri" w:hAnsi="Calibri"/>
        </w:rPr>
        <w:t xml:space="preserve"> as of 2018</w:t>
      </w:r>
      <w:r w:rsidR="00E710BE">
        <w:rPr>
          <w:rFonts w:ascii="Calibri" w:hAnsi="Calibri"/>
        </w:rPr>
        <w:t xml:space="preserve">; in Indonesia, more than 2,400 instances of illegal logging were </w:t>
      </w:r>
      <w:proofErr w:type="gramStart"/>
      <w:r w:rsidR="00E710BE">
        <w:rPr>
          <w:rFonts w:ascii="Calibri" w:hAnsi="Calibri"/>
        </w:rPr>
        <w:t>documented</w:t>
      </w:r>
      <w:proofErr w:type="gramEnd"/>
      <w:r w:rsidR="00E710BE">
        <w:rPr>
          <w:rFonts w:ascii="Calibri" w:hAnsi="Calibri"/>
        </w:rPr>
        <w:t xml:space="preserve"> and government authorities successfully prosecuted 50 cases of illegal logging. Similar success has </w:t>
      </w:r>
      <w:r w:rsidR="00A83FE0">
        <w:rPr>
          <w:rFonts w:ascii="Calibri" w:hAnsi="Calibri"/>
        </w:rPr>
        <w:t>occurred</w:t>
      </w:r>
      <w:r w:rsidR="00E710BE">
        <w:rPr>
          <w:rFonts w:ascii="Calibri" w:hAnsi="Calibri"/>
        </w:rPr>
        <w:t xml:space="preserve"> in Peru and Brazil. These examples highlight how WRI develops cutting-edge, world-leading technology that is highly effective in supporting the protection of global forests. </w:t>
      </w:r>
    </w:p>
    <w:p w14:paraId="2D5D9A5A" w14:textId="77777777" w:rsidR="00257A6B" w:rsidRDefault="00D95D4B" w:rsidP="000C53A0">
      <w:pPr>
        <w:pStyle w:val="ListParagraph"/>
        <w:numPr>
          <w:ilvl w:val="0"/>
          <w:numId w:val="8"/>
        </w:numPr>
        <w:tabs>
          <w:tab w:val="left" w:pos="7248"/>
        </w:tabs>
        <w:spacing w:after="120" w:line="252" w:lineRule="auto"/>
        <w:ind w:left="20"/>
        <w:contextualSpacing w:val="0"/>
        <w:jc w:val="both"/>
        <w:rPr>
          <w:rFonts w:ascii="Calibri" w:hAnsi="Calibri"/>
        </w:rPr>
      </w:pPr>
      <w:r w:rsidRPr="00110770">
        <w:rPr>
          <w:rFonts w:ascii="Calibri" w:hAnsi="Calibri"/>
        </w:rPr>
        <w:t xml:space="preserve"> </w:t>
      </w:r>
      <w:r w:rsidR="00092EC7">
        <w:rPr>
          <w:rFonts w:ascii="Calibri" w:hAnsi="Calibri"/>
        </w:rPr>
        <w:t xml:space="preserve">The </w:t>
      </w:r>
      <w:r w:rsidR="00092EC7" w:rsidRPr="00E75A6D">
        <w:rPr>
          <w:rFonts w:ascii="Calibri" w:hAnsi="Calibri"/>
          <w:b/>
        </w:rPr>
        <w:t>e</w:t>
      </w:r>
      <w:r w:rsidR="00E579C6" w:rsidRPr="00E75A6D">
        <w:rPr>
          <w:rFonts w:ascii="Calibri" w:hAnsi="Calibri"/>
          <w:b/>
        </w:rPr>
        <w:t>quity</w:t>
      </w:r>
      <w:r w:rsidR="00E579C6">
        <w:rPr>
          <w:rFonts w:ascii="Calibri" w:hAnsi="Calibri"/>
        </w:rPr>
        <w:t xml:space="preserve"> of Cities4Forests impact is likely to be high given its current plans as well as its record of previous WRI </w:t>
      </w:r>
      <w:r w:rsidR="00A83FE0">
        <w:rPr>
          <w:rFonts w:ascii="Calibri" w:hAnsi="Calibri"/>
        </w:rPr>
        <w:t>initiatives</w:t>
      </w:r>
      <w:r w:rsidR="00E579C6">
        <w:rPr>
          <w:rFonts w:ascii="Calibri" w:hAnsi="Calibri"/>
        </w:rPr>
        <w:t xml:space="preserve"> and its institutional ambition for gender equity and inclusiveness. WRI as an institution has a global strategy for advancing gender and social equity in its organisation and has embedded its </w:t>
      </w:r>
      <w:r w:rsidR="00A83FE0">
        <w:rPr>
          <w:rFonts w:ascii="Calibri" w:hAnsi="Calibri"/>
        </w:rPr>
        <w:t>gender</w:t>
      </w:r>
      <w:r w:rsidR="00E579C6">
        <w:rPr>
          <w:rFonts w:ascii="Calibri" w:hAnsi="Calibri"/>
        </w:rPr>
        <w:t xml:space="preserve"> </w:t>
      </w:r>
      <w:r w:rsidR="00A83FE0">
        <w:rPr>
          <w:rFonts w:ascii="Calibri" w:hAnsi="Calibri"/>
        </w:rPr>
        <w:t>equality</w:t>
      </w:r>
      <w:r w:rsidR="00E579C6">
        <w:rPr>
          <w:rFonts w:ascii="Calibri" w:hAnsi="Calibri"/>
        </w:rPr>
        <w:t xml:space="preserve"> statement into the respective contracts </w:t>
      </w:r>
      <w:r w:rsidR="00A83FE0">
        <w:rPr>
          <w:rFonts w:ascii="Calibri" w:hAnsi="Calibri"/>
        </w:rPr>
        <w:t>and</w:t>
      </w:r>
      <w:r w:rsidR="00E579C6">
        <w:rPr>
          <w:rFonts w:ascii="Calibri" w:hAnsi="Calibri"/>
        </w:rPr>
        <w:t xml:space="preserve"> subgrants of its partners. </w:t>
      </w:r>
    </w:p>
    <w:p w14:paraId="6B9E2C07" w14:textId="41C84B6D" w:rsidR="00D95D4B" w:rsidRDefault="00E579C6" w:rsidP="000C53A0">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In addition, the Cities4Forests </w:t>
      </w:r>
      <w:r w:rsidR="00A83FE0">
        <w:rPr>
          <w:rFonts w:ascii="Calibri" w:hAnsi="Calibri"/>
        </w:rPr>
        <w:t>initiative</w:t>
      </w:r>
      <w:r>
        <w:rPr>
          <w:rFonts w:ascii="Calibri" w:hAnsi="Calibri"/>
        </w:rPr>
        <w:t xml:space="preserve"> </w:t>
      </w:r>
      <w:r w:rsidR="00257A6B">
        <w:rPr>
          <w:rFonts w:ascii="Calibri" w:hAnsi="Calibri"/>
        </w:rPr>
        <w:t xml:space="preserve">itself prioritises Gender and Equity in all its work including in the Guiding Principles that Cities4Forests core partners use in all work. The initiative has examples already of weaving social equity into its city-level work. For example, in some central America cities local communities participate in the design and implementation of urban green spaces to include their environmental visions and mitigate issues of rising property prices and gentrification. Defra’s funding </w:t>
      </w:r>
      <w:r>
        <w:rPr>
          <w:rFonts w:ascii="Calibri" w:hAnsi="Calibri"/>
        </w:rPr>
        <w:t xml:space="preserve">includes a workstream to develop Gender and Equity Guidelines for </w:t>
      </w:r>
      <w:r w:rsidR="00257A6B">
        <w:rPr>
          <w:rFonts w:ascii="Calibri" w:hAnsi="Calibri"/>
        </w:rPr>
        <w:t>Cities4Forests’</w:t>
      </w:r>
      <w:r>
        <w:rPr>
          <w:rFonts w:ascii="Calibri" w:hAnsi="Calibri"/>
        </w:rPr>
        <w:t xml:space="preserve"> member cities (see output 1.3). This would provide a basis for all Cities4Forests </w:t>
      </w:r>
      <w:r w:rsidR="00A83FE0">
        <w:rPr>
          <w:rFonts w:ascii="Calibri" w:hAnsi="Calibri"/>
        </w:rPr>
        <w:t>initiatives</w:t>
      </w:r>
      <w:r>
        <w:rPr>
          <w:rFonts w:ascii="Calibri" w:hAnsi="Calibri"/>
        </w:rPr>
        <w:t xml:space="preserve"> to take forward NBS in a manner that consider gender and equity. </w:t>
      </w:r>
    </w:p>
    <w:p w14:paraId="00DE1881" w14:textId="6A682DDE" w:rsidR="00F677A6" w:rsidRDefault="00F677A6" w:rsidP="000C53A0">
      <w:pPr>
        <w:pStyle w:val="ListParagraph"/>
        <w:numPr>
          <w:ilvl w:val="0"/>
          <w:numId w:val="8"/>
        </w:numPr>
        <w:tabs>
          <w:tab w:val="left" w:pos="7248"/>
        </w:tabs>
        <w:spacing w:after="120" w:line="252" w:lineRule="auto"/>
        <w:ind w:left="20"/>
        <w:contextualSpacing w:val="0"/>
        <w:jc w:val="both"/>
        <w:rPr>
          <w:rFonts w:ascii="Calibri" w:hAnsi="Calibri"/>
          <w:b/>
        </w:rPr>
      </w:pPr>
      <w:r w:rsidRPr="00F677A6">
        <w:rPr>
          <w:rFonts w:ascii="Calibri" w:hAnsi="Calibri"/>
          <w:b/>
        </w:rPr>
        <w:t xml:space="preserve">Option 3: </w:t>
      </w:r>
      <w:r w:rsidR="00400209">
        <w:rPr>
          <w:rFonts w:ascii="Calibri" w:hAnsi="Calibri"/>
          <w:b/>
        </w:rPr>
        <w:t>Develop a Defra cities and forests initiative</w:t>
      </w:r>
    </w:p>
    <w:p w14:paraId="57BC35C8" w14:textId="213992AD" w:rsidR="00400209" w:rsidRPr="00400209" w:rsidRDefault="004648FA" w:rsidP="000C53A0">
      <w:pPr>
        <w:pStyle w:val="ListParagraph"/>
        <w:numPr>
          <w:ilvl w:val="0"/>
          <w:numId w:val="8"/>
        </w:numPr>
        <w:tabs>
          <w:tab w:val="left" w:pos="7248"/>
        </w:tabs>
        <w:spacing w:after="120" w:line="252" w:lineRule="auto"/>
        <w:ind w:left="20"/>
        <w:contextualSpacing w:val="0"/>
        <w:jc w:val="both"/>
        <w:rPr>
          <w:rFonts w:ascii="Calibri" w:hAnsi="Calibri"/>
          <w:b/>
        </w:rPr>
      </w:pPr>
      <w:r>
        <w:rPr>
          <w:rFonts w:ascii="Calibri" w:hAnsi="Calibri"/>
        </w:rPr>
        <w:t>This</w:t>
      </w:r>
      <w:r w:rsidR="00400209">
        <w:rPr>
          <w:rFonts w:ascii="Calibri" w:hAnsi="Calibri"/>
        </w:rPr>
        <w:t xml:space="preserve"> option considers whether Defra should develop, </w:t>
      </w:r>
      <w:proofErr w:type="gramStart"/>
      <w:r w:rsidR="00400209">
        <w:rPr>
          <w:rFonts w:ascii="Calibri" w:hAnsi="Calibri"/>
        </w:rPr>
        <w:t>design</w:t>
      </w:r>
      <w:proofErr w:type="gramEnd"/>
      <w:r w:rsidR="00400209">
        <w:rPr>
          <w:rFonts w:ascii="Calibri" w:hAnsi="Calibri"/>
        </w:rPr>
        <w:t xml:space="preserve"> and procure an </w:t>
      </w:r>
      <w:r w:rsidR="00A83FE0">
        <w:rPr>
          <w:rFonts w:ascii="Calibri" w:hAnsi="Calibri"/>
        </w:rPr>
        <w:t>initiative</w:t>
      </w:r>
      <w:r w:rsidR="00400209">
        <w:rPr>
          <w:rFonts w:ascii="Calibri" w:hAnsi="Calibri"/>
        </w:rPr>
        <w:t xml:space="preserve"> that aims to harness the political and financial clout of global cities to support forest protection and restoration </w:t>
      </w:r>
      <w:r>
        <w:rPr>
          <w:rFonts w:ascii="Calibri" w:hAnsi="Calibri"/>
        </w:rPr>
        <w:t>through</w:t>
      </w:r>
      <w:r w:rsidR="00400209">
        <w:rPr>
          <w:rFonts w:ascii="Calibri" w:hAnsi="Calibri"/>
        </w:rPr>
        <w:t xml:space="preserve"> building their capacity, the evidence base and their ambition. </w:t>
      </w:r>
    </w:p>
    <w:p w14:paraId="5A0FCB5A" w14:textId="3D87F9A8" w:rsidR="00400209" w:rsidRPr="00874026" w:rsidRDefault="00400209" w:rsidP="000C53A0">
      <w:pPr>
        <w:pStyle w:val="ListParagraph"/>
        <w:numPr>
          <w:ilvl w:val="0"/>
          <w:numId w:val="8"/>
        </w:numPr>
        <w:tabs>
          <w:tab w:val="left" w:pos="7248"/>
        </w:tabs>
        <w:spacing w:after="120" w:line="252" w:lineRule="auto"/>
        <w:ind w:left="20"/>
        <w:contextualSpacing w:val="0"/>
        <w:jc w:val="both"/>
        <w:rPr>
          <w:rFonts w:ascii="Calibri" w:hAnsi="Calibri"/>
          <w:b/>
        </w:rPr>
      </w:pPr>
      <w:r>
        <w:rPr>
          <w:rFonts w:ascii="Calibri" w:hAnsi="Calibri"/>
        </w:rPr>
        <w:t xml:space="preserve">The </w:t>
      </w:r>
      <w:r w:rsidRPr="00D96E78">
        <w:rPr>
          <w:rFonts w:ascii="Calibri" w:hAnsi="Calibri"/>
          <w:b/>
        </w:rPr>
        <w:t>economy</w:t>
      </w:r>
      <w:r>
        <w:rPr>
          <w:rFonts w:ascii="Calibri" w:hAnsi="Calibri"/>
        </w:rPr>
        <w:t xml:space="preserve"> of this approach would be </w:t>
      </w:r>
      <w:r w:rsidR="00D96E78">
        <w:rPr>
          <w:rFonts w:ascii="Calibri" w:hAnsi="Calibri"/>
        </w:rPr>
        <w:t xml:space="preserve">low </w:t>
      </w:r>
      <w:r>
        <w:rPr>
          <w:rFonts w:ascii="Calibri" w:hAnsi="Calibri"/>
        </w:rPr>
        <w:t xml:space="preserve">as both high financial and resource costs would be required to design, procure, set up and then implement the programme. Defra would </w:t>
      </w:r>
      <w:r w:rsidR="00A83FE0">
        <w:rPr>
          <w:rFonts w:ascii="Calibri" w:hAnsi="Calibri"/>
        </w:rPr>
        <w:t>bear</w:t>
      </w:r>
      <w:r>
        <w:rPr>
          <w:rFonts w:ascii="Calibri" w:hAnsi="Calibri"/>
        </w:rPr>
        <w:t xml:space="preserve"> the costs alone and likely either </w:t>
      </w:r>
      <w:proofErr w:type="gramStart"/>
      <w:r>
        <w:rPr>
          <w:rFonts w:ascii="Calibri" w:hAnsi="Calibri"/>
        </w:rPr>
        <w:t>have to</w:t>
      </w:r>
      <w:proofErr w:type="gramEnd"/>
      <w:r>
        <w:rPr>
          <w:rFonts w:ascii="Calibri" w:hAnsi="Calibri"/>
        </w:rPr>
        <w:t xml:space="preserve"> increase </w:t>
      </w:r>
      <w:r w:rsidR="00D96E78">
        <w:rPr>
          <w:rFonts w:ascii="Calibri" w:hAnsi="Calibri"/>
        </w:rPr>
        <w:t>its</w:t>
      </w:r>
      <w:r>
        <w:rPr>
          <w:rFonts w:ascii="Calibri" w:hAnsi="Calibri"/>
        </w:rPr>
        <w:t xml:space="preserve"> overall financial </w:t>
      </w:r>
      <w:r w:rsidR="00874026">
        <w:rPr>
          <w:rFonts w:ascii="Calibri" w:hAnsi="Calibri"/>
        </w:rPr>
        <w:t xml:space="preserve">investment or reduce </w:t>
      </w:r>
      <w:r w:rsidR="004648FA">
        <w:rPr>
          <w:rFonts w:ascii="Calibri" w:hAnsi="Calibri"/>
        </w:rPr>
        <w:t>expectations</w:t>
      </w:r>
      <w:r w:rsidR="00874026">
        <w:rPr>
          <w:rFonts w:ascii="Calibri" w:hAnsi="Calibri"/>
        </w:rPr>
        <w:t xml:space="preserve"> in terms of the global scope and impact that could be achieved. </w:t>
      </w:r>
    </w:p>
    <w:p w14:paraId="73DFF400" w14:textId="0E00E3E7" w:rsidR="00874026" w:rsidRPr="00D96E78" w:rsidRDefault="00D96E78" w:rsidP="000C53A0">
      <w:pPr>
        <w:pStyle w:val="ListParagraph"/>
        <w:numPr>
          <w:ilvl w:val="0"/>
          <w:numId w:val="8"/>
        </w:numPr>
        <w:tabs>
          <w:tab w:val="left" w:pos="7248"/>
        </w:tabs>
        <w:spacing w:after="120" w:line="252" w:lineRule="auto"/>
        <w:ind w:left="20"/>
        <w:contextualSpacing w:val="0"/>
        <w:jc w:val="both"/>
        <w:rPr>
          <w:rFonts w:ascii="Calibri" w:hAnsi="Calibri"/>
          <w:b/>
        </w:rPr>
      </w:pPr>
      <w:r>
        <w:rPr>
          <w:rFonts w:ascii="Calibri" w:hAnsi="Calibri"/>
        </w:rPr>
        <w:t xml:space="preserve">It is unlikely that Defra would be able to create a global network of 61 cities in an </w:t>
      </w:r>
      <w:r w:rsidR="00A83FE0">
        <w:rPr>
          <w:rFonts w:ascii="Calibri" w:hAnsi="Calibri"/>
        </w:rPr>
        <w:t>initiative</w:t>
      </w:r>
      <w:r w:rsidR="004648FA">
        <w:rPr>
          <w:rFonts w:ascii="Calibri" w:hAnsi="Calibri"/>
        </w:rPr>
        <w:t>. Instead, it would more like</w:t>
      </w:r>
      <w:r>
        <w:rPr>
          <w:rFonts w:ascii="Calibri" w:hAnsi="Calibri"/>
        </w:rPr>
        <w:t xml:space="preserve">ly </w:t>
      </w:r>
      <w:r w:rsidR="00A83FE0">
        <w:rPr>
          <w:rFonts w:ascii="Calibri" w:hAnsi="Calibri"/>
        </w:rPr>
        <w:t>focus</w:t>
      </w:r>
      <w:r>
        <w:rPr>
          <w:rFonts w:ascii="Calibri" w:hAnsi="Calibri"/>
        </w:rPr>
        <w:t xml:space="preserve"> on a few cities to pilot and test. Thus, </w:t>
      </w:r>
      <w:r w:rsidRPr="00D96E78">
        <w:rPr>
          <w:rFonts w:ascii="Calibri" w:hAnsi="Calibri"/>
          <w:b/>
        </w:rPr>
        <w:t>efficiencies</w:t>
      </w:r>
      <w:r>
        <w:rPr>
          <w:rFonts w:ascii="Calibri" w:hAnsi="Calibri"/>
        </w:rPr>
        <w:t xml:space="preserve"> of scale, especially around the development of learning networks across different city working groups and piloting tools created by the programme would be much less. In addition, the time it would take to design, procure, set up and implement means that the programme would not be in implementation before COP26. </w:t>
      </w:r>
      <w:proofErr w:type="gramStart"/>
      <w:r>
        <w:rPr>
          <w:rFonts w:ascii="Calibri" w:hAnsi="Calibri"/>
        </w:rPr>
        <w:t>Therefore</w:t>
      </w:r>
      <w:proofErr w:type="gramEnd"/>
      <w:r>
        <w:rPr>
          <w:rFonts w:ascii="Calibri" w:hAnsi="Calibri"/>
        </w:rPr>
        <w:t xml:space="preserve"> the programme would not be able to contribute to scaling up ambition and action on forests in advance of the UK-hosted COP or in the Super Year for nature. </w:t>
      </w:r>
    </w:p>
    <w:p w14:paraId="034B5349" w14:textId="1372F7A9" w:rsidR="00D96E78" w:rsidRPr="00D96E78" w:rsidRDefault="00D96E78" w:rsidP="000C53A0">
      <w:pPr>
        <w:pStyle w:val="ListParagraph"/>
        <w:numPr>
          <w:ilvl w:val="0"/>
          <w:numId w:val="8"/>
        </w:numPr>
        <w:tabs>
          <w:tab w:val="left" w:pos="7248"/>
        </w:tabs>
        <w:spacing w:after="120" w:line="252" w:lineRule="auto"/>
        <w:ind w:left="20"/>
        <w:contextualSpacing w:val="0"/>
        <w:jc w:val="both"/>
        <w:rPr>
          <w:rFonts w:ascii="Calibri" w:hAnsi="Calibri"/>
          <w:b/>
        </w:rPr>
      </w:pPr>
      <w:r>
        <w:rPr>
          <w:rFonts w:ascii="Calibri" w:hAnsi="Calibri"/>
          <w:b/>
        </w:rPr>
        <w:t xml:space="preserve">Effectiveness </w:t>
      </w:r>
      <w:r>
        <w:rPr>
          <w:rFonts w:ascii="Calibri" w:hAnsi="Calibri"/>
        </w:rPr>
        <w:t xml:space="preserve">would hopefully be high as Defra would design an effective programme and procure it competitively. However, there is concern that as the Cities4Forests </w:t>
      </w:r>
      <w:r w:rsidR="00A83FE0">
        <w:rPr>
          <w:rFonts w:ascii="Calibri" w:hAnsi="Calibri"/>
        </w:rPr>
        <w:t>initiative</w:t>
      </w:r>
      <w:r>
        <w:rPr>
          <w:rFonts w:ascii="Calibri" w:hAnsi="Calibri"/>
        </w:rPr>
        <w:t xml:space="preserve"> already exist</w:t>
      </w:r>
      <w:r w:rsidR="00506A64">
        <w:rPr>
          <w:rFonts w:ascii="Calibri" w:hAnsi="Calibri"/>
        </w:rPr>
        <w:t>s</w:t>
      </w:r>
      <w:r>
        <w:rPr>
          <w:rFonts w:ascii="Calibri" w:hAnsi="Calibri"/>
        </w:rPr>
        <w:t xml:space="preserve">, cities may not be interested in becoming members of another, similar </w:t>
      </w:r>
      <w:r w:rsidR="00A83FE0">
        <w:rPr>
          <w:rFonts w:ascii="Calibri" w:hAnsi="Calibri"/>
        </w:rPr>
        <w:t>initiative</w:t>
      </w:r>
      <w:r>
        <w:rPr>
          <w:rFonts w:ascii="Calibri" w:hAnsi="Calibri"/>
        </w:rPr>
        <w:t xml:space="preserve"> and therefore, effectiveness may be less.</w:t>
      </w:r>
      <w:r w:rsidR="007777F0">
        <w:rPr>
          <w:rFonts w:ascii="Calibri" w:hAnsi="Calibri"/>
        </w:rPr>
        <w:t xml:space="preserve"> A</w:t>
      </w:r>
      <w:r>
        <w:rPr>
          <w:rFonts w:ascii="Calibri" w:hAnsi="Calibri"/>
        </w:rPr>
        <w:t xml:space="preserve">s it would be a flagship Defra </w:t>
      </w:r>
      <w:r w:rsidR="00506A64">
        <w:rPr>
          <w:rFonts w:ascii="Calibri" w:hAnsi="Calibri"/>
        </w:rPr>
        <w:t>initiative</w:t>
      </w:r>
      <w:r>
        <w:rPr>
          <w:rFonts w:ascii="Calibri" w:hAnsi="Calibri"/>
        </w:rPr>
        <w:t xml:space="preserve">, the UK Government’s visibility would be </w:t>
      </w:r>
      <w:proofErr w:type="gramStart"/>
      <w:r w:rsidR="007777F0">
        <w:rPr>
          <w:rFonts w:ascii="Calibri" w:hAnsi="Calibri"/>
        </w:rPr>
        <w:t>high</w:t>
      </w:r>
      <w:proofErr w:type="gramEnd"/>
      <w:r w:rsidR="007777F0">
        <w:rPr>
          <w:rFonts w:ascii="Calibri" w:hAnsi="Calibri"/>
        </w:rPr>
        <w:t xml:space="preserve"> and we would be seen as </w:t>
      </w:r>
      <w:r w:rsidR="00506A64">
        <w:rPr>
          <w:rFonts w:ascii="Calibri" w:hAnsi="Calibri"/>
        </w:rPr>
        <w:t>leading</w:t>
      </w:r>
      <w:r w:rsidR="007777F0">
        <w:rPr>
          <w:rFonts w:ascii="Calibri" w:hAnsi="Calibri"/>
        </w:rPr>
        <w:t xml:space="preserve"> in this area. That said, as it would take a long tim</w:t>
      </w:r>
      <w:r w:rsidR="00FC78B4">
        <w:rPr>
          <w:rFonts w:ascii="Calibri" w:hAnsi="Calibri"/>
        </w:rPr>
        <w:t xml:space="preserve">e to implement and it would be unlikely to be up and running by COP 26, given timelines and Defra staff capacity to design and deliver an additional flagship ODA scheme, in addition to its current pipeline. </w:t>
      </w:r>
    </w:p>
    <w:p w14:paraId="7457215E" w14:textId="5C51B6A2" w:rsidR="00D96E78" w:rsidRPr="00F677A6" w:rsidRDefault="00C9664E" w:rsidP="000C53A0">
      <w:pPr>
        <w:pStyle w:val="ListParagraph"/>
        <w:numPr>
          <w:ilvl w:val="0"/>
          <w:numId w:val="8"/>
        </w:numPr>
        <w:tabs>
          <w:tab w:val="left" w:pos="7248"/>
        </w:tabs>
        <w:spacing w:after="120" w:line="252" w:lineRule="auto"/>
        <w:ind w:left="20"/>
        <w:contextualSpacing w:val="0"/>
        <w:jc w:val="both"/>
        <w:rPr>
          <w:rFonts w:ascii="Calibri" w:hAnsi="Calibri"/>
          <w:b/>
        </w:rPr>
      </w:pPr>
      <w:r>
        <w:rPr>
          <w:rFonts w:ascii="Calibri" w:hAnsi="Calibri"/>
        </w:rPr>
        <w:t xml:space="preserve">As Defra would prioritise </w:t>
      </w:r>
      <w:r w:rsidRPr="00C9664E">
        <w:rPr>
          <w:rFonts w:ascii="Calibri" w:hAnsi="Calibri"/>
          <w:b/>
        </w:rPr>
        <w:t>equity</w:t>
      </w:r>
      <w:r>
        <w:rPr>
          <w:rFonts w:ascii="Calibri" w:hAnsi="Calibri"/>
        </w:rPr>
        <w:t xml:space="preserve"> as it relates to the implementation of the programme, this option would like </w:t>
      </w:r>
      <w:proofErr w:type="gramStart"/>
      <w:r>
        <w:rPr>
          <w:rFonts w:ascii="Calibri" w:hAnsi="Calibri"/>
        </w:rPr>
        <w:t>have</w:t>
      </w:r>
      <w:proofErr w:type="gramEnd"/>
      <w:r>
        <w:rPr>
          <w:rFonts w:ascii="Calibri" w:hAnsi="Calibri"/>
        </w:rPr>
        <w:t xml:space="preserve"> a high equity impact. However, given the limited scale of the programme to fewer cities, the equity approach would not have as a far-reaching an impact as a larger network like Cities4Forests. </w:t>
      </w:r>
    </w:p>
    <w:p w14:paraId="1F46CF9D" w14:textId="339CA79D" w:rsidR="00C313F1" w:rsidRPr="00C313F1" w:rsidRDefault="00C313F1" w:rsidP="00C313F1">
      <w:pPr>
        <w:pStyle w:val="Heading2"/>
        <w:rPr>
          <w:rFonts w:ascii="Calibri" w:hAnsi="Calibri"/>
          <w:b w:val="0"/>
        </w:rPr>
      </w:pPr>
      <w:r w:rsidRPr="00C313F1">
        <w:rPr>
          <w:rFonts w:ascii="Calibri" w:hAnsi="Calibri"/>
          <w:color w:val="4F81BD" w:themeColor="accent1"/>
        </w:rPr>
        <w:t>Preferred option</w:t>
      </w:r>
    </w:p>
    <w:p w14:paraId="2244A82D" w14:textId="6602930A" w:rsidR="004A79C3" w:rsidRDefault="00F31306" w:rsidP="00663BE5">
      <w:pPr>
        <w:pStyle w:val="ListParagraph"/>
        <w:numPr>
          <w:ilvl w:val="0"/>
          <w:numId w:val="8"/>
        </w:numPr>
        <w:tabs>
          <w:tab w:val="left" w:pos="7248"/>
        </w:tabs>
        <w:spacing w:after="120" w:line="252" w:lineRule="auto"/>
        <w:ind w:left="20"/>
        <w:contextualSpacing w:val="0"/>
        <w:jc w:val="both"/>
        <w:rPr>
          <w:rFonts w:ascii="Calibri" w:hAnsi="Calibri"/>
        </w:rPr>
      </w:pPr>
      <w:r w:rsidRPr="00C9664E">
        <w:rPr>
          <w:rFonts w:ascii="Calibri" w:hAnsi="Calibri"/>
          <w:b/>
        </w:rPr>
        <w:t xml:space="preserve">Preferred option – Option </w:t>
      </w:r>
      <w:r w:rsidR="00C9664E" w:rsidRPr="00C9664E">
        <w:rPr>
          <w:rFonts w:ascii="Calibri" w:hAnsi="Calibri"/>
          <w:b/>
        </w:rPr>
        <w:t>2</w:t>
      </w:r>
      <w:r w:rsidRPr="00663BE5">
        <w:rPr>
          <w:rFonts w:ascii="Calibri" w:hAnsi="Calibri"/>
        </w:rPr>
        <w:t xml:space="preserve">. </w:t>
      </w:r>
      <w:r w:rsidR="00C9664E">
        <w:rPr>
          <w:rFonts w:ascii="Calibri" w:hAnsi="Calibri"/>
        </w:rPr>
        <w:t xml:space="preserve">As set out </w:t>
      </w:r>
      <w:r w:rsidR="00C9664E" w:rsidRPr="00F35096">
        <w:rPr>
          <w:rFonts w:ascii="Calibri" w:hAnsi="Calibri"/>
        </w:rPr>
        <w:t xml:space="preserve">clearly in </w:t>
      </w:r>
      <w:r w:rsidR="00242BC4" w:rsidRPr="00F35096">
        <w:rPr>
          <w:rFonts w:ascii="Calibri" w:hAnsi="Calibri"/>
        </w:rPr>
        <w:t>Table 1</w:t>
      </w:r>
      <w:r w:rsidR="00C9664E">
        <w:rPr>
          <w:rFonts w:ascii="Calibri" w:hAnsi="Calibri"/>
        </w:rPr>
        <w:t xml:space="preserve"> above, </w:t>
      </w:r>
      <w:r w:rsidRPr="00C9664E">
        <w:rPr>
          <w:rFonts w:ascii="Calibri" w:hAnsi="Calibri"/>
        </w:rPr>
        <w:t>Option</w:t>
      </w:r>
      <w:r w:rsidR="00663BE5" w:rsidRPr="00C9664E">
        <w:rPr>
          <w:rFonts w:ascii="Calibri" w:hAnsi="Calibri"/>
        </w:rPr>
        <w:t xml:space="preserve"> </w:t>
      </w:r>
      <w:r w:rsidR="00C9664E">
        <w:rPr>
          <w:rFonts w:ascii="Calibri" w:hAnsi="Calibri"/>
        </w:rPr>
        <w:t>2, an investment in Cities4Forests is seen as providing the greates</w:t>
      </w:r>
      <w:r w:rsidR="00C313F1">
        <w:rPr>
          <w:rFonts w:ascii="Calibri" w:hAnsi="Calibri"/>
        </w:rPr>
        <w:t>t</w:t>
      </w:r>
      <w:r w:rsidR="00C9664E">
        <w:rPr>
          <w:rFonts w:ascii="Calibri" w:hAnsi="Calibri"/>
        </w:rPr>
        <w:t xml:space="preserve"> value for money. Through economies of scale, a trusted delivery partner, the programme will be able to deliver ambition in advance of COP26 and pioneer NBS for </w:t>
      </w:r>
      <w:r w:rsidR="00AD1DA3">
        <w:rPr>
          <w:rFonts w:ascii="Calibri" w:hAnsi="Calibri"/>
        </w:rPr>
        <w:t xml:space="preserve">developing country </w:t>
      </w:r>
      <w:r w:rsidR="00C9664E">
        <w:rPr>
          <w:rFonts w:ascii="Calibri" w:hAnsi="Calibri"/>
        </w:rPr>
        <w:t xml:space="preserve">cities at a much greater scale than other options. </w:t>
      </w:r>
      <w:r w:rsidR="00663BE5" w:rsidRPr="00663BE5">
        <w:rPr>
          <w:rFonts w:ascii="Calibri" w:hAnsi="Calibri"/>
        </w:rPr>
        <w:t xml:space="preserve"> </w:t>
      </w:r>
    </w:p>
    <w:p w14:paraId="3E71D054" w14:textId="428A5D56" w:rsidR="000A7974" w:rsidRDefault="000A7974"/>
    <w:p w14:paraId="32EA8D42" w14:textId="77777777" w:rsidR="00F35096" w:rsidRDefault="00F35096">
      <w:bookmarkStart w:id="23" w:name="_Toc26217731"/>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92"/>
      </w:tblGrid>
      <w:tr w:rsidR="00C54FDF" w:rsidRPr="00616B76" w14:paraId="2D50EDAD" w14:textId="77777777" w:rsidTr="000A7974">
        <w:trPr>
          <w:trHeight w:val="709"/>
        </w:trPr>
        <w:tc>
          <w:tcPr>
            <w:tcW w:w="10092" w:type="dxa"/>
            <w:shd w:val="clear" w:color="auto" w:fill="FFFFFF" w:themeFill="background1"/>
          </w:tcPr>
          <w:p w14:paraId="2D50EDAC" w14:textId="5DA58BA1" w:rsidR="00C54FDF" w:rsidRPr="00C84077" w:rsidRDefault="00955F8F" w:rsidP="002C0BCA">
            <w:pPr>
              <w:pStyle w:val="Heading1"/>
              <w:rPr>
                <w:u w:val="single"/>
              </w:rPr>
            </w:pPr>
            <w:r w:rsidRPr="00C84077">
              <w:t>Commercial Case</w:t>
            </w:r>
            <w:bookmarkEnd w:id="23"/>
          </w:p>
        </w:tc>
      </w:tr>
    </w:tbl>
    <w:p w14:paraId="1789C05E" w14:textId="6425B722" w:rsidR="00F31306" w:rsidRDefault="001F17FD" w:rsidP="002C0BCA">
      <w:pPr>
        <w:pStyle w:val="Heading2"/>
        <w:rPr>
          <w:color w:val="0070C0"/>
        </w:rPr>
      </w:pPr>
      <w:bookmarkStart w:id="24" w:name="_Toc26217732"/>
      <w:r w:rsidRPr="00F31306">
        <w:rPr>
          <w:color w:val="0070C0"/>
        </w:rPr>
        <w:t>C</w:t>
      </w:r>
      <w:r w:rsidR="00F31306">
        <w:rPr>
          <w:color w:val="0070C0"/>
        </w:rPr>
        <w:t>ommercial requirement for the intervention</w:t>
      </w:r>
      <w:bookmarkEnd w:id="24"/>
    </w:p>
    <w:p w14:paraId="7D5FED76" w14:textId="2484C81D" w:rsidR="00F31306" w:rsidRPr="00663BE5" w:rsidRDefault="00370014" w:rsidP="00370014">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After considering procurement options including contracts, the proposed funding mechanism is by grant. The</w:t>
      </w:r>
      <w:r w:rsidR="00C55115">
        <w:rPr>
          <w:rFonts w:ascii="Calibri" w:hAnsi="Calibri"/>
        </w:rPr>
        <w:t xml:space="preserve"> proposed</w:t>
      </w:r>
      <w:r>
        <w:rPr>
          <w:rFonts w:ascii="Calibri" w:hAnsi="Calibri"/>
        </w:rPr>
        <w:t xml:space="preserve"> activities align with </w:t>
      </w:r>
      <w:r w:rsidR="00CA4FF9">
        <w:rPr>
          <w:rFonts w:ascii="Calibri" w:hAnsi="Calibri"/>
        </w:rPr>
        <w:t>Defra’s departmental objectives</w:t>
      </w:r>
      <w:r>
        <w:rPr>
          <w:rFonts w:ascii="Calibri" w:hAnsi="Calibri"/>
        </w:rPr>
        <w:t xml:space="preserve">. Defra will also retain limited control over the funds, remaining at </w:t>
      </w:r>
      <w:proofErr w:type="spellStart"/>
      <w:r>
        <w:rPr>
          <w:rFonts w:ascii="Calibri" w:hAnsi="Calibri"/>
        </w:rPr>
        <w:t>arms length</w:t>
      </w:r>
      <w:proofErr w:type="spellEnd"/>
      <w:r>
        <w:rPr>
          <w:rFonts w:ascii="Calibri" w:hAnsi="Calibri"/>
        </w:rPr>
        <w:t xml:space="preserve"> to recipients and outputs. Cities4forests i</w:t>
      </w:r>
      <w:r w:rsidR="00F31306" w:rsidRPr="00663BE5">
        <w:rPr>
          <w:rFonts w:ascii="Calibri" w:hAnsi="Calibri"/>
        </w:rPr>
        <w:t xml:space="preserve">s an existing initiative being taken forward by the proposed delivery partner (see Economic Case above) and there are no equivalent interventions that will help Defra achieve the same outcomes. The </w:t>
      </w:r>
      <w:r w:rsidR="00C55115" w:rsidRPr="00663BE5">
        <w:rPr>
          <w:rFonts w:ascii="Calibri" w:hAnsi="Calibri"/>
        </w:rPr>
        <w:t>activities</w:t>
      </w:r>
      <w:r w:rsidR="00F31306" w:rsidRPr="00663BE5">
        <w:rPr>
          <w:rFonts w:ascii="Calibri" w:hAnsi="Calibri"/>
        </w:rPr>
        <w:t xml:space="preserve"> are not revenue generating, but rather technical assistance and capacity building – both of which it is appropriate to use grants. </w:t>
      </w:r>
    </w:p>
    <w:p w14:paraId="2521A32E" w14:textId="2FF5073E" w:rsidR="00370014" w:rsidRPr="00370014" w:rsidRDefault="00F31306" w:rsidP="00370014">
      <w:pPr>
        <w:pStyle w:val="ListParagraph"/>
        <w:numPr>
          <w:ilvl w:val="0"/>
          <w:numId w:val="8"/>
        </w:numPr>
        <w:tabs>
          <w:tab w:val="left" w:pos="7248"/>
        </w:tabs>
        <w:spacing w:after="120" w:line="252" w:lineRule="auto"/>
        <w:ind w:left="20"/>
        <w:contextualSpacing w:val="0"/>
        <w:jc w:val="both"/>
        <w:rPr>
          <w:rFonts w:ascii="Calibri" w:hAnsi="Calibri"/>
        </w:rPr>
      </w:pPr>
      <w:r w:rsidRPr="00663BE5">
        <w:rPr>
          <w:rFonts w:ascii="Calibri" w:hAnsi="Calibri"/>
        </w:rPr>
        <w:t xml:space="preserve">Many of the outputs being developed will be made </w:t>
      </w:r>
      <w:proofErr w:type="spellStart"/>
      <w:r w:rsidRPr="00663BE5">
        <w:rPr>
          <w:rFonts w:ascii="Calibri" w:hAnsi="Calibri"/>
        </w:rPr>
        <w:t>publically</w:t>
      </w:r>
      <w:proofErr w:type="spellEnd"/>
      <w:r w:rsidRPr="00663BE5">
        <w:rPr>
          <w:rFonts w:ascii="Calibri" w:hAnsi="Calibri"/>
        </w:rPr>
        <w:t xml:space="preserve"> available, which means the grant will not distort or threaten to distort </w:t>
      </w:r>
      <w:r w:rsidR="006F13F0" w:rsidRPr="00663BE5">
        <w:rPr>
          <w:rFonts w:ascii="Calibri" w:hAnsi="Calibri"/>
        </w:rPr>
        <w:t xml:space="preserve">competition. The provision of these technical assistance activities, including research and analysis, will not affect trade between member states. </w:t>
      </w:r>
      <w:r w:rsidR="00370014">
        <w:rPr>
          <w:rFonts w:ascii="Calibri" w:hAnsi="Calibri"/>
        </w:rPr>
        <w:t xml:space="preserve">Confirmation has been given that this intervention falls outside of state aid regulations. </w:t>
      </w:r>
    </w:p>
    <w:p w14:paraId="2D50EDE0" w14:textId="3DF87BAE" w:rsidR="001F17FD" w:rsidRPr="00F31306" w:rsidRDefault="006F13F0" w:rsidP="002C0BCA">
      <w:pPr>
        <w:pStyle w:val="Heading2"/>
        <w:rPr>
          <w:color w:val="0070C0"/>
        </w:rPr>
      </w:pPr>
      <w:bookmarkStart w:id="25" w:name="_Toc26217733"/>
      <w:r>
        <w:rPr>
          <w:color w:val="0070C0"/>
        </w:rPr>
        <w:t>C</w:t>
      </w:r>
      <w:r w:rsidR="001F17FD" w:rsidRPr="00F31306">
        <w:rPr>
          <w:color w:val="0070C0"/>
        </w:rPr>
        <w:t xml:space="preserve">ompetency of the </w:t>
      </w:r>
      <w:r w:rsidR="00CA3068">
        <w:rPr>
          <w:color w:val="0070C0"/>
        </w:rPr>
        <w:t xml:space="preserve">delivery </w:t>
      </w:r>
      <w:proofErr w:type="spellStart"/>
      <w:r w:rsidR="001F17FD" w:rsidRPr="00F31306">
        <w:rPr>
          <w:color w:val="0070C0"/>
        </w:rPr>
        <w:t>organisation</w:t>
      </w:r>
      <w:bookmarkEnd w:id="25"/>
      <w:proofErr w:type="spellEnd"/>
    </w:p>
    <w:p w14:paraId="768B4BA7" w14:textId="224C69EC" w:rsidR="006F13F0" w:rsidRPr="00663BE5" w:rsidRDefault="006F13F0" w:rsidP="00663BE5">
      <w:pPr>
        <w:pStyle w:val="ListParagraph"/>
        <w:numPr>
          <w:ilvl w:val="0"/>
          <w:numId w:val="8"/>
        </w:numPr>
        <w:tabs>
          <w:tab w:val="left" w:pos="7248"/>
        </w:tabs>
        <w:spacing w:after="120" w:line="252" w:lineRule="auto"/>
        <w:ind w:left="20"/>
        <w:contextualSpacing w:val="0"/>
        <w:jc w:val="both"/>
        <w:rPr>
          <w:rFonts w:ascii="Calibri" w:hAnsi="Calibri"/>
        </w:rPr>
      </w:pPr>
      <w:r w:rsidRPr="00663BE5">
        <w:rPr>
          <w:rFonts w:ascii="Calibri" w:hAnsi="Calibri"/>
        </w:rPr>
        <w:t xml:space="preserve">The proposed delivery partner, WRI, has worked with Defra and has worked and currently is working with other UK Government Departments. </w:t>
      </w:r>
      <w:r w:rsidR="00C12A89" w:rsidRPr="00663BE5">
        <w:rPr>
          <w:rFonts w:ascii="Calibri" w:hAnsi="Calibri"/>
        </w:rPr>
        <w:t>Recent d</w:t>
      </w:r>
      <w:r w:rsidRPr="00663BE5">
        <w:rPr>
          <w:rFonts w:ascii="Calibri" w:hAnsi="Calibri"/>
        </w:rPr>
        <w:t xml:space="preserve">ue diligence has been carried out by other UK Government Departments in 2016, 2017 and 2018. All independent auditor reports have found </w:t>
      </w:r>
      <w:r w:rsidR="005449EF">
        <w:rPr>
          <w:rFonts w:ascii="Calibri" w:hAnsi="Calibri"/>
        </w:rPr>
        <w:t xml:space="preserve">no concerns with </w:t>
      </w:r>
      <w:r w:rsidRPr="00663BE5">
        <w:rPr>
          <w:rFonts w:ascii="Calibri" w:hAnsi="Calibri"/>
        </w:rPr>
        <w:t xml:space="preserve">WRI </w:t>
      </w:r>
      <w:r w:rsidR="005449EF">
        <w:rPr>
          <w:rFonts w:ascii="Calibri" w:hAnsi="Calibri"/>
        </w:rPr>
        <w:t>management practices</w:t>
      </w:r>
      <w:r w:rsidRPr="00663BE5">
        <w:rPr>
          <w:rFonts w:ascii="Calibri" w:hAnsi="Calibri"/>
        </w:rPr>
        <w:t xml:space="preserve">. </w:t>
      </w:r>
    </w:p>
    <w:p w14:paraId="3F493543" w14:textId="013D947E" w:rsidR="006F13F0" w:rsidRPr="00663BE5" w:rsidRDefault="00C12A89" w:rsidP="00663BE5">
      <w:pPr>
        <w:pStyle w:val="ListParagraph"/>
        <w:numPr>
          <w:ilvl w:val="0"/>
          <w:numId w:val="8"/>
        </w:numPr>
        <w:tabs>
          <w:tab w:val="left" w:pos="7248"/>
        </w:tabs>
        <w:spacing w:after="120" w:line="252" w:lineRule="auto"/>
        <w:ind w:left="20"/>
        <w:contextualSpacing w:val="0"/>
        <w:jc w:val="both"/>
        <w:rPr>
          <w:rFonts w:ascii="Calibri" w:hAnsi="Calibri"/>
        </w:rPr>
      </w:pPr>
      <w:r w:rsidRPr="00663BE5">
        <w:rPr>
          <w:rFonts w:ascii="Calibri" w:hAnsi="Calibri"/>
        </w:rPr>
        <w:t xml:space="preserve">WRI is a global research organisation that spans more than sixty countries, with international offices in Brazil, China, India, Indonesia, </w:t>
      </w:r>
      <w:proofErr w:type="gramStart"/>
      <w:r w:rsidRPr="00663BE5">
        <w:rPr>
          <w:rFonts w:ascii="Calibri" w:hAnsi="Calibri"/>
        </w:rPr>
        <w:t>Mexico</w:t>
      </w:r>
      <w:proofErr w:type="gramEnd"/>
      <w:r w:rsidRPr="00663BE5">
        <w:rPr>
          <w:rFonts w:ascii="Calibri" w:hAnsi="Calibri"/>
        </w:rPr>
        <w:t xml:space="preserve"> and the United States, amongst others. </w:t>
      </w:r>
      <w:r w:rsidR="00CA3068" w:rsidRPr="00663BE5">
        <w:rPr>
          <w:rFonts w:ascii="Calibri" w:hAnsi="Calibri"/>
        </w:rPr>
        <w:t xml:space="preserve">Its international expertise to deliver context-specific research and analysis to different regions, even cities is evident in work already conducted for the UK government, such as the Coalition for Urban Transitions, managed by BEIS, with WRI as a delivery partner. In its first annual review of this programme in 2018/19, BEIS gave the </w:t>
      </w:r>
      <w:r w:rsidR="00CA4FF9">
        <w:rPr>
          <w:rFonts w:ascii="Calibri" w:hAnsi="Calibri"/>
        </w:rPr>
        <w:t xml:space="preserve">WRI workstream of the </w:t>
      </w:r>
      <w:r w:rsidR="00CA3068" w:rsidRPr="00663BE5">
        <w:rPr>
          <w:rFonts w:ascii="Calibri" w:hAnsi="Calibri"/>
        </w:rPr>
        <w:t>programme an A – me</w:t>
      </w:r>
      <w:r w:rsidR="00CA4FF9">
        <w:rPr>
          <w:rFonts w:ascii="Calibri" w:hAnsi="Calibri"/>
        </w:rPr>
        <w:t>e</w:t>
      </w:r>
      <w:r w:rsidR="00CA3068" w:rsidRPr="00663BE5">
        <w:rPr>
          <w:rFonts w:ascii="Calibri" w:hAnsi="Calibri"/>
        </w:rPr>
        <w:t>t</w:t>
      </w:r>
      <w:r w:rsidR="00CA4FF9">
        <w:rPr>
          <w:rFonts w:ascii="Calibri" w:hAnsi="Calibri"/>
        </w:rPr>
        <w:t>s</w:t>
      </w:r>
      <w:r w:rsidR="00CA3068" w:rsidRPr="00663BE5">
        <w:rPr>
          <w:rFonts w:ascii="Calibri" w:hAnsi="Calibri"/>
        </w:rPr>
        <w:t xml:space="preserve"> </w:t>
      </w:r>
      <w:r w:rsidR="00C55115" w:rsidRPr="00663BE5">
        <w:rPr>
          <w:rFonts w:ascii="Calibri" w:hAnsi="Calibri"/>
        </w:rPr>
        <w:t xml:space="preserve">expectations. </w:t>
      </w:r>
    </w:p>
    <w:p w14:paraId="2D50EDE4" w14:textId="62FF2C40" w:rsidR="001F17FD" w:rsidRPr="00F31306" w:rsidRDefault="00545501" w:rsidP="002C0BCA">
      <w:pPr>
        <w:pStyle w:val="Heading2"/>
        <w:rPr>
          <w:color w:val="0070C0"/>
        </w:rPr>
      </w:pPr>
      <w:bookmarkStart w:id="26" w:name="_Toc26217734"/>
      <w:r w:rsidRPr="00F31306">
        <w:rPr>
          <w:color w:val="0070C0"/>
        </w:rPr>
        <w:t xml:space="preserve">Appointment and </w:t>
      </w:r>
      <w:r w:rsidR="00C55115" w:rsidRPr="00F31306">
        <w:rPr>
          <w:color w:val="0070C0"/>
        </w:rPr>
        <w:t>competency</w:t>
      </w:r>
      <w:r w:rsidR="00BC733B" w:rsidRPr="00F31306">
        <w:rPr>
          <w:color w:val="0070C0"/>
        </w:rPr>
        <w:t xml:space="preserve"> of </w:t>
      </w:r>
      <w:r w:rsidR="001F17FD" w:rsidRPr="00F31306">
        <w:rPr>
          <w:color w:val="0070C0"/>
        </w:rPr>
        <w:t>subcontractors</w:t>
      </w:r>
      <w:bookmarkEnd w:id="26"/>
    </w:p>
    <w:p w14:paraId="2D50EDF2" w14:textId="6AA37FC5" w:rsidR="00812CF4" w:rsidRPr="00663BE5" w:rsidRDefault="00CA3068" w:rsidP="00663BE5">
      <w:pPr>
        <w:pStyle w:val="ListParagraph"/>
        <w:numPr>
          <w:ilvl w:val="0"/>
          <w:numId w:val="8"/>
        </w:numPr>
        <w:tabs>
          <w:tab w:val="left" w:pos="7248"/>
        </w:tabs>
        <w:spacing w:after="120" w:line="252" w:lineRule="auto"/>
        <w:ind w:left="20"/>
        <w:contextualSpacing w:val="0"/>
        <w:jc w:val="both"/>
        <w:rPr>
          <w:rFonts w:ascii="Calibri" w:hAnsi="Calibri"/>
        </w:rPr>
      </w:pPr>
      <w:r w:rsidRPr="00663BE5">
        <w:rPr>
          <w:rFonts w:ascii="Calibri" w:hAnsi="Calibri"/>
        </w:rPr>
        <w:t>WRI has appointed two subcontractors, Pilot Projects and REVOLVE to help deliver</w:t>
      </w:r>
      <w:r w:rsidR="00DE52BA">
        <w:rPr>
          <w:rFonts w:ascii="Calibri" w:hAnsi="Calibri"/>
        </w:rPr>
        <w:t xml:space="preserve"> the Cities4Forests initiative. It is WRI policy that subgrantees be monitored to provide reasonable assurance that they </w:t>
      </w:r>
      <w:proofErr w:type="gramStart"/>
      <w:r w:rsidR="00DE52BA">
        <w:rPr>
          <w:rFonts w:ascii="Calibri" w:hAnsi="Calibri"/>
        </w:rPr>
        <w:t>are in compliance with</w:t>
      </w:r>
      <w:proofErr w:type="gramEnd"/>
      <w:r w:rsidR="00DE52BA">
        <w:rPr>
          <w:rFonts w:ascii="Calibri" w:hAnsi="Calibri"/>
        </w:rPr>
        <w:t xml:space="preserve"> the terms and conditions of sub-agre</w:t>
      </w:r>
      <w:r w:rsidR="00CA4FF9">
        <w:rPr>
          <w:rFonts w:ascii="Calibri" w:hAnsi="Calibri"/>
        </w:rPr>
        <w:t>e</w:t>
      </w:r>
      <w:r w:rsidR="00DE52BA">
        <w:rPr>
          <w:rFonts w:ascii="Calibri" w:hAnsi="Calibri"/>
        </w:rPr>
        <w:t xml:space="preserve">ments and that performance goals are being achieved. Due diligence is conducted to ensure selection is consistent with WRI’s conflict of interest policy, and all partners selected are assessed based on their programmatic capacity, financial </w:t>
      </w:r>
      <w:proofErr w:type="gramStart"/>
      <w:r w:rsidR="00DE52BA">
        <w:rPr>
          <w:rFonts w:ascii="Calibri" w:hAnsi="Calibri"/>
        </w:rPr>
        <w:t>stability</w:t>
      </w:r>
      <w:proofErr w:type="gramEnd"/>
      <w:r w:rsidR="00DE52BA">
        <w:rPr>
          <w:rFonts w:ascii="Calibri" w:hAnsi="Calibri"/>
        </w:rPr>
        <w:t xml:space="preserve"> and robust internal controls. WRI subgrantees and contractors must also adhere to WRI’s gender and equity guidelines. </w:t>
      </w:r>
    </w:p>
    <w:p w14:paraId="3033826E" w14:textId="482FC9A9" w:rsidR="00853C56" w:rsidRPr="00F31306" w:rsidRDefault="00853C56" w:rsidP="00853C56">
      <w:pPr>
        <w:pStyle w:val="Heading2"/>
        <w:rPr>
          <w:color w:val="0070C0"/>
        </w:rPr>
      </w:pPr>
      <w:bookmarkStart w:id="27" w:name="_Toc26217735"/>
      <w:r>
        <w:rPr>
          <w:color w:val="0070C0"/>
        </w:rPr>
        <w:t>Why is the proposed funding arrangement the right one for this intervention, with this delivery partner?</w:t>
      </w:r>
      <w:bookmarkEnd w:id="27"/>
      <w:r>
        <w:rPr>
          <w:color w:val="0070C0"/>
        </w:rPr>
        <w:t xml:space="preserve"> </w:t>
      </w:r>
    </w:p>
    <w:p w14:paraId="431F8888" w14:textId="41C3252A" w:rsidR="00853C56" w:rsidRPr="00663BE5" w:rsidRDefault="00853C56" w:rsidP="00663BE5">
      <w:pPr>
        <w:pStyle w:val="ListParagraph"/>
        <w:numPr>
          <w:ilvl w:val="0"/>
          <w:numId w:val="8"/>
        </w:numPr>
        <w:tabs>
          <w:tab w:val="left" w:pos="7248"/>
        </w:tabs>
        <w:spacing w:after="120" w:line="252" w:lineRule="auto"/>
        <w:ind w:left="20"/>
        <w:contextualSpacing w:val="0"/>
        <w:jc w:val="both"/>
        <w:rPr>
          <w:rFonts w:ascii="Calibri" w:hAnsi="Calibri"/>
        </w:rPr>
      </w:pPr>
      <w:r w:rsidRPr="00663BE5">
        <w:rPr>
          <w:rFonts w:ascii="Calibri" w:hAnsi="Calibri"/>
        </w:rPr>
        <w:t xml:space="preserve">As demonstrated in the appraisal case, the most efficient and effective way for the UK to obtain the project’s purpose is to partner with the proposed delivery partner given this initiative is the leading global programme to develop and build cities capacity to design, finance and implement nature-based solutions with forests. </w:t>
      </w:r>
    </w:p>
    <w:p w14:paraId="1D1665CF" w14:textId="77777777" w:rsidR="00F318EF" w:rsidRPr="00F31306" w:rsidRDefault="00F318EF" w:rsidP="00C93165">
      <w:pPr>
        <w:spacing w:line="252" w:lineRule="auto"/>
        <w:jc w:val="both"/>
        <w:rPr>
          <w:sz w:val="22"/>
          <w:szCs w:val="22"/>
        </w:rPr>
      </w:pPr>
    </w:p>
    <w:p w14:paraId="2D50EDF3" w14:textId="77777777" w:rsidR="00812CF4" w:rsidRPr="00F31306" w:rsidRDefault="00812CF4" w:rsidP="00C93165">
      <w:pPr>
        <w:spacing w:line="252" w:lineRule="auto"/>
        <w:jc w:val="both"/>
        <w:rPr>
          <w:sz w:val="22"/>
          <w:szCs w:val="22"/>
        </w:rPr>
      </w:pPr>
    </w:p>
    <w:p w14:paraId="6B67FBD1" w14:textId="77777777" w:rsidR="00640BFB" w:rsidRDefault="00640BFB" w:rsidP="002C0BCA">
      <w:pPr>
        <w:pStyle w:val="Heading1"/>
      </w:pPr>
      <w:bookmarkStart w:id="28" w:name="_Toc26217736"/>
    </w:p>
    <w:p w14:paraId="6B170E7F" w14:textId="77777777" w:rsidR="00640BFB" w:rsidRDefault="00640BFB" w:rsidP="00640BFB">
      <w:pPr>
        <w:rPr>
          <w:rFonts w:eastAsia="MS Gothic"/>
          <w:color w:val="E36C0A" w:themeColor="accent6" w:themeShade="BF"/>
          <w:sz w:val="32"/>
          <w:szCs w:val="32"/>
          <w:lang w:val="en-US"/>
        </w:rPr>
      </w:pPr>
      <w:r>
        <w:br w:type="page"/>
      </w:r>
    </w:p>
    <w:p w14:paraId="661551C1" w14:textId="0F34791D" w:rsidR="00545501" w:rsidRPr="00C84077" w:rsidRDefault="00545501" w:rsidP="002C0BCA">
      <w:pPr>
        <w:pStyle w:val="Heading1"/>
        <w:rPr>
          <w:u w:val="single"/>
        </w:rPr>
      </w:pPr>
      <w:r w:rsidRPr="00C84077">
        <w:t>Financial Case</w:t>
      </w:r>
      <w:bookmarkEnd w:id="28"/>
    </w:p>
    <w:p w14:paraId="2D50EDFA" w14:textId="77777777" w:rsidR="00955F8F" w:rsidRPr="00616B76" w:rsidRDefault="00955F8F" w:rsidP="00C93165">
      <w:pPr>
        <w:spacing w:after="0" w:line="252" w:lineRule="auto"/>
        <w:jc w:val="both"/>
        <w:rPr>
          <w:sz w:val="22"/>
          <w:szCs w:val="22"/>
          <w:lang w:val="en-US"/>
        </w:rPr>
      </w:pPr>
    </w:p>
    <w:p w14:paraId="2D50EDFB" w14:textId="28358AA8" w:rsidR="001F17FD" w:rsidRPr="00F31306" w:rsidRDefault="001F17FD" w:rsidP="002C0BCA">
      <w:pPr>
        <w:pStyle w:val="Heading2"/>
        <w:rPr>
          <w:color w:val="0070C0"/>
        </w:rPr>
      </w:pPr>
      <w:bookmarkStart w:id="29" w:name="_Toc26217737"/>
      <w:r w:rsidRPr="00F31306">
        <w:rPr>
          <w:color w:val="0070C0"/>
        </w:rPr>
        <w:t xml:space="preserve">Nature and value of the expected </w:t>
      </w:r>
      <w:r w:rsidR="0043308E" w:rsidRPr="00F31306">
        <w:rPr>
          <w:color w:val="0070C0"/>
        </w:rPr>
        <w:t>costs</w:t>
      </w:r>
      <w:bookmarkEnd w:id="29"/>
    </w:p>
    <w:p w14:paraId="4656F2F3" w14:textId="0236FBDC" w:rsidR="00AF1A75" w:rsidRPr="00663BE5" w:rsidRDefault="00AF1A75" w:rsidP="00663BE5">
      <w:pPr>
        <w:pStyle w:val="ListParagraph"/>
        <w:numPr>
          <w:ilvl w:val="0"/>
          <w:numId w:val="8"/>
        </w:numPr>
        <w:tabs>
          <w:tab w:val="left" w:pos="7248"/>
        </w:tabs>
        <w:spacing w:after="120" w:line="252" w:lineRule="auto"/>
        <w:ind w:left="20"/>
        <w:contextualSpacing w:val="0"/>
        <w:jc w:val="both"/>
        <w:rPr>
          <w:rFonts w:ascii="Calibri" w:hAnsi="Calibri"/>
        </w:rPr>
      </w:pPr>
      <w:r w:rsidRPr="00AF1A75">
        <w:rPr>
          <w:rFonts w:ascii="Calibri" w:hAnsi="Calibri"/>
        </w:rPr>
        <w:t xml:space="preserve">Total funding for this project is £5,960,000 from five partners including Defra. The project runs for a total of three years (2019 to 2021), and Defra’s funding contributes to specific activities occurring in Year 2 of the project (namely from January to March 2020). Defra’s investment </w:t>
      </w:r>
      <w:r w:rsidRPr="00AE0472">
        <w:rPr>
          <w:rFonts w:ascii="Calibri" w:hAnsi="Calibri"/>
        </w:rPr>
        <w:t xml:space="preserve">of </w:t>
      </w:r>
      <w:r w:rsidR="005F58BE" w:rsidRPr="00AE0472">
        <w:rPr>
          <w:rFonts w:ascii="Calibri" w:hAnsi="Calibri"/>
        </w:rPr>
        <w:t>£56</w:t>
      </w:r>
      <w:r w:rsidRPr="00AE0472">
        <w:rPr>
          <w:rFonts w:ascii="Calibri" w:hAnsi="Calibri"/>
        </w:rPr>
        <w:t xml:space="preserve">0,000 represents </w:t>
      </w:r>
      <w:r w:rsidR="00AE0472" w:rsidRPr="00AE0472">
        <w:rPr>
          <w:rFonts w:ascii="Calibri" w:hAnsi="Calibri"/>
        </w:rPr>
        <w:t>9.4</w:t>
      </w:r>
      <w:r w:rsidRPr="00AE0472">
        <w:rPr>
          <w:rFonts w:ascii="Calibri" w:hAnsi="Calibri"/>
        </w:rPr>
        <w:t>%</w:t>
      </w:r>
      <w:r w:rsidRPr="00AF1A75">
        <w:rPr>
          <w:rFonts w:ascii="Calibri" w:hAnsi="Calibri"/>
        </w:rPr>
        <w:t xml:space="preserve"> of the programme’s budget and is financing a range of tangible activities that align with the department’s strategic objectives. </w:t>
      </w:r>
      <w:r w:rsidR="00F92A11">
        <w:rPr>
          <w:rFonts w:ascii="Calibri" w:hAnsi="Calibri"/>
        </w:rPr>
        <w:t xml:space="preserve">This funding comes from Defra’s ODA budget and is affordable in the calendar year 2019. </w:t>
      </w:r>
    </w:p>
    <w:p w14:paraId="63F4AC6E" w14:textId="72B6A1D9" w:rsidR="00AF1A75" w:rsidRPr="00663BE5" w:rsidRDefault="00AF1A75" w:rsidP="00663BE5">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The project will be financed entirely through grant funding. The other contributors that have already provided financial support include the Norwegian International Climate and Forests </w:t>
      </w:r>
      <w:r w:rsidR="00C55115">
        <w:rPr>
          <w:rFonts w:ascii="Calibri" w:hAnsi="Calibri"/>
        </w:rPr>
        <w:t>Initiative</w:t>
      </w:r>
      <w:r>
        <w:rPr>
          <w:rFonts w:ascii="Calibri" w:hAnsi="Calibri"/>
        </w:rPr>
        <w:t xml:space="preserve"> (NICFI), the FEMSA Foundation, Spring Point </w:t>
      </w:r>
      <w:proofErr w:type="gramStart"/>
      <w:r>
        <w:rPr>
          <w:rFonts w:ascii="Calibri" w:hAnsi="Calibri"/>
        </w:rPr>
        <w:t>Partners</w:t>
      </w:r>
      <w:proofErr w:type="gramEnd"/>
      <w:r>
        <w:rPr>
          <w:rFonts w:ascii="Calibri" w:hAnsi="Calibri"/>
        </w:rPr>
        <w:t xml:space="preserve"> </w:t>
      </w:r>
      <w:r w:rsidR="00DB79E6">
        <w:rPr>
          <w:rFonts w:ascii="Calibri" w:hAnsi="Calibri"/>
        </w:rPr>
        <w:t>and</w:t>
      </w:r>
      <w:r>
        <w:rPr>
          <w:rFonts w:ascii="Calibri" w:hAnsi="Calibri"/>
        </w:rPr>
        <w:t xml:space="preserve"> the Kresge Foundation. </w:t>
      </w:r>
    </w:p>
    <w:p w14:paraId="5995B5A7" w14:textId="1245076A" w:rsidR="00AF1A75" w:rsidRPr="00663BE5" w:rsidRDefault="00AF1A75" w:rsidP="00663BE5">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 xml:space="preserve">Within HM Government, managing the UK’s contribution and participating in key </w:t>
      </w:r>
      <w:r w:rsidR="00A83FE0">
        <w:rPr>
          <w:rFonts w:ascii="Calibri" w:hAnsi="Calibri"/>
        </w:rPr>
        <w:t>decisions</w:t>
      </w:r>
      <w:r>
        <w:rPr>
          <w:rFonts w:ascii="Calibri" w:hAnsi="Calibri"/>
        </w:rPr>
        <w:t xml:space="preserve"> to manage and steer the programme until programme closure in 2021, will require 0.2 FTE. </w:t>
      </w:r>
      <w:r w:rsidR="00F92A11">
        <w:rPr>
          <w:rFonts w:ascii="Calibri" w:hAnsi="Calibri"/>
        </w:rPr>
        <w:t xml:space="preserve">This is affordable within existing budgets. </w:t>
      </w:r>
    </w:p>
    <w:p w14:paraId="2D50EEB0" w14:textId="56E6F25F" w:rsidR="001F17FD" w:rsidRDefault="00AF1A75" w:rsidP="00F92A11">
      <w:pPr>
        <w:pStyle w:val="ListParagraph"/>
        <w:numPr>
          <w:ilvl w:val="0"/>
          <w:numId w:val="8"/>
        </w:numPr>
        <w:tabs>
          <w:tab w:val="left" w:pos="7248"/>
        </w:tabs>
        <w:spacing w:after="120" w:line="252" w:lineRule="auto"/>
        <w:ind w:left="20"/>
        <w:contextualSpacing w:val="0"/>
        <w:jc w:val="both"/>
        <w:rPr>
          <w:rFonts w:ascii="Calibri" w:hAnsi="Calibri"/>
        </w:rPr>
      </w:pPr>
      <w:r w:rsidRPr="00AF1A75">
        <w:rPr>
          <w:rFonts w:ascii="Calibri" w:hAnsi="Calibri"/>
        </w:rPr>
        <w:t xml:space="preserve">The overall cost of the investment </w:t>
      </w:r>
      <w:r w:rsidRPr="007E7FC6">
        <w:rPr>
          <w:rFonts w:ascii="Calibri" w:hAnsi="Calibri"/>
        </w:rPr>
        <w:t xml:space="preserve">to </w:t>
      </w:r>
      <w:r w:rsidR="00F92A11">
        <w:rPr>
          <w:rFonts w:ascii="Calibri" w:hAnsi="Calibri"/>
        </w:rPr>
        <w:t>Defra</w:t>
      </w:r>
      <w:r w:rsidRPr="007E7FC6">
        <w:rPr>
          <w:rFonts w:ascii="Calibri" w:hAnsi="Calibri"/>
        </w:rPr>
        <w:t xml:space="preserve"> is forecast </w:t>
      </w:r>
      <w:r w:rsidRPr="00AE0472">
        <w:rPr>
          <w:rFonts w:ascii="Calibri" w:hAnsi="Calibri"/>
        </w:rPr>
        <w:t>as £5</w:t>
      </w:r>
      <w:r w:rsidR="005F58BE" w:rsidRPr="00AE0472">
        <w:rPr>
          <w:rFonts w:ascii="Calibri" w:hAnsi="Calibri"/>
        </w:rPr>
        <w:t>6</w:t>
      </w:r>
      <w:r w:rsidRPr="00AE0472">
        <w:rPr>
          <w:rFonts w:ascii="Calibri" w:hAnsi="Calibri"/>
        </w:rPr>
        <w:t>0,000 in 2019/20.</w:t>
      </w:r>
      <w:r w:rsidR="00F92A11" w:rsidRPr="00AE0472">
        <w:rPr>
          <w:rFonts w:ascii="Calibri" w:hAnsi="Calibri"/>
        </w:rPr>
        <w:t xml:space="preserve"> Defra finance have reviewed this business case and consulted Consolidated Budget</w:t>
      </w:r>
      <w:r w:rsidR="00F92A11" w:rsidRPr="00F92A11">
        <w:rPr>
          <w:rFonts w:ascii="Calibri" w:hAnsi="Calibri"/>
        </w:rPr>
        <w:t xml:space="preserve"> Guidance (CBG) to ascertain the classification of spend.  CBG states capital spend is unrequited transfer payments which the recipient </w:t>
      </w:r>
      <w:proofErr w:type="gramStart"/>
      <w:r w:rsidR="00F92A11" w:rsidRPr="00F92A11">
        <w:rPr>
          <w:rFonts w:ascii="Calibri" w:hAnsi="Calibri"/>
        </w:rPr>
        <w:t>has to</w:t>
      </w:r>
      <w:proofErr w:type="gramEnd"/>
      <w:r w:rsidR="00F92A11" w:rsidRPr="00F92A11">
        <w:rPr>
          <w:rFonts w:ascii="Calibri" w:hAnsi="Calibri"/>
        </w:rPr>
        <w:t xml:space="preserve"> use to: buy capital assets; buy stocks or repay debt.  </w:t>
      </w:r>
      <w:r w:rsidR="00CA4FF9">
        <w:rPr>
          <w:rFonts w:ascii="Calibri" w:hAnsi="Calibri"/>
        </w:rPr>
        <w:t>Of the</w:t>
      </w:r>
      <w:r w:rsidR="00F92A11" w:rsidRPr="00F92A11">
        <w:rPr>
          <w:rFonts w:ascii="Calibri" w:hAnsi="Calibri"/>
        </w:rPr>
        <w:t xml:space="preserve"> outcomes </w:t>
      </w:r>
      <w:r w:rsidR="00CA4FF9">
        <w:rPr>
          <w:rFonts w:ascii="Calibri" w:hAnsi="Calibri"/>
        </w:rPr>
        <w:t xml:space="preserve">set out in the Strategic Case, </w:t>
      </w:r>
      <w:r w:rsidR="00F92A11" w:rsidRPr="00F92A11">
        <w:rPr>
          <w:rFonts w:ascii="Calibri" w:hAnsi="Calibri"/>
        </w:rPr>
        <w:t>none of the spend meets the capital definition and therefore the spend is classified as resource RDEL.</w:t>
      </w:r>
      <w:r w:rsidRPr="007E7FC6">
        <w:rPr>
          <w:rFonts w:ascii="Calibri" w:hAnsi="Calibri"/>
        </w:rPr>
        <w:t xml:space="preserve"> The only disbursement will be made in December 2019</w:t>
      </w:r>
      <w:r w:rsidR="00CA4FF9">
        <w:rPr>
          <w:rFonts w:ascii="Calibri" w:hAnsi="Calibri"/>
        </w:rPr>
        <w:t xml:space="preserve"> or January 2020</w:t>
      </w:r>
      <w:r w:rsidRPr="007E7FC6">
        <w:rPr>
          <w:rFonts w:ascii="Calibri" w:hAnsi="Calibri"/>
        </w:rPr>
        <w:t>.</w:t>
      </w:r>
      <w:r>
        <w:rPr>
          <w:rFonts w:ascii="Calibri" w:hAnsi="Calibri"/>
        </w:rPr>
        <w:t xml:space="preserve"> </w:t>
      </w:r>
    </w:p>
    <w:p w14:paraId="5EC5BE2C" w14:textId="7C766895" w:rsidR="00F92A11" w:rsidRPr="00663BE5" w:rsidRDefault="00F92A11" w:rsidP="00F92A11">
      <w:pPr>
        <w:pStyle w:val="ListParagraph"/>
        <w:numPr>
          <w:ilvl w:val="0"/>
          <w:numId w:val="8"/>
        </w:numPr>
        <w:tabs>
          <w:tab w:val="left" w:pos="7248"/>
        </w:tabs>
        <w:spacing w:after="120" w:line="252" w:lineRule="auto"/>
        <w:ind w:left="20"/>
        <w:contextualSpacing w:val="0"/>
        <w:jc w:val="both"/>
        <w:rPr>
          <w:rFonts w:ascii="Calibri" w:hAnsi="Calibri"/>
        </w:rPr>
      </w:pPr>
      <w:r>
        <w:rPr>
          <w:rFonts w:ascii="Calibri" w:hAnsi="Calibri"/>
        </w:rPr>
        <w:t>Managing public mo</w:t>
      </w:r>
      <w:r w:rsidR="00E30C80">
        <w:rPr>
          <w:rFonts w:ascii="Calibri" w:hAnsi="Calibri"/>
        </w:rPr>
        <w:t>ney recommends all public funds are not paid for in advance of need</w:t>
      </w:r>
      <w:r>
        <w:rPr>
          <w:rFonts w:ascii="Calibri" w:hAnsi="Calibri"/>
        </w:rPr>
        <w:t>.</w:t>
      </w:r>
      <w:r w:rsidR="00E30C80">
        <w:rPr>
          <w:rFonts w:ascii="Calibri" w:hAnsi="Calibri"/>
        </w:rPr>
        <w:t xml:space="preserve"> In this instance, specific activities across </w:t>
      </w:r>
      <w:r w:rsidR="00AE0472">
        <w:rPr>
          <w:rFonts w:ascii="Calibri" w:hAnsi="Calibri"/>
        </w:rPr>
        <w:t>twelve</w:t>
      </w:r>
      <w:r w:rsidR="00E30C80">
        <w:rPr>
          <w:rFonts w:ascii="Calibri" w:hAnsi="Calibri"/>
        </w:rPr>
        <w:t xml:space="preserve"> workstreams have been identified that require funds in advance to proceed. </w:t>
      </w:r>
      <w:r>
        <w:rPr>
          <w:rFonts w:ascii="Calibri" w:hAnsi="Calibri"/>
        </w:rPr>
        <w:t xml:space="preserve"> </w:t>
      </w:r>
      <w:r w:rsidR="00E30C80">
        <w:rPr>
          <w:rFonts w:ascii="Calibri" w:hAnsi="Calibri"/>
        </w:rPr>
        <w:t>In this instance, Defra Governance has agreed that payment</w:t>
      </w:r>
      <w:r w:rsidR="007C2158">
        <w:rPr>
          <w:rFonts w:ascii="Calibri" w:hAnsi="Calibri"/>
        </w:rPr>
        <w:t xml:space="preserve"> is required in advance</w:t>
      </w:r>
      <w:r w:rsidR="00E30C80">
        <w:rPr>
          <w:rFonts w:ascii="Calibri" w:hAnsi="Calibri"/>
        </w:rPr>
        <w:t xml:space="preserve">. </w:t>
      </w:r>
    </w:p>
    <w:p w14:paraId="2D50EEB1" w14:textId="19A7A904" w:rsidR="001F17FD" w:rsidRPr="00666625" w:rsidRDefault="001F17FD" w:rsidP="002C0BCA">
      <w:pPr>
        <w:pStyle w:val="Heading2"/>
        <w:rPr>
          <w:color w:val="0070C0"/>
        </w:rPr>
      </w:pPr>
      <w:bookmarkStart w:id="30" w:name="_Toc26217738"/>
      <w:r w:rsidRPr="00666625">
        <w:rPr>
          <w:color w:val="0070C0"/>
        </w:rPr>
        <w:t xml:space="preserve">Financial </w:t>
      </w:r>
      <w:r w:rsidR="00DF5010" w:rsidRPr="00666625">
        <w:rPr>
          <w:color w:val="0070C0"/>
        </w:rPr>
        <w:t>management: monitoring, reporting, accounting</w:t>
      </w:r>
      <w:bookmarkEnd w:id="30"/>
    </w:p>
    <w:p w14:paraId="7A90F792" w14:textId="00934E46" w:rsidR="003F4891" w:rsidRPr="00236087" w:rsidRDefault="00A368FB" w:rsidP="00663BE5">
      <w:pPr>
        <w:pStyle w:val="ListParagraph"/>
        <w:numPr>
          <w:ilvl w:val="0"/>
          <w:numId w:val="8"/>
        </w:numPr>
        <w:tabs>
          <w:tab w:val="left" w:pos="7248"/>
        </w:tabs>
        <w:spacing w:after="120" w:line="252" w:lineRule="auto"/>
        <w:ind w:left="20"/>
        <w:contextualSpacing w:val="0"/>
        <w:jc w:val="both"/>
        <w:rPr>
          <w:rFonts w:ascii="Calibri" w:hAnsi="Calibri"/>
        </w:rPr>
      </w:pPr>
      <w:r w:rsidRPr="00663BE5">
        <w:rPr>
          <w:rFonts w:ascii="Calibri" w:hAnsi="Calibri"/>
        </w:rPr>
        <w:t>WRI will provide annual detailed financial reports providing projected and actual spend against specific Cities4Forests activities for 2020 and 2021, the remaining years of the programme. The table below shows the financial overview of all expected costs for 2019 – 2021</w:t>
      </w:r>
      <w:r w:rsidR="0008692E" w:rsidRPr="00663BE5">
        <w:rPr>
          <w:rFonts w:ascii="Calibri" w:hAnsi="Calibri"/>
        </w:rPr>
        <w:t xml:space="preserve"> (years 1 - 3) </w:t>
      </w:r>
      <w:r w:rsidRPr="00663BE5">
        <w:rPr>
          <w:rFonts w:ascii="Calibri" w:hAnsi="Calibri"/>
        </w:rPr>
        <w:t xml:space="preserve">and Defra’s expected costs </w:t>
      </w:r>
      <w:r w:rsidRPr="00236087">
        <w:rPr>
          <w:rFonts w:ascii="Calibri" w:hAnsi="Calibri"/>
        </w:rPr>
        <w:t xml:space="preserve">within this. </w:t>
      </w:r>
    </w:p>
    <w:p w14:paraId="14D191A5" w14:textId="74174828" w:rsidR="0008692E" w:rsidRPr="0008692E" w:rsidRDefault="0008692E" w:rsidP="0008692E">
      <w:pPr>
        <w:spacing w:after="0" w:line="240" w:lineRule="auto"/>
        <w:jc w:val="both"/>
        <w:textAlignment w:val="baseline"/>
        <w:rPr>
          <w:rFonts w:ascii="Segoe UI" w:eastAsia="Times New Roman" w:hAnsi="Segoe UI" w:cs="Segoe UI"/>
          <w:sz w:val="18"/>
          <w:szCs w:val="18"/>
        </w:rPr>
      </w:pPr>
      <w:r w:rsidRPr="00236087">
        <w:rPr>
          <w:rFonts w:ascii="Calibri" w:eastAsia="Times New Roman" w:hAnsi="Calibri" w:cs="Calibri"/>
          <w:b/>
          <w:bCs/>
        </w:rPr>
        <w:t xml:space="preserve">Table </w:t>
      </w:r>
      <w:r w:rsidR="00783156" w:rsidRPr="00236087">
        <w:rPr>
          <w:rFonts w:ascii="Calibri" w:eastAsia="Times New Roman" w:hAnsi="Calibri" w:cs="Calibri"/>
          <w:b/>
          <w:bCs/>
        </w:rPr>
        <w:t>2</w:t>
      </w:r>
      <w:r w:rsidRPr="00236087">
        <w:rPr>
          <w:rFonts w:ascii="Calibri" w:eastAsia="Times New Roman" w:hAnsi="Calibri" w:cs="Calibri"/>
          <w:b/>
          <w:bCs/>
        </w:rPr>
        <w:t>: Total Project Budget for the first 3 Years</w:t>
      </w:r>
      <w:r w:rsidRPr="0008692E">
        <w:rPr>
          <w:rFonts w:ascii="Calibri" w:eastAsia="Times New Roman" w:hAnsi="Calibri" w:cs="Calibri"/>
        </w:rPr>
        <w:t> </w:t>
      </w:r>
    </w:p>
    <w:tbl>
      <w:tblPr>
        <w:tblW w:w="100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1"/>
        <w:gridCol w:w="1516"/>
        <w:gridCol w:w="1516"/>
        <w:gridCol w:w="2016"/>
        <w:gridCol w:w="1397"/>
      </w:tblGrid>
      <w:tr w:rsidR="0008692E" w:rsidRPr="0073240A" w14:paraId="3F1DFCBB" w14:textId="77777777" w:rsidTr="00346984">
        <w:trPr>
          <w:trHeight w:val="768"/>
        </w:trPr>
        <w:tc>
          <w:tcPr>
            <w:tcW w:w="3631"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46CD31B8" w14:textId="77777777" w:rsidR="0008692E" w:rsidRPr="002C456E" w:rsidRDefault="0008692E" w:rsidP="002047CB">
            <w:pPr>
              <w:jc w:val="center"/>
              <w:rPr>
                <w:b/>
                <w:sz w:val="20"/>
                <w:szCs w:val="20"/>
              </w:rPr>
            </w:pPr>
            <w:r w:rsidRPr="002C456E">
              <w:rPr>
                <w:b/>
                <w:sz w:val="20"/>
                <w:szCs w:val="20"/>
              </w:rPr>
              <w:t>Category</w:t>
            </w:r>
          </w:p>
        </w:tc>
        <w:tc>
          <w:tcPr>
            <w:tcW w:w="1516" w:type="dxa"/>
            <w:tcBorders>
              <w:top w:val="single" w:sz="6" w:space="0" w:color="auto"/>
              <w:left w:val="nil"/>
              <w:bottom w:val="single" w:sz="6" w:space="0" w:color="auto"/>
              <w:right w:val="single" w:sz="6" w:space="0" w:color="auto"/>
            </w:tcBorders>
            <w:shd w:val="clear" w:color="auto" w:fill="548DD4"/>
            <w:vAlign w:val="center"/>
            <w:hideMark/>
          </w:tcPr>
          <w:p w14:paraId="48F94453" w14:textId="2852C4DC" w:rsidR="0008692E" w:rsidRPr="002C456E" w:rsidRDefault="0008692E" w:rsidP="002047CB">
            <w:pPr>
              <w:jc w:val="center"/>
              <w:rPr>
                <w:b/>
                <w:sz w:val="20"/>
                <w:szCs w:val="20"/>
              </w:rPr>
            </w:pPr>
            <w:r w:rsidRPr="002C456E">
              <w:rPr>
                <w:b/>
                <w:sz w:val="20"/>
                <w:szCs w:val="20"/>
              </w:rPr>
              <w:t>Funds Secured </w:t>
            </w:r>
            <w:r w:rsidRPr="002C456E">
              <w:rPr>
                <w:b/>
                <w:sz w:val="20"/>
                <w:szCs w:val="20"/>
              </w:rPr>
              <w:br/>
            </w:r>
            <w:r>
              <w:rPr>
                <w:b/>
                <w:sz w:val="20"/>
                <w:szCs w:val="20"/>
              </w:rPr>
              <w:t>Years 1-3 (USD) </w:t>
            </w:r>
            <w:r>
              <w:rPr>
                <w:rStyle w:val="FootnoteReference"/>
                <w:b/>
                <w:sz w:val="20"/>
                <w:szCs w:val="20"/>
              </w:rPr>
              <w:footnoteReference w:id="7"/>
            </w:r>
          </w:p>
        </w:tc>
        <w:tc>
          <w:tcPr>
            <w:tcW w:w="1516" w:type="dxa"/>
            <w:tcBorders>
              <w:top w:val="single" w:sz="6" w:space="0" w:color="auto"/>
              <w:left w:val="nil"/>
              <w:bottom w:val="single" w:sz="6" w:space="0" w:color="auto"/>
              <w:right w:val="single" w:sz="6" w:space="0" w:color="auto"/>
            </w:tcBorders>
            <w:shd w:val="clear" w:color="auto" w:fill="548DD4"/>
            <w:vAlign w:val="center"/>
            <w:hideMark/>
          </w:tcPr>
          <w:p w14:paraId="1DBEEDE2" w14:textId="1FE59D41" w:rsidR="0008692E" w:rsidRPr="002C456E" w:rsidRDefault="0008692E" w:rsidP="002047CB">
            <w:pPr>
              <w:jc w:val="center"/>
              <w:rPr>
                <w:b/>
                <w:sz w:val="20"/>
                <w:szCs w:val="20"/>
              </w:rPr>
            </w:pPr>
            <w:r w:rsidRPr="002C456E">
              <w:rPr>
                <w:b/>
                <w:sz w:val="20"/>
                <w:szCs w:val="20"/>
              </w:rPr>
              <w:t>Funds Secured </w:t>
            </w:r>
            <w:r w:rsidRPr="002C456E">
              <w:rPr>
                <w:b/>
                <w:sz w:val="20"/>
                <w:szCs w:val="20"/>
              </w:rPr>
              <w:br/>
              <w:t>Years 1-3 (GBP)</w:t>
            </w:r>
            <w:r>
              <w:rPr>
                <w:rStyle w:val="FootnoteReference"/>
                <w:b/>
                <w:sz w:val="20"/>
                <w:szCs w:val="20"/>
              </w:rPr>
              <w:footnoteReference w:id="8"/>
            </w:r>
          </w:p>
        </w:tc>
        <w:tc>
          <w:tcPr>
            <w:tcW w:w="2016" w:type="dxa"/>
            <w:tcBorders>
              <w:top w:val="single" w:sz="6" w:space="0" w:color="auto"/>
              <w:left w:val="nil"/>
              <w:bottom w:val="single" w:sz="6" w:space="0" w:color="auto"/>
              <w:right w:val="single" w:sz="6" w:space="0" w:color="auto"/>
            </w:tcBorders>
            <w:shd w:val="clear" w:color="auto" w:fill="548DD4"/>
            <w:vAlign w:val="center"/>
            <w:hideMark/>
          </w:tcPr>
          <w:p w14:paraId="40B8C6C0" w14:textId="77777777" w:rsidR="0008692E" w:rsidRPr="002C456E" w:rsidRDefault="0008692E" w:rsidP="002047CB">
            <w:pPr>
              <w:jc w:val="center"/>
              <w:rPr>
                <w:b/>
                <w:sz w:val="20"/>
                <w:szCs w:val="20"/>
              </w:rPr>
            </w:pPr>
            <w:r w:rsidRPr="002C456E">
              <w:rPr>
                <w:b/>
                <w:sz w:val="20"/>
                <w:szCs w:val="20"/>
              </w:rPr>
              <w:t>Defra funds covering 12/15/19-3/31/20</w:t>
            </w:r>
            <w:r w:rsidRPr="002C456E">
              <w:rPr>
                <w:b/>
                <w:sz w:val="20"/>
                <w:szCs w:val="20"/>
              </w:rPr>
              <w:br/>
              <w:t>(GBP)</w:t>
            </w:r>
          </w:p>
        </w:tc>
        <w:tc>
          <w:tcPr>
            <w:tcW w:w="1397" w:type="dxa"/>
            <w:tcBorders>
              <w:top w:val="single" w:sz="6" w:space="0" w:color="auto"/>
              <w:left w:val="nil"/>
              <w:bottom w:val="single" w:sz="6" w:space="0" w:color="auto"/>
              <w:right w:val="single" w:sz="6" w:space="0" w:color="auto"/>
            </w:tcBorders>
            <w:shd w:val="clear" w:color="auto" w:fill="548DD4"/>
            <w:hideMark/>
          </w:tcPr>
          <w:p w14:paraId="0BAD90D1" w14:textId="77777777" w:rsidR="0008692E" w:rsidRPr="002C456E" w:rsidRDefault="0008692E" w:rsidP="002047CB">
            <w:pPr>
              <w:jc w:val="center"/>
              <w:rPr>
                <w:b/>
                <w:sz w:val="20"/>
                <w:szCs w:val="20"/>
              </w:rPr>
            </w:pPr>
            <w:r w:rsidRPr="002C456E">
              <w:rPr>
                <w:sz w:val="20"/>
                <w:szCs w:val="20"/>
              </w:rPr>
              <w:br/>
            </w:r>
            <w:r w:rsidRPr="002C456E">
              <w:rPr>
                <w:b/>
                <w:sz w:val="20"/>
                <w:szCs w:val="20"/>
              </w:rPr>
              <w:t>Total</w:t>
            </w:r>
            <w:r w:rsidRPr="002C456E">
              <w:rPr>
                <w:sz w:val="20"/>
                <w:szCs w:val="20"/>
              </w:rPr>
              <w:br/>
            </w:r>
            <w:r w:rsidRPr="002C456E">
              <w:rPr>
                <w:b/>
                <w:sz w:val="20"/>
                <w:szCs w:val="20"/>
              </w:rPr>
              <w:t>(GBP)</w:t>
            </w:r>
          </w:p>
          <w:p w14:paraId="1C9945F8" w14:textId="77777777" w:rsidR="0008692E" w:rsidRPr="002C456E" w:rsidRDefault="0008692E" w:rsidP="002047CB">
            <w:pPr>
              <w:jc w:val="center"/>
              <w:rPr>
                <w:b/>
                <w:sz w:val="20"/>
                <w:szCs w:val="20"/>
              </w:rPr>
            </w:pPr>
          </w:p>
        </w:tc>
      </w:tr>
      <w:tr w:rsidR="00346984" w:rsidRPr="0073240A" w14:paraId="565A721A"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7C757044" w14:textId="01B64B31"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Salaries</w:t>
            </w:r>
            <w:r w:rsidRPr="002C456E">
              <w:rPr>
                <w:rFonts w:ascii="Calibri" w:eastAsia="Times New Roman" w:hAnsi="Calibri" w:cs="Calibri"/>
                <w:sz w:val="20"/>
                <w:szCs w:val="20"/>
              </w:rPr>
              <w:t> </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60D4D8"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1,144,655</w:t>
            </w:r>
          </w:p>
        </w:tc>
        <w:tc>
          <w:tcPr>
            <w:tcW w:w="1516" w:type="dxa"/>
            <w:tcBorders>
              <w:top w:val="single" w:sz="6" w:space="0" w:color="auto"/>
              <w:left w:val="nil"/>
              <w:bottom w:val="single" w:sz="6" w:space="0" w:color="auto"/>
              <w:right w:val="single" w:sz="6" w:space="0" w:color="auto"/>
            </w:tcBorders>
            <w:shd w:val="clear" w:color="auto" w:fill="auto"/>
            <w:vAlign w:val="bottom"/>
            <w:hideMark/>
          </w:tcPr>
          <w:p w14:paraId="5DD22AEC"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892,831</w:t>
            </w:r>
          </w:p>
        </w:tc>
        <w:tc>
          <w:tcPr>
            <w:tcW w:w="2016" w:type="dxa"/>
            <w:tcBorders>
              <w:top w:val="single" w:sz="6" w:space="0" w:color="auto"/>
              <w:left w:val="nil"/>
              <w:bottom w:val="single" w:sz="6" w:space="0" w:color="auto"/>
              <w:right w:val="single" w:sz="6" w:space="0" w:color="auto"/>
            </w:tcBorders>
            <w:shd w:val="clear" w:color="auto" w:fill="auto"/>
            <w:vAlign w:val="center"/>
            <w:hideMark/>
          </w:tcPr>
          <w:p w14:paraId="62C5925F" w14:textId="4F6C703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83,642</w:t>
            </w:r>
          </w:p>
        </w:tc>
        <w:tc>
          <w:tcPr>
            <w:tcW w:w="1397" w:type="dxa"/>
            <w:tcBorders>
              <w:top w:val="single" w:sz="6" w:space="0" w:color="auto"/>
              <w:left w:val="nil"/>
              <w:bottom w:val="single" w:sz="6" w:space="0" w:color="auto"/>
              <w:right w:val="single" w:sz="6" w:space="0" w:color="auto"/>
            </w:tcBorders>
            <w:shd w:val="clear" w:color="auto" w:fill="EEECE1"/>
            <w:vAlign w:val="center"/>
            <w:hideMark/>
          </w:tcPr>
          <w:p w14:paraId="508D4344" w14:textId="7606E619"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976,473</w:t>
            </w:r>
          </w:p>
        </w:tc>
      </w:tr>
      <w:tr w:rsidR="00346984" w:rsidRPr="0073240A" w14:paraId="3C0860F5"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66D82696" w14:textId="6AE1DDCD"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Benefits</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0D4D2BDA"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492,797</w:t>
            </w:r>
          </w:p>
        </w:tc>
        <w:tc>
          <w:tcPr>
            <w:tcW w:w="1516" w:type="dxa"/>
            <w:tcBorders>
              <w:top w:val="nil"/>
              <w:left w:val="nil"/>
              <w:bottom w:val="single" w:sz="6" w:space="0" w:color="auto"/>
              <w:right w:val="single" w:sz="6" w:space="0" w:color="auto"/>
            </w:tcBorders>
            <w:shd w:val="clear" w:color="auto" w:fill="auto"/>
            <w:vAlign w:val="bottom"/>
            <w:hideMark/>
          </w:tcPr>
          <w:p w14:paraId="6497F820"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384,382</w:t>
            </w:r>
          </w:p>
        </w:tc>
        <w:tc>
          <w:tcPr>
            <w:tcW w:w="2016" w:type="dxa"/>
            <w:tcBorders>
              <w:top w:val="nil"/>
              <w:left w:val="nil"/>
              <w:bottom w:val="single" w:sz="6" w:space="0" w:color="auto"/>
              <w:right w:val="single" w:sz="6" w:space="0" w:color="auto"/>
            </w:tcBorders>
            <w:shd w:val="clear" w:color="auto" w:fill="auto"/>
            <w:vAlign w:val="center"/>
            <w:hideMark/>
          </w:tcPr>
          <w:p w14:paraId="3516CABA" w14:textId="0DEE36A5"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38,476</w:t>
            </w:r>
          </w:p>
        </w:tc>
        <w:tc>
          <w:tcPr>
            <w:tcW w:w="1397" w:type="dxa"/>
            <w:tcBorders>
              <w:top w:val="nil"/>
              <w:left w:val="nil"/>
              <w:bottom w:val="single" w:sz="6" w:space="0" w:color="auto"/>
              <w:right w:val="single" w:sz="6" w:space="0" w:color="auto"/>
            </w:tcBorders>
            <w:shd w:val="clear" w:color="auto" w:fill="EEECE1"/>
            <w:vAlign w:val="center"/>
            <w:hideMark/>
          </w:tcPr>
          <w:p w14:paraId="466C1903" w14:textId="48F1449C"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422,858</w:t>
            </w:r>
          </w:p>
        </w:tc>
      </w:tr>
      <w:tr w:rsidR="00346984" w:rsidRPr="0073240A" w14:paraId="20CE367B"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287C5AD1" w14:textId="293DF51E"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Occupancy</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45B4C62A"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125,684</w:t>
            </w:r>
          </w:p>
        </w:tc>
        <w:tc>
          <w:tcPr>
            <w:tcW w:w="1516" w:type="dxa"/>
            <w:tcBorders>
              <w:top w:val="nil"/>
              <w:left w:val="nil"/>
              <w:bottom w:val="single" w:sz="6" w:space="0" w:color="auto"/>
              <w:right w:val="single" w:sz="6" w:space="0" w:color="auto"/>
            </w:tcBorders>
            <w:shd w:val="clear" w:color="auto" w:fill="auto"/>
            <w:vAlign w:val="bottom"/>
            <w:hideMark/>
          </w:tcPr>
          <w:p w14:paraId="4323029D"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98,034</w:t>
            </w:r>
          </w:p>
        </w:tc>
        <w:tc>
          <w:tcPr>
            <w:tcW w:w="2016" w:type="dxa"/>
            <w:tcBorders>
              <w:top w:val="nil"/>
              <w:left w:val="nil"/>
              <w:bottom w:val="single" w:sz="6" w:space="0" w:color="auto"/>
              <w:right w:val="single" w:sz="6" w:space="0" w:color="auto"/>
            </w:tcBorders>
            <w:shd w:val="clear" w:color="auto" w:fill="auto"/>
            <w:vAlign w:val="center"/>
            <w:hideMark/>
          </w:tcPr>
          <w:p w14:paraId="31281435" w14:textId="20002011"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5,268</w:t>
            </w:r>
          </w:p>
        </w:tc>
        <w:tc>
          <w:tcPr>
            <w:tcW w:w="1397" w:type="dxa"/>
            <w:tcBorders>
              <w:top w:val="nil"/>
              <w:left w:val="nil"/>
              <w:bottom w:val="single" w:sz="6" w:space="0" w:color="auto"/>
              <w:right w:val="single" w:sz="6" w:space="0" w:color="auto"/>
            </w:tcBorders>
            <w:shd w:val="clear" w:color="auto" w:fill="EEECE1"/>
            <w:vAlign w:val="center"/>
            <w:hideMark/>
          </w:tcPr>
          <w:p w14:paraId="699C008E" w14:textId="349A9474"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103,302</w:t>
            </w:r>
          </w:p>
        </w:tc>
      </w:tr>
      <w:tr w:rsidR="00346984" w:rsidRPr="0073240A" w14:paraId="2E84C74B"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220CDFEE" w14:textId="47D43FA6"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Project-Related Office Services &amp; Supplies</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62F77FBB"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83,789</w:t>
            </w:r>
          </w:p>
        </w:tc>
        <w:tc>
          <w:tcPr>
            <w:tcW w:w="1516" w:type="dxa"/>
            <w:tcBorders>
              <w:top w:val="nil"/>
              <w:left w:val="nil"/>
              <w:bottom w:val="single" w:sz="6" w:space="0" w:color="auto"/>
              <w:right w:val="single" w:sz="6" w:space="0" w:color="auto"/>
            </w:tcBorders>
            <w:shd w:val="clear" w:color="auto" w:fill="auto"/>
            <w:vAlign w:val="bottom"/>
            <w:hideMark/>
          </w:tcPr>
          <w:p w14:paraId="4BEC13B5"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65,356</w:t>
            </w:r>
          </w:p>
        </w:tc>
        <w:tc>
          <w:tcPr>
            <w:tcW w:w="2016" w:type="dxa"/>
            <w:tcBorders>
              <w:top w:val="nil"/>
              <w:left w:val="nil"/>
              <w:bottom w:val="single" w:sz="6" w:space="0" w:color="auto"/>
              <w:right w:val="single" w:sz="6" w:space="0" w:color="auto"/>
            </w:tcBorders>
            <w:shd w:val="clear" w:color="auto" w:fill="auto"/>
            <w:vAlign w:val="center"/>
            <w:hideMark/>
          </w:tcPr>
          <w:p w14:paraId="3ABCDA60" w14:textId="4F82C4A2"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6,991</w:t>
            </w:r>
          </w:p>
        </w:tc>
        <w:tc>
          <w:tcPr>
            <w:tcW w:w="1397" w:type="dxa"/>
            <w:tcBorders>
              <w:top w:val="nil"/>
              <w:left w:val="nil"/>
              <w:bottom w:val="single" w:sz="6" w:space="0" w:color="auto"/>
              <w:right w:val="single" w:sz="6" w:space="0" w:color="auto"/>
            </w:tcBorders>
            <w:shd w:val="clear" w:color="auto" w:fill="EEECE1"/>
            <w:vAlign w:val="center"/>
            <w:hideMark/>
          </w:tcPr>
          <w:p w14:paraId="7A12639F" w14:textId="7C579AA2"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72,347</w:t>
            </w:r>
          </w:p>
        </w:tc>
      </w:tr>
      <w:tr w:rsidR="00346984" w:rsidRPr="0073240A" w14:paraId="63DA489C"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36DE5DE4" w14:textId="4B8D0723"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Research Expenses</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0BC4BEE9"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1,112,701</w:t>
            </w:r>
          </w:p>
        </w:tc>
        <w:tc>
          <w:tcPr>
            <w:tcW w:w="1516" w:type="dxa"/>
            <w:tcBorders>
              <w:top w:val="nil"/>
              <w:left w:val="nil"/>
              <w:bottom w:val="single" w:sz="6" w:space="0" w:color="auto"/>
              <w:right w:val="single" w:sz="6" w:space="0" w:color="auto"/>
            </w:tcBorders>
            <w:shd w:val="clear" w:color="auto" w:fill="auto"/>
            <w:vAlign w:val="bottom"/>
            <w:hideMark/>
          </w:tcPr>
          <w:p w14:paraId="15DCA446"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867,907</w:t>
            </w:r>
          </w:p>
        </w:tc>
        <w:tc>
          <w:tcPr>
            <w:tcW w:w="2016" w:type="dxa"/>
            <w:tcBorders>
              <w:top w:val="nil"/>
              <w:left w:val="nil"/>
              <w:bottom w:val="single" w:sz="6" w:space="0" w:color="auto"/>
              <w:right w:val="single" w:sz="6" w:space="0" w:color="auto"/>
            </w:tcBorders>
            <w:shd w:val="clear" w:color="auto" w:fill="auto"/>
            <w:vAlign w:val="center"/>
            <w:hideMark/>
          </w:tcPr>
          <w:p w14:paraId="4C96CAAD" w14:textId="31EB97A2"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85,009</w:t>
            </w:r>
          </w:p>
        </w:tc>
        <w:tc>
          <w:tcPr>
            <w:tcW w:w="1397" w:type="dxa"/>
            <w:tcBorders>
              <w:top w:val="nil"/>
              <w:left w:val="nil"/>
              <w:bottom w:val="single" w:sz="6" w:space="0" w:color="auto"/>
              <w:right w:val="single" w:sz="6" w:space="0" w:color="auto"/>
            </w:tcBorders>
            <w:shd w:val="clear" w:color="auto" w:fill="EEECE1"/>
            <w:vAlign w:val="center"/>
            <w:hideMark/>
          </w:tcPr>
          <w:p w14:paraId="4FEA1FFF" w14:textId="25EE8C6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952,916</w:t>
            </w:r>
          </w:p>
        </w:tc>
      </w:tr>
      <w:tr w:rsidR="00346984" w:rsidRPr="0073240A" w14:paraId="2F998FC5"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482073BF" w14:textId="22B5724C"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Conference Expenses</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20052F85"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108,643</w:t>
            </w:r>
          </w:p>
        </w:tc>
        <w:tc>
          <w:tcPr>
            <w:tcW w:w="1516" w:type="dxa"/>
            <w:tcBorders>
              <w:top w:val="nil"/>
              <w:left w:val="nil"/>
              <w:bottom w:val="single" w:sz="6" w:space="0" w:color="auto"/>
              <w:right w:val="single" w:sz="6" w:space="0" w:color="auto"/>
            </w:tcBorders>
            <w:shd w:val="clear" w:color="auto" w:fill="auto"/>
            <w:vAlign w:val="bottom"/>
            <w:hideMark/>
          </w:tcPr>
          <w:p w14:paraId="01FCBF96"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84,742</w:t>
            </w:r>
          </w:p>
        </w:tc>
        <w:tc>
          <w:tcPr>
            <w:tcW w:w="2016" w:type="dxa"/>
            <w:tcBorders>
              <w:top w:val="nil"/>
              <w:left w:val="nil"/>
              <w:bottom w:val="single" w:sz="6" w:space="0" w:color="auto"/>
              <w:right w:val="single" w:sz="6" w:space="0" w:color="auto"/>
            </w:tcBorders>
            <w:shd w:val="clear" w:color="auto" w:fill="auto"/>
            <w:vAlign w:val="center"/>
            <w:hideMark/>
          </w:tcPr>
          <w:p w14:paraId="584E8ECB" w14:textId="42B63409"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0</w:t>
            </w:r>
          </w:p>
        </w:tc>
        <w:tc>
          <w:tcPr>
            <w:tcW w:w="1397" w:type="dxa"/>
            <w:tcBorders>
              <w:top w:val="nil"/>
              <w:left w:val="nil"/>
              <w:bottom w:val="single" w:sz="6" w:space="0" w:color="auto"/>
              <w:right w:val="single" w:sz="6" w:space="0" w:color="auto"/>
            </w:tcBorders>
            <w:shd w:val="clear" w:color="auto" w:fill="EEECE1"/>
            <w:vAlign w:val="center"/>
            <w:hideMark/>
          </w:tcPr>
          <w:p w14:paraId="58C8EF84" w14:textId="3082BDBB"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84,742</w:t>
            </w:r>
          </w:p>
        </w:tc>
      </w:tr>
      <w:tr w:rsidR="00346984" w:rsidRPr="0073240A" w14:paraId="075997AE"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312D32DD" w14:textId="4AA82AE7"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Publications</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2E0507E7"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95,861</w:t>
            </w:r>
          </w:p>
        </w:tc>
        <w:tc>
          <w:tcPr>
            <w:tcW w:w="1516" w:type="dxa"/>
            <w:tcBorders>
              <w:top w:val="nil"/>
              <w:left w:val="nil"/>
              <w:bottom w:val="single" w:sz="6" w:space="0" w:color="auto"/>
              <w:right w:val="single" w:sz="6" w:space="0" w:color="auto"/>
            </w:tcBorders>
            <w:shd w:val="clear" w:color="auto" w:fill="auto"/>
            <w:vAlign w:val="bottom"/>
            <w:hideMark/>
          </w:tcPr>
          <w:p w14:paraId="120CE490"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74,772</w:t>
            </w:r>
          </w:p>
        </w:tc>
        <w:tc>
          <w:tcPr>
            <w:tcW w:w="2016" w:type="dxa"/>
            <w:tcBorders>
              <w:top w:val="nil"/>
              <w:left w:val="nil"/>
              <w:bottom w:val="single" w:sz="6" w:space="0" w:color="auto"/>
              <w:right w:val="single" w:sz="6" w:space="0" w:color="auto"/>
            </w:tcBorders>
            <w:shd w:val="clear" w:color="auto" w:fill="auto"/>
            <w:vAlign w:val="center"/>
            <w:hideMark/>
          </w:tcPr>
          <w:p w14:paraId="13A93245" w14:textId="3B4FC994"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0</w:t>
            </w:r>
          </w:p>
        </w:tc>
        <w:tc>
          <w:tcPr>
            <w:tcW w:w="1397" w:type="dxa"/>
            <w:tcBorders>
              <w:top w:val="nil"/>
              <w:left w:val="nil"/>
              <w:bottom w:val="single" w:sz="6" w:space="0" w:color="auto"/>
              <w:right w:val="single" w:sz="6" w:space="0" w:color="auto"/>
            </w:tcBorders>
            <w:shd w:val="clear" w:color="auto" w:fill="EEECE1"/>
            <w:vAlign w:val="center"/>
            <w:hideMark/>
          </w:tcPr>
          <w:p w14:paraId="5CFA3F41" w14:textId="5439DB8A"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74,772</w:t>
            </w:r>
          </w:p>
        </w:tc>
      </w:tr>
      <w:tr w:rsidR="00346984" w:rsidRPr="0073240A" w14:paraId="26EEF9D0"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131C9361" w14:textId="1C4D1561"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Communications</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4A4EA74F"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270,541</w:t>
            </w:r>
          </w:p>
        </w:tc>
        <w:tc>
          <w:tcPr>
            <w:tcW w:w="1516" w:type="dxa"/>
            <w:tcBorders>
              <w:top w:val="nil"/>
              <w:left w:val="nil"/>
              <w:bottom w:val="single" w:sz="6" w:space="0" w:color="auto"/>
              <w:right w:val="single" w:sz="6" w:space="0" w:color="auto"/>
            </w:tcBorders>
            <w:shd w:val="clear" w:color="auto" w:fill="auto"/>
            <w:vAlign w:val="bottom"/>
            <w:hideMark/>
          </w:tcPr>
          <w:p w14:paraId="46756EF2"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211,022</w:t>
            </w:r>
          </w:p>
        </w:tc>
        <w:tc>
          <w:tcPr>
            <w:tcW w:w="2016" w:type="dxa"/>
            <w:tcBorders>
              <w:top w:val="nil"/>
              <w:left w:val="nil"/>
              <w:bottom w:val="single" w:sz="6" w:space="0" w:color="auto"/>
              <w:right w:val="single" w:sz="6" w:space="0" w:color="auto"/>
            </w:tcBorders>
            <w:shd w:val="clear" w:color="auto" w:fill="auto"/>
            <w:vAlign w:val="center"/>
            <w:hideMark/>
          </w:tcPr>
          <w:p w14:paraId="222E0D50" w14:textId="19648E52"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4,195</w:t>
            </w:r>
          </w:p>
        </w:tc>
        <w:tc>
          <w:tcPr>
            <w:tcW w:w="1397" w:type="dxa"/>
            <w:tcBorders>
              <w:top w:val="nil"/>
              <w:left w:val="nil"/>
              <w:bottom w:val="single" w:sz="6" w:space="0" w:color="auto"/>
              <w:right w:val="single" w:sz="6" w:space="0" w:color="auto"/>
            </w:tcBorders>
            <w:shd w:val="clear" w:color="auto" w:fill="EEECE1"/>
            <w:vAlign w:val="center"/>
            <w:hideMark/>
          </w:tcPr>
          <w:p w14:paraId="5BC16FE8" w14:textId="616289CB"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215,217</w:t>
            </w:r>
          </w:p>
        </w:tc>
      </w:tr>
      <w:tr w:rsidR="00346984" w:rsidRPr="0073240A" w14:paraId="5B96B60F"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38F274EF" w14:textId="4ACE24B1"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Travel</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487CBC88"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221,545</w:t>
            </w:r>
          </w:p>
        </w:tc>
        <w:tc>
          <w:tcPr>
            <w:tcW w:w="1516" w:type="dxa"/>
            <w:tcBorders>
              <w:top w:val="nil"/>
              <w:left w:val="nil"/>
              <w:bottom w:val="single" w:sz="6" w:space="0" w:color="auto"/>
              <w:right w:val="single" w:sz="6" w:space="0" w:color="auto"/>
            </w:tcBorders>
            <w:shd w:val="clear" w:color="auto" w:fill="auto"/>
            <w:vAlign w:val="bottom"/>
            <w:hideMark/>
          </w:tcPr>
          <w:p w14:paraId="745980B9"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172,805</w:t>
            </w:r>
          </w:p>
        </w:tc>
        <w:tc>
          <w:tcPr>
            <w:tcW w:w="2016" w:type="dxa"/>
            <w:tcBorders>
              <w:top w:val="nil"/>
              <w:left w:val="nil"/>
              <w:bottom w:val="single" w:sz="6" w:space="0" w:color="auto"/>
              <w:right w:val="single" w:sz="6" w:space="0" w:color="auto"/>
            </w:tcBorders>
            <w:shd w:val="clear" w:color="auto" w:fill="auto"/>
            <w:vAlign w:val="center"/>
            <w:hideMark/>
          </w:tcPr>
          <w:p w14:paraId="28AC38D0" w14:textId="48F81890"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16,499</w:t>
            </w:r>
          </w:p>
        </w:tc>
        <w:tc>
          <w:tcPr>
            <w:tcW w:w="1397" w:type="dxa"/>
            <w:tcBorders>
              <w:top w:val="nil"/>
              <w:left w:val="nil"/>
              <w:bottom w:val="single" w:sz="6" w:space="0" w:color="auto"/>
              <w:right w:val="single" w:sz="6" w:space="0" w:color="auto"/>
            </w:tcBorders>
            <w:shd w:val="clear" w:color="auto" w:fill="EEECE1"/>
            <w:vAlign w:val="center"/>
            <w:hideMark/>
          </w:tcPr>
          <w:p w14:paraId="720C43EC" w14:textId="3469682C"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189,304</w:t>
            </w:r>
          </w:p>
        </w:tc>
      </w:tr>
      <w:tr w:rsidR="00346984" w:rsidRPr="0073240A" w14:paraId="18417BD1"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3FD34B12" w14:textId="6DA6D5EA"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Project-Related Electronic Network</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27F3C16A"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168,999</w:t>
            </w:r>
          </w:p>
        </w:tc>
        <w:tc>
          <w:tcPr>
            <w:tcW w:w="1516" w:type="dxa"/>
            <w:tcBorders>
              <w:top w:val="nil"/>
              <w:left w:val="nil"/>
              <w:bottom w:val="single" w:sz="6" w:space="0" w:color="auto"/>
              <w:right w:val="single" w:sz="6" w:space="0" w:color="auto"/>
            </w:tcBorders>
            <w:shd w:val="clear" w:color="auto" w:fill="auto"/>
            <w:vAlign w:val="bottom"/>
            <w:hideMark/>
          </w:tcPr>
          <w:p w14:paraId="4D4FCB1C"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131,819</w:t>
            </w:r>
          </w:p>
        </w:tc>
        <w:tc>
          <w:tcPr>
            <w:tcW w:w="2016" w:type="dxa"/>
            <w:tcBorders>
              <w:top w:val="nil"/>
              <w:left w:val="nil"/>
              <w:bottom w:val="single" w:sz="6" w:space="0" w:color="auto"/>
              <w:right w:val="single" w:sz="6" w:space="0" w:color="auto"/>
            </w:tcBorders>
            <w:shd w:val="clear" w:color="auto" w:fill="auto"/>
            <w:vAlign w:val="center"/>
            <w:hideMark/>
          </w:tcPr>
          <w:p w14:paraId="092FD594" w14:textId="6F8DF649"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12,525</w:t>
            </w:r>
          </w:p>
        </w:tc>
        <w:tc>
          <w:tcPr>
            <w:tcW w:w="1397" w:type="dxa"/>
            <w:tcBorders>
              <w:top w:val="nil"/>
              <w:left w:val="nil"/>
              <w:bottom w:val="single" w:sz="6" w:space="0" w:color="auto"/>
              <w:right w:val="single" w:sz="6" w:space="0" w:color="auto"/>
            </w:tcBorders>
            <w:shd w:val="clear" w:color="auto" w:fill="EEECE1"/>
            <w:vAlign w:val="center"/>
            <w:hideMark/>
          </w:tcPr>
          <w:p w14:paraId="0B215188" w14:textId="1676FBCE"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144,344</w:t>
            </w:r>
          </w:p>
        </w:tc>
      </w:tr>
      <w:tr w:rsidR="00346984" w:rsidRPr="0073240A" w14:paraId="64998ACE"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2337B740" w14:textId="160344E6"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Research Materials &amp; Quality Assurance</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2B7DE02D"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90,890</w:t>
            </w:r>
          </w:p>
        </w:tc>
        <w:tc>
          <w:tcPr>
            <w:tcW w:w="1516" w:type="dxa"/>
            <w:tcBorders>
              <w:top w:val="nil"/>
              <w:left w:val="nil"/>
              <w:bottom w:val="single" w:sz="6" w:space="0" w:color="auto"/>
              <w:right w:val="single" w:sz="6" w:space="0" w:color="auto"/>
            </w:tcBorders>
            <w:shd w:val="clear" w:color="auto" w:fill="auto"/>
            <w:vAlign w:val="bottom"/>
            <w:hideMark/>
          </w:tcPr>
          <w:p w14:paraId="170DF498"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70,894</w:t>
            </w:r>
          </w:p>
        </w:tc>
        <w:tc>
          <w:tcPr>
            <w:tcW w:w="2016" w:type="dxa"/>
            <w:tcBorders>
              <w:top w:val="nil"/>
              <w:left w:val="nil"/>
              <w:bottom w:val="single" w:sz="6" w:space="0" w:color="auto"/>
              <w:right w:val="single" w:sz="6" w:space="0" w:color="auto"/>
            </w:tcBorders>
            <w:shd w:val="clear" w:color="auto" w:fill="auto"/>
            <w:vAlign w:val="center"/>
            <w:hideMark/>
          </w:tcPr>
          <w:p w14:paraId="0D6D2152" w14:textId="6DD9F49C"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6,152</w:t>
            </w:r>
          </w:p>
        </w:tc>
        <w:tc>
          <w:tcPr>
            <w:tcW w:w="1397" w:type="dxa"/>
            <w:tcBorders>
              <w:top w:val="nil"/>
              <w:left w:val="nil"/>
              <w:bottom w:val="single" w:sz="6" w:space="0" w:color="auto"/>
              <w:right w:val="single" w:sz="6" w:space="0" w:color="auto"/>
            </w:tcBorders>
            <w:shd w:val="clear" w:color="auto" w:fill="EEECE1"/>
            <w:vAlign w:val="center"/>
            <w:hideMark/>
          </w:tcPr>
          <w:p w14:paraId="2EA3FFD0" w14:textId="4152869E"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77,046</w:t>
            </w:r>
          </w:p>
        </w:tc>
      </w:tr>
      <w:tr w:rsidR="00346984" w:rsidRPr="0073240A" w14:paraId="06BF4DB4"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716EDC2C" w14:textId="54D66E4E"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Subgrants </w:t>
            </w:r>
            <w:r>
              <w:rPr>
                <w:rStyle w:val="FootnoteReference"/>
                <w:rFonts w:ascii="Calibri" w:eastAsia="Times New Roman" w:hAnsi="Calibri" w:cs="Calibri"/>
                <w:sz w:val="20"/>
                <w:szCs w:val="20"/>
                <w:lang w:val="da-DK"/>
              </w:rPr>
              <w:footnoteReference w:id="9"/>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45016DEF"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2,562,692</w:t>
            </w:r>
          </w:p>
        </w:tc>
        <w:tc>
          <w:tcPr>
            <w:tcW w:w="1516" w:type="dxa"/>
            <w:tcBorders>
              <w:top w:val="nil"/>
              <w:left w:val="nil"/>
              <w:bottom w:val="single" w:sz="6" w:space="0" w:color="auto"/>
              <w:right w:val="single" w:sz="6" w:space="0" w:color="auto"/>
            </w:tcBorders>
            <w:shd w:val="clear" w:color="auto" w:fill="auto"/>
            <w:vAlign w:val="bottom"/>
            <w:hideMark/>
          </w:tcPr>
          <w:p w14:paraId="62E33DAB"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1,998,899</w:t>
            </w:r>
          </w:p>
        </w:tc>
        <w:tc>
          <w:tcPr>
            <w:tcW w:w="2016" w:type="dxa"/>
            <w:tcBorders>
              <w:top w:val="nil"/>
              <w:left w:val="nil"/>
              <w:bottom w:val="single" w:sz="6" w:space="0" w:color="auto"/>
              <w:right w:val="single" w:sz="6" w:space="0" w:color="auto"/>
            </w:tcBorders>
            <w:shd w:val="clear" w:color="auto" w:fill="auto"/>
            <w:vAlign w:val="center"/>
            <w:hideMark/>
          </w:tcPr>
          <w:p w14:paraId="42C1ACC7" w14:textId="10071870"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259,219</w:t>
            </w:r>
          </w:p>
        </w:tc>
        <w:tc>
          <w:tcPr>
            <w:tcW w:w="1397" w:type="dxa"/>
            <w:tcBorders>
              <w:top w:val="nil"/>
              <w:left w:val="nil"/>
              <w:bottom w:val="single" w:sz="6" w:space="0" w:color="auto"/>
              <w:right w:val="single" w:sz="6" w:space="0" w:color="auto"/>
            </w:tcBorders>
            <w:shd w:val="clear" w:color="auto" w:fill="EEECE1"/>
            <w:vAlign w:val="center"/>
            <w:hideMark/>
          </w:tcPr>
          <w:p w14:paraId="1B0E181A" w14:textId="2D9F56EC"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2,258,118</w:t>
            </w:r>
          </w:p>
        </w:tc>
      </w:tr>
      <w:tr w:rsidR="00346984" w:rsidRPr="0073240A" w14:paraId="3AFA090F"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7414A4F7" w14:textId="2099214D"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Other Direct Costs </w:t>
            </w:r>
            <w:r>
              <w:rPr>
                <w:rStyle w:val="FootnoteReference"/>
                <w:rFonts w:ascii="Calibri" w:eastAsia="Times New Roman" w:hAnsi="Calibri" w:cs="Calibri"/>
                <w:sz w:val="20"/>
                <w:szCs w:val="20"/>
                <w:lang w:val="da-DK"/>
              </w:rPr>
              <w:footnoteReference w:id="10"/>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570988DF"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12,781</w:t>
            </w:r>
          </w:p>
        </w:tc>
        <w:tc>
          <w:tcPr>
            <w:tcW w:w="1516" w:type="dxa"/>
            <w:tcBorders>
              <w:top w:val="nil"/>
              <w:left w:val="nil"/>
              <w:bottom w:val="single" w:sz="6" w:space="0" w:color="auto"/>
              <w:right w:val="single" w:sz="6" w:space="0" w:color="auto"/>
            </w:tcBorders>
            <w:shd w:val="clear" w:color="auto" w:fill="auto"/>
            <w:vAlign w:val="bottom"/>
            <w:hideMark/>
          </w:tcPr>
          <w:p w14:paraId="23D4B7A4"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9,970</w:t>
            </w:r>
          </w:p>
        </w:tc>
        <w:tc>
          <w:tcPr>
            <w:tcW w:w="2016" w:type="dxa"/>
            <w:tcBorders>
              <w:top w:val="nil"/>
              <w:left w:val="nil"/>
              <w:bottom w:val="single" w:sz="6" w:space="0" w:color="auto"/>
              <w:right w:val="single" w:sz="6" w:space="0" w:color="auto"/>
            </w:tcBorders>
            <w:shd w:val="clear" w:color="auto" w:fill="auto"/>
            <w:vAlign w:val="center"/>
            <w:hideMark/>
          </w:tcPr>
          <w:p w14:paraId="3295E63F" w14:textId="0F3EA3A6"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1,081</w:t>
            </w:r>
          </w:p>
        </w:tc>
        <w:tc>
          <w:tcPr>
            <w:tcW w:w="1397" w:type="dxa"/>
            <w:tcBorders>
              <w:top w:val="nil"/>
              <w:left w:val="nil"/>
              <w:bottom w:val="single" w:sz="6" w:space="0" w:color="auto"/>
              <w:right w:val="single" w:sz="6" w:space="0" w:color="auto"/>
            </w:tcBorders>
            <w:shd w:val="clear" w:color="auto" w:fill="EEECE1"/>
            <w:vAlign w:val="center"/>
            <w:hideMark/>
          </w:tcPr>
          <w:p w14:paraId="3BAEC64B" w14:textId="50E29C75"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11,051</w:t>
            </w:r>
          </w:p>
        </w:tc>
      </w:tr>
      <w:tr w:rsidR="00346984" w:rsidRPr="0073240A" w14:paraId="3A192FA8" w14:textId="77777777" w:rsidTr="00CF199D">
        <w:tc>
          <w:tcPr>
            <w:tcW w:w="3631" w:type="dxa"/>
            <w:tcBorders>
              <w:top w:val="nil"/>
              <w:left w:val="single" w:sz="6" w:space="0" w:color="auto"/>
              <w:bottom w:val="single" w:sz="6" w:space="0" w:color="auto"/>
              <w:right w:val="single" w:sz="6" w:space="0" w:color="auto"/>
            </w:tcBorders>
            <w:shd w:val="clear" w:color="auto" w:fill="DBE5F1"/>
            <w:vAlign w:val="center"/>
            <w:hideMark/>
          </w:tcPr>
          <w:p w14:paraId="253A47D0" w14:textId="0EC25925"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G &amp; A Expenses</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47E1B55A"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508,420</w:t>
            </w:r>
          </w:p>
        </w:tc>
        <w:tc>
          <w:tcPr>
            <w:tcW w:w="1516" w:type="dxa"/>
            <w:tcBorders>
              <w:top w:val="nil"/>
              <w:left w:val="nil"/>
              <w:bottom w:val="single" w:sz="6" w:space="0" w:color="auto"/>
              <w:right w:val="single" w:sz="6" w:space="0" w:color="auto"/>
            </w:tcBorders>
            <w:shd w:val="clear" w:color="auto" w:fill="auto"/>
            <w:vAlign w:val="bottom"/>
            <w:hideMark/>
          </w:tcPr>
          <w:p w14:paraId="38F71FC7"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sz w:val="20"/>
                <w:szCs w:val="20"/>
                <w:lang w:val="da-DK"/>
              </w:rPr>
              <w:t>396,567</w:t>
            </w:r>
          </w:p>
        </w:tc>
        <w:tc>
          <w:tcPr>
            <w:tcW w:w="2016" w:type="dxa"/>
            <w:tcBorders>
              <w:top w:val="nil"/>
              <w:left w:val="nil"/>
              <w:bottom w:val="single" w:sz="6" w:space="0" w:color="auto"/>
              <w:right w:val="single" w:sz="6" w:space="0" w:color="auto"/>
            </w:tcBorders>
            <w:shd w:val="clear" w:color="auto" w:fill="auto"/>
            <w:vAlign w:val="center"/>
            <w:hideMark/>
          </w:tcPr>
          <w:p w14:paraId="7B8AE636" w14:textId="60925C08"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40,943</w:t>
            </w:r>
          </w:p>
        </w:tc>
        <w:tc>
          <w:tcPr>
            <w:tcW w:w="1397" w:type="dxa"/>
            <w:tcBorders>
              <w:top w:val="nil"/>
              <w:left w:val="nil"/>
              <w:bottom w:val="single" w:sz="6" w:space="0" w:color="auto"/>
              <w:right w:val="single" w:sz="6" w:space="0" w:color="auto"/>
            </w:tcBorders>
            <w:shd w:val="clear" w:color="auto" w:fill="EEECE1"/>
            <w:vAlign w:val="center"/>
            <w:hideMark/>
          </w:tcPr>
          <w:p w14:paraId="1AAEAC6A" w14:textId="66CE2DDD"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color w:val="000000"/>
                <w:sz w:val="20"/>
                <w:szCs w:val="20"/>
              </w:rPr>
              <w:t>437,510</w:t>
            </w:r>
          </w:p>
        </w:tc>
      </w:tr>
      <w:tr w:rsidR="00346984" w:rsidRPr="0073240A" w14:paraId="46341739" w14:textId="77777777" w:rsidTr="00CF199D">
        <w:tc>
          <w:tcPr>
            <w:tcW w:w="3631"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73460F01" w14:textId="5C37E161" w:rsidR="00346984" w:rsidRPr="002C456E" w:rsidRDefault="00346984" w:rsidP="00346984">
            <w:pPr>
              <w:spacing w:after="0" w:line="240" w:lineRule="auto"/>
              <w:textAlignment w:val="baseline"/>
              <w:rPr>
                <w:rFonts w:ascii="Times New Roman" w:eastAsia="Times New Roman" w:hAnsi="Times New Roman" w:cs="Times New Roman"/>
                <w:sz w:val="20"/>
                <w:szCs w:val="20"/>
              </w:rPr>
            </w:pPr>
            <w:r w:rsidRPr="002C456E">
              <w:rPr>
                <w:rFonts w:ascii="Calibri" w:eastAsia="Times New Roman" w:hAnsi="Calibri" w:cs="Calibri"/>
                <w:b/>
                <w:bCs/>
                <w:sz w:val="20"/>
                <w:szCs w:val="20"/>
                <w:lang w:val="da-DK"/>
              </w:rPr>
              <w:t>Total budget</w:t>
            </w:r>
            <w:r w:rsidRPr="002C456E">
              <w:rPr>
                <w:rFonts w:ascii="Calibri" w:eastAsia="Times New Roman" w:hAnsi="Calibri" w:cs="Calibri"/>
                <w:sz w:val="20"/>
                <w:szCs w:val="20"/>
              </w:rPr>
              <w:t> </w:t>
            </w:r>
          </w:p>
        </w:tc>
        <w:tc>
          <w:tcPr>
            <w:tcW w:w="1516" w:type="dxa"/>
            <w:tcBorders>
              <w:top w:val="nil"/>
              <w:left w:val="single" w:sz="6" w:space="0" w:color="auto"/>
              <w:bottom w:val="single" w:sz="6" w:space="0" w:color="auto"/>
              <w:right w:val="single" w:sz="6" w:space="0" w:color="auto"/>
            </w:tcBorders>
            <w:shd w:val="clear" w:color="auto" w:fill="auto"/>
            <w:vAlign w:val="bottom"/>
            <w:hideMark/>
          </w:tcPr>
          <w:p w14:paraId="61BA846F"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b/>
                <w:bCs/>
                <w:sz w:val="20"/>
                <w:szCs w:val="20"/>
                <w:lang w:val="da-DK"/>
              </w:rPr>
              <w:t>7,000,000</w:t>
            </w:r>
          </w:p>
        </w:tc>
        <w:tc>
          <w:tcPr>
            <w:tcW w:w="1516" w:type="dxa"/>
            <w:tcBorders>
              <w:top w:val="nil"/>
              <w:left w:val="nil"/>
              <w:bottom w:val="single" w:sz="6" w:space="0" w:color="auto"/>
              <w:right w:val="single" w:sz="6" w:space="0" w:color="auto"/>
            </w:tcBorders>
            <w:shd w:val="clear" w:color="auto" w:fill="auto"/>
            <w:vAlign w:val="bottom"/>
            <w:hideMark/>
          </w:tcPr>
          <w:p w14:paraId="4B7785E4" w14:textId="7777777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sidRPr="002C456E">
              <w:rPr>
                <w:rFonts w:ascii="Calibri" w:eastAsia="Times New Roman" w:hAnsi="Calibri" w:cs="Calibri"/>
                <w:b/>
                <w:bCs/>
                <w:sz w:val="20"/>
                <w:szCs w:val="20"/>
                <w:lang w:val="da-DK"/>
              </w:rPr>
              <w:t>5,460,000</w:t>
            </w:r>
          </w:p>
        </w:tc>
        <w:tc>
          <w:tcPr>
            <w:tcW w:w="2016" w:type="dxa"/>
            <w:tcBorders>
              <w:top w:val="nil"/>
              <w:left w:val="nil"/>
              <w:bottom w:val="single" w:sz="6" w:space="0" w:color="auto"/>
              <w:right w:val="single" w:sz="6" w:space="0" w:color="auto"/>
            </w:tcBorders>
            <w:shd w:val="clear" w:color="auto" w:fill="auto"/>
            <w:vAlign w:val="center"/>
            <w:hideMark/>
          </w:tcPr>
          <w:p w14:paraId="4358676D" w14:textId="0C7CEB0F"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b/>
                <w:bCs/>
                <w:color w:val="000000"/>
                <w:sz w:val="20"/>
                <w:szCs w:val="20"/>
              </w:rPr>
              <w:t>£560,000</w:t>
            </w:r>
          </w:p>
        </w:tc>
        <w:tc>
          <w:tcPr>
            <w:tcW w:w="1397" w:type="dxa"/>
            <w:tcBorders>
              <w:top w:val="nil"/>
              <w:left w:val="nil"/>
              <w:bottom w:val="single" w:sz="6" w:space="0" w:color="auto"/>
              <w:right w:val="single" w:sz="6" w:space="0" w:color="auto"/>
            </w:tcBorders>
            <w:shd w:val="clear" w:color="auto" w:fill="EEECE1"/>
            <w:vAlign w:val="center"/>
            <w:hideMark/>
          </w:tcPr>
          <w:p w14:paraId="31849425" w14:textId="20FB1A97" w:rsidR="00346984" w:rsidRPr="002C456E" w:rsidRDefault="00346984" w:rsidP="00346984">
            <w:pPr>
              <w:spacing w:after="0" w:line="240" w:lineRule="auto"/>
              <w:jc w:val="center"/>
              <w:textAlignment w:val="baseline"/>
              <w:rPr>
                <w:rFonts w:ascii="Times New Roman" w:eastAsia="Times New Roman" w:hAnsi="Times New Roman" w:cs="Times New Roman"/>
                <w:sz w:val="20"/>
                <w:szCs w:val="20"/>
              </w:rPr>
            </w:pPr>
            <w:r>
              <w:rPr>
                <w:rFonts w:ascii="Calibri" w:hAnsi="Calibri"/>
                <w:b/>
                <w:bCs/>
                <w:color w:val="000000"/>
                <w:sz w:val="20"/>
                <w:szCs w:val="20"/>
              </w:rPr>
              <w:t>£6,020,000</w:t>
            </w:r>
          </w:p>
        </w:tc>
      </w:tr>
    </w:tbl>
    <w:p w14:paraId="62472363" w14:textId="6067C729" w:rsidR="0008692E" w:rsidRPr="0008692E" w:rsidRDefault="0008692E" w:rsidP="0008692E">
      <w:pPr>
        <w:spacing w:after="0" w:line="240" w:lineRule="auto"/>
        <w:textAlignment w:val="baseline"/>
        <w:rPr>
          <w:rFonts w:ascii="Segoe UI" w:eastAsia="Times New Roman" w:hAnsi="Segoe UI" w:cs="Segoe UI"/>
          <w:sz w:val="18"/>
          <w:szCs w:val="18"/>
        </w:rPr>
      </w:pPr>
    </w:p>
    <w:p w14:paraId="07A9F4CB" w14:textId="60601959" w:rsidR="00F47856" w:rsidRDefault="00F47856" w:rsidP="00663BE5">
      <w:pPr>
        <w:pStyle w:val="ListParagraph"/>
        <w:numPr>
          <w:ilvl w:val="0"/>
          <w:numId w:val="8"/>
        </w:numPr>
        <w:tabs>
          <w:tab w:val="left" w:pos="7248"/>
        </w:tabs>
        <w:spacing w:after="120" w:line="252" w:lineRule="auto"/>
        <w:ind w:left="20"/>
        <w:contextualSpacing w:val="0"/>
        <w:jc w:val="both"/>
        <w:rPr>
          <w:rFonts w:ascii="Calibri" w:hAnsi="Calibri"/>
        </w:rPr>
      </w:pPr>
      <w:r w:rsidRPr="00F47856">
        <w:rPr>
          <w:rFonts w:ascii="Calibri" w:hAnsi="Calibri"/>
        </w:rPr>
        <w:t>As described in the Management Case</w:t>
      </w:r>
      <w:r w:rsidR="00CA4FF9">
        <w:rPr>
          <w:rFonts w:ascii="Calibri" w:hAnsi="Calibri"/>
        </w:rPr>
        <w:t xml:space="preserve"> below</w:t>
      </w:r>
      <w:r w:rsidRPr="00F47856">
        <w:rPr>
          <w:rFonts w:ascii="Calibri" w:hAnsi="Calibri"/>
        </w:rPr>
        <w:t xml:space="preserve">, Defra </w:t>
      </w:r>
      <w:r w:rsidR="00F35096">
        <w:rPr>
          <w:rFonts w:ascii="Calibri" w:hAnsi="Calibri"/>
        </w:rPr>
        <w:t>like other funders will receive</w:t>
      </w:r>
      <w:r w:rsidRPr="00F47856">
        <w:rPr>
          <w:rFonts w:ascii="Calibri" w:hAnsi="Calibri"/>
        </w:rPr>
        <w:t xml:space="preserve"> </w:t>
      </w:r>
      <w:proofErr w:type="spellStart"/>
      <w:r w:rsidRPr="00F47856">
        <w:rPr>
          <w:rFonts w:ascii="Calibri" w:hAnsi="Calibri"/>
        </w:rPr>
        <w:t>quartlery</w:t>
      </w:r>
      <w:proofErr w:type="spellEnd"/>
      <w:r w:rsidRPr="00F47856">
        <w:rPr>
          <w:rFonts w:ascii="Calibri" w:hAnsi="Calibri"/>
        </w:rPr>
        <w:t xml:space="preserve"> progress report and a detailed annual financial reporting and results framework reporting against agreed KPIs. </w:t>
      </w:r>
    </w:p>
    <w:p w14:paraId="2D50EF08" w14:textId="77777777" w:rsidR="001F17FD" w:rsidRPr="00D37ADE" w:rsidRDefault="001F17FD" w:rsidP="00C93165">
      <w:pPr>
        <w:spacing w:line="252" w:lineRule="auto"/>
        <w:jc w:val="both"/>
        <w:rPr>
          <w:color w:val="76923C" w:themeColor="accent3" w:themeShade="BF"/>
          <w:sz w:val="2"/>
          <w:szCs w:val="2"/>
          <w:lang w:val="en-US"/>
        </w:rPr>
      </w:pPr>
    </w:p>
    <w:p w14:paraId="2D50EF2A" w14:textId="77777777" w:rsidR="006C4FA6" w:rsidRDefault="006C4FA6" w:rsidP="00C93165">
      <w:pPr>
        <w:pStyle w:val="PlainText"/>
        <w:spacing w:line="252" w:lineRule="auto"/>
        <w:jc w:val="both"/>
        <w:rPr>
          <w:rFonts w:ascii="Arial" w:hAnsi="Arial" w:cs="Arial"/>
          <w:szCs w:val="22"/>
          <w:lang w:val="en-GB"/>
        </w:rPr>
      </w:pPr>
    </w:p>
    <w:p w14:paraId="2D50EF2B" w14:textId="77777777" w:rsidR="006C4FA6" w:rsidRDefault="006C4FA6" w:rsidP="00C93165">
      <w:pPr>
        <w:pStyle w:val="PlainText"/>
        <w:spacing w:line="252" w:lineRule="auto"/>
        <w:jc w:val="both"/>
        <w:rPr>
          <w:rFonts w:ascii="Arial" w:hAnsi="Arial" w:cs="Arial"/>
          <w:szCs w:val="22"/>
          <w:lang w:val="en-GB"/>
        </w:rPr>
      </w:pPr>
    </w:p>
    <w:p w14:paraId="2D50EF2C" w14:textId="77777777" w:rsidR="006C4FA6" w:rsidRDefault="006C4FA6" w:rsidP="00C93165">
      <w:pPr>
        <w:pStyle w:val="PlainText"/>
        <w:spacing w:line="252" w:lineRule="auto"/>
        <w:jc w:val="both"/>
        <w:rPr>
          <w:rFonts w:ascii="Arial" w:hAnsi="Arial" w:cs="Arial"/>
          <w:szCs w:val="22"/>
          <w:lang w:val="en-GB"/>
        </w:rPr>
      </w:pPr>
    </w:p>
    <w:p w14:paraId="2D50EF2D" w14:textId="77777777" w:rsidR="006C4FA6" w:rsidRDefault="006C4FA6" w:rsidP="00C93165">
      <w:pPr>
        <w:pStyle w:val="PlainText"/>
        <w:spacing w:line="252" w:lineRule="auto"/>
        <w:jc w:val="both"/>
        <w:rPr>
          <w:rFonts w:ascii="Arial" w:hAnsi="Arial" w:cs="Arial"/>
          <w:szCs w:val="22"/>
          <w:lang w:val="en-GB"/>
        </w:rPr>
      </w:pPr>
    </w:p>
    <w:p w14:paraId="2D50EF2E" w14:textId="77777777" w:rsidR="006C4FA6" w:rsidRDefault="006C4FA6" w:rsidP="00C93165">
      <w:pPr>
        <w:pStyle w:val="PlainText"/>
        <w:spacing w:line="252" w:lineRule="auto"/>
        <w:jc w:val="both"/>
        <w:rPr>
          <w:rFonts w:ascii="Arial" w:hAnsi="Arial" w:cs="Arial"/>
          <w:szCs w:val="22"/>
          <w:lang w:val="en-GB"/>
        </w:rPr>
      </w:pPr>
    </w:p>
    <w:p w14:paraId="2D50EF2F" w14:textId="77777777" w:rsidR="006C4FA6" w:rsidRDefault="006C4FA6" w:rsidP="00C93165">
      <w:pPr>
        <w:pStyle w:val="PlainText"/>
        <w:spacing w:line="252" w:lineRule="auto"/>
        <w:jc w:val="both"/>
        <w:rPr>
          <w:rFonts w:ascii="Arial" w:hAnsi="Arial" w:cs="Arial"/>
          <w:szCs w:val="22"/>
          <w:lang w:val="en-GB"/>
        </w:rPr>
      </w:pPr>
    </w:p>
    <w:p w14:paraId="2D50EF31" w14:textId="03874D92" w:rsidR="006C4FA6" w:rsidRPr="004E5E32" w:rsidRDefault="00B0520C" w:rsidP="00EA4E44">
      <w:pPr>
        <w:pStyle w:val="ListParagraph"/>
        <w:numPr>
          <w:ilvl w:val="0"/>
          <w:numId w:val="2"/>
        </w:numPr>
        <w:tabs>
          <w:tab w:val="left" w:pos="7248"/>
        </w:tabs>
        <w:spacing w:after="120" w:line="252" w:lineRule="auto"/>
        <w:ind w:left="357" w:hanging="357"/>
        <w:contextualSpacing w:val="0"/>
        <w:jc w:val="both"/>
        <w:rPr>
          <w:sz w:val="22"/>
          <w:szCs w:val="22"/>
        </w:rPr>
      </w:pPr>
      <w:r>
        <w:rPr>
          <w:szCs w:val="22"/>
        </w:rPr>
        <w:br w:type="page"/>
      </w:r>
    </w:p>
    <w:p w14:paraId="2D50EF35" w14:textId="6C2AD555" w:rsidR="001F17FD" w:rsidRPr="00C84077" w:rsidRDefault="0043308E" w:rsidP="002C0BCA">
      <w:pPr>
        <w:pStyle w:val="Heading1"/>
      </w:pPr>
      <w:bookmarkStart w:id="31" w:name="_Toc26217740"/>
      <w:r w:rsidRPr="00C84077">
        <w:t>Management Case</w:t>
      </w:r>
      <w:bookmarkEnd w:id="31"/>
    </w:p>
    <w:p w14:paraId="1AFF8EA8" w14:textId="77777777" w:rsidR="00C84077" w:rsidRDefault="00C84077" w:rsidP="002C0BCA">
      <w:pPr>
        <w:pStyle w:val="Heading2"/>
      </w:pPr>
    </w:p>
    <w:p w14:paraId="2D50EF36" w14:textId="236FD893" w:rsidR="001F17FD" w:rsidRPr="006D3F27" w:rsidRDefault="001F17FD" w:rsidP="002C0BCA">
      <w:pPr>
        <w:pStyle w:val="Heading2"/>
        <w:rPr>
          <w:color w:val="0070C0"/>
        </w:rPr>
      </w:pPr>
      <w:bookmarkStart w:id="32" w:name="_Toc26217741"/>
      <w:r w:rsidRPr="006D3F27">
        <w:rPr>
          <w:color w:val="0070C0"/>
        </w:rPr>
        <w:t>What are the management</w:t>
      </w:r>
      <w:r w:rsidR="0043308E" w:rsidRPr="006D3F27">
        <w:rPr>
          <w:color w:val="0070C0"/>
        </w:rPr>
        <w:t xml:space="preserve"> and </w:t>
      </w:r>
      <w:r w:rsidR="00A83FE0" w:rsidRPr="006D3F27">
        <w:rPr>
          <w:color w:val="0070C0"/>
        </w:rPr>
        <w:t>governance</w:t>
      </w:r>
      <w:r w:rsidR="0043308E" w:rsidRPr="006D3F27">
        <w:rPr>
          <w:color w:val="0070C0"/>
        </w:rPr>
        <w:t xml:space="preserve"> </w:t>
      </w:r>
      <w:r w:rsidRPr="006D3F27">
        <w:rPr>
          <w:color w:val="0070C0"/>
        </w:rPr>
        <w:t>arrangements for implementing the intervention?</w:t>
      </w:r>
      <w:bookmarkEnd w:id="32"/>
    </w:p>
    <w:p w14:paraId="2BFB58FE" w14:textId="52933A56" w:rsidR="006D3F27" w:rsidRPr="00783156" w:rsidRDefault="006D3F27" w:rsidP="00663BE5">
      <w:pPr>
        <w:pStyle w:val="ListParagraph"/>
        <w:numPr>
          <w:ilvl w:val="0"/>
          <w:numId w:val="8"/>
        </w:numPr>
        <w:tabs>
          <w:tab w:val="left" w:pos="7248"/>
        </w:tabs>
        <w:spacing w:after="120" w:line="252" w:lineRule="auto"/>
        <w:ind w:left="20"/>
        <w:contextualSpacing w:val="0"/>
        <w:jc w:val="both"/>
        <w:rPr>
          <w:rFonts w:ascii="Calibri" w:hAnsi="Calibri"/>
        </w:rPr>
      </w:pPr>
      <w:r w:rsidRPr="00783156">
        <w:rPr>
          <w:rFonts w:ascii="Calibri" w:hAnsi="Calibri"/>
        </w:rPr>
        <w:t xml:space="preserve">Cities4Forests is governed by </w:t>
      </w:r>
      <w:r w:rsidR="00514192">
        <w:rPr>
          <w:rFonts w:ascii="Calibri" w:hAnsi="Calibri"/>
        </w:rPr>
        <w:t>a</w:t>
      </w:r>
      <w:r w:rsidRPr="00783156">
        <w:rPr>
          <w:rFonts w:ascii="Calibri" w:hAnsi="Calibri"/>
        </w:rPr>
        <w:t xml:space="preserve"> Secretariat, which consists of the three project partners, WRI, REVOLVE and Pilot Projects. Quarterly strategy and progress updates are conducted with core funders, which going forward will include Defra. These will be conducted by telephone. </w:t>
      </w:r>
    </w:p>
    <w:p w14:paraId="35EEAC9F" w14:textId="25F67868" w:rsidR="006D3F27" w:rsidRPr="00783156" w:rsidRDefault="006D3F27" w:rsidP="00663BE5">
      <w:pPr>
        <w:pStyle w:val="ListParagraph"/>
        <w:numPr>
          <w:ilvl w:val="0"/>
          <w:numId w:val="8"/>
        </w:numPr>
        <w:tabs>
          <w:tab w:val="left" w:pos="7248"/>
        </w:tabs>
        <w:spacing w:after="120" w:line="252" w:lineRule="auto"/>
        <w:ind w:left="20"/>
        <w:contextualSpacing w:val="0"/>
        <w:jc w:val="both"/>
        <w:rPr>
          <w:rFonts w:ascii="Calibri" w:hAnsi="Calibri"/>
        </w:rPr>
      </w:pPr>
      <w:r w:rsidRPr="00783156">
        <w:rPr>
          <w:rFonts w:ascii="Calibri" w:hAnsi="Calibri"/>
        </w:rPr>
        <w:t xml:space="preserve">During Year 2, the Secretariat plans to </w:t>
      </w:r>
      <w:r w:rsidR="00352D28" w:rsidRPr="00783156">
        <w:rPr>
          <w:rFonts w:ascii="Calibri" w:hAnsi="Calibri"/>
        </w:rPr>
        <w:t>formalise</w:t>
      </w:r>
      <w:r w:rsidRPr="00783156">
        <w:rPr>
          <w:rFonts w:ascii="Calibri" w:hAnsi="Calibri"/>
        </w:rPr>
        <w:t xml:space="preserve"> an Advisory Committee for Cities4Forests, potentially consisting of representatives from a subset of participating cities, technical delivery partners (TDPs) and funders. </w:t>
      </w:r>
      <w:r w:rsidR="00FE3120" w:rsidRPr="00783156">
        <w:rPr>
          <w:rFonts w:ascii="Calibri" w:hAnsi="Calibri"/>
        </w:rPr>
        <w:t xml:space="preserve">Defra would join this committee. </w:t>
      </w:r>
    </w:p>
    <w:p w14:paraId="47484892" w14:textId="1A11E1C2" w:rsidR="0043308E" w:rsidRPr="00663BE5" w:rsidRDefault="001F17FD" w:rsidP="002C0BCA">
      <w:pPr>
        <w:pStyle w:val="Heading2"/>
        <w:rPr>
          <w:color w:val="0070C0"/>
        </w:rPr>
      </w:pPr>
      <w:bookmarkStart w:id="33" w:name="_Toc400554525"/>
      <w:bookmarkStart w:id="34" w:name="_Toc26217742"/>
      <w:bookmarkEnd w:id="33"/>
      <w:r w:rsidRPr="00663BE5">
        <w:rPr>
          <w:color w:val="0070C0"/>
        </w:rPr>
        <w:t>HM Government staffing</w:t>
      </w:r>
      <w:r w:rsidR="0043308E" w:rsidRPr="00663BE5">
        <w:rPr>
          <w:color w:val="0070C0"/>
        </w:rPr>
        <w:t xml:space="preserve"> – Resource </w:t>
      </w:r>
      <w:bookmarkEnd w:id="34"/>
      <w:r w:rsidR="00A83FE0" w:rsidRPr="00663BE5">
        <w:rPr>
          <w:color w:val="0070C0"/>
        </w:rPr>
        <w:t>Requirements</w:t>
      </w:r>
    </w:p>
    <w:p w14:paraId="2D50EF92" w14:textId="2340BD45" w:rsidR="001F17FD" w:rsidRPr="00783156" w:rsidRDefault="00BC763A" w:rsidP="00663BE5">
      <w:pPr>
        <w:pStyle w:val="ListParagraph"/>
        <w:numPr>
          <w:ilvl w:val="0"/>
          <w:numId w:val="8"/>
        </w:numPr>
        <w:tabs>
          <w:tab w:val="left" w:pos="7248"/>
        </w:tabs>
        <w:spacing w:after="120" w:line="252" w:lineRule="auto"/>
        <w:ind w:left="20"/>
        <w:contextualSpacing w:val="0"/>
        <w:jc w:val="both"/>
        <w:rPr>
          <w:rFonts w:ascii="Calibri" w:hAnsi="Calibri"/>
        </w:rPr>
      </w:pPr>
      <w:r w:rsidRPr="00783156">
        <w:rPr>
          <w:rFonts w:ascii="Calibri" w:hAnsi="Calibri"/>
        </w:rPr>
        <w:t>As this a pre-existing initiative,</w:t>
      </w:r>
      <w:r w:rsidR="00473DA6" w:rsidRPr="00783156">
        <w:rPr>
          <w:rFonts w:ascii="Calibri" w:hAnsi="Calibri"/>
        </w:rPr>
        <w:t xml:space="preserve"> Defra resource </w:t>
      </w:r>
      <w:r w:rsidR="00CD6B52" w:rsidRPr="00783156">
        <w:rPr>
          <w:rFonts w:ascii="Calibri" w:hAnsi="Calibri"/>
        </w:rPr>
        <w:t xml:space="preserve">requirement </w:t>
      </w:r>
      <w:r w:rsidR="00473DA6" w:rsidRPr="00783156">
        <w:rPr>
          <w:rFonts w:ascii="Calibri" w:hAnsi="Calibri"/>
        </w:rPr>
        <w:t>will be minimal;</w:t>
      </w:r>
      <w:r w:rsidRPr="00783156">
        <w:rPr>
          <w:rFonts w:ascii="Calibri" w:hAnsi="Calibri"/>
        </w:rPr>
        <w:t xml:space="preserve"> the programme will not require </w:t>
      </w:r>
      <w:r w:rsidR="00A83FE0" w:rsidRPr="00783156">
        <w:rPr>
          <w:rFonts w:ascii="Calibri" w:hAnsi="Calibri"/>
        </w:rPr>
        <w:t>initial</w:t>
      </w:r>
      <w:r w:rsidRPr="00783156">
        <w:rPr>
          <w:rFonts w:ascii="Calibri" w:hAnsi="Calibri"/>
        </w:rPr>
        <w:t xml:space="preserve"> set up. Instead, 0.2FTE is expected to be required to manage the programme over the next two years. This includes 0.15FTE HEO/SEO and 0.05FTE of a G7 within the International Forest team in WICAF.  </w:t>
      </w:r>
    </w:p>
    <w:p w14:paraId="2D50EFC1" w14:textId="77777777" w:rsidR="001F17FD" w:rsidRPr="00663BE5" w:rsidRDefault="001F17FD" w:rsidP="002C0BCA">
      <w:pPr>
        <w:pStyle w:val="Heading2"/>
        <w:rPr>
          <w:color w:val="0070C0"/>
        </w:rPr>
      </w:pPr>
      <w:bookmarkStart w:id="35" w:name="_Toc26217743"/>
      <w:r w:rsidRPr="00663BE5">
        <w:rPr>
          <w:color w:val="0070C0"/>
        </w:rPr>
        <w:t xml:space="preserve">How will progress and results be monitored, </w:t>
      </w:r>
      <w:proofErr w:type="gramStart"/>
      <w:r w:rsidRPr="00663BE5">
        <w:rPr>
          <w:color w:val="0070C0"/>
        </w:rPr>
        <w:t>measured</w:t>
      </w:r>
      <w:proofErr w:type="gramEnd"/>
      <w:r w:rsidRPr="00663BE5">
        <w:rPr>
          <w:color w:val="0070C0"/>
        </w:rPr>
        <w:t xml:space="preserve"> and evaluated?</w:t>
      </w:r>
      <w:bookmarkEnd w:id="35"/>
      <w:r w:rsidRPr="00663BE5">
        <w:rPr>
          <w:color w:val="0070C0"/>
        </w:rPr>
        <w:t xml:space="preserve"> </w:t>
      </w:r>
    </w:p>
    <w:p w14:paraId="0D242070" w14:textId="7BAC1F7C" w:rsidR="00E96255" w:rsidRPr="00783156" w:rsidRDefault="00CD6B52" w:rsidP="00E96255">
      <w:pPr>
        <w:pStyle w:val="ListParagraph"/>
        <w:numPr>
          <w:ilvl w:val="0"/>
          <w:numId w:val="8"/>
        </w:numPr>
        <w:tabs>
          <w:tab w:val="left" w:pos="7248"/>
        </w:tabs>
        <w:spacing w:after="120" w:line="252" w:lineRule="auto"/>
        <w:ind w:left="20"/>
        <w:contextualSpacing w:val="0"/>
        <w:jc w:val="both"/>
        <w:rPr>
          <w:rFonts w:ascii="Calibri" w:hAnsi="Calibri"/>
        </w:rPr>
      </w:pPr>
      <w:r w:rsidRPr="00783156">
        <w:rPr>
          <w:rFonts w:ascii="Calibri" w:hAnsi="Calibri"/>
        </w:rPr>
        <w:t xml:space="preserve">Defra programme manager will undertake monthly calls with WRI in the first three months to monitor progress and initial </w:t>
      </w:r>
      <w:proofErr w:type="spellStart"/>
      <w:r w:rsidRPr="00783156">
        <w:rPr>
          <w:rFonts w:ascii="Calibri" w:hAnsi="Calibri"/>
        </w:rPr>
        <w:t>start up</w:t>
      </w:r>
      <w:proofErr w:type="spellEnd"/>
      <w:r w:rsidRPr="00783156">
        <w:rPr>
          <w:rFonts w:ascii="Calibri" w:hAnsi="Calibri"/>
        </w:rPr>
        <w:t>. Afterwards, Defra will join quarterly strategy and progress updates with other funders. This will allow Defra to not only monitor and assure the direct outputs of Defra’s funding are delivered, but also to monitor progress towards medium-term objectives which Defra’s funding support</w:t>
      </w:r>
      <w:r w:rsidR="00783156">
        <w:rPr>
          <w:rFonts w:ascii="Calibri" w:hAnsi="Calibri"/>
        </w:rPr>
        <w:t>s</w:t>
      </w:r>
      <w:r w:rsidRPr="00783156">
        <w:rPr>
          <w:rFonts w:ascii="Calibri" w:hAnsi="Calibri"/>
        </w:rPr>
        <w:t xml:space="preserve">. Once set up, Defra would join the Advisory Committee to build its network with and learn from cities, funders and partners who are working on nature-based solutions.  </w:t>
      </w:r>
    </w:p>
    <w:p w14:paraId="5D31BF11" w14:textId="1EEF0742" w:rsidR="00F737DB" w:rsidRPr="00783156" w:rsidRDefault="00F737DB" w:rsidP="00E96255">
      <w:pPr>
        <w:pStyle w:val="ListParagraph"/>
        <w:numPr>
          <w:ilvl w:val="0"/>
          <w:numId w:val="8"/>
        </w:numPr>
        <w:tabs>
          <w:tab w:val="left" w:pos="7248"/>
        </w:tabs>
        <w:spacing w:after="120" w:line="252" w:lineRule="auto"/>
        <w:ind w:left="20"/>
        <w:contextualSpacing w:val="0"/>
        <w:jc w:val="both"/>
        <w:rPr>
          <w:rFonts w:ascii="Calibri" w:hAnsi="Calibri"/>
        </w:rPr>
      </w:pPr>
      <w:r w:rsidRPr="00783156">
        <w:rPr>
          <w:rFonts w:ascii="Calibri" w:hAnsi="Calibri"/>
        </w:rPr>
        <w:t>WRI will provide evidence against t</w:t>
      </w:r>
      <w:r w:rsidR="00FE5D03" w:rsidRPr="00783156">
        <w:rPr>
          <w:rFonts w:ascii="Calibri" w:hAnsi="Calibri"/>
        </w:rPr>
        <w:t xml:space="preserve">he following Results Framework on an annual basis. </w:t>
      </w:r>
      <w:r w:rsidR="001858A5" w:rsidRPr="00783156">
        <w:rPr>
          <w:rFonts w:ascii="Calibri" w:hAnsi="Calibri"/>
        </w:rPr>
        <w:t xml:space="preserve">In addition, </w:t>
      </w:r>
      <w:r w:rsidR="00FE5D03" w:rsidRPr="00783156">
        <w:rPr>
          <w:rFonts w:ascii="Calibri" w:hAnsi="Calibri"/>
        </w:rPr>
        <w:t xml:space="preserve">WRI will work with Defra to complete </w:t>
      </w:r>
      <w:r w:rsidR="001858A5" w:rsidRPr="00783156">
        <w:rPr>
          <w:rFonts w:ascii="Calibri" w:hAnsi="Calibri"/>
        </w:rPr>
        <w:t xml:space="preserve">ODA </w:t>
      </w:r>
      <w:r w:rsidR="00FE5D03" w:rsidRPr="00783156">
        <w:rPr>
          <w:rFonts w:ascii="Calibri" w:hAnsi="Calibri"/>
        </w:rPr>
        <w:t xml:space="preserve">required reporting, </w:t>
      </w:r>
      <w:r w:rsidR="001858A5" w:rsidRPr="00783156">
        <w:rPr>
          <w:rFonts w:ascii="Calibri" w:hAnsi="Calibri"/>
        </w:rPr>
        <w:t xml:space="preserve">namely </w:t>
      </w:r>
      <w:r w:rsidR="00FE5D03" w:rsidRPr="00783156">
        <w:rPr>
          <w:rFonts w:ascii="Calibri" w:hAnsi="Calibri"/>
        </w:rPr>
        <w:t>Annual Reviews</w:t>
      </w:r>
      <w:r w:rsidR="00783156">
        <w:rPr>
          <w:rFonts w:ascii="Calibri" w:hAnsi="Calibri"/>
        </w:rPr>
        <w:t xml:space="preserve">, results </w:t>
      </w:r>
      <w:proofErr w:type="gramStart"/>
      <w:r w:rsidR="00783156">
        <w:rPr>
          <w:rFonts w:ascii="Calibri" w:hAnsi="Calibri"/>
        </w:rPr>
        <w:t>frameworks</w:t>
      </w:r>
      <w:proofErr w:type="gramEnd"/>
      <w:r w:rsidR="00FE5D03" w:rsidRPr="00783156">
        <w:rPr>
          <w:rFonts w:ascii="Calibri" w:hAnsi="Calibri"/>
        </w:rPr>
        <w:t xml:space="preserve"> and Project Completion reports. </w:t>
      </w:r>
    </w:p>
    <w:p w14:paraId="4B1A8CB4" w14:textId="70F51D0F" w:rsidR="00F737DB" w:rsidRPr="00F737DB" w:rsidRDefault="00F737DB" w:rsidP="00F737DB">
      <w:pPr>
        <w:rPr>
          <w:rFonts w:asciiTheme="minorHAnsi" w:hAnsiTheme="minorHAnsi"/>
          <w:b/>
        </w:rPr>
      </w:pPr>
      <w:r w:rsidRPr="00D4007A">
        <w:rPr>
          <w:rFonts w:asciiTheme="minorHAnsi" w:hAnsiTheme="minorHAnsi"/>
          <w:b/>
        </w:rPr>
        <w:t xml:space="preserve">Table </w:t>
      </w:r>
      <w:r w:rsidR="00783156" w:rsidRPr="00D4007A">
        <w:rPr>
          <w:rFonts w:asciiTheme="minorHAnsi" w:hAnsiTheme="minorHAnsi"/>
          <w:b/>
        </w:rPr>
        <w:t>3</w:t>
      </w:r>
      <w:r w:rsidRPr="00D4007A">
        <w:rPr>
          <w:rFonts w:asciiTheme="minorHAnsi" w:hAnsiTheme="minorHAnsi"/>
          <w:b/>
        </w:rPr>
        <w:t>: Cities4Forests Results Framework for Defra Proposal</w:t>
      </w:r>
    </w:p>
    <w:tbl>
      <w:tblPr>
        <w:tblStyle w:val="TableGrid"/>
        <w:tblW w:w="9350" w:type="dxa"/>
        <w:tblLook w:val="04A0" w:firstRow="1" w:lastRow="0" w:firstColumn="1" w:lastColumn="0" w:noHBand="0" w:noVBand="1"/>
      </w:tblPr>
      <w:tblGrid>
        <w:gridCol w:w="4495"/>
        <w:gridCol w:w="2430"/>
        <w:gridCol w:w="2425"/>
      </w:tblGrid>
      <w:tr w:rsidR="00F737DB" w14:paraId="0733CB13" w14:textId="77777777" w:rsidTr="002047CB">
        <w:tc>
          <w:tcPr>
            <w:tcW w:w="4495" w:type="dxa"/>
          </w:tcPr>
          <w:p w14:paraId="5494A796" w14:textId="77777777" w:rsidR="00F737DB" w:rsidRDefault="00F737DB" w:rsidP="002047CB"/>
        </w:tc>
        <w:tc>
          <w:tcPr>
            <w:tcW w:w="2430" w:type="dxa"/>
          </w:tcPr>
          <w:p w14:paraId="65EE094B" w14:textId="77777777" w:rsidR="00F737DB" w:rsidRPr="00714653" w:rsidRDefault="00F737DB" w:rsidP="002047CB">
            <w:pPr>
              <w:rPr>
                <w:b/>
                <w:sz w:val="18"/>
                <w:szCs w:val="18"/>
              </w:rPr>
            </w:pPr>
            <w:r w:rsidRPr="00714653">
              <w:rPr>
                <w:b/>
                <w:sz w:val="18"/>
                <w:szCs w:val="18"/>
              </w:rPr>
              <w:t xml:space="preserve">Target by March 31, 2020 </w:t>
            </w:r>
          </w:p>
        </w:tc>
        <w:tc>
          <w:tcPr>
            <w:tcW w:w="2425" w:type="dxa"/>
          </w:tcPr>
          <w:p w14:paraId="77E78059" w14:textId="77777777" w:rsidR="00F737DB" w:rsidRPr="00714653" w:rsidRDefault="00F737DB" w:rsidP="002047CB">
            <w:pPr>
              <w:rPr>
                <w:b/>
                <w:sz w:val="18"/>
                <w:szCs w:val="18"/>
              </w:rPr>
            </w:pPr>
            <w:r w:rsidRPr="00714653">
              <w:rPr>
                <w:b/>
                <w:sz w:val="18"/>
                <w:szCs w:val="18"/>
              </w:rPr>
              <w:t>Target by November 30, 2021</w:t>
            </w:r>
          </w:p>
        </w:tc>
      </w:tr>
      <w:tr w:rsidR="00F737DB" w14:paraId="181299EA" w14:textId="77777777" w:rsidTr="002047CB">
        <w:tc>
          <w:tcPr>
            <w:tcW w:w="9350" w:type="dxa"/>
            <w:gridSpan w:val="3"/>
            <w:tcBorders>
              <w:bottom w:val="single" w:sz="4" w:space="0" w:color="auto"/>
            </w:tcBorders>
            <w:shd w:val="clear" w:color="auto" w:fill="E5B8B7" w:themeFill="accent2" w:themeFillTint="66"/>
          </w:tcPr>
          <w:p w14:paraId="69024B60" w14:textId="77777777" w:rsidR="00F737DB" w:rsidRDefault="00F737DB" w:rsidP="002047CB">
            <w:pPr>
              <w:rPr>
                <w:rFonts w:cstheme="minorHAnsi"/>
                <w:b/>
                <w:i/>
                <w:sz w:val="18"/>
                <w:szCs w:val="18"/>
                <w:u w:val="single"/>
              </w:rPr>
            </w:pPr>
            <w:r w:rsidRPr="00714653">
              <w:rPr>
                <w:rFonts w:cstheme="minorHAnsi"/>
                <w:b/>
                <w:i/>
                <w:sz w:val="20"/>
                <w:szCs w:val="18"/>
                <w:u w:val="single"/>
              </w:rPr>
              <w:t>Impact:</w:t>
            </w:r>
            <w:r w:rsidRPr="00714653">
              <w:rPr>
                <w:rFonts w:cstheme="minorHAnsi"/>
                <w:b/>
                <w:sz w:val="20"/>
                <w:szCs w:val="18"/>
              </w:rPr>
              <w:t xml:space="preserve"> Greater conservation, restoration, and/or sustainable management of forests, due in part to greater political, program, and investment support by cities</w:t>
            </w:r>
          </w:p>
        </w:tc>
      </w:tr>
      <w:tr w:rsidR="00F737DB" w14:paraId="5B0F7C7E" w14:textId="77777777" w:rsidTr="002047CB">
        <w:tc>
          <w:tcPr>
            <w:tcW w:w="9350" w:type="dxa"/>
            <w:gridSpan w:val="3"/>
            <w:tcBorders>
              <w:left w:val="nil"/>
              <w:right w:val="nil"/>
            </w:tcBorders>
            <w:shd w:val="clear" w:color="auto" w:fill="auto"/>
          </w:tcPr>
          <w:p w14:paraId="1CA75909" w14:textId="77777777" w:rsidR="00F737DB" w:rsidRPr="00AC4DC9" w:rsidRDefault="00F737DB" w:rsidP="002047CB">
            <w:pPr>
              <w:rPr>
                <w:rFonts w:cstheme="minorHAnsi"/>
                <w:i/>
                <w:sz w:val="18"/>
                <w:szCs w:val="18"/>
                <w:u w:val="single"/>
              </w:rPr>
            </w:pPr>
          </w:p>
        </w:tc>
      </w:tr>
      <w:tr w:rsidR="00F737DB" w14:paraId="20C4F9CF" w14:textId="77777777" w:rsidTr="002047CB">
        <w:trPr>
          <w:trHeight w:val="305"/>
        </w:trPr>
        <w:tc>
          <w:tcPr>
            <w:tcW w:w="9350" w:type="dxa"/>
            <w:gridSpan w:val="3"/>
            <w:shd w:val="clear" w:color="auto" w:fill="F2DBDB" w:themeFill="accent2" w:themeFillTint="33"/>
          </w:tcPr>
          <w:p w14:paraId="7C27DFE3" w14:textId="77777777" w:rsidR="00F737DB" w:rsidRPr="00A459CB" w:rsidRDefault="00F737DB" w:rsidP="002047CB">
            <w:pPr>
              <w:rPr>
                <w:i/>
                <w:sz w:val="18"/>
                <w:szCs w:val="18"/>
                <w:u w:val="single"/>
              </w:rPr>
            </w:pPr>
            <w:r w:rsidRPr="009C430F">
              <w:rPr>
                <w:i/>
                <w:sz w:val="18"/>
                <w:szCs w:val="18"/>
                <w:u w:val="single"/>
              </w:rPr>
              <w:t>Outcome 1:</w:t>
            </w:r>
            <w:r w:rsidRPr="00E26A1A">
              <w:rPr>
                <w:sz w:val="18"/>
                <w:szCs w:val="18"/>
              </w:rPr>
              <w:t xml:space="preserve"> Strengthened</w:t>
            </w:r>
            <w:r w:rsidRPr="00C2564F">
              <w:rPr>
                <w:sz w:val="18"/>
                <w:szCs w:val="18"/>
              </w:rPr>
              <w:t xml:space="preserve"> technical assistance</w:t>
            </w:r>
            <w:r w:rsidRPr="009C430F">
              <w:rPr>
                <w:b/>
                <w:sz w:val="18"/>
                <w:szCs w:val="18"/>
              </w:rPr>
              <w:t xml:space="preserve"> </w:t>
            </w:r>
            <w:r w:rsidRPr="00E26A1A">
              <w:rPr>
                <w:sz w:val="18"/>
                <w:szCs w:val="18"/>
              </w:rPr>
              <w:t xml:space="preserve">leads to improved city government support for </w:t>
            </w:r>
            <w:r w:rsidRPr="002A32EE">
              <w:rPr>
                <w:sz w:val="18"/>
                <w:szCs w:val="18"/>
              </w:rPr>
              <w:t>and investm</w:t>
            </w:r>
            <w:r w:rsidRPr="004A3219">
              <w:rPr>
                <w:sz w:val="18"/>
                <w:szCs w:val="18"/>
              </w:rPr>
              <w:t>ent in trees, forests, and green infrastructure</w:t>
            </w:r>
            <w:r w:rsidRPr="00C00A1C">
              <w:rPr>
                <w:sz w:val="18"/>
                <w:szCs w:val="18"/>
              </w:rPr>
              <w:t>.</w:t>
            </w:r>
          </w:p>
        </w:tc>
      </w:tr>
      <w:tr w:rsidR="00F737DB" w14:paraId="36825B72" w14:textId="77777777" w:rsidTr="002047CB">
        <w:tc>
          <w:tcPr>
            <w:tcW w:w="4495" w:type="dxa"/>
          </w:tcPr>
          <w:p w14:paraId="3FB034DE" w14:textId="77777777" w:rsidR="00F737DB" w:rsidRDefault="00F737DB" w:rsidP="002047CB">
            <w:r>
              <w:rPr>
                <w:rFonts w:cstheme="minorHAnsi"/>
                <w:i/>
                <w:sz w:val="18"/>
                <w:szCs w:val="18"/>
                <w:u w:val="single"/>
              </w:rPr>
              <w:t>Output 1.1:</w:t>
            </w:r>
            <w:r w:rsidRPr="000F484B">
              <w:rPr>
                <w:rFonts w:cstheme="minorHAnsi"/>
                <w:i/>
                <w:sz w:val="18"/>
                <w:szCs w:val="18"/>
              </w:rPr>
              <w:t xml:space="preserve"> </w:t>
            </w:r>
            <w:r w:rsidRPr="002A744C">
              <w:rPr>
                <w:rFonts w:cstheme="minorHAnsi"/>
                <w:sz w:val="18"/>
                <w:szCs w:val="18"/>
              </w:rPr>
              <w:t>Policy and Planning for Urban Forests Course</w:t>
            </w:r>
            <w:r w:rsidRPr="002A744C">
              <w:rPr>
                <w:rFonts w:cstheme="minorHAnsi"/>
                <w:i/>
                <w:sz w:val="18"/>
                <w:szCs w:val="18"/>
              </w:rPr>
              <w:t xml:space="preserve"> </w:t>
            </w:r>
            <w:r>
              <w:rPr>
                <w:rFonts w:cstheme="minorHAnsi"/>
                <w:sz w:val="18"/>
                <w:szCs w:val="18"/>
              </w:rPr>
              <w:t xml:space="preserve">developed and ready for professional design. </w:t>
            </w:r>
          </w:p>
        </w:tc>
        <w:tc>
          <w:tcPr>
            <w:tcW w:w="2430" w:type="dxa"/>
          </w:tcPr>
          <w:p w14:paraId="65E90B1A" w14:textId="77777777" w:rsidR="00F737DB" w:rsidRDefault="00F737DB" w:rsidP="002047CB">
            <w:r w:rsidRPr="5F00979C">
              <w:rPr>
                <w:sz w:val="18"/>
                <w:szCs w:val="18"/>
              </w:rPr>
              <w:t>Course developed and put into formal design process.</w:t>
            </w:r>
          </w:p>
        </w:tc>
        <w:tc>
          <w:tcPr>
            <w:tcW w:w="2425" w:type="dxa"/>
          </w:tcPr>
          <w:p w14:paraId="385BD836" w14:textId="77777777" w:rsidR="00F737DB" w:rsidRPr="00991BFB" w:rsidRDefault="00F737DB" w:rsidP="002047CB">
            <w:pPr>
              <w:rPr>
                <w:sz w:val="18"/>
                <w:szCs w:val="18"/>
              </w:rPr>
            </w:pPr>
            <w:r>
              <w:rPr>
                <w:rFonts w:cstheme="minorHAnsi"/>
                <w:sz w:val="18"/>
                <w:szCs w:val="18"/>
              </w:rPr>
              <w:t>15</w:t>
            </w:r>
            <w:r w:rsidRPr="0038225E">
              <w:rPr>
                <w:rFonts w:cstheme="minorHAnsi"/>
                <w:sz w:val="18"/>
                <w:szCs w:val="18"/>
              </w:rPr>
              <w:t xml:space="preserve"> cities </w:t>
            </w:r>
            <w:r>
              <w:rPr>
                <w:rFonts w:cstheme="minorHAnsi"/>
                <w:sz w:val="18"/>
                <w:szCs w:val="18"/>
              </w:rPr>
              <w:t>establish new or improved policies or plans that support inner and/or nearby forests.</w:t>
            </w:r>
          </w:p>
        </w:tc>
      </w:tr>
      <w:tr w:rsidR="00F737DB" w14:paraId="22DD2838" w14:textId="77777777" w:rsidTr="002047CB">
        <w:tc>
          <w:tcPr>
            <w:tcW w:w="4495" w:type="dxa"/>
          </w:tcPr>
          <w:p w14:paraId="41FAF75C" w14:textId="77777777" w:rsidR="00F737DB" w:rsidRDefault="00F737DB" w:rsidP="002047CB">
            <w:r>
              <w:rPr>
                <w:rFonts w:cstheme="minorHAnsi"/>
                <w:i/>
                <w:sz w:val="18"/>
                <w:szCs w:val="18"/>
                <w:u w:val="single"/>
              </w:rPr>
              <w:t>Output 1.2:</w:t>
            </w:r>
            <w:r w:rsidRPr="000F484B">
              <w:rPr>
                <w:rFonts w:cstheme="minorHAnsi"/>
                <w:i/>
                <w:sz w:val="18"/>
                <w:szCs w:val="18"/>
              </w:rPr>
              <w:t xml:space="preserve"> </w:t>
            </w:r>
            <w:r w:rsidRPr="000F484B">
              <w:rPr>
                <w:rFonts w:cstheme="minorHAnsi"/>
                <w:sz w:val="18"/>
                <w:szCs w:val="18"/>
              </w:rPr>
              <w:t xml:space="preserve">Database of available tools and programs </w:t>
            </w:r>
            <w:r>
              <w:rPr>
                <w:rFonts w:cstheme="minorHAnsi"/>
                <w:sz w:val="18"/>
                <w:szCs w:val="18"/>
              </w:rPr>
              <w:t>on city-forest issues complete and shared with cities.</w:t>
            </w:r>
          </w:p>
        </w:tc>
        <w:tc>
          <w:tcPr>
            <w:tcW w:w="2430" w:type="dxa"/>
          </w:tcPr>
          <w:p w14:paraId="53F0612F" w14:textId="7F1B3E2A" w:rsidR="00F737DB" w:rsidRDefault="00F737DB" w:rsidP="002047CB">
            <w:r w:rsidRPr="5F00979C">
              <w:rPr>
                <w:sz w:val="18"/>
                <w:szCs w:val="18"/>
              </w:rPr>
              <w:t xml:space="preserve">Database created and shared with </w:t>
            </w:r>
            <w:r w:rsidR="00AE0472">
              <w:rPr>
                <w:sz w:val="18"/>
                <w:szCs w:val="18"/>
              </w:rPr>
              <w:t xml:space="preserve">developing country </w:t>
            </w:r>
            <w:r w:rsidRPr="5F00979C">
              <w:rPr>
                <w:sz w:val="18"/>
                <w:szCs w:val="18"/>
              </w:rPr>
              <w:t>cities.</w:t>
            </w:r>
          </w:p>
        </w:tc>
        <w:tc>
          <w:tcPr>
            <w:tcW w:w="2425" w:type="dxa"/>
          </w:tcPr>
          <w:p w14:paraId="47CD1CF8" w14:textId="77777777" w:rsidR="00F737DB" w:rsidRDefault="00F737DB" w:rsidP="002047CB">
            <w:pPr>
              <w:rPr>
                <w:sz w:val="18"/>
                <w:szCs w:val="18"/>
              </w:rPr>
            </w:pPr>
            <w:r w:rsidRPr="000A1CA2">
              <w:rPr>
                <w:sz w:val="18"/>
                <w:szCs w:val="18"/>
              </w:rPr>
              <w:t>5 cities using tools or programs to improve forest-related projects</w:t>
            </w:r>
            <w:r>
              <w:rPr>
                <w:sz w:val="18"/>
                <w:szCs w:val="18"/>
              </w:rPr>
              <w:t xml:space="preserve"> at inner, nearby, and faraway jurisdictions.</w:t>
            </w:r>
          </w:p>
        </w:tc>
      </w:tr>
      <w:tr w:rsidR="00F737DB" w14:paraId="47DAF2D0" w14:textId="77777777" w:rsidTr="002047CB">
        <w:tc>
          <w:tcPr>
            <w:tcW w:w="4495" w:type="dxa"/>
          </w:tcPr>
          <w:p w14:paraId="195CA2D2" w14:textId="77777777" w:rsidR="00F737DB" w:rsidRPr="00714653" w:rsidRDefault="00F737DB" w:rsidP="002047CB">
            <w:pPr>
              <w:rPr>
                <w:rFonts w:cstheme="minorHAnsi"/>
                <w:i/>
                <w:sz w:val="18"/>
                <w:szCs w:val="18"/>
                <w:u w:val="single"/>
              </w:rPr>
            </w:pPr>
            <w:r>
              <w:rPr>
                <w:rFonts w:cstheme="minorHAnsi"/>
                <w:i/>
                <w:sz w:val="18"/>
                <w:szCs w:val="18"/>
                <w:u w:val="single"/>
              </w:rPr>
              <w:t xml:space="preserve">Output 1.3: </w:t>
            </w:r>
            <w:r w:rsidRPr="007E7236">
              <w:rPr>
                <w:rFonts w:cstheme="minorHAnsi"/>
                <w:sz w:val="18"/>
                <w:szCs w:val="18"/>
              </w:rPr>
              <w:t>Gender and Social Equity Guidelines</w:t>
            </w:r>
            <w:r>
              <w:rPr>
                <w:rFonts w:cstheme="minorHAnsi"/>
                <w:sz w:val="18"/>
                <w:szCs w:val="18"/>
              </w:rPr>
              <w:t xml:space="preserve"> created and shared with select cities for piloting and refinement.</w:t>
            </w:r>
          </w:p>
        </w:tc>
        <w:tc>
          <w:tcPr>
            <w:tcW w:w="2430" w:type="dxa"/>
          </w:tcPr>
          <w:p w14:paraId="11DF07CA" w14:textId="03475C8B" w:rsidR="00F737DB" w:rsidRDefault="00F737DB" w:rsidP="002047CB">
            <w:r w:rsidRPr="5F00979C">
              <w:rPr>
                <w:sz w:val="18"/>
                <w:szCs w:val="18"/>
              </w:rPr>
              <w:t xml:space="preserve">Guidelines created and shared with select </w:t>
            </w:r>
            <w:r w:rsidR="00AE0472">
              <w:rPr>
                <w:sz w:val="18"/>
                <w:szCs w:val="18"/>
              </w:rPr>
              <w:t xml:space="preserve">developing country </w:t>
            </w:r>
            <w:r w:rsidRPr="5F00979C">
              <w:rPr>
                <w:sz w:val="18"/>
                <w:szCs w:val="18"/>
              </w:rPr>
              <w:t>cities.</w:t>
            </w:r>
          </w:p>
        </w:tc>
        <w:tc>
          <w:tcPr>
            <w:tcW w:w="2425" w:type="dxa"/>
          </w:tcPr>
          <w:p w14:paraId="343A9E62" w14:textId="77777777" w:rsidR="00F737DB" w:rsidRDefault="00F737DB" w:rsidP="002047CB">
            <w:pPr>
              <w:rPr>
                <w:sz w:val="18"/>
                <w:szCs w:val="18"/>
              </w:rPr>
            </w:pPr>
            <w:r>
              <w:rPr>
                <w:sz w:val="18"/>
                <w:szCs w:val="18"/>
              </w:rPr>
              <w:t>Cities applying guidelines to improve gender and social equity.</w:t>
            </w:r>
          </w:p>
        </w:tc>
      </w:tr>
      <w:tr w:rsidR="00F737DB" w14:paraId="494E1C8E" w14:textId="77777777" w:rsidTr="002047CB">
        <w:tc>
          <w:tcPr>
            <w:tcW w:w="4495" w:type="dxa"/>
            <w:tcBorders>
              <w:bottom w:val="single" w:sz="4" w:space="0" w:color="auto"/>
            </w:tcBorders>
          </w:tcPr>
          <w:p w14:paraId="35A1EDE7" w14:textId="77777777" w:rsidR="00F737DB" w:rsidRDefault="00F737DB" w:rsidP="002047CB">
            <w:r w:rsidRPr="008301AB">
              <w:rPr>
                <w:rFonts w:cstheme="minorHAnsi"/>
                <w:i/>
                <w:sz w:val="18"/>
                <w:szCs w:val="18"/>
                <w:u w:val="single"/>
              </w:rPr>
              <w:t>Output 1.</w:t>
            </w:r>
            <w:r>
              <w:rPr>
                <w:rFonts w:cstheme="minorHAnsi"/>
                <w:i/>
                <w:sz w:val="18"/>
                <w:szCs w:val="18"/>
                <w:u w:val="single"/>
              </w:rPr>
              <w:t>4</w:t>
            </w:r>
            <w:r w:rsidRPr="008301AB">
              <w:rPr>
                <w:rFonts w:cstheme="minorHAnsi"/>
                <w:i/>
                <w:sz w:val="18"/>
                <w:szCs w:val="18"/>
                <w:u w:val="single"/>
              </w:rPr>
              <w:t>:</w:t>
            </w:r>
            <w:r>
              <w:rPr>
                <w:rFonts w:cstheme="minorHAnsi"/>
                <w:sz w:val="18"/>
                <w:szCs w:val="18"/>
              </w:rPr>
              <w:t xml:space="preserve"> Faraway Forest Footprint Framework created and shared with select cities for piloting and refinement. </w:t>
            </w:r>
          </w:p>
        </w:tc>
        <w:tc>
          <w:tcPr>
            <w:tcW w:w="2430" w:type="dxa"/>
            <w:tcBorders>
              <w:bottom w:val="single" w:sz="4" w:space="0" w:color="auto"/>
            </w:tcBorders>
          </w:tcPr>
          <w:p w14:paraId="203096AE" w14:textId="5B12E175" w:rsidR="00F737DB" w:rsidRDefault="00F737DB" w:rsidP="00AE0472">
            <w:r w:rsidRPr="5F00979C">
              <w:rPr>
                <w:sz w:val="18"/>
                <w:szCs w:val="18"/>
              </w:rPr>
              <w:t xml:space="preserve">Framework created and shared with </w:t>
            </w:r>
            <w:proofErr w:type="spellStart"/>
            <w:r w:rsidR="00AE0472">
              <w:rPr>
                <w:sz w:val="18"/>
                <w:szCs w:val="18"/>
              </w:rPr>
              <w:t>with</w:t>
            </w:r>
            <w:proofErr w:type="spellEnd"/>
            <w:r w:rsidR="00AE0472">
              <w:rPr>
                <w:sz w:val="18"/>
                <w:szCs w:val="18"/>
              </w:rPr>
              <w:t xml:space="preserve"> 2 developing country </w:t>
            </w:r>
            <w:r w:rsidRPr="5F00979C">
              <w:rPr>
                <w:sz w:val="18"/>
                <w:szCs w:val="18"/>
              </w:rPr>
              <w:t>cities.</w:t>
            </w:r>
          </w:p>
        </w:tc>
        <w:tc>
          <w:tcPr>
            <w:tcW w:w="2425" w:type="dxa"/>
            <w:tcBorders>
              <w:bottom w:val="single" w:sz="4" w:space="0" w:color="auto"/>
            </w:tcBorders>
          </w:tcPr>
          <w:p w14:paraId="031149F0" w14:textId="77777777" w:rsidR="00F737DB" w:rsidRDefault="00F737DB" w:rsidP="002047CB">
            <w:pPr>
              <w:rPr>
                <w:rFonts w:cstheme="minorHAnsi"/>
                <w:sz w:val="18"/>
                <w:szCs w:val="18"/>
              </w:rPr>
            </w:pPr>
            <w:r>
              <w:rPr>
                <w:sz w:val="18"/>
                <w:szCs w:val="18"/>
              </w:rPr>
              <w:t xml:space="preserve">10 cities using guidance to </w:t>
            </w:r>
            <w:proofErr w:type="spellStart"/>
            <w:r>
              <w:rPr>
                <w:sz w:val="18"/>
                <w:szCs w:val="18"/>
              </w:rPr>
              <w:t>analyze</w:t>
            </w:r>
            <w:proofErr w:type="spellEnd"/>
            <w:r>
              <w:rPr>
                <w:sz w:val="18"/>
                <w:szCs w:val="18"/>
              </w:rPr>
              <w:t xml:space="preserve"> city footprint on faraway forests.</w:t>
            </w:r>
          </w:p>
        </w:tc>
      </w:tr>
      <w:tr w:rsidR="00F737DB" w14:paraId="4CD113D3" w14:textId="77777777" w:rsidTr="002047CB">
        <w:tc>
          <w:tcPr>
            <w:tcW w:w="4495" w:type="dxa"/>
          </w:tcPr>
          <w:p w14:paraId="54AA5F69" w14:textId="77777777" w:rsidR="00F737DB" w:rsidRPr="008301AB" w:rsidRDefault="00F737DB" w:rsidP="002047CB">
            <w:pPr>
              <w:rPr>
                <w:rFonts w:cstheme="minorHAnsi"/>
                <w:i/>
                <w:sz w:val="18"/>
                <w:szCs w:val="18"/>
                <w:u w:val="single"/>
              </w:rPr>
            </w:pPr>
            <w:r>
              <w:rPr>
                <w:rFonts w:cstheme="minorHAnsi"/>
                <w:i/>
                <w:sz w:val="18"/>
                <w:szCs w:val="18"/>
                <w:u w:val="single"/>
              </w:rPr>
              <w:t>Output 1.5:</w:t>
            </w:r>
            <w:r>
              <w:rPr>
                <w:rFonts w:cstheme="minorHAnsi"/>
                <w:i/>
                <w:sz w:val="18"/>
                <w:szCs w:val="18"/>
              </w:rPr>
              <w:t xml:space="preserve"> </w:t>
            </w:r>
            <w:r>
              <w:rPr>
                <w:rFonts w:cstheme="minorHAnsi"/>
                <w:sz w:val="18"/>
                <w:szCs w:val="18"/>
              </w:rPr>
              <w:t>Partner Forest P</w:t>
            </w:r>
            <w:r w:rsidRPr="00453E64">
              <w:rPr>
                <w:rFonts w:cstheme="minorHAnsi"/>
                <w:sz w:val="18"/>
                <w:szCs w:val="18"/>
              </w:rPr>
              <w:t xml:space="preserve">rogram in which cities </w:t>
            </w:r>
            <w:r>
              <w:rPr>
                <w:rFonts w:cstheme="minorHAnsi"/>
                <w:sz w:val="18"/>
                <w:szCs w:val="18"/>
              </w:rPr>
              <w:t>partner with</w:t>
            </w:r>
            <w:r w:rsidRPr="00453E64">
              <w:rPr>
                <w:rFonts w:cstheme="minorHAnsi"/>
                <w:sz w:val="18"/>
                <w:szCs w:val="18"/>
              </w:rPr>
              <w:t xml:space="preserve"> a faraway forest to support conservation and restoration (e.g., where residents gain awareness of the importance of tropical forests and their role to protect them) </w:t>
            </w:r>
            <w:r>
              <w:rPr>
                <w:rFonts w:cstheme="minorHAnsi"/>
                <w:sz w:val="18"/>
                <w:szCs w:val="18"/>
              </w:rPr>
              <w:t>is refined.</w:t>
            </w:r>
          </w:p>
        </w:tc>
        <w:tc>
          <w:tcPr>
            <w:tcW w:w="2430" w:type="dxa"/>
          </w:tcPr>
          <w:p w14:paraId="271B183C" w14:textId="77777777" w:rsidR="00F737DB" w:rsidRDefault="00F737DB" w:rsidP="002047CB">
            <w:pPr>
              <w:rPr>
                <w:sz w:val="18"/>
                <w:szCs w:val="18"/>
              </w:rPr>
            </w:pPr>
            <w:r w:rsidRPr="5F00979C">
              <w:rPr>
                <w:sz w:val="18"/>
                <w:szCs w:val="18"/>
              </w:rPr>
              <w:t>Workshop to accelerate partner forest program held. Robust adaptable business model with budget, timeline, maps, tools, impact analysis (including carbon and biodiversity projections) and an organizational structure produced.</w:t>
            </w:r>
          </w:p>
        </w:tc>
        <w:tc>
          <w:tcPr>
            <w:tcW w:w="2425" w:type="dxa"/>
          </w:tcPr>
          <w:p w14:paraId="557D8E83" w14:textId="77777777" w:rsidR="00F737DB" w:rsidRPr="00AE07F9" w:rsidRDefault="00F737DB" w:rsidP="002047CB">
            <w:pPr>
              <w:rPr>
                <w:rFonts w:cstheme="minorHAnsi"/>
                <w:sz w:val="18"/>
                <w:szCs w:val="18"/>
              </w:rPr>
            </w:pPr>
            <w:r>
              <w:rPr>
                <w:rFonts w:cstheme="minorHAnsi"/>
                <w:sz w:val="18"/>
                <w:szCs w:val="18"/>
              </w:rPr>
              <w:t xml:space="preserve">Partner Forest programs established in 4 cities. </w:t>
            </w:r>
          </w:p>
        </w:tc>
      </w:tr>
      <w:tr w:rsidR="00F737DB" w14:paraId="6FB8AEBD" w14:textId="77777777" w:rsidTr="002047CB">
        <w:tc>
          <w:tcPr>
            <w:tcW w:w="9350" w:type="dxa"/>
            <w:gridSpan w:val="3"/>
            <w:tcBorders>
              <w:left w:val="nil"/>
              <w:right w:val="nil"/>
            </w:tcBorders>
            <w:shd w:val="clear" w:color="auto" w:fill="auto"/>
          </w:tcPr>
          <w:p w14:paraId="0BF2767F" w14:textId="77777777" w:rsidR="00F737DB" w:rsidRPr="00D629B2" w:rsidRDefault="00F737DB" w:rsidP="002047CB">
            <w:pPr>
              <w:rPr>
                <w:rFonts w:cstheme="minorHAnsi"/>
                <w:i/>
                <w:sz w:val="18"/>
                <w:szCs w:val="18"/>
                <w:u w:val="single"/>
              </w:rPr>
            </w:pPr>
          </w:p>
        </w:tc>
      </w:tr>
      <w:tr w:rsidR="00F737DB" w14:paraId="7DE1B74F" w14:textId="77777777" w:rsidTr="002047CB">
        <w:tc>
          <w:tcPr>
            <w:tcW w:w="9350" w:type="dxa"/>
            <w:gridSpan w:val="3"/>
            <w:shd w:val="clear" w:color="auto" w:fill="F2DBDB" w:themeFill="accent2" w:themeFillTint="33"/>
          </w:tcPr>
          <w:p w14:paraId="1B14893D" w14:textId="77777777" w:rsidR="00F737DB" w:rsidRPr="00D629B2" w:rsidRDefault="00F737DB" w:rsidP="002047CB">
            <w:pPr>
              <w:rPr>
                <w:rFonts w:cstheme="minorHAnsi"/>
                <w:i/>
                <w:sz w:val="18"/>
                <w:szCs w:val="18"/>
                <w:u w:val="single"/>
              </w:rPr>
            </w:pPr>
            <w:r w:rsidRPr="00D629B2">
              <w:rPr>
                <w:rFonts w:cstheme="minorHAnsi"/>
                <w:i/>
                <w:sz w:val="18"/>
                <w:szCs w:val="18"/>
                <w:u w:val="single"/>
              </w:rPr>
              <w:t xml:space="preserve">Outcome </w:t>
            </w:r>
            <w:r>
              <w:rPr>
                <w:rFonts w:cstheme="minorHAnsi"/>
                <w:i/>
                <w:sz w:val="18"/>
                <w:szCs w:val="18"/>
                <w:u w:val="single"/>
              </w:rPr>
              <w:t>2</w:t>
            </w:r>
            <w:r w:rsidRPr="00D629B2">
              <w:rPr>
                <w:rFonts w:cstheme="minorHAnsi"/>
                <w:i/>
                <w:sz w:val="18"/>
                <w:szCs w:val="18"/>
                <w:u w:val="single"/>
              </w:rPr>
              <w:t>:</w:t>
            </w:r>
            <w:r w:rsidRPr="00453E64">
              <w:rPr>
                <w:rFonts w:cstheme="minorHAnsi"/>
                <w:sz w:val="18"/>
                <w:szCs w:val="18"/>
              </w:rPr>
              <w:t xml:space="preserve"> Member city governments </w:t>
            </w:r>
            <w:r>
              <w:rPr>
                <w:rFonts w:cstheme="minorHAnsi"/>
                <w:sz w:val="18"/>
                <w:szCs w:val="18"/>
              </w:rPr>
              <w:t xml:space="preserve">increase investment (political, economic, social) and </w:t>
            </w:r>
            <w:r w:rsidRPr="00453E64">
              <w:rPr>
                <w:rFonts w:cstheme="minorHAnsi"/>
                <w:sz w:val="18"/>
                <w:szCs w:val="18"/>
              </w:rPr>
              <w:t xml:space="preserve">implement </w:t>
            </w:r>
            <w:r>
              <w:rPr>
                <w:rFonts w:cstheme="minorHAnsi"/>
                <w:sz w:val="18"/>
                <w:szCs w:val="18"/>
              </w:rPr>
              <w:t>new and/or improved</w:t>
            </w:r>
            <w:r w:rsidRPr="00453E64">
              <w:rPr>
                <w:rFonts w:cstheme="minorHAnsi"/>
                <w:sz w:val="18"/>
                <w:szCs w:val="18"/>
              </w:rPr>
              <w:t xml:space="preserve"> programs to support the management and conservation </w:t>
            </w:r>
            <w:r w:rsidRPr="00714653">
              <w:rPr>
                <w:rFonts w:cstheme="minorHAnsi"/>
                <w:sz w:val="18"/>
                <w:szCs w:val="18"/>
              </w:rPr>
              <w:t xml:space="preserve">of </w:t>
            </w:r>
            <w:r w:rsidRPr="004B1E6A">
              <w:rPr>
                <w:rFonts w:cstheme="minorHAnsi"/>
                <w:sz w:val="18"/>
                <w:szCs w:val="18"/>
              </w:rPr>
              <w:t xml:space="preserve">inner </w:t>
            </w:r>
            <w:r>
              <w:rPr>
                <w:rFonts w:cstheme="minorHAnsi"/>
                <w:sz w:val="18"/>
                <w:szCs w:val="18"/>
              </w:rPr>
              <w:t xml:space="preserve">and nearby </w:t>
            </w:r>
            <w:r w:rsidRPr="004B1E6A">
              <w:rPr>
                <w:rFonts w:cstheme="minorHAnsi"/>
                <w:sz w:val="18"/>
                <w:szCs w:val="18"/>
              </w:rPr>
              <w:t>forests</w:t>
            </w:r>
            <w:r>
              <w:rPr>
                <w:rFonts w:cstheme="minorHAnsi"/>
                <w:sz w:val="18"/>
                <w:szCs w:val="18"/>
              </w:rPr>
              <w:t>.</w:t>
            </w:r>
          </w:p>
        </w:tc>
      </w:tr>
      <w:tr w:rsidR="00F737DB" w14:paraId="6DA317EA" w14:textId="77777777" w:rsidTr="002047CB">
        <w:tc>
          <w:tcPr>
            <w:tcW w:w="4495" w:type="dxa"/>
          </w:tcPr>
          <w:p w14:paraId="57423CD8" w14:textId="77777777" w:rsidR="00F737DB" w:rsidRPr="008301AB" w:rsidRDefault="00F737DB" w:rsidP="002047CB">
            <w:pPr>
              <w:rPr>
                <w:rFonts w:cstheme="minorHAnsi"/>
                <w:i/>
                <w:sz w:val="18"/>
                <w:szCs w:val="18"/>
                <w:u w:val="single"/>
              </w:rPr>
            </w:pPr>
            <w:r w:rsidRPr="00D629B2">
              <w:rPr>
                <w:rFonts w:cstheme="minorHAnsi"/>
                <w:i/>
                <w:sz w:val="18"/>
                <w:szCs w:val="18"/>
                <w:u w:val="single"/>
              </w:rPr>
              <w:t xml:space="preserve">Output </w:t>
            </w:r>
            <w:r>
              <w:rPr>
                <w:rFonts w:cstheme="minorHAnsi"/>
                <w:i/>
                <w:sz w:val="18"/>
                <w:szCs w:val="18"/>
                <w:u w:val="single"/>
              </w:rPr>
              <w:t>2</w:t>
            </w:r>
            <w:r w:rsidRPr="00D629B2">
              <w:rPr>
                <w:rFonts w:cstheme="minorHAnsi"/>
                <w:i/>
                <w:sz w:val="18"/>
                <w:szCs w:val="18"/>
                <w:u w:val="single"/>
              </w:rPr>
              <w:t>.1:</w:t>
            </w:r>
            <w:r w:rsidRPr="00453E64">
              <w:rPr>
                <w:rFonts w:cstheme="minorHAnsi"/>
                <w:sz w:val="18"/>
                <w:szCs w:val="18"/>
              </w:rPr>
              <w:t xml:space="preserve"> Access to technical assistance to support </w:t>
            </w:r>
            <w:r>
              <w:rPr>
                <w:rFonts w:cstheme="minorHAnsi"/>
                <w:sz w:val="18"/>
                <w:szCs w:val="18"/>
              </w:rPr>
              <w:t>cities</w:t>
            </w:r>
            <w:r w:rsidRPr="00453E64">
              <w:rPr>
                <w:rFonts w:cstheme="minorHAnsi"/>
                <w:sz w:val="18"/>
                <w:szCs w:val="18"/>
              </w:rPr>
              <w:t xml:space="preserve"> with </w:t>
            </w:r>
            <w:r>
              <w:rPr>
                <w:rFonts w:cstheme="minorHAnsi"/>
                <w:sz w:val="18"/>
                <w:szCs w:val="18"/>
              </w:rPr>
              <w:t xml:space="preserve">increasing conservation and restoration of </w:t>
            </w:r>
            <w:r w:rsidRPr="00453E64">
              <w:rPr>
                <w:rFonts w:cstheme="minorHAnsi"/>
                <w:sz w:val="18"/>
                <w:szCs w:val="18"/>
              </w:rPr>
              <w:t>inner forests is provided</w:t>
            </w:r>
            <w:r>
              <w:rPr>
                <w:rFonts w:cstheme="minorHAnsi"/>
                <w:sz w:val="18"/>
                <w:szCs w:val="18"/>
              </w:rPr>
              <w:t xml:space="preserve"> to Antananarivo, Madagascar.</w:t>
            </w:r>
          </w:p>
        </w:tc>
        <w:tc>
          <w:tcPr>
            <w:tcW w:w="2430" w:type="dxa"/>
          </w:tcPr>
          <w:p w14:paraId="23252115" w14:textId="77777777" w:rsidR="00F737DB" w:rsidRDefault="00F737DB" w:rsidP="002047CB">
            <w:pPr>
              <w:rPr>
                <w:sz w:val="18"/>
                <w:szCs w:val="18"/>
              </w:rPr>
            </w:pPr>
            <w:r w:rsidRPr="5F00979C">
              <w:rPr>
                <w:sz w:val="18"/>
                <w:szCs w:val="18"/>
              </w:rPr>
              <w:t xml:space="preserve">Analysis </w:t>
            </w:r>
            <w:r>
              <w:rPr>
                <w:sz w:val="18"/>
                <w:szCs w:val="18"/>
              </w:rPr>
              <w:t xml:space="preserve">to establish </w:t>
            </w:r>
            <w:r w:rsidRPr="5F00979C">
              <w:rPr>
                <w:sz w:val="18"/>
                <w:szCs w:val="18"/>
              </w:rPr>
              <w:t>Antananarivo’s first tree cover and tree count baseline</w:t>
            </w:r>
            <w:r>
              <w:rPr>
                <w:sz w:val="18"/>
                <w:szCs w:val="18"/>
              </w:rPr>
              <w:t>s is</w:t>
            </w:r>
            <w:r w:rsidRPr="5F00979C">
              <w:rPr>
                <w:sz w:val="18"/>
                <w:szCs w:val="18"/>
              </w:rPr>
              <w:t xml:space="preserve"> complete</w:t>
            </w:r>
            <w:r>
              <w:rPr>
                <w:sz w:val="18"/>
                <w:szCs w:val="18"/>
              </w:rPr>
              <w:t xml:space="preserve"> </w:t>
            </w:r>
            <w:r w:rsidRPr="5F00979C">
              <w:rPr>
                <w:sz w:val="18"/>
                <w:szCs w:val="18"/>
              </w:rPr>
              <w:t xml:space="preserve">and recommendations </w:t>
            </w:r>
            <w:r>
              <w:rPr>
                <w:sz w:val="18"/>
                <w:szCs w:val="18"/>
              </w:rPr>
              <w:t xml:space="preserve">to expand tree cover are shared with city officials. </w:t>
            </w:r>
            <w:r w:rsidRPr="5F00979C">
              <w:rPr>
                <w:sz w:val="18"/>
                <w:szCs w:val="18"/>
              </w:rPr>
              <w:t xml:space="preserve"> </w:t>
            </w:r>
          </w:p>
        </w:tc>
        <w:tc>
          <w:tcPr>
            <w:tcW w:w="2425" w:type="dxa"/>
          </w:tcPr>
          <w:p w14:paraId="6272EAB5" w14:textId="77777777" w:rsidR="00F737DB" w:rsidRDefault="00F737DB" w:rsidP="002047CB">
            <w:pPr>
              <w:rPr>
                <w:sz w:val="18"/>
                <w:szCs w:val="18"/>
              </w:rPr>
            </w:pPr>
            <w:r w:rsidRPr="5F00979C">
              <w:rPr>
                <w:sz w:val="18"/>
                <w:szCs w:val="18"/>
              </w:rPr>
              <w:t xml:space="preserve">Technical assistance provided and 20 cities making use of this assistance to implement programs to better manage inner </w:t>
            </w:r>
            <w:r>
              <w:rPr>
                <w:sz w:val="18"/>
                <w:szCs w:val="18"/>
              </w:rPr>
              <w:t xml:space="preserve">and/or nearby </w:t>
            </w:r>
            <w:r w:rsidRPr="5F00979C">
              <w:rPr>
                <w:sz w:val="18"/>
                <w:szCs w:val="18"/>
              </w:rPr>
              <w:t>forests.</w:t>
            </w:r>
          </w:p>
        </w:tc>
      </w:tr>
      <w:tr w:rsidR="00F737DB" w14:paraId="7E1BDF45" w14:textId="77777777" w:rsidTr="002047CB">
        <w:tc>
          <w:tcPr>
            <w:tcW w:w="4495" w:type="dxa"/>
          </w:tcPr>
          <w:p w14:paraId="24D95702" w14:textId="77777777" w:rsidR="00F737DB" w:rsidRPr="00EE3643" w:rsidRDefault="00F737DB" w:rsidP="002047CB">
            <w:pPr>
              <w:rPr>
                <w:i/>
                <w:iCs/>
                <w:sz w:val="18"/>
                <w:szCs w:val="18"/>
                <w:u w:val="single"/>
              </w:rPr>
            </w:pPr>
            <w:r w:rsidRPr="4BBE7C82">
              <w:rPr>
                <w:i/>
                <w:iCs/>
                <w:sz w:val="18"/>
                <w:szCs w:val="18"/>
                <w:u w:val="single"/>
              </w:rPr>
              <w:t>Output 2.2:</w:t>
            </w:r>
            <w:r w:rsidRPr="00781C59">
              <w:rPr>
                <w:sz w:val="18"/>
                <w:szCs w:val="18"/>
              </w:rPr>
              <w:t xml:space="preserve"> </w:t>
            </w:r>
            <w:r w:rsidRPr="4BBE7C82">
              <w:rPr>
                <w:sz w:val="18"/>
                <w:szCs w:val="18"/>
              </w:rPr>
              <w:t>Access to technical assistance to support cities with increasing conservation and restoration of nearby forests, including guidance on green-</w:t>
            </w:r>
            <w:proofErr w:type="spellStart"/>
            <w:r w:rsidRPr="4BBE7C82">
              <w:rPr>
                <w:sz w:val="18"/>
                <w:szCs w:val="18"/>
              </w:rPr>
              <w:t>gray</w:t>
            </w:r>
            <w:proofErr w:type="spellEnd"/>
            <w:r w:rsidRPr="4BBE7C82">
              <w:rPr>
                <w:sz w:val="18"/>
                <w:szCs w:val="18"/>
              </w:rPr>
              <w:t xml:space="preserve"> economic analyses, is </w:t>
            </w:r>
            <w:proofErr w:type="gramStart"/>
            <w:r w:rsidRPr="4BBE7C82">
              <w:rPr>
                <w:sz w:val="18"/>
                <w:szCs w:val="18"/>
              </w:rPr>
              <w:t>developed</w:t>
            </w:r>
            <w:proofErr w:type="gramEnd"/>
            <w:r w:rsidRPr="4BBE7C82">
              <w:rPr>
                <w:sz w:val="18"/>
                <w:szCs w:val="18"/>
              </w:rPr>
              <w:t xml:space="preserve"> and provided to Campinas, Brazil.</w:t>
            </w:r>
          </w:p>
        </w:tc>
        <w:tc>
          <w:tcPr>
            <w:tcW w:w="2430" w:type="dxa"/>
          </w:tcPr>
          <w:p w14:paraId="40EBA9E3" w14:textId="77777777" w:rsidR="00F737DB" w:rsidRDefault="00F737DB" w:rsidP="002047CB">
            <w:pPr>
              <w:rPr>
                <w:sz w:val="18"/>
                <w:szCs w:val="18"/>
              </w:rPr>
            </w:pPr>
            <w:proofErr w:type="spellStart"/>
            <w:r w:rsidRPr="5F00979C">
              <w:rPr>
                <w:sz w:val="18"/>
                <w:szCs w:val="18"/>
              </w:rPr>
              <w:t>Kickoff</w:t>
            </w:r>
            <w:proofErr w:type="spellEnd"/>
            <w:r w:rsidRPr="5F00979C">
              <w:rPr>
                <w:sz w:val="18"/>
                <w:szCs w:val="18"/>
              </w:rPr>
              <w:t xml:space="preserve"> workshop to identify research needs</w:t>
            </w:r>
            <w:r>
              <w:rPr>
                <w:sz w:val="18"/>
                <w:szCs w:val="18"/>
              </w:rPr>
              <w:t xml:space="preserve"> and data</w:t>
            </w:r>
            <w:r w:rsidRPr="5F00979C">
              <w:rPr>
                <w:sz w:val="18"/>
                <w:szCs w:val="18"/>
              </w:rPr>
              <w:t xml:space="preserve"> gaps, broaden stakeholder buy-in, finalize workplan</w:t>
            </w:r>
            <w:r>
              <w:rPr>
                <w:sz w:val="18"/>
                <w:szCs w:val="18"/>
              </w:rPr>
              <w:t xml:space="preserve"> and begin </w:t>
            </w:r>
            <w:r w:rsidRPr="5F00979C">
              <w:rPr>
                <w:sz w:val="18"/>
                <w:szCs w:val="18"/>
              </w:rPr>
              <w:t xml:space="preserve">data analysis </w:t>
            </w:r>
            <w:r>
              <w:rPr>
                <w:sz w:val="18"/>
                <w:szCs w:val="18"/>
              </w:rPr>
              <w:t>is held</w:t>
            </w:r>
            <w:r w:rsidRPr="5F00979C">
              <w:rPr>
                <w:sz w:val="18"/>
                <w:szCs w:val="18"/>
              </w:rPr>
              <w:t xml:space="preserve">. </w:t>
            </w:r>
          </w:p>
        </w:tc>
        <w:tc>
          <w:tcPr>
            <w:tcW w:w="2425" w:type="dxa"/>
          </w:tcPr>
          <w:p w14:paraId="2BE15237" w14:textId="77777777" w:rsidR="00F737DB" w:rsidRPr="000D1CDD" w:rsidRDefault="00F737DB" w:rsidP="002047CB">
            <w:pPr>
              <w:rPr>
                <w:rFonts w:cstheme="minorHAnsi"/>
                <w:sz w:val="18"/>
                <w:szCs w:val="18"/>
              </w:rPr>
            </w:pPr>
            <w:r w:rsidRPr="007E7031">
              <w:rPr>
                <w:rFonts w:cstheme="minorHAnsi"/>
                <w:sz w:val="18"/>
                <w:szCs w:val="18"/>
              </w:rPr>
              <w:t xml:space="preserve">Technical assistance provided and 15 cities making use of this assistance to implement programs that better </w:t>
            </w:r>
            <w:r>
              <w:rPr>
                <w:rFonts w:cstheme="minorHAnsi"/>
                <w:sz w:val="18"/>
                <w:szCs w:val="18"/>
              </w:rPr>
              <w:t xml:space="preserve">protect, restore and/or </w:t>
            </w:r>
            <w:r w:rsidRPr="007E7031">
              <w:rPr>
                <w:rFonts w:cstheme="minorHAnsi"/>
                <w:sz w:val="18"/>
                <w:szCs w:val="18"/>
              </w:rPr>
              <w:t xml:space="preserve">manage </w:t>
            </w:r>
            <w:r w:rsidRPr="5F00979C">
              <w:rPr>
                <w:sz w:val="18"/>
                <w:szCs w:val="18"/>
              </w:rPr>
              <w:t xml:space="preserve">inner </w:t>
            </w:r>
            <w:r>
              <w:rPr>
                <w:sz w:val="18"/>
                <w:szCs w:val="18"/>
              </w:rPr>
              <w:t xml:space="preserve">and/or </w:t>
            </w:r>
            <w:r w:rsidRPr="007E7031">
              <w:rPr>
                <w:rFonts w:cstheme="minorHAnsi"/>
                <w:sz w:val="18"/>
                <w:szCs w:val="18"/>
              </w:rPr>
              <w:t>nearby forests</w:t>
            </w:r>
            <w:r>
              <w:rPr>
                <w:rFonts w:cstheme="minorHAnsi"/>
                <w:sz w:val="18"/>
                <w:szCs w:val="18"/>
              </w:rPr>
              <w:t>.</w:t>
            </w:r>
          </w:p>
        </w:tc>
      </w:tr>
      <w:tr w:rsidR="00F737DB" w14:paraId="3ED68E99" w14:textId="77777777" w:rsidTr="002047CB">
        <w:tc>
          <w:tcPr>
            <w:tcW w:w="4495" w:type="dxa"/>
          </w:tcPr>
          <w:p w14:paraId="0E514B5D" w14:textId="77777777" w:rsidR="00F737DB" w:rsidRPr="00D629B2" w:rsidRDefault="00F737DB" w:rsidP="002047CB">
            <w:pPr>
              <w:rPr>
                <w:rFonts w:cstheme="minorHAnsi"/>
                <w:i/>
                <w:sz w:val="18"/>
                <w:szCs w:val="18"/>
                <w:u w:val="single"/>
              </w:rPr>
            </w:pPr>
            <w:r>
              <w:rPr>
                <w:rFonts w:cstheme="minorHAnsi"/>
                <w:i/>
                <w:sz w:val="18"/>
                <w:szCs w:val="18"/>
                <w:u w:val="single"/>
              </w:rPr>
              <w:t>Output 2</w:t>
            </w:r>
            <w:r w:rsidRPr="00D629B2">
              <w:rPr>
                <w:rFonts w:cstheme="minorHAnsi"/>
                <w:i/>
                <w:sz w:val="18"/>
                <w:szCs w:val="18"/>
                <w:u w:val="single"/>
              </w:rPr>
              <w:t>.</w:t>
            </w:r>
            <w:r>
              <w:rPr>
                <w:rFonts w:cstheme="minorHAnsi"/>
                <w:i/>
                <w:sz w:val="18"/>
                <w:szCs w:val="18"/>
                <w:u w:val="single"/>
              </w:rPr>
              <w:t>3</w:t>
            </w:r>
            <w:r w:rsidRPr="00D629B2">
              <w:rPr>
                <w:rFonts w:cstheme="minorHAnsi"/>
                <w:i/>
                <w:sz w:val="18"/>
                <w:szCs w:val="18"/>
                <w:u w:val="single"/>
              </w:rPr>
              <w:t>:</w:t>
            </w:r>
            <w:r w:rsidRPr="00453E64">
              <w:rPr>
                <w:rFonts w:cstheme="minorHAnsi"/>
                <w:sz w:val="18"/>
                <w:szCs w:val="18"/>
              </w:rPr>
              <w:t xml:space="preserve"> Access to technical assistance to support </w:t>
            </w:r>
            <w:r>
              <w:rPr>
                <w:rFonts w:cstheme="minorHAnsi"/>
                <w:sz w:val="18"/>
                <w:szCs w:val="18"/>
              </w:rPr>
              <w:t>cities</w:t>
            </w:r>
            <w:r w:rsidRPr="00453E64">
              <w:rPr>
                <w:rFonts w:cstheme="minorHAnsi"/>
                <w:sz w:val="18"/>
                <w:szCs w:val="18"/>
              </w:rPr>
              <w:t xml:space="preserve"> with</w:t>
            </w:r>
            <w:r>
              <w:rPr>
                <w:rFonts w:cstheme="minorHAnsi"/>
                <w:sz w:val="18"/>
                <w:szCs w:val="18"/>
              </w:rPr>
              <w:t xml:space="preserve"> increasing conservation and restoration of</w:t>
            </w:r>
            <w:r w:rsidRPr="00453E64">
              <w:rPr>
                <w:rFonts w:cstheme="minorHAnsi"/>
                <w:sz w:val="18"/>
                <w:szCs w:val="18"/>
              </w:rPr>
              <w:t xml:space="preserve"> inner forests is provided</w:t>
            </w:r>
            <w:r>
              <w:rPr>
                <w:rFonts w:cstheme="minorHAnsi"/>
                <w:sz w:val="18"/>
                <w:szCs w:val="18"/>
              </w:rPr>
              <w:t xml:space="preserve"> to Kochi, India.</w:t>
            </w:r>
          </w:p>
        </w:tc>
        <w:tc>
          <w:tcPr>
            <w:tcW w:w="2430" w:type="dxa"/>
          </w:tcPr>
          <w:p w14:paraId="5FC4D479" w14:textId="77777777" w:rsidR="00F737DB" w:rsidRDefault="00F737DB" w:rsidP="002047CB">
            <w:pPr>
              <w:rPr>
                <w:sz w:val="18"/>
                <w:szCs w:val="18"/>
              </w:rPr>
            </w:pPr>
            <w:r w:rsidRPr="5F00979C">
              <w:rPr>
                <w:sz w:val="18"/>
                <w:szCs w:val="18"/>
              </w:rPr>
              <w:t xml:space="preserve">Analysis </w:t>
            </w:r>
            <w:r>
              <w:rPr>
                <w:sz w:val="18"/>
                <w:szCs w:val="18"/>
              </w:rPr>
              <w:t xml:space="preserve">of </w:t>
            </w:r>
            <w:r w:rsidRPr="5F00979C">
              <w:rPr>
                <w:sz w:val="18"/>
                <w:szCs w:val="18"/>
              </w:rPr>
              <w:t xml:space="preserve">Kochi’s first tree cover baseline and map of water and vegetation resources </w:t>
            </w:r>
            <w:r>
              <w:rPr>
                <w:sz w:val="18"/>
                <w:szCs w:val="18"/>
              </w:rPr>
              <w:t xml:space="preserve">is </w:t>
            </w:r>
            <w:r w:rsidRPr="5F00979C">
              <w:rPr>
                <w:sz w:val="18"/>
                <w:szCs w:val="18"/>
              </w:rPr>
              <w:t xml:space="preserve">complete and recommendations </w:t>
            </w:r>
            <w:r>
              <w:rPr>
                <w:sz w:val="18"/>
                <w:szCs w:val="18"/>
              </w:rPr>
              <w:t>to increase tree cover are shared with city officials</w:t>
            </w:r>
            <w:r w:rsidRPr="5F00979C">
              <w:rPr>
                <w:sz w:val="18"/>
                <w:szCs w:val="18"/>
              </w:rPr>
              <w:t>.</w:t>
            </w:r>
          </w:p>
        </w:tc>
        <w:tc>
          <w:tcPr>
            <w:tcW w:w="2425" w:type="dxa"/>
          </w:tcPr>
          <w:p w14:paraId="1D180DCF" w14:textId="77777777" w:rsidR="00F737DB" w:rsidRPr="000D1CDD" w:rsidRDefault="00F737DB" w:rsidP="002047CB">
            <w:pPr>
              <w:rPr>
                <w:rFonts w:cstheme="minorHAnsi"/>
                <w:sz w:val="18"/>
                <w:szCs w:val="18"/>
              </w:rPr>
            </w:pPr>
            <w:r w:rsidRPr="000D1CDD">
              <w:rPr>
                <w:rFonts w:cstheme="minorHAnsi"/>
                <w:sz w:val="18"/>
                <w:szCs w:val="18"/>
              </w:rPr>
              <w:t xml:space="preserve">Technical assistance provided and 20 cities making use of this assistance to implement programs to better manage </w:t>
            </w:r>
            <w:r w:rsidRPr="5F00979C">
              <w:rPr>
                <w:sz w:val="18"/>
                <w:szCs w:val="18"/>
              </w:rPr>
              <w:t xml:space="preserve">inner </w:t>
            </w:r>
            <w:r>
              <w:rPr>
                <w:sz w:val="18"/>
                <w:szCs w:val="18"/>
              </w:rPr>
              <w:t xml:space="preserve">and/or nearby </w:t>
            </w:r>
            <w:r w:rsidRPr="5F00979C">
              <w:rPr>
                <w:sz w:val="18"/>
                <w:szCs w:val="18"/>
              </w:rPr>
              <w:t>forests</w:t>
            </w:r>
            <w:r>
              <w:rPr>
                <w:rFonts w:cstheme="minorHAnsi"/>
                <w:sz w:val="18"/>
                <w:szCs w:val="18"/>
              </w:rPr>
              <w:t>.</w:t>
            </w:r>
          </w:p>
        </w:tc>
      </w:tr>
      <w:tr w:rsidR="00AE0472" w14:paraId="73CAC1D8" w14:textId="77777777" w:rsidTr="002047CB">
        <w:tc>
          <w:tcPr>
            <w:tcW w:w="4495" w:type="dxa"/>
          </w:tcPr>
          <w:p w14:paraId="51A34C0B" w14:textId="67A84E62" w:rsidR="00AE0472" w:rsidRDefault="00AE0472" w:rsidP="00AE0472">
            <w:pPr>
              <w:rPr>
                <w:rFonts w:cstheme="minorHAnsi"/>
                <w:i/>
                <w:sz w:val="18"/>
                <w:szCs w:val="18"/>
                <w:u w:val="single"/>
              </w:rPr>
            </w:pPr>
            <w:r>
              <w:rPr>
                <w:rFonts w:cstheme="minorHAnsi"/>
                <w:i/>
                <w:sz w:val="18"/>
                <w:szCs w:val="18"/>
                <w:u w:val="single"/>
              </w:rPr>
              <w:t>Output 2.4:</w:t>
            </w:r>
            <w:r>
              <w:rPr>
                <w:rFonts w:cstheme="minorHAnsi"/>
                <w:sz w:val="18"/>
                <w:szCs w:val="18"/>
              </w:rPr>
              <w:t xml:space="preserve"> Access to technical assistance is provided to support cities with increasing conservation and restoration of inner forests is provided to Jakarta, Indonesia </w:t>
            </w:r>
          </w:p>
        </w:tc>
        <w:tc>
          <w:tcPr>
            <w:tcW w:w="2430" w:type="dxa"/>
          </w:tcPr>
          <w:p w14:paraId="00A91505" w14:textId="72AC8006" w:rsidR="00AE0472" w:rsidRPr="5F00979C" w:rsidRDefault="00AE0472" w:rsidP="00AE0472">
            <w:pPr>
              <w:rPr>
                <w:sz w:val="18"/>
                <w:szCs w:val="18"/>
              </w:rPr>
            </w:pPr>
            <w:r>
              <w:rPr>
                <w:sz w:val="18"/>
                <w:szCs w:val="18"/>
              </w:rPr>
              <w:t>Analysis to establish Jakarta’s first tree cover and green space baselines is complete and strategic recommendations to expand tree cover are shared with the Governor’s Office.</w:t>
            </w:r>
          </w:p>
        </w:tc>
        <w:tc>
          <w:tcPr>
            <w:tcW w:w="2425" w:type="dxa"/>
          </w:tcPr>
          <w:p w14:paraId="71981E2E" w14:textId="3BF6019A" w:rsidR="00AE0472" w:rsidRPr="000D1CDD" w:rsidRDefault="00AE0472" w:rsidP="00AE0472">
            <w:pPr>
              <w:rPr>
                <w:rFonts w:cstheme="minorHAnsi"/>
                <w:sz w:val="18"/>
                <w:szCs w:val="18"/>
              </w:rPr>
            </w:pPr>
            <w:r>
              <w:rPr>
                <w:rFonts w:cstheme="minorHAnsi"/>
                <w:sz w:val="18"/>
                <w:szCs w:val="18"/>
              </w:rPr>
              <w:t xml:space="preserve">Technical assistance provided and 20 cities making use of this assistance to implement programs to better manage </w:t>
            </w:r>
            <w:r>
              <w:rPr>
                <w:sz w:val="18"/>
                <w:szCs w:val="18"/>
              </w:rPr>
              <w:t>inner and/or nearby forests</w:t>
            </w:r>
            <w:r>
              <w:rPr>
                <w:rFonts w:cstheme="minorHAnsi"/>
                <w:sz w:val="18"/>
                <w:szCs w:val="18"/>
              </w:rPr>
              <w:t>.</w:t>
            </w:r>
          </w:p>
        </w:tc>
      </w:tr>
      <w:tr w:rsidR="00AE0472" w14:paraId="3E765D50" w14:textId="77777777" w:rsidTr="002047CB">
        <w:tc>
          <w:tcPr>
            <w:tcW w:w="4495" w:type="dxa"/>
          </w:tcPr>
          <w:p w14:paraId="58353AD6" w14:textId="02922730" w:rsidR="00AE0472" w:rsidRDefault="00AE0472" w:rsidP="00AE0472">
            <w:pPr>
              <w:rPr>
                <w:rFonts w:cstheme="minorHAnsi"/>
                <w:i/>
                <w:sz w:val="18"/>
                <w:szCs w:val="18"/>
                <w:u w:val="single"/>
              </w:rPr>
            </w:pPr>
            <w:r>
              <w:rPr>
                <w:rFonts w:cstheme="minorHAnsi"/>
                <w:i/>
                <w:sz w:val="18"/>
                <w:szCs w:val="18"/>
                <w:u w:val="single"/>
              </w:rPr>
              <w:t>Output 2.5:</w:t>
            </w:r>
            <w:r>
              <w:rPr>
                <w:rFonts w:cstheme="minorHAnsi"/>
                <w:sz w:val="18"/>
                <w:szCs w:val="18"/>
              </w:rPr>
              <w:t xml:space="preserve"> Access to technical assistance is provided to support cities with increasing conservation and restoration of inner forests is provided to cities in Mexico </w:t>
            </w:r>
          </w:p>
        </w:tc>
        <w:tc>
          <w:tcPr>
            <w:tcW w:w="2430" w:type="dxa"/>
          </w:tcPr>
          <w:p w14:paraId="0D1F1543" w14:textId="59C5FE17" w:rsidR="00AE0472" w:rsidRPr="5F00979C" w:rsidRDefault="00AE0472" w:rsidP="00AE0472">
            <w:pPr>
              <w:rPr>
                <w:sz w:val="18"/>
                <w:szCs w:val="18"/>
              </w:rPr>
            </w:pPr>
            <w:r>
              <w:rPr>
                <w:sz w:val="18"/>
                <w:szCs w:val="18"/>
              </w:rPr>
              <w:t xml:space="preserve">Two workshops and one high-level convening that focus on how to access finance for nature-based solutions in Mexico are hosted with at least 3 cities participating. </w:t>
            </w:r>
          </w:p>
        </w:tc>
        <w:tc>
          <w:tcPr>
            <w:tcW w:w="2425" w:type="dxa"/>
          </w:tcPr>
          <w:p w14:paraId="7C7F65EE" w14:textId="6540D0AB" w:rsidR="00AE0472" w:rsidRPr="000D1CDD" w:rsidRDefault="00AE0472" w:rsidP="00AE0472">
            <w:pPr>
              <w:rPr>
                <w:rFonts w:cstheme="minorHAnsi"/>
                <w:sz w:val="18"/>
                <w:szCs w:val="18"/>
              </w:rPr>
            </w:pPr>
            <w:r>
              <w:rPr>
                <w:rFonts w:cstheme="minorHAnsi"/>
                <w:sz w:val="18"/>
                <w:szCs w:val="18"/>
              </w:rPr>
              <w:t xml:space="preserve">Technical assistance provided and 20 cities making use of this assistance to implement programs to better manage </w:t>
            </w:r>
            <w:r>
              <w:rPr>
                <w:sz w:val="18"/>
                <w:szCs w:val="18"/>
              </w:rPr>
              <w:t>inner and/or nearby forests</w:t>
            </w:r>
            <w:r>
              <w:rPr>
                <w:rFonts w:cstheme="minorHAnsi"/>
                <w:sz w:val="18"/>
                <w:szCs w:val="18"/>
              </w:rPr>
              <w:t>.</w:t>
            </w:r>
          </w:p>
        </w:tc>
      </w:tr>
      <w:tr w:rsidR="00F737DB" w14:paraId="755F3080" w14:textId="77777777" w:rsidTr="002047CB">
        <w:tc>
          <w:tcPr>
            <w:tcW w:w="9350" w:type="dxa"/>
            <w:gridSpan w:val="3"/>
            <w:tcBorders>
              <w:left w:val="nil"/>
              <w:right w:val="nil"/>
            </w:tcBorders>
            <w:shd w:val="clear" w:color="auto" w:fill="auto"/>
          </w:tcPr>
          <w:p w14:paraId="48295999" w14:textId="77777777" w:rsidR="00F737DB" w:rsidRPr="00AC4DC9" w:rsidRDefault="00F737DB" w:rsidP="002047CB">
            <w:pPr>
              <w:rPr>
                <w:rFonts w:cstheme="minorHAnsi"/>
                <w:i/>
                <w:sz w:val="18"/>
                <w:szCs w:val="18"/>
                <w:u w:val="single"/>
              </w:rPr>
            </w:pPr>
          </w:p>
        </w:tc>
      </w:tr>
      <w:tr w:rsidR="00F737DB" w14:paraId="77C87484" w14:textId="77777777" w:rsidTr="002047CB">
        <w:tc>
          <w:tcPr>
            <w:tcW w:w="9350" w:type="dxa"/>
            <w:gridSpan w:val="3"/>
            <w:shd w:val="clear" w:color="auto" w:fill="F2DBDB" w:themeFill="accent2" w:themeFillTint="33"/>
          </w:tcPr>
          <w:p w14:paraId="5FD48A3F" w14:textId="77777777" w:rsidR="00F737DB" w:rsidRPr="00C00A1C" w:rsidRDefault="00F737DB" w:rsidP="002047CB">
            <w:pPr>
              <w:rPr>
                <w:sz w:val="18"/>
                <w:szCs w:val="18"/>
              </w:rPr>
            </w:pPr>
            <w:r w:rsidRPr="00E26A1A">
              <w:rPr>
                <w:i/>
                <w:sz w:val="18"/>
                <w:szCs w:val="18"/>
                <w:u w:val="single"/>
              </w:rPr>
              <w:t>Outcome 3</w:t>
            </w:r>
            <w:r w:rsidRPr="00E26A1A">
              <w:rPr>
                <w:sz w:val="18"/>
                <w:szCs w:val="18"/>
                <w:u w:val="single"/>
              </w:rPr>
              <w:t>:</w:t>
            </w:r>
            <w:r w:rsidRPr="00E26A1A">
              <w:rPr>
                <w:sz w:val="18"/>
                <w:szCs w:val="18"/>
              </w:rPr>
              <w:t xml:space="preserve"> Mayors increase </w:t>
            </w:r>
            <w:r w:rsidRPr="00C2564F">
              <w:rPr>
                <w:sz w:val="18"/>
                <w:szCs w:val="18"/>
              </w:rPr>
              <w:t>political action and support</w:t>
            </w:r>
            <w:r w:rsidRPr="00E26A1A">
              <w:rPr>
                <w:sz w:val="18"/>
                <w:szCs w:val="18"/>
              </w:rPr>
              <w:t xml:space="preserve"> for trees and forests as a solution for combatting climate change, supporting better water management, and improving human health and well-being, citing an established evidence-based narrative about</w:t>
            </w:r>
            <w:r w:rsidRPr="002A32EE">
              <w:rPr>
                <w:sz w:val="18"/>
                <w:szCs w:val="18"/>
              </w:rPr>
              <w:t xml:space="preserve"> the benefits of inner, nearby</w:t>
            </w:r>
            <w:r w:rsidRPr="004A3219">
              <w:rPr>
                <w:sz w:val="18"/>
                <w:szCs w:val="18"/>
              </w:rPr>
              <w:t>, and faraway forests to cities and their residents.</w:t>
            </w:r>
          </w:p>
        </w:tc>
      </w:tr>
      <w:tr w:rsidR="00F737DB" w14:paraId="126A6613" w14:textId="77777777" w:rsidTr="002047CB">
        <w:tc>
          <w:tcPr>
            <w:tcW w:w="4495" w:type="dxa"/>
          </w:tcPr>
          <w:p w14:paraId="025103F4" w14:textId="6EC98464" w:rsidR="00F737DB" w:rsidRPr="00AC4DC9" w:rsidRDefault="00F737DB" w:rsidP="00AE0472">
            <w:pPr>
              <w:rPr>
                <w:rFonts w:cstheme="minorHAnsi"/>
                <w:i/>
                <w:sz w:val="18"/>
                <w:szCs w:val="18"/>
                <w:u w:val="single"/>
              </w:rPr>
            </w:pPr>
            <w:r w:rsidRPr="00D629B2">
              <w:rPr>
                <w:rFonts w:cstheme="minorHAnsi"/>
                <w:i/>
                <w:sz w:val="18"/>
                <w:szCs w:val="18"/>
                <w:u w:val="single"/>
              </w:rPr>
              <w:t xml:space="preserve">Output </w:t>
            </w:r>
            <w:r>
              <w:rPr>
                <w:rFonts w:cstheme="minorHAnsi"/>
                <w:i/>
                <w:sz w:val="18"/>
                <w:szCs w:val="18"/>
                <w:u w:val="single"/>
              </w:rPr>
              <w:t>3.</w:t>
            </w:r>
            <w:r w:rsidR="00AE0472">
              <w:rPr>
                <w:rFonts w:cstheme="minorHAnsi"/>
                <w:i/>
                <w:sz w:val="18"/>
                <w:szCs w:val="18"/>
                <w:u w:val="single"/>
              </w:rPr>
              <w:t>1</w:t>
            </w:r>
            <w:r>
              <w:rPr>
                <w:rFonts w:cstheme="minorHAnsi"/>
                <w:i/>
                <w:sz w:val="18"/>
                <w:szCs w:val="18"/>
                <w:u w:val="single"/>
              </w:rPr>
              <w:t>:</w:t>
            </w:r>
            <w:r>
              <w:rPr>
                <w:rFonts w:cstheme="minorHAnsi"/>
                <w:i/>
                <w:sz w:val="18"/>
                <w:szCs w:val="18"/>
              </w:rPr>
              <w:t xml:space="preserve"> </w:t>
            </w:r>
            <w:r w:rsidRPr="00534621">
              <w:rPr>
                <w:rFonts w:cstheme="minorHAnsi"/>
                <w:sz w:val="18"/>
                <w:szCs w:val="18"/>
              </w:rPr>
              <w:t>Brazilian i</w:t>
            </w:r>
            <w:r w:rsidRPr="00453E64">
              <w:rPr>
                <w:rFonts w:cstheme="minorHAnsi"/>
                <w:sz w:val="18"/>
                <w:szCs w:val="18"/>
              </w:rPr>
              <w:t>nter-ci</w:t>
            </w:r>
            <w:r>
              <w:rPr>
                <w:rFonts w:cstheme="minorHAnsi"/>
                <w:sz w:val="18"/>
                <w:szCs w:val="18"/>
              </w:rPr>
              <w:t>ty peer-to-peer exchange visits</w:t>
            </w:r>
            <w:r w:rsidRPr="00453E64">
              <w:rPr>
                <w:rFonts w:cstheme="minorHAnsi"/>
                <w:sz w:val="18"/>
                <w:szCs w:val="18"/>
              </w:rPr>
              <w:t xml:space="preserve"> to </w:t>
            </w:r>
            <w:r>
              <w:rPr>
                <w:rFonts w:cstheme="minorHAnsi"/>
                <w:sz w:val="18"/>
                <w:szCs w:val="18"/>
              </w:rPr>
              <w:t xml:space="preserve">galvanize sub-national action for forests </w:t>
            </w:r>
            <w:r w:rsidRPr="00453E64">
              <w:rPr>
                <w:rFonts w:cstheme="minorHAnsi"/>
                <w:sz w:val="18"/>
                <w:szCs w:val="18"/>
              </w:rPr>
              <w:t>organized and executed</w:t>
            </w:r>
            <w:r>
              <w:rPr>
                <w:rFonts w:cstheme="minorHAnsi"/>
                <w:sz w:val="18"/>
                <w:szCs w:val="18"/>
              </w:rPr>
              <w:t>.</w:t>
            </w:r>
          </w:p>
        </w:tc>
        <w:tc>
          <w:tcPr>
            <w:tcW w:w="2430" w:type="dxa"/>
          </w:tcPr>
          <w:p w14:paraId="79116514" w14:textId="77777777" w:rsidR="00F737DB" w:rsidRPr="00991BFB" w:rsidRDefault="00F737DB" w:rsidP="002047CB">
            <w:pPr>
              <w:rPr>
                <w:sz w:val="18"/>
                <w:szCs w:val="18"/>
              </w:rPr>
            </w:pPr>
            <w:r w:rsidRPr="5F00979C">
              <w:rPr>
                <w:sz w:val="18"/>
                <w:szCs w:val="18"/>
              </w:rPr>
              <w:t>1 exchange visit with at least 4 Brazilian cities participating executed.</w:t>
            </w:r>
          </w:p>
        </w:tc>
        <w:tc>
          <w:tcPr>
            <w:tcW w:w="2425" w:type="dxa"/>
          </w:tcPr>
          <w:p w14:paraId="2B5FB9DF" w14:textId="77777777" w:rsidR="00F737DB" w:rsidRPr="00BF4B12" w:rsidRDefault="00F737DB" w:rsidP="002047CB">
            <w:pPr>
              <w:rPr>
                <w:rFonts w:cstheme="minorHAnsi"/>
                <w:sz w:val="18"/>
                <w:szCs w:val="18"/>
              </w:rPr>
            </w:pPr>
            <w:r>
              <w:rPr>
                <w:sz w:val="18"/>
                <w:szCs w:val="18"/>
              </w:rPr>
              <w:t xml:space="preserve">3 exchange visits with 20 cities participating across the network of cities and all 3 forest levels. </w:t>
            </w:r>
          </w:p>
        </w:tc>
      </w:tr>
      <w:tr w:rsidR="00F737DB" w14:paraId="42AA6642" w14:textId="77777777" w:rsidTr="002047CB">
        <w:tc>
          <w:tcPr>
            <w:tcW w:w="4495" w:type="dxa"/>
          </w:tcPr>
          <w:p w14:paraId="16DA9403" w14:textId="03808E58" w:rsidR="00F737DB" w:rsidRPr="00AC4DC9" w:rsidRDefault="00F737DB" w:rsidP="002047CB">
            <w:pPr>
              <w:rPr>
                <w:rFonts w:cstheme="minorHAnsi"/>
                <w:i/>
                <w:sz w:val="18"/>
                <w:szCs w:val="18"/>
                <w:u w:val="single"/>
              </w:rPr>
            </w:pPr>
            <w:r w:rsidRPr="00D629B2">
              <w:rPr>
                <w:rFonts w:cstheme="minorHAnsi"/>
                <w:i/>
                <w:sz w:val="18"/>
                <w:szCs w:val="18"/>
                <w:u w:val="single"/>
              </w:rPr>
              <w:t xml:space="preserve">Output </w:t>
            </w:r>
            <w:r>
              <w:rPr>
                <w:rFonts w:cstheme="minorHAnsi"/>
                <w:i/>
                <w:sz w:val="18"/>
                <w:szCs w:val="18"/>
                <w:u w:val="single"/>
              </w:rPr>
              <w:t>3</w:t>
            </w:r>
            <w:r w:rsidRPr="00D629B2">
              <w:rPr>
                <w:rFonts w:cstheme="minorHAnsi"/>
                <w:i/>
                <w:sz w:val="18"/>
                <w:szCs w:val="18"/>
                <w:u w:val="single"/>
              </w:rPr>
              <w:t>.</w:t>
            </w:r>
            <w:r w:rsidR="00AE0472">
              <w:rPr>
                <w:rFonts w:cstheme="minorHAnsi"/>
                <w:i/>
                <w:sz w:val="18"/>
                <w:szCs w:val="18"/>
                <w:u w:val="single"/>
              </w:rPr>
              <w:t>2</w:t>
            </w:r>
            <w:r w:rsidRPr="00D629B2">
              <w:rPr>
                <w:rFonts w:cstheme="minorHAnsi"/>
                <w:i/>
                <w:sz w:val="18"/>
                <w:szCs w:val="18"/>
                <w:u w:val="single"/>
              </w:rPr>
              <w:t>:</w:t>
            </w:r>
            <w:r w:rsidRPr="00453E64">
              <w:rPr>
                <w:rFonts w:cstheme="minorHAnsi"/>
                <w:sz w:val="18"/>
                <w:szCs w:val="18"/>
              </w:rPr>
              <w:t xml:space="preserve"> </w:t>
            </w:r>
            <w:r>
              <w:rPr>
                <w:rFonts w:cstheme="minorHAnsi"/>
                <w:sz w:val="18"/>
                <w:szCs w:val="18"/>
              </w:rPr>
              <w:t xml:space="preserve">Global mayoral declaration on the importance of forests for climate action drafted and ready to be shared with city leaders. </w:t>
            </w:r>
          </w:p>
        </w:tc>
        <w:tc>
          <w:tcPr>
            <w:tcW w:w="2430" w:type="dxa"/>
          </w:tcPr>
          <w:p w14:paraId="5A6CF7E7" w14:textId="77777777" w:rsidR="00F737DB" w:rsidRPr="00991BFB" w:rsidRDefault="00F737DB" w:rsidP="002047CB">
            <w:pPr>
              <w:rPr>
                <w:sz w:val="18"/>
                <w:szCs w:val="18"/>
              </w:rPr>
            </w:pPr>
            <w:r w:rsidRPr="5F00979C">
              <w:rPr>
                <w:sz w:val="18"/>
                <w:szCs w:val="18"/>
              </w:rPr>
              <w:t>Declaration and key messaging for city leaders drafted, and ready to be shared with cities for input and refinement.</w:t>
            </w:r>
          </w:p>
        </w:tc>
        <w:tc>
          <w:tcPr>
            <w:tcW w:w="2425" w:type="dxa"/>
          </w:tcPr>
          <w:p w14:paraId="216F3754" w14:textId="77777777" w:rsidR="00F737DB" w:rsidRPr="00BF4B12" w:rsidRDefault="00F737DB" w:rsidP="002047CB">
            <w:pPr>
              <w:rPr>
                <w:rFonts w:cstheme="minorHAnsi"/>
                <w:sz w:val="18"/>
                <w:szCs w:val="18"/>
              </w:rPr>
            </w:pPr>
            <w:r>
              <w:rPr>
                <w:rFonts w:cstheme="minorHAnsi"/>
                <w:sz w:val="18"/>
                <w:szCs w:val="18"/>
              </w:rPr>
              <w:t xml:space="preserve">High-level declaration published and supported by at least 20 mayors. </w:t>
            </w:r>
          </w:p>
        </w:tc>
      </w:tr>
    </w:tbl>
    <w:p w14:paraId="4EA422A6" w14:textId="77777777" w:rsidR="00F737DB" w:rsidRPr="001858A5" w:rsidRDefault="00F737DB" w:rsidP="00F737DB">
      <w:pPr>
        <w:pStyle w:val="ListParagraph"/>
        <w:tabs>
          <w:tab w:val="left" w:pos="7248"/>
        </w:tabs>
        <w:spacing w:after="120" w:line="252" w:lineRule="auto"/>
        <w:ind w:left="20"/>
        <w:contextualSpacing w:val="0"/>
        <w:jc w:val="both"/>
        <w:rPr>
          <w:sz w:val="22"/>
          <w:szCs w:val="22"/>
        </w:rPr>
      </w:pPr>
    </w:p>
    <w:p w14:paraId="5EEF74F2" w14:textId="6A596437" w:rsidR="001858A5" w:rsidRPr="00514192" w:rsidRDefault="001858A5" w:rsidP="001858A5">
      <w:pPr>
        <w:pStyle w:val="ListParagraph"/>
        <w:numPr>
          <w:ilvl w:val="0"/>
          <w:numId w:val="8"/>
        </w:numPr>
        <w:tabs>
          <w:tab w:val="left" w:pos="7248"/>
        </w:tabs>
        <w:spacing w:after="120" w:line="252" w:lineRule="auto"/>
        <w:ind w:left="20"/>
        <w:contextualSpacing w:val="0"/>
        <w:jc w:val="both"/>
        <w:rPr>
          <w:rFonts w:ascii="Calibri" w:hAnsi="Calibri"/>
        </w:rPr>
      </w:pPr>
      <w:r w:rsidRPr="00514192">
        <w:rPr>
          <w:rFonts w:ascii="Calibri" w:hAnsi="Calibri"/>
        </w:rPr>
        <w:t xml:space="preserve">WRI established its “Managing for </w:t>
      </w:r>
      <w:r w:rsidR="00514192">
        <w:rPr>
          <w:rFonts w:ascii="Calibri" w:hAnsi="Calibri"/>
        </w:rPr>
        <w:t>Results</w:t>
      </w:r>
      <w:r w:rsidRPr="00514192">
        <w:rPr>
          <w:rFonts w:ascii="Calibri" w:hAnsi="Calibri"/>
        </w:rPr>
        <w:t xml:space="preserve">” </w:t>
      </w:r>
      <w:r w:rsidR="00783156" w:rsidRPr="00514192">
        <w:rPr>
          <w:rFonts w:ascii="Calibri" w:hAnsi="Calibri"/>
        </w:rPr>
        <w:t>Platform</w:t>
      </w:r>
      <w:r w:rsidRPr="00514192">
        <w:rPr>
          <w:rFonts w:ascii="Calibri" w:hAnsi="Calibri"/>
        </w:rPr>
        <w:t xml:space="preserve"> which helps the programme teams, including Cities4Forests, to produce theories of change, annual plans, </w:t>
      </w:r>
      <w:proofErr w:type="gramStart"/>
      <w:r w:rsidRPr="00514192">
        <w:rPr>
          <w:rFonts w:ascii="Calibri" w:hAnsi="Calibri"/>
        </w:rPr>
        <w:t>outcomes</w:t>
      </w:r>
      <w:proofErr w:type="gramEnd"/>
      <w:r w:rsidRPr="00514192">
        <w:rPr>
          <w:rFonts w:ascii="Calibri" w:hAnsi="Calibri"/>
        </w:rPr>
        <w:t xml:space="preserve"> and results frameworks. The Managing for Results </w:t>
      </w:r>
      <w:r w:rsidR="00783156" w:rsidRPr="00514192">
        <w:rPr>
          <w:rFonts w:ascii="Calibri" w:hAnsi="Calibri"/>
        </w:rPr>
        <w:t xml:space="preserve">team </w:t>
      </w:r>
      <w:r w:rsidRPr="00514192">
        <w:rPr>
          <w:rFonts w:ascii="Calibri" w:hAnsi="Calibri"/>
        </w:rPr>
        <w:t xml:space="preserve">holds all WRI programme to account for the work the organisation commits to do. It also tracks accomplishments and enables learning across the organisation. </w:t>
      </w:r>
      <w:r w:rsidR="00783156" w:rsidRPr="00514192">
        <w:rPr>
          <w:rFonts w:ascii="Calibri" w:hAnsi="Calibri"/>
        </w:rPr>
        <w:t>WRI’s a</w:t>
      </w:r>
      <w:r w:rsidRPr="00514192">
        <w:rPr>
          <w:rFonts w:ascii="Calibri" w:hAnsi="Calibri"/>
        </w:rPr>
        <w:t xml:space="preserve">nnual plans operationalise WRI’s Five Year Strategies and these </w:t>
      </w:r>
      <w:proofErr w:type="gramStart"/>
      <w:r w:rsidRPr="00514192">
        <w:rPr>
          <w:rFonts w:ascii="Calibri" w:hAnsi="Calibri"/>
        </w:rPr>
        <w:t>five year</w:t>
      </w:r>
      <w:proofErr w:type="gramEnd"/>
      <w:r w:rsidRPr="00514192">
        <w:rPr>
          <w:rFonts w:ascii="Calibri" w:hAnsi="Calibri"/>
        </w:rPr>
        <w:t xml:space="preserve"> strategies are then evaluated at the end of them by independent evaluation experts. The Cities4Forests programme would be independently evaluated through this process as part of WRI’s larger assessment. It has been decided that an independent evaluation conducted by Defra would not be proportionate for this programme.  </w:t>
      </w:r>
    </w:p>
    <w:p w14:paraId="2D50F014" w14:textId="77777777" w:rsidR="001F17FD" w:rsidRPr="00663BE5" w:rsidRDefault="001F17FD" w:rsidP="002C0BCA">
      <w:pPr>
        <w:pStyle w:val="Heading2"/>
        <w:rPr>
          <w:color w:val="0070C0"/>
        </w:rPr>
      </w:pPr>
      <w:bookmarkStart w:id="36" w:name="_Toc26217744"/>
      <w:r w:rsidRPr="001858A5">
        <w:rPr>
          <w:color w:val="0070C0"/>
        </w:rPr>
        <w:t>What</w:t>
      </w:r>
      <w:r w:rsidRPr="00663BE5">
        <w:rPr>
          <w:color w:val="0070C0"/>
        </w:rPr>
        <w:t xml:space="preserve"> are the risks and how will they be managed?</w:t>
      </w:r>
      <w:bookmarkEnd w:id="36"/>
    </w:p>
    <w:p w14:paraId="2D50F082" w14:textId="54A417F7" w:rsidR="0096279A" w:rsidRPr="00514192" w:rsidRDefault="00BB07EC" w:rsidP="00663BE5">
      <w:pPr>
        <w:pStyle w:val="ListParagraph"/>
        <w:numPr>
          <w:ilvl w:val="0"/>
          <w:numId w:val="8"/>
        </w:numPr>
        <w:tabs>
          <w:tab w:val="left" w:pos="7248"/>
        </w:tabs>
        <w:spacing w:after="120" w:line="252" w:lineRule="auto"/>
        <w:ind w:left="20"/>
        <w:contextualSpacing w:val="0"/>
        <w:jc w:val="both"/>
        <w:rPr>
          <w:rFonts w:ascii="Calibri" w:hAnsi="Calibri"/>
        </w:rPr>
      </w:pPr>
      <w:r w:rsidRPr="00514192">
        <w:rPr>
          <w:rFonts w:ascii="Calibri" w:hAnsi="Calibri"/>
        </w:rPr>
        <w:t>The</w:t>
      </w:r>
      <w:r w:rsidR="001F17FD" w:rsidRPr="00514192">
        <w:rPr>
          <w:rFonts w:ascii="Calibri" w:hAnsi="Calibri"/>
        </w:rPr>
        <w:t xml:space="preserve"> key risks </w:t>
      </w:r>
      <w:r w:rsidR="00D37ADE" w:rsidRPr="00514192">
        <w:rPr>
          <w:rFonts w:ascii="Calibri" w:hAnsi="Calibri"/>
        </w:rPr>
        <w:t>associated with each option</w:t>
      </w:r>
      <w:r w:rsidR="001F17FD" w:rsidRPr="00514192">
        <w:rPr>
          <w:rFonts w:ascii="Calibri" w:hAnsi="Calibri"/>
        </w:rPr>
        <w:t xml:space="preserve"> are </w:t>
      </w:r>
      <w:r w:rsidRPr="00514192">
        <w:rPr>
          <w:rFonts w:ascii="Calibri" w:hAnsi="Calibri"/>
        </w:rPr>
        <w:t xml:space="preserve">outlined </w:t>
      </w:r>
      <w:r w:rsidR="001F17FD" w:rsidRPr="00514192">
        <w:rPr>
          <w:rFonts w:ascii="Calibri" w:hAnsi="Calibri"/>
        </w:rPr>
        <w:t xml:space="preserve">below. For each risk </w:t>
      </w:r>
      <w:r w:rsidRPr="00514192">
        <w:rPr>
          <w:rFonts w:ascii="Calibri" w:hAnsi="Calibri"/>
        </w:rPr>
        <w:t xml:space="preserve">we describe the </w:t>
      </w:r>
      <w:r w:rsidR="001F17FD" w:rsidRPr="00514192">
        <w:rPr>
          <w:rFonts w:ascii="Calibri" w:hAnsi="Calibri"/>
        </w:rPr>
        <w:t>mitigations that are in place or planned. The ‘level’ of each risk is based on its probability and the magnitude of potential impact if realised. The ‘residual’ risk is the remaining level after mitigations have</w:t>
      </w:r>
      <w:r w:rsidRPr="00514192">
        <w:rPr>
          <w:rFonts w:ascii="Calibri" w:hAnsi="Calibri"/>
        </w:rPr>
        <w:t xml:space="preserve"> been put in place</w:t>
      </w:r>
      <w:r w:rsidR="001F17FD" w:rsidRPr="00514192">
        <w:rPr>
          <w:rFonts w:ascii="Calibri" w:hAnsi="Calibri"/>
        </w:rPr>
        <w:t xml:space="preserve">. </w:t>
      </w:r>
    </w:p>
    <w:tbl>
      <w:tblPr>
        <w:tblW w:w="10420" w:type="dxa"/>
        <w:tblCellMar>
          <w:left w:w="10" w:type="dxa"/>
          <w:right w:w="10" w:type="dxa"/>
        </w:tblCellMar>
        <w:tblLook w:val="04A0" w:firstRow="1" w:lastRow="0" w:firstColumn="1" w:lastColumn="0" w:noHBand="0" w:noVBand="1"/>
      </w:tblPr>
      <w:tblGrid>
        <w:gridCol w:w="5210"/>
        <w:gridCol w:w="5210"/>
      </w:tblGrid>
      <w:tr w:rsidR="00D91B3D" w:rsidRPr="00514192" w14:paraId="520EE59B" w14:textId="77777777" w:rsidTr="00582BA2">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5970" w14:textId="77777777" w:rsidR="00D91B3D" w:rsidRPr="00514192" w:rsidRDefault="00D91B3D" w:rsidP="00582BA2">
            <w:pPr>
              <w:rPr>
                <w:rFonts w:asciiTheme="minorHAnsi" w:hAnsiTheme="minorHAnsi"/>
                <w:b/>
              </w:rPr>
            </w:pPr>
            <w:r w:rsidRPr="00514192">
              <w:rPr>
                <w:rFonts w:asciiTheme="minorHAnsi" w:hAnsiTheme="minorHAnsi"/>
                <w:b/>
              </w:rPr>
              <w:t xml:space="preserve">Risk </w:t>
            </w: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5C122" w14:textId="77777777" w:rsidR="00D91B3D" w:rsidRPr="00514192" w:rsidRDefault="00D91B3D" w:rsidP="00582BA2">
            <w:pPr>
              <w:rPr>
                <w:rFonts w:asciiTheme="minorHAnsi" w:hAnsiTheme="minorHAnsi"/>
                <w:b/>
              </w:rPr>
            </w:pPr>
            <w:r w:rsidRPr="00514192">
              <w:rPr>
                <w:rFonts w:asciiTheme="minorHAnsi" w:hAnsiTheme="minorHAnsi"/>
                <w:b/>
              </w:rPr>
              <w:t>Mitigation Measure</w:t>
            </w:r>
          </w:p>
        </w:tc>
      </w:tr>
      <w:tr w:rsidR="00D91B3D" w:rsidRPr="00514192" w14:paraId="7E81DD2C" w14:textId="77777777" w:rsidTr="00582BA2">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4FC1" w14:textId="76F58498" w:rsidR="00D91B3D" w:rsidRPr="00514192" w:rsidRDefault="00D91B3D" w:rsidP="00D91B3D">
            <w:pPr>
              <w:rPr>
                <w:rFonts w:asciiTheme="minorHAnsi" w:hAnsiTheme="minorHAnsi"/>
              </w:rPr>
            </w:pPr>
            <w:r w:rsidRPr="00514192">
              <w:rPr>
                <w:rFonts w:asciiTheme="minorHAnsi" w:hAnsiTheme="minorHAnsi"/>
                <w:b/>
              </w:rPr>
              <w:t>Delivery risk:</w:t>
            </w:r>
            <w:r w:rsidRPr="00514192">
              <w:rPr>
                <w:rFonts w:asciiTheme="minorHAnsi" w:hAnsiTheme="minorHAnsi"/>
              </w:rPr>
              <w:t xml:space="preserve"> Timelines are short for the delivery of activities across outputs in the case above, which aim to be delivered by March 31</w:t>
            </w:r>
            <w:proofErr w:type="gramStart"/>
            <w:r w:rsidRPr="00514192">
              <w:rPr>
                <w:rFonts w:asciiTheme="minorHAnsi" w:hAnsiTheme="minorHAnsi"/>
              </w:rPr>
              <w:t xml:space="preserve"> 2020</w:t>
            </w:r>
            <w:proofErr w:type="gramEnd"/>
            <w:r w:rsidRPr="00514192">
              <w:rPr>
                <w:rFonts w:asciiTheme="minorHAnsi" w:hAnsiTheme="minorHAnsi"/>
              </w:rPr>
              <w:t xml:space="preserve">. </w:t>
            </w: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F5238" w14:textId="31510DC7" w:rsidR="00D91B3D" w:rsidRPr="00514192" w:rsidRDefault="00D91B3D" w:rsidP="00582BA2">
            <w:pPr>
              <w:rPr>
                <w:rFonts w:asciiTheme="minorHAnsi" w:hAnsiTheme="minorHAnsi"/>
              </w:rPr>
            </w:pPr>
            <w:r w:rsidRPr="00514192">
              <w:rPr>
                <w:rFonts w:asciiTheme="minorHAnsi" w:hAnsiTheme="minorHAnsi"/>
              </w:rPr>
              <w:t xml:space="preserve">Additional short-term strategic staff capacity (e.g. from within the WRI network) may be brought in to support delivery. WRI has identified teams and workstreams that can be re-prioritised </w:t>
            </w:r>
            <w:proofErr w:type="gramStart"/>
            <w:r w:rsidRPr="00514192">
              <w:rPr>
                <w:rFonts w:asciiTheme="minorHAnsi" w:hAnsiTheme="minorHAnsi"/>
              </w:rPr>
              <w:t>in order to</w:t>
            </w:r>
            <w:proofErr w:type="gramEnd"/>
            <w:r w:rsidRPr="00514192">
              <w:rPr>
                <w:rFonts w:asciiTheme="minorHAnsi" w:hAnsiTheme="minorHAnsi"/>
              </w:rPr>
              <w:t xml:space="preserve"> deliver activities by March 31, 2020. Risk seen as medium/low. </w:t>
            </w:r>
          </w:p>
        </w:tc>
      </w:tr>
      <w:tr w:rsidR="00D91B3D" w:rsidRPr="00514192" w14:paraId="72BD4821" w14:textId="77777777" w:rsidTr="00582BA2">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CEFA" w14:textId="5088EC61" w:rsidR="00D91B3D" w:rsidRPr="00514192" w:rsidRDefault="00D91B3D" w:rsidP="00582BA2">
            <w:pPr>
              <w:widowControl w:val="0"/>
              <w:jc w:val="both"/>
              <w:rPr>
                <w:rFonts w:asciiTheme="minorHAnsi" w:hAnsiTheme="minorHAnsi"/>
              </w:rPr>
            </w:pPr>
            <w:r w:rsidRPr="00514192">
              <w:rPr>
                <w:rFonts w:asciiTheme="minorHAnsi" w:hAnsiTheme="minorHAnsi"/>
                <w:b/>
              </w:rPr>
              <w:t xml:space="preserve">Risk to achieving impact: </w:t>
            </w:r>
            <w:r w:rsidRPr="00514192">
              <w:rPr>
                <w:rFonts w:asciiTheme="minorHAnsi" w:hAnsiTheme="minorHAnsi"/>
              </w:rPr>
              <w:t xml:space="preserve">That technical assistance products are not relevant or needed by the cities in the network, which means that Defra’s </w:t>
            </w:r>
            <w:proofErr w:type="gramStart"/>
            <w:r w:rsidRPr="00514192">
              <w:rPr>
                <w:rFonts w:asciiTheme="minorHAnsi" w:hAnsiTheme="minorHAnsi"/>
              </w:rPr>
              <w:t>medium term</w:t>
            </w:r>
            <w:proofErr w:type="gramEnd"/>
            <w:r w:rsidRPr="00514192">
              <w:rPr>
                <w:rFonts w:asciiTheme="minorHAnsi" w:hAnsiTheme="minorHAnsi"/>
              </w:rPr>
              <w:t xml:space="preserve"> outcomes and long-term impact and results are not achieved. </w:t>
            </w: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3F88" w14:textId="0D8A5879" w:rsidR="00D91B3D" w:rsidRPr="00514192" w:rsidRDefault="00D91B3D" w:rsidP="00582BA2">
            <w:pPr>
              <w:widowControl w:val="0"/>
              <w:jc w:val="both"/>
              <w:rPr>
                <w:rFonts w:asciiTheme="minorHAnsi" w:hAnsiTheme="minorHAnsi"/>
              </w:rPr>
            </w:pPr>
            <w:r w:rsidRPr="00514192">
              <w:rPr>
                <w:rFonts w:asciiTheme="minorHAnsi" w:hAnsiTheme="minorHAnsi"/>
              </w:rPr>
              <w:t xml:space="preserve">A detailed survey to identify the technical assistance needs has been conducted with each member city so that knowledge products designed are reflective of current demands across the network. The C4F programme also maintains frequent engagement with cities to capture evolving priorities. Risk seen as low. </w:t>
            </w:r>
          </w:p>
        </w:tc>
      </w:tr>
      <w:tr w:rsidR="00D91B3D" w:rsidRPr="00514192" w14:paraId="459FDFD4" w14:textId="77777777" w:rsidTr="00582BA2">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006A" w14:textId="2971B39F" w:rsidR="00D91B3D" w:rsidRPr="00514192" w:rsidRDefault="00D91B3D" w:rsidP="00582BA2">
            <w:pPr>
              <w:rPr>
                <w:rFonts w:asciiTheme="minorHAnsi" w:hAnsiTheme="minorHAnsi"/>
              </w:rPr>
            </w:pPr>
            <w:r w:rsidRPr="00514192">
              <w:rPr>
                <w:rFonts w:asciiTheme="minorHAnsi" w:hAnsiTheme="minorHAnsi"/>
                <w:b/>
              </w:rPr>
              <w:t>Political will risk:</w:t>
            </w:r>
            <w:r w:rsidRPr="00514192">
              <w:rPr>
                <w:rFonts w:asciiTheme="minorHAnsi" w:hAnsiTheme="minorHAnsi"/>
              </w:rPr>
              <w:t xml:space="preserve"> There is a risk that city leadership may change over time and thereby political support for the project declines. This results in Defra’s long-term objectives and results </w:t>
            </w:r>
            <w:r w:rsidR="00B77508" w:rsidRPr="00514192">
              <w:rPr>
                <w:rFonts w:asciiTheme="minorHAnsi" w:hAnsiTheme="minorHAnsi"/>
              </w:rPr>
              <w:t xml:space="preserve">for forests not being met. </w:t>
            </w:r>
          </w:p>
        </w:tc>
        <w:tc>
          <w:tcPr>
            <w:tcW w:w="5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C80A" w14:textId="7AE3623A" w:rsidR="00D91B3D" w:rsidRPr="00514192" w:rsidRDefault="00B77508" w:rsidP="00582BA2">
            <w:pPr>
              <w:rPr>
                <w:rFonts w:asciiTheme="minorHAnsi" w:hAnsiTheme="minorHAnsi"/>
              </w:rPr>
            </w:pPr>
            <w:r w:rsidRPr="00514192">
              <w:rPr>
                <w:rFonts w:asciiTheme="minorHAnsi" w:hAnsiTheme="minorHAnsi"/>
              </w:rPr>
              <w:t xml:space="preserve">Defra’s support spans the whole network and so risk is mitigated </w:t>
            </w:r>
            <w:r w:rsidR="00A83FE0" w:rsidRPr="00514192">
              <w:rPr>
                <w:rFonts w:asciiTheme="minorHAnsi" w:hAnsiTheme="minorHAnsi"/>
              </w:rPr>
              <w:t>through</w:t>
            </w:r>
            <w:r w:rsidRPr="00514192">
              <w:rPr>
                <w:rFonts w:asciiTheme="minorHAnsi" w:hAnsiTheme="minorHAnsi"/>
              </w:rPr>
              <w:t xml:space="preserve"> hedging support across the network. In addition, WRI designed the programme with this risk in mind and so have ensured relationships extend beyond the mayor’s office and that C4F is not seen as aligned with one political party per se in a country. Risk seen as medium/low. </w:t>
            </w:r>
          </w:p>
        </w:tc>
      </w:tr>
    </w:tbl>
    <w:p w14:paraId="360EBFF9" w14:textId="1CF0B690" w:rsidR="007F5FAC" w:rsidRPr="00514192" w:rsidRDefault="007F5FAC" w:rsidP="007F5FAC">
      <w:pPr>
        <w:tabs>
          <w:tab w:val="left" w:pos="7248"/>
        </w:tabs>
        <w:spacing w:after="120" w:line="252" w:lineRule="auto"/>
        <w:ind w:left="-340"/>
        <w:jc w:val="both"/>
        <w:rPr>
          <w:rFonts w:asciiTheme="minorHAnsi" w:hAnsiTheme="minorHAnsi"/>
          <w:highlight w:val="yellow"/>
        </w:rPr>
      </w:pPr>
    </w:p>
    <w:p w14:paraId="49548F65" w14:textId="77777777" w:rsidR="007F5FAC" w:rsidRDefault="007F5FAC">
      <w:pPr>
        <w:rPr>
          <w:highlight w:val="yellow"/>
        </w:rPr>
      </w:pPr>
      <w:r>
        <w:rPr>
          <w:highlight w:val="yellow"/>
        </w:rPr>
        <w:br w:type="page"/>
      </w:r>
    </w:p>
    <w:p w14:paraId="7BDE5F08" w14:textId="32F84B24" w:rsidR="007F5FAC" w:rsidRPr="00514192" w:rsidRDefault="007F5FAC" w:rsidP="007F5FAC">
      <w:pPr>
        <w:tabs>
          <w:tab w:val="left" w:pos="7248"/>
        </w:tabs>
        <w:spacing w:after="120" w:line="252" w:lineRule="auto"/>
        <w:ind w:left="-340"/>
        <w:jc w:val="both"/>
        <w:rPr>
          <w:b/>
        </w:rPr>
      </w:pPr>
      <w:r w:rsidRPr="00514192">
        <w:rPr>
          <w:b/>
        </w:rPr>
        <w:t xml:space="preserve">Annex 1: </w:t>
      </w:r>
      <w:r w:rsidR="005B05C7" w:rsidRPr="00514192">
        <w:rPr>
          <w:b/>
        </w:rPr>
        <w:t>Developing country c</w:t>
      </w:r>
      <w:r w:rsidRPr="00514192">
        <w:rPr>
          <w:b/>
        </w:rPr>
        <w:t>ity members of Cities4Forests</w:t>
      </w:r>
    </w:p>
    <w:p w14:paraId="5362A3D7"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Accra, Ghana</w:t>
      </w:r>
    </w:p>
    <w:p w14:paraId="0A3441AE"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Addis Ababa, Ethiopia</w:t>
      </w:r>
    </w:p>
    <w:p w14:paraId="11C86A22"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Aguascalientes, Mexico </w:t>
      </w:r>
    </w:p>
    <w:p w14:paraId="42AB9F7A"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Antananarivo, Madagascar</w:t>
      </w:r>
    </w:p>
    <w:p w14:paraId="1CCC51B8"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Belo Horizonte, Brazil  </w:t>
      </w:r>
    </w:p>
    <w:p w14:paraId="6567C23A"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Bogotá, Colombia</w:t>
      </w:r>
    </w:p>
    <w:p w14:paraId="208E3280"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Campinas, Brazil </w:t>
      </w:r>
    </w:p>
    <w:p w14:paraId="0A34248E" w14:textId="77777777" w:rsidR="007F5FAC" w:rsidRPr="00514192" w:rsidRDefault="007F5FAC" w:rsidP="007F5FAC">
      <w:pPr>
        <w:pStyle w:val="ListParagraph"/>
        <w:numPr>
          <w:ilvl w:val="0"/>
          <w:numId w:val="12"/>
        </w:numPr>
        <w:spacing w:after="0"/>
        <w:contextualSpacing w:val="0"/>
        <w:rPr>
          <w:rFonts w:eastAsia="Times New Roman"/>
        </w:rPr>
      </w:pPr>
      <w:proofErr w:type="spellStart"/>
      <w:r w:rsidRPr="00514192">
        <w:rPr>
          <w:rFonts w:eastAsia="Times New Roman"/>
        </w:rPr>
        <w:t>Culiacán</w:t>
      </w:r>
      <w:proofErr w:type="spellEnd"/>
      <w:r w:rsidRPr="00514192">
        <w:rPr>
          <w:rFonts w:eastAsia="Times New Roman"/>
        </w:rPr>
        <w:t xml:space="preserve">, Mexico </w:t>
      </w:r>
    </w:p>
    <w:p w14:paraId="69485CC3"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Guadalajara, Mexico</w:t>
      </w:r>
    </w:p>
    <w:p w14:paraId="69D1AA56"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Jakarta, Indonesia  </w:t>
      </w:r>
    </w:p>
    <w:p w14:paraId="2B8099C2"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Johannesburg, South Africa </w:t>
      </w:r>
    </w:p>
    <w:p w14:paraId="7F976C42"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Kigali, Rwanda</w:t>
      </w:r>
    </w:p>
    <w:p w14:paraId="6366A745"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Kochi, India</w:t>
      </w:r>
    </w:p>
    <w:p w14:paraId="742BE126"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León, Mexico</w:t>
      </w:r>
    </w:p>
    <w:p w14:paraId="52695BE6"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Lin'an, China </w:t>
      </w:r>
    </w:p>
    <w:p w14:paraId="1E9812F0" w14:textId="77777777" w:rsidR="007F5FAC" w:rsidRPr="00514192" w:rsidRDefault="007F5FAC" w:rsidP="007F5FAC">
      <w:pPr>
        <w:pStyle w:val="ListParagraph"/>
        <w:numPr>
          <w:ilvl w:val="0"/>
          <w:numId w:val="12"/>
        </w:numPr>
        <w:spacing w:after="0"/>
        <w:contextualSpacing w:val="0"/>
        <w:rPr>
          <w:rFonts w:eastAsia="Times New Roman"/>
        </w:rPr>
      </w:pPr>
      <w:proofErr w:type="spellStart"/>
      <w:r w:rsidRPr="00514192">
        <w:rPr>
          <w:rFonts w:eastAsia="Times New Roman"/>
        </w:rPr>
        <w:t>Macapá</w:t>
      </w:r>
      <w:proofErr w:type="spellEnd"/>
      <w:r w:rsidRPr="00514192">
        <w:rPr>
          <w:rFonts w:eastAsia="Times New Roman"/>
        </w:rPr>
        <w:t>, Brazil</w:t>
      </w:r>
    </w:p>
    <w:p w14:paraId="4B1B363D"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Mérida, Mexico </w:t>
      </w:r>
    </w:p>
    <w:p w14:paraId="6DFC8CB6"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Mexico City, Mexico  </w:t>
      </w:r>
    </w:p>
    <w:p w14:paraId="343AA754"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Nairobi, Kenya</w:t>
      </w:r>
    </w:p>
    <w:p w14:paraId="141BB2E9"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Palmas, Brazil </w:t>
      </w:r>
    </w:p>
    <w:p w14:paraId="5522252E"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Porto Velho, Brazil </w:t>
      </w:r>
    </w:p>
    <w:p w14:paraId="19F92B95"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Quito, Ecuador </w:t>
      </w:r>
    </w:p>
    <w:p w14:paraId="19350F61"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Rio Branco, Brazil </w:t>
      </w:r>
    </w:p>
    <w:p w14:paraId="40C074D4"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Salvador, Brazil </w:t>
      </w:r>
    </w:p>
    <w:p w14:paraId="13AA10D1"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Santiago de Cali, Colombia </w:t>
      </w:r>
    </w:p>
    <w:p w14:paraId="7E53EF53"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São Luís, Brazil</w:t>
      </w:r>
    </w:p>
    <w:p w14:paraId="75113557"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 xml:space="preserve">São Paulo, Brazil </w:t>
      </w:r>
    </w:p>
    <w:p w14:paraId="799244D7"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Skopje, North Macedonia</w:t>
      </w:r>
    </w:p>
    <w:p w14:paraId="7B67EE54" w14:textId="77777777" w:rsidR="007F5FAC" w:rsidRPr="00514192" w:rsidRDefault="007F5FAC" w:rsidP="007F5FAC">
      <w:pPr>
        <w:pStyle w:val="ListParagraph"/>
        <w:numPr>
          <w:ilvl w:val="0"/>
          <w:numId w:val="12"/>
        </w:numPr>
        <w:spacing w:after="0"/>
        <w:contextualSpacing w:val="0"/>
        <w:rPr>
          <w:rFonts w:eastAsia="Times New Roman"/>
        </w:rPr>
      </w:pPr>
      <w:r w:rsidRPr="00514192">
        <w:rPr>
          <w:rFonts w:eastAsia="Times New Roman"/>
        </w:rPr>
        <w:t>Tirana, Albania</w:t>
      </w:r>
    </w:p>
    <w:p w14:paraId="1C443A4F" w14:textId="77777777" w:rsidR="007F5FAC" w:rsidRPr="00514192" w:rsidRDefault="007F5FAC" w:rsidP="00514192">
      <w:pPr>
        <w:tabs>
          <w:tab w:val="left" w:pos="7248"/>
        </w:tabs>
        <w:spacing w:after="120" w:line="252" w:lineRule="auto"/>
        <w:jc w:val="both"/>
      </w:pPr>
    </w:p>
    <w:sectPr w:rsidR="007F5FAC" w:rsidRPr="00514192" w:rsidSect="000650A0">
      <w:footerReference w:type="default" r:id="rId16"/>
      <w:headerReference w:type="first" r:id="rId17"/>
      <w:footerReference w:type="first" r:id="rId18"/>
      <w:pgSz w:w="11906" w:h="16838" w:code="9"/>
      <w:pgMar w:top="1361" w:right="907" w:bottom="851" w:left="907" w:header="567" w:footer="28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E4BB" w14:textId="77777777" w:rsidR="000650A0" w:rsidRDefault="000650A0" w:rsidP="00122F69">
      <w:pPr>
        <w:spacing w:after="0" w:line="240" w:lineRule="auto"/>
      </w:pPr>
      <w:r>
        <w:separator/>
      </w:r>
    </w:p>
  </w:endnote>
  <w:endnote w:type="continuationSeparator" w:id="0">
    <w:p w14:paraId="4953D9AA" w14:textId="77777777" w:rsidR="000650A0" w:rsidRDefault="000650A0" w:rsidP="0012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Whitney Bold">
    <w:altName w:val="Whitney Bol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utigerLTPro-LightCn">
    <w:panose1 w:val="00000000000000000000"/>
    <w:charset w:val="00"/>
    <w:family w:val="swiss"/>
    <w:notTrueType/>
    <w:pitch w:val="default"/>
    <w:sig w:usb0="00000003" w:usb1="00000000" w:usb2="00000000" w:usb3="00000000" w:csb0="00000001" w:csb1="00000000"/>
  </w:font>
  <w:font w:name="FrutigerLTPro-LightCnIt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F0B4" w14:textId="77777777" w:rsidR="0087131F" w:rsidRDefault="0087131F">
    <w:pPr>
      <w:pStyle w:val="Footer"/>
      <w:jc w:val="right"/>
    </w:pPr>
  </w:p>
  <w:p w14:paraId="2D50F0B5" w14:textId="77777777" w:rsidR="0087131F" w:rsidRDefault="00871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F0BA" w14:textId="77777777" w:rsidR="0087131F" w:rsidRDefault="0087131F" w:rsidP="00BA4813">
    <w:pPr>
      <w:pStyle w:val="Footer"/>
      <w:jc w:val="center"/>
    </w:pPr>
  </w:p>
  <w:p w14:paraId="2D50F0BB" w14:textId="77777777" w:rsidR="0087131F" w:rsidRDefault="00871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532107"/>
      <w:docPartObj>
        <w:docPartGallery w:val="Page Numbers (Bottom of Page)"/>
        <w:docPartUnique/>
      </w:docPartObj>
    </w:sdtPr>
    <w:sdtEndPr>
      <w:rPr>
        <w:noProof/>
      </w:rPr>
    </w:sdtEndPr>
    <w:sdtContent>
      <w:p w14:paraId="2D50F0C2" w14:textId="77777777" w:rsidR="0087131F" w:rsidRDefault="0087131F" w:rsidP="007604AE">
        <w:pPr>
          <w:pStyle w:val="Footer"/>
        </w:pPr>
        <w:r>
          <w:fldChar w:fldCharType="begin"/>
        </w:r>
        <w:r>
          <w:instrText xml:space="preserve"> PAGE   \* MERGEFORMAT </w:instrText>
        </w:r>
        <w:r>
          <w:fldChar w:fldCharType="separate"/>
        </w:r>
        <w:r>
          <w:rPr>
            <w:noProof/>
          </w:rPr>
          <w:t>6</w:t>
        </w:r>
        <w:r>
          <w:rPr>
            <w:noProof/>
          </w:rPr>
          <w:fldChar w:fldCharType="end"/>
        </w:r>
      </w:p>
    </w:sdtContent>
  </w:sdt>
  <w:p w14:paraId="2D50F0C3" w14:textId="77777777" w:rsidR="0087131F" w:rsidRDefault="008713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12089"/>
      <w:docPartObj>
        <w:docPartGallery w:val="Page Numbers (Bottom of Page)"/>
        <w:docPartUnique/>
      </w:docPartObj>
    </w:sdtPr>
    <w:sdtEndPr>
      <w:rPr>
        <w:noProof/>
      </w:rPr>
    </w:sdtEndPr>
    <w:sdtContent>
      <w:p w14:paraId="2D50F0C6" w14:textId="77777777" w:rsidR="0087131F" w:rsidRPr="00A57B3E" w:rsidRDefault="0087131F">
        <w:pPr>
          <w:pStyle w:val="Footer"/>
          <w:jc w:val="right"/>
        </w:pPr>
        <w:r w:rsidRPr="00A57B3E">
          <w:fldChar w:fldCharType="begin"/>
        </w:r>
        <w:r w:rsidRPr="00A57B3E">
          <w:instrText xml:space="preserve"> PAGE   \* MERGEFORMAT </w:instrText>
        </w:r>
        <w:r w:rsidRPr="00A57B3E">
          <w:fldChar w:fldCharType="separate"/>
        </w:r>
        <w:r>
          <w:rPr>
            <w:noProof/>
          </w:rPr>
          <w:t>16</w:t>
        </w:r>
        <w:r w:rsidRPr="00A57B3E">
          <w:rPr>
            <w:noProof/>
          </w:rPr>
          <w:fldChar w:fldCharType="end"/>
        </w:r>
      </w:p>
    </w:sdtContent>
  </w:sdt>
  <w:p w14:paraId="2D50F0C7" w14:textId="77777777" w:rsidR="0087131F" w:rsidRDefault="00871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1904" w14:textId="77777777" w:rsidR="000650A0" w:rsidRDefault="000650A0" w:rsidP="00122F69">
      <w:pPr>
        <w:spacing w:after="0" w:line="240" w:lineRule="auto"/>
      </w:pPr>
      <w:r>
        <w:separator/>
      </w:r>
    </w:p>
  </w:footnote>
  <w:footnote w:type="continuationSeparator" w:id="0">
    <w:p w14:paraId="0FF88671" w14:textId="77777777" w:rsidR="000650A0" w:rsidRDefault="000650A0" w:rsidP="00122F69">
      <w:pPr>
        <w:spacing w:after="0" w:line="240" w:lineRule="auto"/>
      </w:pPr>
      <w:r>
        <w:continuationSeparator/>
      </w:r>
    </w:p>
  </w:footnote>
  <w:footnote w:id="1">
    <w:p w14:paraId="3B7981A1" w14:textId="65494730" w:rsidR="0087131F" w:rsidRPr="00E46FF8" w:rsidRDefault="0087131F" w:rsidP="00E46FF8">
      <w:pPr>
        <w:autoSpaceDE w:val="0"/>
        <w:autoSpaceDN w:val="0"/>
        <w:adjustRightInd w:val="0"/>
        <w:spacing w:after="0" w:line="240" w:lineRule="auto"/>
        <w:rPr>
          <w:rFonts w:asciiTheme="minorHAnsi" w:hAnsiTheme="minorHAnsi"/>
          <w:sz w:val="20"/>
          <w:szCs w:val="20"/>
        </w:rPr>
      </w:pPr>
      <w:r w:rsidRPr="00E46FF8">
        <w:rPr>
          <w:rStyle w:val="FootnoteReference"/>
          <w:rFonts w:asciiTheme="minorHAnsi" w:hAnsiTheme="minorHAnsi"/>
          <w:sz w:val="20"/>
          <w:szCs w:val="20"/>
        </w:rPr>
        <w:footnoteRef/>
      </w:r>
      <w:r w:rsidRPr="00E46FF8">
        <w:rPr>
          <w:rFonts w:asciiTheme="minorHAnsi" w:hAnsiTheme="minorHAnsi"/>
          <w:sz w:val="20"/>
          <w:szCs w:val="20"/>
        </w:rPr>
        <w:t xml:space="preserve"> </w:t>
      </w:r>
      <w:r w:rsidRPr="00E46FF8">
        <w:rPr>
          <w:rFonts w:asciiTheme="minorHAnsi" w:hAnsiTheme="minorHAnsi" w:cs="FrutigerLTPro-LightCn"/>
          <w:sz w:val="20"/>
          <w:szCs w:val="20"/>
        </w:rPr>
        <w:t xml:space="preserve">IPCC, 2018: </w:t>
      </w:r>
      <w:r w:rsidRPr="00E46FF8">
        <w:rPr>
          <w:rFonts w:asciiTheme="minorHAnsi" w:hAnsiTheme="minorHAnsi" w:cs="FrutigerLTPro-LightCnIta"/>
          <w:sz w:val="20"/>
          <w:szCs w:val="20"/>
        </w:rPr>
        <w:t xml:space="preserve">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w:t>
      </w:r>
      <w:r w:rsidRPr="00E46FF8">
        <w:rPr>
          <w:rFonts w:asciiTheme="minorHAnsi" w:hAnsiTheme="minorHAnsi" w:cs="FrutigerLTPro-LightCn"/>
          <w:sz w:val="20"/>
          <w:szCs w:val="20"/>
        </w:rPr>
        <w:t>[Masson-Delmotte, V., P. Zhai, H.-O. Pörtner, D. Roberts, J. Skea, P.R. Shukla, A. Pirani, W. Moufouma-Okia, C. Péan, R. Pidcock, S. Connors, J.B.R. Matthews, Y. Chen, X. Zhou, M.I. Gomis, E. Lonnoy, T. Maycock, M. Tignor, and T. Waterfield (eds.)]. In Press.</w:t>
      </w:r>
    </w:p>
  </w:footnote>
  <w:footnote w:id="2">
    <w:p w14:paraId="1031B821" w14:textId="4DE253EC" w:rsidR="0087131F" w:rsidRPr="009277AE" w:rsidRDefault="0087131F">
      <w:pPr>
        <w:pStyle w:val="FootnoteText"/>
        <w:rPr>
          <w:lang w:val="en-GB"/>
        </w:rPr>
      </w:pPr>
      <w:r>
        <w:rPr>
          <w:rStyle w:val="FootnoteReference"/>
        </w:rPr>
        <w:footnoteRef/>
      </w:r>
      <w:r>
        <w:t xml:space="preserve"> </w:t>
      </w:r>
      <w:r>
        <w:rPr>
          <w:lang w:val="en-GB"/>
        </w:rPr>
        <w:t xml:space="preserve">Griscom, B.W. et al. (2019) Natural climate solutions. </w:t>
      </w:r>
      <w:r>
        <w:rPr>
          <w:i/>
          <w:lang w:val="en-GB"/>
        </w:rPr>
        <w:t>Proc. Natl Acad. Sci. USA</w:t>
      </w:r>
      <w:r>
        <w:rPr>
          <w:lang w:val="en-GB"/>
        </w:rPr>
        <w:t xml:space="preserve"> </w:t>
      </w:r>
      <w:r>
        <w:rPr>
          <w:b/>
          <w:lang w:val="en-GB"/>
        </w:rPr>
        <w:t xml:space="preserve">114, </w:t>
      </w:r>
      <w:r>
        <w:rPr>
          <w:lang w:val="en-GB"/>
        </w:rPr>
        <w:t xml:space="preserve">11645-11650 (2017). </w:t>
      </w:r>
    </w:p>
  </w:footnote>
  <w:footnote w:id="3">
    <w:p w14:paraId="5E0C3B1A" w14:textId="237D0291" w:rsidR="0087131F" w:rsidRPr="00E46FF8" w:rsidRDefault="0087131F" w:rsidP="00E46FF8">
      <w:pPr>
        <w:autoSpaceDE w:val="0"/>
        <w:autoSpaceDN w:val="0"/>
        <w:adjustRightInd w:val="0"/>
        <w:spacing w:after="0" w:line="240" w:lineRule="auto"/>
      </w:pPr>
      <w:r w:rsidRPr="00E46FF8">
        <w:rPr>
          <w:rFonts w:asciiTheme="minorHAnsi" w:hAnsiTheme="minorHAnsi" w:cs="FrutigerLTPro-LightCn"/>
          <w:sz w:val="20"/>
          <w:szCs w:val="20"/>
        </w:rPr>
        <w:footnoteRef/>
      </w:r>
      <w:r w:rsidRPr="00E46FF8">
        <w:rPr>
          <w:rFonts w:asciiTheme="minorHAnsi" w:hAnsiTheme="minorHAnsi" w:cs="FrutigerLTPro-LightCn"/>
          <w:sz w:val="20"/>
          <w:szCs w:val="20"/>
        </w:rPr>
        <w:t xml:space="preserve"> NYDF Assessment Partners. (2019). Protecting and Restoring Forests: A Story of Large</w:t>
      </w:r>
      <w:r>
        <w:rPr>
          <w:rFonts w:asciiTheme="minorHAnsi" w:hAnsiTheme="minorHAnsi" w:cs="FrutigerLTPro-LightCn"/>
          <w:sz w:val="20"/>
          <w:szCs w:val="20"/>
        </w:rPr>
        <w:t xml:space="preserve"> </w:t>
      </w:r>
      <w:r w:rsidRPr="00E46FF8">
        <w:rPr>
          <w:rFonts w:asciiTheme="minorHAnsi" w:hAnsiTheme="minorHAnsi" w:cs="FrutigerLTPro-LightCn"/>
          <w:sz w:val="20"/>
          <w:szCs w:val="20"/>
        </w:rPr>
        <w:t>Commitments yet Limited Progress. New York Declaration on Forests Five-Year Assessment</w:t>
      </w:r>
      <w:r>
        <w:rPr>
          <w:rFonts w:asciiTheme="minorHAnsi" w:hAnsiTheme="minorHAnsi" w:cs="FrutigerLTPro-LightCn"/>
          <w:sz w:val="20"/>
          <w:szCs w:val="20"/>
        </w:rPr>
        <w:t xml:space="preserve"> </w:t>
      </w:r>
      <w:r w:rsidRPr="00E46FF8">
        <w:rPr>
          <w:rFonts w:asciiTheme="minorHAnsi" w:hAnsiTheme="minorHAnsi" w:cs="FrutigerLTPro-LightCn"/>
          <w:sz w:val="20"/>
          <w:szCs w:val="20"/>
        </w:rPr>
        <w:t>Report. Climate Focus (coordinator and editor). Accessible at forestdeclaration.org.</w:t>
      </w:r>
    </w:p>
  </w:footnote>
  <w:footnote w:id="4">
    <w:p w14:paraId="109C2B2E" w14:textId="2563FEA4" w:rsidR="0087131F" w:rsidRPr="00375987" w:rsidRDefault="0087131F">
      <w:pPr>
        <w:pStyle w:val="FootnoteText"/>
        <w:rPr>
          <w:lang w:val="en-GB"/>
        </w:rPr>
      </w:pPr>
      <w:r>
        <w:rPr>
          <w:rStyle w:val="FootnoteReference"/>
        </w:rPr>
        <w:footnoteRef/>
      </w:r>
      <w:r>
        <w:t xml:space="preserve"> </w:t>
      </w:r>
      <w:r>
        <w:rPr>
          <w:lang w:val="en-GB"/>
        </w:rPr>
        <w:t xml:space="preserve">Gallon, K F and Busch, G. (2014) What drives deforestation and what stops it? A meta-analysis of spacially explicit econometric studies. </w:t>
      </w:r>
      <w:r>
        <w:rPr>
          <w:i/>
          <w:lang w:val="en-GB"/>
        </w:rPr>
        <w:t>CGD Working Paper 361</w:t>
      </w:r>
      <w:r>
        <w:rPr>
          <w:lang w:val="en-GB"/>
        </w:rPr>
        <w:t xml:space="preserve">. Washington, DC: Center for Global Development. </w:t>
      </w:r>
    </w:p>
  </w:footnote>
  <w:footnote w:id="5">
    <w:p w14:paraId="3353DF6B" w14:textId="2B477F00" w:rsidR="0087131F" w:rsidRPr="00D46E55" w:rsidRDefault="0087131F">
      <w:pPr>
        <w:pStyle w:val="FootnoteText"/>
        <w:rPr>
          <w:lang w:val="en-GB"/>
        </w:rPr>
      </w:pPr>
      <w:r>
        <w:rPr>
          <w:rStyle w:val="FootnoteReference"/>
        </w:rPr>
        <w:footnoteRef/>
      </w:r>
      <w:r>
        <w:t xml:space="preserve"> </w:t>
      </w:r>
      <w:r>
        <w:rPr>
          <w:lang w:val="en-GB"/>
        </w:rPr>
        <w:t xml:space="preserve">Curtis, et al. (2018) Classifying drivers of global forest loss. </w:t>
      </w:r>
      <w:r>
        <w:rPr>
          <w:i/>
          <w:lang w:val="en-GB"/>
        </w:rPr>
        <w:t>Science</w:t>
      </w:r>
      <w:r>
        <w:rPr>
          <w:lang w:val="en-GB"/>
        </w:rPr>
        <w:t xml:space="preserve"> </w:t>
      </w:r>
      <w:r>
        <w:rPr>
          <w:b/>
          <w:lang w:val="en-GB"/>
        </w:rPr>
        <w:t xml:space="preserve">361 </w:t>
      </w:r>
      <w:r>
        <w:rPr>
          <w:lang w:val="en-GB"/>
        </w:rPr>
        <w:t xml:space="preserve">(6407), 1108-1111. </w:t>
      </w:r>
    </w:p>
  </w:footnote>
  <w:footnote w:id="6">
    <w:p w14:paraId="4930D917" w14:textId="461757BF" w:rsidR="0087131F" w:rsidRPr="006A3DF6" w:rsidRDefault="0087131F">
      <w:pPr>
        <w:pStyle w:val="FootnoteText"/>
        <w:rPr>
          <w:lang w:val="en-GB"/>
        </w:rPr>
      </w:pPr>
      <w:r w:rsidRPr="006A3DF6">
        <w:rPr>
          <w:rFonts w:asciiTheme="minorHAnsi" w:eastAsiaTheme="minorHAnsi" w:hAnsiTheme="minorHAnsi" w:cs="FrutigerLTPro-LightCn"/>
          <w:lang w:val="en-GB"/>
        </w:rPr>
        <w:footnoteRef/>
      </w:r>
      <w:r w:rsidRPr="006A3DF6">
        <w:rPr>
          <w:rFonts w:asciiTheme="minorHAnsi" w:eastAsiaTheme="minorHAnsi" w:hAnsiTheme="minorHAnsi" w:cs="FrutigerLTPro-LightCn"/>
          <w:lang w:val="en-GB"/>
        </w:rPr>
        <w:t xml:space="preserve"> United Nations, Department of Economic and Social Affairs, Population Division (2018). World Urbanization Prospects: The 2018 Revision, Online Edition.</w:t>
      </w:r>
    </w:p>
  </w:footnote>
  <w:footnote w:id="7">
    <w:p w14:paraId="17FDD769" w14:textId="128707D9" w:rsidR="0087131F" w:rsidRPr="0008692E" w:rsidRDefault="0087131F">
      <w:pPr>
        <w:pStyle w:val="FootnoteText"/>
        <w:rPr>
          <w:lang w:val="en-GB"/>
        </w:rPr>
      </w:pPr>
      <w:r>
        <w:rPr>
          <w:rStyle w:val="FootnoteReference"/>
        </w:rPr>
        <w:footnoteRef/>
      </w:r>
      <w:r>
        <w:t xml:space="preserve"> </w:t>
      </w:r>
      <w:r w:rsidRPr="0008692E">
        <w:rPr>
          <w:rFonts w:eastAsia="Times New Roman" w:cs="Calibri"/>
          <w:sz w:val="18"/>
          <w:szCs w:val="18"/>
        </w:rPr>
        <w:t>Cities4Forests is one-third of the way through its first three-year phase, meaning that Defra funds would support implementation in Year 2.   </w:t>
      </w:r>
    </w:p>
  </w:footnote>
  <w:footnote w:id="8">
    <w:p w14:paraId="32085CF6" w14:textId="776DF1C2" w:rsidR="0087131F" w:rsidRPr="0008692E" w:rsidRDefault="0087131F" w:rsidP="0008692E">
      <w:pPr>
        <w:spacing w:after="0" w:line="240" w:lineRule="auto"/>
        <w:ind w:right="570"/>
        <w:textAlignment w:val="baseline"/>
      </w:pPr>
      <w:r>
        <w:rPr>
          <w:rStyle w:val="FootnoteReference"/>
        </w:rPr>
        <w:footnoteRef/>
      </w:r>
      <w:r w:rsidRPr="0008692E">
        <w:rPr>
          <w:rFonts w:ascii="Calibri" w:eastAsia="Times New Roman" w:hAnsi="Calibri" w:cs="Calibri"/>
          <w:sz w:val="18"/>
          <w:szCs w:val="18"/>
        </w:rPr>
        <w:t>Assumes exchange rate of 0.78 GBP = 1 USD as at 26 November 2019.</w:t>
      </w:r>
    </w:p>
  </w:footnote>
  <w:footnote w:id="9">
    <w:p w14:paraId="15990B87" w14:textId="28C3DDF5" w:rsidR="0087131F" w:rsidRPr="0008692E" w:rsidRDefault="0087131F" w:rsidP="0008692E">
      <w:pPr>
        <w:spacing w:after="0" w:line="240" w:lineRule="auto"/>
        <w:textAlignment w:val="baseline"/>
      </w:pPr>
      <w:r>
        <w:rPr>
          <w:rStyle w:val="FootnoteReference"/>
        </w:rPr>
        <w:footnoteRef/>
      </w:r>
      <w:r>
        <w:t xml:space="preserve"> </w:t>
      </w:r>
      <w:r w:rsidRPr="0008692E">
        <w:rPr>
          <w:rFonts w:ascii="Calibri" w:eastAsia="Times New Roman" w:hAnsi="Calibri" w:cs="Calibri"/>
          <w:sz w:val="18"/>
          <w:szCs w:val="18"/>
        </w:rPr>
        <w:t>Includes funding that will be channeled to in-country partners and other NGOs involved in the delivery of technical assistance. </w:t>
      </w:r>
    </w:p>
  </w:footnote>
  <w:footnote w:id="10">
    <w:p w14:paraId="6AC0D929" w14:textId="448B22D3" w:rsidR="0087131F" w:rsidRPr="0008692E" w:rsidRDefault="0087131F">
      <w:pPr>
        <w:pStyle w:val="FootnoteText"/>
        <w:rPr>
          <w:lang w:val="en-GB"/>
        </w:rPr>
      </w:pPr>
      <w:r>
        <w:rPr>
          <w:rStyle w:val="FootnoteReference"/>
        </w:rPr>
        <w:footnoteRef/>
      </w:r>
      <w:r>
        <w:t xml:space="preserve"> </w:t>
      </w:r>
      <w:r w:rsidRPr="0008692E">
        <w:rPr>
          <w:rFonts w:eastAsia="Times New Roman" w:cs="Calibri"/>
          <w:sz w:val="18"/>
          <w:szCs w:val="18"/>
        </w:rPr>
        <w:t>Includes a small GHG tax from business travel and electricity use.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F0B3" w14:textId="5676B0DB" w:rsidR="0087131F" w:rsidRDefault="0087131F" w:rsidP="00C34C15">
    <w:pPr>
      <w:pStyle w:val="Header"/>
      <w:tabs>
        <w:tab w:val="center" w:pos="4873"/>
        <w:tab w:val="left" w:pos="8502"/>
      </w:tabs>
    </w:pPr>
    <w:r>
      <w:tab/>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F0B6" w14:textId="29E302DB" w:rsidR="0087131F" w:rsidRPr="004A768C" w:rsidRDefault="0087131F" w:rsidP="004A768C">
    <w:pPr>
      <w:jc w:val="center"/>
      <w:rPr>
        <w:noProof/>
        <w:color w:val="D9D9D9" w:themeColor="background1" w:themeShade="D9"/>
        <w:lang w:eastAsia="en-GB"/>
      </w:rPr>
    </w:pPr>
    <w:r w:rsidRPr="004A768C">
      <w:rPr>
        <w:noProof/>
        <w:color w:val="D9D9D9" w:themeColor="background1" w:themeShade="D9"/>
        <w:lang w:eastAsia="en-GB"/>
      </w:rPr>
      <w:t>Official Sensitive</w:t>
    </w:r>
  </w:p>
  <w:p w14:paraId="2D50F0B7" w14:textId="5FD9C8D5" w:rsidR="0087131F" w:rsidRDefault="0087131F" w:rsidP="00D52BF5">
    <w:pPr>
      <w:rPr>
        <w:noProof/>
        <w:lang w:eastAsia="en-GB"/>
      </w:rPr>
    </w:pPr>
    <w:r>
      <w:rPr>
        <w:noProof/>
        <w:lang w:eastAsia="en-GB"/>
      </w:rPr>
      <w:drawing>
        <wp:inline distT="0" distB="0" distL="0" distR="0" wp14:anchorId="40FA8532" wp14:editId="65D4A5A1">
          <wp:extent cx="1753737" cy="92781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698" cy="927793"/>
                  </a:xfrm>
                  <a:prstGeom prst="rect">
                    <a:avLst/>
                  </a:prstGeom>
                  <a:noFill/>
                  <a:ln>
                    <a:noFill/>
                  </a:ln>
                </pic:spPr>
              </pic:pic>
            </a:graphicData>
          </a:graphic>
        </wp:inline>
      </w:drawing>
    </w:r>
  </w:p>
  <w:p w14:paraId="2D50F0B8" w14:textId="2A19F7A6" w:rsidR="0087131F" w:rsidRDefault="0087131F" w:rsidP="00CF3125">
    <w:pPr>
      <w:tabs>
        <w:tab w:val="left" w:pos="2400"/>
      </w:tabs>
    </w:pPr>
    <w:r>
      <w:rPr>
        <w:noProof/>
        <w:lang w:eastAsia="en-GB"/>
      </w:rPr>
      <w:drawing>
        <wp:anchor distT="0" distB="0" distL="114300" distR="114300" simplePos="0" relativeHeight="251661312" behindDoc="1" locked="0" layoutInCell="1" allowOverlap="1" wp14:anchorId="2D50F0CA" wp14:editId="4FCECF38">
          <wp:simplePos x="0" y="0"/>
          <wp:positionH relativeFrom="column">
            <wp:posOffset>0</wp:posOffset>
          </wp:positionH>
          <wp:positionV relativeFrom="paragraph">
            <wp:posOffset>-450215</wp:posOffset>
          </wp:positionV>
          <wp:extent cx="6624000" cy="9972000"/>
          <wp:effectExtent l="0" t="0" r="5715" b="0"/>
          <wp:wrapNone/>
          <wp:docPr id="6" name="Picture 6" descr="Decc-graphic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cc-graphic2.pdf"/>
                  <pic:cNvPicPr>
                    <a:picLocks noChangeAspect="1" noChangeArrowheads="1"/>
                  </pic:cNvPicPr>
                </pic:nvPicPr>
                <pic:blipFill rotWithShape="1">
                  <a:blip r:embed="rId2">
                    <a:duotone>
                      <a:schemeClr val="accent3">
                        <a:shade val="45000"/>
                        <a:satMod val="135000"/>
                      </a:schemeClr>
                      <a:prstClr val="white"/>
                    </a:duotone>
                    <a:extLst>
                      <a:ext uri="{28A0092B-C50C-407E-A947-70E740481C1C}">
                        <a14:useLocalDpi xmlns:a14="http://schemas.microsoft.com/office/drawing/2010/main" val="0"/>
                      </a:ext>
                    </a:extLst>
                  </a:blip>
                  <a:srcRect l="6145" r="-1"/>
                  <a:stretch/>
                </pic:blipFill>
                <pic:spPr bwMode="auto">
                  <a:xfrm>
                    <a:off x="0" y="0"/>
                    <a:ext cx="6624000" cy="997200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tab/>
      <w:t xml:space="preserve"> </w:t>
    </w:r>
  </w:p>
  <w:p w14:paraId="2D50F0B9" w14:textId="77777777" w:rsidR="0087131F" w:rsidRDefault="00871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F0C4" w14:textId="77777777" w:rsidR="0087131F" w:rsidRDefault="0087131F" w:rsidP="00CF3125">
    <w:pPr>
      <w:tabs>
        <w:tab w:val="left" w:pos="2400"/>
      </w:tabs>
    </w:pPr>
  </w:p>
  <w:p w14:paraId="2D50F0C5" w14:textId="77777777" w:rsidR="0087131F" w:rsidRDefault="00871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8D0"/>
    <w:multiLevelType w:val="hybridMultilevel"/>
    <w:tmpl w:val="DD5CC5BA"/>
    <w:lvl w:ilvl="0" w:tplc="6B867E60">
      <w:start w:val="1"/>
      <w:numFmt w:val="lowerLetter"/>
      <w:lvlText w:val="%1."/>
      <w:lvlJc w:val="left"/>
      <w:pPr>
        <w:ind w:left="380" w:hanging="360"/>
      </w:pPr>
      <w:rPr>
        <w:rFonts w:hint="default"/>
      </w:rPr>
    </w:lvl>
    <w:lvl w:ilvl="1" w:tplc="0809001B">
      <w:start w:val="1"/>
      <w:numFmt w:val="lowerRoman"/>
      <w:lvlText w:val="%2."/>
      <w:lvlJc w:val="righ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03632D1E"/>
    <w:multiLevelType w:val="hybridMultilevel"/>
    <w:tmpl w:val="6BE21EBA"/>
    <w:lvl w:ilvl="0" w:tplc="66008C7A">
      <w:start w:val="1"/>
      <w:numFmt w:val="decimal"/>
      <w:lvlText w:val="%1."/>
      <w:lvlJc w:val="left"/>
      <w:pPr>
        <w:ind w:left="360" w:hanging="360"/>
      </w:pPr>
      <w:rPr>
        <w:rFonts w:ascii="Arial" w:hAnsi="Arial" w:cs="Arial" w:hint="default"/>
        <w:i w:val="0"/>
        <w:sz w:val="22"/>
        <w:szCs w:val="22"/>
      </w:rPr>
    </w:lvl>
    <w:lvl w:ilvl="1" w:tplc="80409866">
      <w:start w:val="5"/>
      <w:numFmt w:val="bullet"/>
      <w:lvlText w:val="-"/>
      <w:lvlJc w:val="left"/>
      <w:pPr>
        <w:ind w:left="1080" w:hanging="360"/>
      </w:pPr>
      <w:rPr>
        <w:rFonts w:ascii="Arial" w:eastAsiaTheme="majorEastAsia" w:hAnsi="Arial" w:cs="Arial"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85298F"/>
    <w:multiLevelType w:val="hybridMultilevel"/>
    <w:tmpl w:val="31C4B340"/>
    <w:lvl w:ilvl="0" w:tplc="115A0290">
      <w:start w:val="1"/>
      <w:numFmt w:val="decimal"/>
      <w:lvlText w:val="%1."/>
      <w:lvlJc w:val="left"/>
      <w:pPr>
        <w:ind w:left="369" w:hanging="360"/>
      </w:pPr>
      <w:rPr>
        <w:sz w:val="22"/>
        <w:szCs w:val="22"/>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 w15:restartNumberingAfterBreak="0">
    <w:nsid w:val="19476EC9"/>
    <w:multiLevelType w:val="hybridMultilevel"/>
    <w:tmpl w:val="CCEA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F2A12"/>
    <w:multiLevelType w:val="hybridMultilevel"/>
    <w:tmpl w:val="A7A62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9704AC"/>
    <w:multiLevelType w:val="hybridMultilevel"/>
    <w:tmpl w:val="9F02BCA2"/>
    <w:lvl w:ilvl="0" w:tplc="141E1C6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F03E6B"/>
    <w:multiLevelType w:val="hybridMultilevel"/>
    <w:tmpl w:val="A7A62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500F2C"/>
    <w:multiLevelType w:val="hybridMultilevel"/>
    <w:tmpl w:val="9E98D4DC"/>
    <w:lvl w:ilvl="0" w:tplc="1610E0BE">
      <w:start w:val="8"/>
      <w:numFmt w:val="decimal"/>
      <w:lvlText w:val="%1."/>
      <w:lvlJc w:val="left"/>
      <w:pPr>
        <w:ind w:left="910" w:hanging="360"/>
      </w:pPr>
      <w:rPr>
        <w:rFonts w:ascii="Arial" w:hAnsi="Arial" w:cs="Arial" w:hint="default"/>
        <w:b w:val="0"/>
        <w:i w:val="0"/>
        <w:sz w:val="22"/>
        <w:szCs w:val="22"/>
      </w:rPr>
    </w:lvl>
    <w:lvl w:ilvl="1" w:tplc="08090019">
      <w:start w:val="1"/>
      <w:numFmt w:val="lowerLetter"/>
      <w:lvlText w:val="%2."/>
      <w:lvlJc w:val="left"/>
      <w:pPr>
        <w:ind w:left="1990" w:hanging="360"/>
      </w:pPr>
    </w:lvl>
    <w:lvl w:ilvl="2" w:tplc="0809001B" w:tentative="1">
      <w:start w:val="1"/>
      <w:numFmt w:val="lowerRoman"/>
      <w:lvlText w:val="%3."/>
      <w:lvlJc w:val="right"/>
      <w:pPr>
        <w:ind w:left="2710" w:hanging="180"/>
      </w:pPr>
    </w:lvl>
    <w:lvl w:ilvl="3" w:tplc="0809000F" w:tentative="1">
      <w:start w:val="1"/>
      <w:numFmt w:val="decimal"/>
      <w:lvlText w:val="%4."/>
      <w:lvlJc w:val="left"/>
      <w:pPr>
        <w:ind w:left="3430" w:hanging="360"/>
      </w:pPr>
    </w:lvl>
    <w:lvl w:ilvl="4" w:tplc="08090019" w:tentative="1">
      <w:start w:val="1"/>
      <w:numFmt w:val="lowerLetter"/>
      <w:lvlText w:val="%5."/>
      <w:lvlJc w:val="left"/>
      <w:pPr>
        <w:ind w:left="4150" w:hanging="360"/>
      </w:pPr>
    </w:lvl>
    <w:lvl w:ilvl="5" w:tplc="0809001B" w:tentative="1">
      <w:start w:val="1"/>
      <w:numFmt w:val="lowerRoman"/>
      <w:lvlText w:val="%6."/>
      <w:lvlJc w:val="right"/>
      <w:pPr>
        <w:ind w:left="4870" w:hanging="180"/>
      </w:pPr>
    </w:lvl>
    <w:lvl w:ilvl="6" w:tplc="0809000F" w:tentative="1">
      <w:start w:val="1"/>
      <w:numFmt w:val="decimal"/>
      <w:lvlText w:val="%7."/>
      <w:lvlJc w:val="left"/>
      <w:pPr>
        <w:ind w:left="5590" w:hanging="360"/>
      </w:pPr>
    </w:lvl>
    <w:lvl w:ilvl="7" w:tplc="08090019" w:tentative="1">
      <w:start w:val="1"/>
      <w:numFmt w:val="lowerLetter"/>
      <w:lvlText w:val="%8."/>
      <w:lvlJc w:val="left"/>
      <w:pPr>
        <w:ind w:left="6310" w:hanging="360"/>
      </w:pPr>
    </w:lvl>
    <w:lvl w:ilvl="8" w:tplc="0809001B" w:tentative="1">
      <w:start w:val="1"/>
      <w:numFmt w:val="lowerRoman"/>
      <w:lvlText w:val="%9."/>
      <w:lvlJc w:val="right"/>
      <w:pPr>
        <w:ind w:left="7030" w:hanging="180"/>
      </w:pPr>
    </w:lvl>
  </w:abstractNum>
  <w:abstractNum w:abstractNumId="8" w15:restartNumberingAfterBreak="0">
    <w:nsid w:val="2C377153"/>
    <w:multiLevelType w:val="hybridMultilevel"/>
    <w:tmpl w:val="B14EA588"/>
    <w:lvl w:ilvl="0" w:tplc="BD46D870">
      <w:start w:val="1"/>
      <w:numFmt w:val="decimal"/>
      <w:lvlText w:val="%1."/>
      <w:lvlJc w:val="left"/>
      <w:pPr>
        <w:ind w:left="360" w:hanging="360"/>
      </w:pPr>
      <w:rPr>
        <w:rFonts w:ascii="Arial" w:hAnsi="Arial" w:cs="Arial" w:hint="default"/>
        <w:b w:val="0"/>
        <w:i w:val="0"/>
        <w:color w:val="auto"/>
        <w:sz w:val="22"/>
        <w:szCs w:val="22"/>
      </w:rPr>
    </w:lvl>
    <w:lvl w:ilvl="1" w:tplc="08090001">
      <w:start w:val="1"/>
      <w:numFmt w:val="bullet"/>
      <w:lvlText w:val=""/>
      <w:lvlJc w:val="left"/>
      <w:pPr>
        <w:ind w:left="1080" w:hanging="360"/>
      </w:pPr>
      <w:rPr>
        <w:rFonts w:ascii="Symbol" w:hAnsi="Symbol"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4A7742"/>
    <w:multiLevelType w:val="hybridMultilevel"/>
    <w:tmpl w:val="A7A62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132113"/>
    <w:multiLevelType w:val="hybridMultilevel"/>
    <w:tmpl w:val="7C5A21C4"/>
    <w:lvl w:ilvl="0" w:tplc="51BE67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DC4210"/>
    <w:multiLevelType w:val="hybridMultilevel"/>
    <w:tmpl w:val="D6809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6B7836"/>
    <w:multiLevelType w:val="multilevel"/>
    <w:tmpl w:val="626C23FC"/>
    <w:lvl w:ilvl="0">
      <w:start w:val="1"/>
      <w:numFmt w:val="decimal"/>
      <w:pStyle w:val="Subsnumberedparagraphs"/>
      <w:lvlText w:val="%1."/>
      <w:lvlJc w:val="left"/>
      <w:pPr>
        <w:ind w:left="357" w:hanging="357"/>
      </w:pPr>
      <w:rPr>
        <w:rFonts w:ascii="Arial" w:hAnsi="Arial" w:cs="Arial" w:hint="default"/>
        <w:b w:val="0"/>
        <w:i w:val="0"/>
        <w:color w:val="auto"/>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8AD3FB9"/>
    <w:multiLevelType w:val="hybridMultilevel"/>
    <w:tmpl w:val="A7A62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9824B3"/>
    <w:multiLevelType w:val="hybridMultilevel"/>
    <w:tmpl w:val="510813B2"/>
    <w:lvl w:ilvl="0" w:tplc="08090001">
      <w:start w:val="1"/>
      <w:numFmt w:val="bullet"/>
      <w:lvlText w:val=""/>
      <w:lvlJc w:val="left"/>
      <w:pPr>
        <w:ind w:left="360" w:hanging="360"/>
      </w:pPr>
      <w:rPr>
        <w:rFonts w:ascii="Symbol" w:hAnsi="Symbol" w:hint="default"/>
        <w:b w:val="0"/>
        <w:i w:val="0"/>
        <w:color w:val="auto"/>
        <w:sz w:val="22"/>
        <w:szCs w:val="22"/>
      </w:rPr>
    </w:lvl>
    <w:lvl w:ilvl="1" w:tplc="08090001">
      <w:start w:val="1"/>
      <w:numFmt w:val="bullet"/>
      <w:lvlText w:val=""/>
      <w:lvlJc w:val="left"/>
      <w:pPr>
        <w:ind w:left="1080" w:hanging="360"/>
      </w:pPr>
      <w:rPr>
        <w:rFonts w:ascii="Symbol" w:hAnsi="Symbol"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C16E09"/>
    <w:multiLevelType w:val="hybridMultilevel"/>
    <w:tmpl w:val="286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C6DA2"/>
    <w:multiLevelType w:val="hybridMultilevel"/>
    <w:tmpl w:val="A7A62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0C6690"/>
    <w:multiLevelType w:val="hybridMultilevel"/>
    <w:tmpl w:val="A7A62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CE7ECF"/>
    <w:multiLevelType w:val="hybridMultilevel"/>
    <w:tmpl w:val="E1C4B7DA"/>
    <w:lvl w:ilvl="0" w:tplc="66008C7A">
      <w:start w:val="1"/>
      <w:numFmt w:val="decimal"/>
      <w:lvlText w:val="%1."/>
      <w:lvlJc w:val="left"/>
      <w:pPr>
        <w:ind w:left="5039" w:hanging="360"/>
      </w:pPr>
      <w:rPr>
        <w:rFonts w:ascii="Arial" w:hAnsi="Arial" w:cs="Arial" w:hint="default"/>
        <w:i w:val="0"/>
        <w:sz w:val="22"/>
        <w:szCs w:val="22"/>
      </w:rPr>
    </w:lvl>
    <w:lvl w:ilvl="1" w:tplc="80409866">
      <w:start w:val="5"/>
      <w:numFmt w:val="bullet"/>
      <w:lvlText w:val="-"/>
      <w:lvlJc w:val="left"/>
      <w:pPr>
        <w:ind w:left="1080" w:hanging="360"/>
      </w:pPr>
      <w:rPr>
        <w:rFonts w:ascii="Arial" w:eastAsiaTheme="majorEastAsia" w:hAnsi="Arial" w:cs="Arial"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0B1A1A"/>
    <w:multiLevelType w:val="hybridMultilevel"/>
    <w:tmpl w:val="337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36EAA"/>
    <w:multiLevelType w:val="hybridMultilevel"/>
    <w:tmpl w:val="6024C13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90208B"/>
    <w:multiLevelType w:val="hybridMultilevel"/>
    <w:tmpl w:val="A7A62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0765108">
    <w:abstractNumId w:val="12"/>
  </w:num>
  <w:num w:numId="2" w16cid:durableId="1479152866">
    <w:abstractNumId w:val="5"/>
  </w:num>
  <w:num w:numId="3" w16cid:durableId="515191871">
    <w:abstractNumId w:val="1"/>
  </w:num>
  <w:num w:numId="4" w16cid:durableId="1340616163">
    <w:abstractNumId w:val="2"/>
  </w:num>
  <w:num w:numId="5" w16cid:durableId="2100173740">
    <w:abstractNumId w:val="11"/>
  </w:num>
  <w:num w:numId="6" w16cid:durableId="1939950121">
    <w:abstractNumId w:val="10"/>
  </w:num>
  <w:num w:numId="7" w16cid:durableId="84770563">
    <w:abstractNumId w:val="18"/>
  </w:num>
  <w:num w:numId="8" w16cid:durableId="116026782">
    <w:abstractNumId w:val="8"/>
  </w:num>
  <w:num w:numId="9" w16cid:durableId="1078360825">
    <w:abstractNumId w:val="7"/>
  </w:num>
  <w:num w:numId="10" w16cid:durableId="1712487856">
    <w:abstractNumId w:val="20"/>
  </w:num>
  <w:num w:numId="11" w16cid:durableId="1504857365">
    <w:abstractNumId w:val="0"/>
  </w:num>
  <w:num w:numId="12" w16cid:durableId="35281139">
    <w:abstractNumId w:val="13"/>
  </w:num>
  <w:num w:numId="13" w16cid:durableId="916744313">
    <w:abstractNumId w:val="21"/>
  </w:num>
  <w:num w:numId="14" w16cid:durableId="1680278017">
    <w:abstractNumId w:val="17"/>
  </w:num>
  <w:num w:numId="15" w16cid:durableId="399836192">
    <w:abstractNumId w:val="9"/>
  </w:num>
  <w:num w:numId="16" w16cid:durableId="492449500">
    <w:abstractNumId w:val="16"/>
  </w:num>
  <w:num w:numId="17" w16cid:durableId="1785733730">
    <w:abstractNumId w:val="4"/>
  </w:num>
  <w:num w:numId="18" w16cid:durableId="1639529887">
    <w:abstractNumId w:val="6"/>
  </w:num>
  <w:num w:numId="19" w16cid:durableId="1847594891">
    <w:abstractNumId w:val="14"/>
  </w:num>
  <w:num w:numId="20" w16cid:durableId="351155293">
    <w:abstractNumId w:val="15"/>
  </w:num>
  <w:num w:numId="21" w16cid:durableId="1197278127">
    <w:abstractNumId w:val="19"/>
  </w:num>
  <w:num w:numId="22" w16cid:durableId="165637125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F3"/>
    <w:rsid w:val="000015C1"/>
    <w:rsid w:val="000019B1"/>
    <w:rsid w:val="00003B45"/>
    <w:rsid w:val="0000601B"/>
    <w:rsid w:val="000061F6"/>
    <w:rsid w:val="000063FC"/>
    <w:rsid w:val="0000701F"/>
    <w:rsid w:val="00007D66"/>
    <w:rsid w:val="00013FE6"/>
    <w:rsid w:val="00015385"/>
    <w:rsid w:val="00016837"/>
    <w:rsid w:val="00016BE4"/>
    <w:rsid w:val="000201CA"/>
    <w:rsid w:val="00020284"/>
    <w:rsid w:val="00021498"/>
    <w:rsid w:val="00022846"/>
    <w:rsid w:val="00022B0C"/>
    <w:rsid w:val="00022C12"/>
    <w:rsid w:val="00022E88"/>
    <w:rsid w:val="0002391B"/>
    <w:rsid w:val="00023AC4"/>
    <w:rsid w:val="00025883"/>
    <w:rsid w:val="00025D6F"/>
    <w:rsid w:val="00031F30"/>
    <w:rsid w:val="000330AE"/>
    <w:rsid w:val="0003568E"/>
    <w:rsid w:val="00037093"/>
    <w:rsid w:val="00037E19"/>
    <w:rsid w:val="00040DD7"/>
    <w:rsid w:val="00043830"/>
    <w:rsid w:val="00043E99"/>
    <w:rsid w:val="000440C8"/>
    <w:rsid w:val="000479D9"/>
    <w:rsid w:val="00050048"/>
    <w:rsid w:val="000502FF"/>
    <w:rsid w:val="00050622"/>
    <w:rsid w:val="00051820"/>
    <w:rsid w:val="00051F4B"/>
    <w:rsid w:val="000528B2"/>
    <w:rsid w:val="000533A7"/>
    <w:rsid w:val="00053E40"/>
    <w:rsid w:val="000550B5"/>
    <w:rsid w:val="00055503"/>
    <w:rsid w:val="000555DF"/>
    <w:rsid w:val="00057174"/>
    <w:rsid w:val="00060061"/>
    <w:rsid w:val="000600E0"/>
    <w:rsid w:val="0006221A"/>
    <w:rsid w:val="00062A8D"/>
    <w:rsid w:val="0006364C"/>
    <w:rsid w:val="00063A0B"/>
    <w:rsid w:val="000642FD"/>
    <w:rsid w:val="000650A0"/>
    <w:rsid w:val="000659A2"/>
    <w:rsid w:val="00066FB6"/>
    <w:rsid w:val="00067D61"/>
    <w:rsid w:val="0007080C"/>
    <w:rsid w:val="00070EB7"/>
    <w:rsid w:val="000715F6"/>
    <w:rsid w:val="00071E7A"/>
    <w:rsid w:val="0007248C"/>
    <w:rsid w:val="000725E8"/>
    <w:rsid w:val="000735D9"/>
    <w:rsid w:val="00075985"/>
    <w:rsid w:val="00075AB6"/>
    <w:rsid w:val="000768D1"/>
    <w:rsid w:val="0007763E"/>
    <w:rsid w:val="00080732"/>
    <w:rsid w:val="00080DCA"/>
    <w:rsid w:val="00081012"/>
    <w:rsid w:val="00082CE2"/>
    <w:rsid w:val="000835A2"/>
    <w:rsid w:val="00083BAB"/>
    <w:rsid w:val="000842AF"/>
    <w:rsid w:val="000856BD"/>
    <w:rsid w:val="00085D24"/>
    <w:rsid w:val="0008692E"/>
    <w:rsid w:val="00087A7D"/>
    <w:rsid w:val="000902EA"/>
    <w:rsid w:val="00090C14"/>
    <w:rsid w:val="00091F89"/>
    <w:rsid w:val="00092B05"/>
    <w:rsid w:val="00092EC7"/>
    <w:rsid w:val="000933CB"/>
    <w:rsid w:val="000935BB"/>
    <w:rsid w:val="00095686"/>
    <w:rsid w:val="00096041"/>
    <w:rsid w:val="00096E42"/>
    <w:rsid w:val="00097355"/>
    <w:rsid w:val="000975C0"/>
    <w:rsid w:val="0009776D"/>
    <w:rsid w:val="00097FD8"/>
    <w:rsid w:val="000A111B"/>
    <w:rsid w:val="000A1EDA"/>
    <w:rsid w:val="000A2354"/>
    <w:rsid w:val="000A2838"/>
    <w:rsid w:val="000A2D69"/>
    <w:rsid w:val="000A32BD"/>
    <w:rsid w:val="000A3947"/>
    <w:rsid w:val="000A48F7"/>
    <w:rsid w:val="000A5256"/>
    <w:rsid w:val="000A67B9"/>
    <w:rsid w:val="000A69DE"/>
    <w:rsid w:val="000A7974"/>
    <w:rsid w:val="000B09F7"/>
    <w:rsid w:val="000B0A20"/>
    <w:rsid w:val="000B0B82"/>
    <w:rsid w:val="000B22B6"/>
    <w:rsid w:val="000B33BC"/>
    <w:rsid w:val="000B3C73"/>
    <w:rsid w:val="000B3DCA"/>
    <w:rsid w:val="000B4361"/>
    <w:rsid w:val="000B43F3"/>
    <w:rsid w:val="000B50C1"/>
    <w:rsid w:val="000C0670"/>
    <w:rsid w:val="000C24E0"/>
    <w:rsid w:val="000C42CE"/>
    <w:rsid w:val="000C4320"/>
    <w:rsid w:val="000C53A0"/>
    <w:rsid w:val="000C5800"/>
    <w:rsid w:val="000D10D2"/>
    <w:rsid w:val="000D2A21"/>
    <w:rsid w:val="000D3034"/>
    <w:rsid w:val="000D329C"/>
    <w:rsid w:val="000D3AA2"/>
    <w:rsid w:val="000D3CB1"/>
    <w:rsid w:val="000D4988"/>
    <w:rsid w:val="000D4FDD"/>
    <w:rsid w:val="000D5333"/>
    <w:rsid w:val="000D5B21"/>
    <w:rsid w:val="000D6E0F"/>
    <w:rsid w:val="000D6EA5"/>
    <w:rsid w:val="000E04B2"/>
    <w:rsid w:val="000E0D5F"/>
    <w:rsid w:val="000E14DB"/>
    <w:rsid w:val="000E213E"/>
    <w:rsid w:val="000E2B81"/>
    <w:rsid w:val="000E2C59"/>
    <w:rsid w:val="000E3A2B"/>
    <w:rsid w:val="000E4350"/>
    <w:rsid w:val="000E4534"/>
    <w:rsid w:val="000E6EE0"/>
    <w:rsid w:val="000F0098"/>
    <w:rsid w:val="000F0F24"/>
    <w:rsid w:val="000F1788"/>
    <w:rsid w:val="000F186C"/>
    <w:rsid w:val="000F2150"/>
    <w:rsid w:val="000F39A2"/>
    <w:rsid w:val="000F411F"/>
    <w:rsid w:val="000F4193"/>
    <w:rsid w:val="000F6E93"/>
    <w:rsid w:val="000F7B21"/>
    <w:rsid w:val="00100470"/>
    <w:rsid w:val="001009E5"/>
    <w:rsid w:val="001013C6"/>
    <w:rsid w:val="00103CD9"/>
    <w:rsid w:val="00105398"/>
    <w:rsid w:val="001055E4"/>
    <w:rsid w:val="00105CC3"/>
    <w:rsid w:val="00105D0A"/>
    <w:rsid w:val="00107A77"/>
    <w:rsid w:val="001106A5"/>
    <w:rsid w:val="00110770"/>
    <w:rsid w:val="001112A6"/>
    <w:rsid w:val="0011170F"/>
    <w:rsid w:val="00111750"/>
    <w:rsid w:val="00112F35"/>
    <w:rsid w:val="00113905"/>
    <w:rsid w:val="001139E5"/>
    <w:rsid w:val="00114A2A"/>
    <w:rsid w:val="00116226"/>
    <w:rsid w:val="00117994"/>
    <w:rsid w:val="00120B8B"/>
    <w:rsid w:val="001219E7"/>
    <w:rsid w:val="0012221B"/>
    <w:rsid w:val="00122B89"/>
    <w:rsid w:val="00122C20"/>
    <w:rsid w:val="00122F69"/>
    <w:rsid w:val="00123914"/>
    <w:rsid w:val="00123C7A"/>
    <w:rsid w:val="00124445"/>
    <w:rsid w:val="00124C8B"/>
    <w:rsid w:val="00125186"/>
    <w:rsid w:val="0012552F"/>
    <w:rsid w:val="001271BB"/>
    <w:rsid w:val="00127D16"/>
    <w:rsid w:val="001321FE"/>
    <w:rsid w:val="00132602"/>
    <w:rsid w:val="00133F4B"/>
    <w:rsid w:val="0013410F"/>
    <w:rsid w:val="001347D4"/>
    <w:rsid w:val="00135BA9"/>
    <w:rsid w:val="001375EC"/>
    <w:rsid w:val="00137697"/>
    <w:rsid w:val="0014013B"/>
    <w:rsid w:val="00140483"/>
    <w:rsid w:val="00140DC6"/>
    <w:rsid w:val="0014153F"/>
    <w:rsid w:val="00141C76"/>
    <w:rsid w:val="00142341"/>
    <w:rsid w:val="0014254D"/>
    <w:rsid w:val="0014293F"/>
    <w:rsid w:val="00145544"/>
    <w:rsid w:val="00146665"/>
    <w:rsid w:val="00147890"/>
    <w:rsid w:val="001479A1"/>
    <w:rsid w:val="00147EC3"/>
    <w:rsid w:val="001515CB"/>
    <w:rsid w:val="00151E40"/>
    <w:rsid w:val="00152497"/>
    <w:rsid w:val="0015300C"/>
    <w:rsid w:val="00154D4E"/>
    <w:rsid w:val="001556FF"/>
    <w:rsid w:val="00155EEA"/>
    <w:rsid w:val="00156331"/>
    <w:rsid w:val="0016124C"/>
    <w:rsid w:val="00162A6A"/>
    <w:rsid w:val="00163810"/>
    <w:rsid w:val="00164AD2"/>
    <w:rsid w:val="00166371"/>
    <w:rsid w:val="001664A0"/>
    <w:rsid w:val="0017104D"/>
    <w:rsid w:val="00171349"/>
    <w:rsid w:val="00171B73"/>
    <w:rsid w:val="001729BD"/>
    <w:rsid w:val="00172FF9"/>
    <w:rsid w:val="001750B9"/>
    <w:rsid w:val="00175549"/>
    <w:rsid w:val="00175AC4"/>
    <w:rsid w:val="001762FA"/>
    <w:rsid w:val="00176356"/>
    <w:rsid w:val="00177A78"/>
    <w:rsid w:val="00180C69"/>
    <w:rsid w:val="001816CF"/>
    <w:rsid w:val="00183461"/>
    <w:rsid w:val="001839AA"/>
    <w:rsid w:val="00184D1B"/>
    <w:rsid w:val="0018579F"/>
    <w:rsid w:val="001858A5"/>
    <w:rsid w:val="001866E9"/>
    <w:rsid w:val="001925FF"/>
    <w:rsid w:val="001934CD"/>
    <w:rsid w:val="0019552A"/>
    <w:rsid w:val="00196654"/>
    <w:rsid w:val="00197E40"/>
    <w:rsid w:val="001A1530"/>
    <w:rsid w:val="001A17F6"/>
    <w:rsid w:val="001A505D"/>
    <w:rsid w:val="001A57C3"/>
    <w:rsid w:val="001A69FB"/>
    <w:rsid w:val="001A6B50"/>
    <w:rsid w:val="001B2BEC"/>
    <w:rsid w:val="001B3F83"/>
    <w:rsid w:val="001B4147"/>
    <w:rsid w:val="001B51A0"/>
    <w:rsid w:val="001B5905"/>
    <w:rsid w:val="001B685E"/>
    <w:rsid w:val="001B7F78"/>
    <w:rsid w:val="001C0116"/>
    <w:rsid w:val="001C0155"/>
    <w:rsid w:val="001C0BC6"/>
    <w:rsid w:val="001C30E6"/>
    <w:rsid w:val="001C34BC"/>
    <w:rsid w:val="001C35BC"/>
    <w:rsid w:val="001C36F0"/>
    <w:rsid w:val="001C3E60"/>
    <w:rsid w:val="001C4DB9"/>
    <w:rsid w:val="001C6890"/>
    <w:rsid w:val="001C7E76"/>
    <w:rsid w:val="001D00C1"/>
    <w:rsid w:val="001D134D"/>
    <w:rsid w:val="001D1CC8"/>
    <w:rsid w:val="001D3D0F"/>
    <w:rsid w:val="001D53E4"/>
    <w:rsid w:val="001D5786"/>
    <w:rsid w:val="001D6674"/>
    <w:rsid w:val="001D68EF"/>
    <w:rsid w:val="001D7F42"/>
    <w:rsid w:val="001D7FF3"/>
    <w:rsid w:val="001E1C5D"/>
    <w:rsid w:val="001E2413"/>
    <w:rsid w:val="001E2BDC"/>
    <w:rsid w:val="001E3094"/>
    <w:rsid w:val="001E3444"/>
    <w:rsid w:val="001E4AD1"/>
    <w:rsid w:val="001E5B50"/>
    <w:rsid w:val="001E6F71"/>
    <w:rsid w:val="001E7FDD"/>
    <w:rsid w:val="001F01F3"/>
    <w:rsid w:val="001F0918"/>
    <w:rsid w:val="001F17FD"/>
    <w:rsid w:val="001F252C"/>
    <w:rsid w:val="001F2EE0"/>
    <w:rsid w:val="001F5376"/>
    <w:rsid w:val="001F7828"/>
    <w:rsid w:val="002026C2"/>
    <w:rsid w:val="00203ED0"/>
    <w:rsid w:val="002041F5"/>
    <w:rsid w:val="002043BB"/>
    <w:rsid w:val="002047CB"/>
    <w:rsid w:val="00205381"/>
    <w:rsid w:val="002053E2"/>
    <w:rsid w:val="00206951"/>
    <w:rsid w:val="00210E88"/>
    <w:rsid w:val="0021121F"/>
    <w:rsid w:val="002112A8"/>
    <w:rsid w:val="0021241F"/>
    <w:rsid w:val="00212A21"/>
    <w:rsid w:val="00214238"/>
    <w:rsid w:val="00214ADE"/>
    <w:rsid w:val="0021568E"/>
    <w:rsid w:val="00215A46"/>
    <w:rsid w:val="00216951"/>
    <w:rsid w:val="0021717B"/>
    <w:rsid w:val="0021723D"/>
    <w:rsid w:val="00217C83"/>
    <w:rsid w:val="00217F99"/>
    <w:rsid w:val="00220065"/>
    <w:rsid w:val="00220450"/>
    <w:rsid w:val="00221400"/>
    <w:rsid w:val="00222694"/>
    <w:rsid w:val="00223381"/>
    <w:rsid w:val="00223EF3"/>
    <w:rsid w:val="002241E4"/>
    <w:rsid w:val="00224799"/>
    <w:rsid w:val="00225264"/>
    <w:rsid w:val="002256D4"/>
    <w:rsid w:val="00225D7B"/>
    <w:rsid w:val="00227D0B"/>
    <w:rsid w:val="002302FE"/>
    <w:rsid w:val="002304D8"/>
    <w:rsid w:val="00230B51"/>
    <w:rsid w:val="00231570"/>
    <w:rsid w:val="00231F95"/>
    <w:rsid w:val="00233158"/>
    <w:rsid w:val="00233541"/>
    <w:rsid w:val="00234180"/>
    <w:rsid w:val="00235421"/>
    <w:rsid w:val="00236087"/>
    <w:rsid w:val="00240491"/>
    <w:rsid w:val="00240DEA"/>
    <w:rsid w:val="00240F43"/>
    <w:rsid w:val="002422B1"/>
    <w:rsid w:val="00242BC4"/>
    <w:rsid w:val="0024433E"/>
    <w:rsid w:val="0024508A"/>
    <w:rsid w:val="00246696"/>
    <w:rsid w:val="00247A23"/>
    <w:rsid w:val="002526C8"/>
    <w:rsid w:val="00253999"/>
    <w:rsid w:val="00255E62"/>
    <w:rsid w:val="00255E6C"/>
    <w:rsid w:val="00257A6B"/>
    <w:rsid w:val="002622E6"/>
    <w:rsid w:val="00262411"/>
    <w:rsid w:val="002627C2"/>
    <w:rsid w:val="00262CB8"/>
    <w:rsid w:val="002634A1"/>
    <w:rsid w:val="002652D2"/>
    <w:rsid w:val="002718A4"/>
    <w:rsid w:val="00272B6B"/>
    <w:rsid w:val="00272E06"/>
    <w:rsid w:val="00273A03"/>
    <w:rsid w:val="0027517E"/>
    <w:rsid w:val="002756DD"/>
    <w:rsid w:val="002770F8"/>
    <w:rsid w:val="00277D49"/>
    <w:rsid w:val="00280767"/>
    <w:rsid w:val="002808D9"/>
    <w:rsid w:val="002810D3"/>
    <w:rsid w:val="00281654"/>
    <w:rsid w:val="0028165B"/>
    <w:rsid w:val="002820B2"/>
    <w:rsid w:val="00282469"/>
    <w:rsid w:val="002825AA"/>
    <w:rsid w:val="002831BD"/>
    <w:rsid w:val="00283EFF"/>
    <w:rsid w:val="00284862"/>
    <w:rsid w:val="00285498"/>
    <w:rsid w:val="00286417"/>
    <w:rsid w:val="00286A73"/>
    <w:rsid w:val="00287519"/>
    <w:rsid w:val="00287ACE"/>
    <w:rsid w:val="0029169B"/>
    <w:rsid w:val="00293055"/>
    <w:rsid w:val="002930C8"/>
    <w:rsid w:val="00295A1A"/>
    <w:rsid w:val="00295B19"/>
    <w:rsid w:val="002962D1"/>
    <w:rsid w:val="00296A80"/>
    <w:rsid w:val="00296D1A"/>
    <w:rsid w:val="002979FB"/>
    <w:rsid w:val="00297B5D"/>
    <w:rsid w:val="002A0211"/>
    <w:rsid w:val="002A1357"/>
    <w:rsid w:val="002A1586"/>
    <w:rsid w:val="002A19CB"/>
    <w:rsid w:val="002A3129"/>
    <w:rsid w:val="002A45E2"/>
    <w:rsid w:val="002A4A61"/>
    <w:rsid w:val="002A68C9"/>
    <w:rsid w:val="002A69C6"/>
    <w:rsid w:val="002A76F8"/>
    <w:rsid w:val="002B002F"/>
    <w:rsid w:val="002B1911"/>
    <w:rsid w:val="002B1BCA"/>
    <w:rsid w:val="002B1D7C"/>
    <w:rsid w:val="002B2EC8"/>
    <w:rsid w:val="002B459A"/>
    <w:rsid w:val="002B460C"/>
    <w:rsid w:val="002B4E44"/>
    <w:rsid w:val="002B624F"/>
    <w:rsid w:val="002B650B"/>
    <w:rsid w:val="002C0BCA"/>
    <w:rsid w:val="002C2CC0"/>
    <w:rsid w:val="002C2CFD"/>
    <w:rsid w:val="002C3D59"/>
    <w:rsid w:val="002C3E6E"/>
    <w:rsid w:val="002C49E9"/>
    <w:rsid w:val="002C67D8"/>
    <w:rsid w:val="002D0B94"/>
    <w:rsid w:val="002D1987"/>
    <w:rsid w:val="002D24D9"/>
    <w:rsid w:val="002D2B5D"/>
    <w:rsid w:val="002D3222"/>
    <w:rsid w:val="002D44B5"/>
    <w:rsid w:val="002D45E1"/>
    <w:rsid w:val="002D4A4D"/>
    <w:rsid w:val="002D54AA"/>
    <w:rsid w:val="002D5D01"/>
    <w:rsid w:val="002D5E45"/>
    <w:rsid w:val="002D6552"/>
    <w:rsid w:val="002D7697"/>
    <w:rsid w:val="002E04E6"/>
    <w:rsid w:val="002E05B3"/>
    <w:rsid w:val="002E269A"/>
    <w:rsid w:val="002E2EE9"/>
    <w:rsid w:val="002E457F"/>
    <w:rsid w:val="002E4DD7"/>
    <w:rsid w:val="002E5157"/>
    <w:rsid w:val="002E57C2"/>
    <w:rsid w:val="002E7806"/>
    <w:rsid w:val="002F00F5"/>
    <w:rsid w:val="002F1DC4"/>
    <w:rsid w:val="002F280D"/>
    <w:rsid w:val="002F438B"/>
    <w:rsid w:val="002F4500"/>
    <w:rsid w:val="002F4996"/>
    <w:rsid w:val="002F4AB3"/>
    <w:rsid w:val="002F5916"/>
    <w:rsid w:val="002F59DB"/>
    <w:rsid w:val="002F5EC6"/>
    <w:rsid w:val="002F6DDC"/>
    <w:rsid w:val="002F6F54"/>
    <w:rsid w:val="002F7373"/>
    <w:rsid w:val="003004DC"/>
    <w:rsid w:val="00300E22"/>
    <w:rsid w:val="00300EA9"/>
    <w:rsid w:val="0030272B"/>
    <w:rsid w:val="00302831"/>
    <w:rsid w:val="003035AD"/>
    <w:rsid w:val="00303CB6"/>
    <w:rsid w:val="003045CC"/>
    <w:rsid w:val="00305A3F"/>
    <w:rsid w:val="00307CE6"/>
    <w:rsid w:val="003102B9"/>
    <w:rsid w:val="00310365"/>
    <w:rsid w:val="00310689"/>
    <w:rsid w:val="00311020"/>
    <w:rsid w:val="00312209"/>
    <w:rsid w:val="00314FD8"/>
    <w:rsid w:val="00316118"/>
    <w:rsid w:val="00317575"/>
    <w:rsid w:val="003223BC"/>
    <w:rsid w:val="003224B3"/>
    <w:rsid w:val="00322949"/>
    <w:rsid w:val="00322C72"/>
    <w:rsid w:val="00322CFF"/>
    <w:rsid w:val="00323732"/>
    <w:rsid w:val="003241DD"/>
    <w:rsid w:val="003245CD"/>
    <w:rsid w:val="00324ACC"/>
    <w:rsid w:val="003254F6"/>
    <w:rsid w:val="0032685B"/>
    <w:rsid w:val="0033122B"/>
    <w:rsid w:val="00331267"/>
    <w:rsid w:val="003314A0"/>
    <w:rsid w:val="00332BDC"/>
    <w:rsid w:val="00333B79"/>
    <w:rsid w:val="00334662"/>
    <w:rsid w:val="0033675C"/>
    <w:rsid w:val="00337022"/>
    <w:rsid w:val="00337604"/>
    <w:rsid w:val="00340D3E"/>
    <w:rsid w:val="00341D23"/>
    <w:rsid w:val="00341E90"/>
    <w:rsid w:val="00345A5C"/>
    <w:rsid w:val="00345C21"/>
    <w:rsid w:val="00345F22"/>
    <w:rsid w:val="00346984"/>
    <w:rsid w:val="00346AF4"/>
    <w:rsid w:val="00346BBF"/>
    <w:rsid w:val="003472C6"/>
    <w:rsid w:val="00347DE9"/>
    <w:rsid w:val="00350404"/>
    <w:rsid w:val="0035061B"/>
    <w:rsid w:val="003510E0"/>
    <w:rsid w:val="0035118D"/>
    <w:rsid w:val="00351326"/>
    <w:rsid w:val="0035145D"/>
    <w:rsid w:val="00351B64"/>
    <w:rsid w:val="003526A1"/>
    <w:rsid w:val="00352B0E"/>
    <w:rsid w:val="00352D28"/>
    <w:rsid w:val="003530C7"/>
    <w:rsid w:val="003533E3"/>
    <w:rsid w:val="003538BF"/>
    <w:rsid w:val="00353C0F"/>
    <w:rsid w:val="00356B74"/>
    <w:rsid w:val="00357391"/>
    <w:rsid w:val="00357538"/>
    <w:rsid w:val="003609A6"/>
    <w:rsid w:val="00360CB8"/>
    <w:rsid w:val="00360EE8"/>
    <w:rsid w:val="0036534E"/>
    <w:rsid w:val="003656EF"/>
    <w:rsid w:val="00366621"/>
    <w:rsid w:val="00370014"/>
    <w:rsid w:val="00371923"/>
    <w:rsid w:val="00371B79"/>
    <w:rsid w:val="00371BD5"/>
    <w:rsid w:val="0037327A"/>
    <w:rsid w:val="003740FF"/>
    <w:rsid w:val="00374817"/>
    <w:rsid w:val="003753FE"/>
    <w:rsid w:val="003758AA"/>
    <w:rsid w:val="00375987"/>
    <w:rsid w:val="0037641C"/>
    <w:rsid w:val="00376770"/>
    <w:rsid w:val="00376D41"/>
    <w:rsid w:val="00376D9A"/>
    <w:rsid w:val="00376DE9"/>
    <w:rsid w:val="00377A60"/>
    <w:rsid w:val="00377E98"/>
    <w:rsid w:val="003836FE"/>
    <w:rsid w:val="00383B4D"/>
    <w:rsid w:val="00386173"/>
    <w:rsid w:val="00390784"/>
    <w:rsid w:val="003910DA"/>
    <w:rsid w:val="00394986"/>
    <w:rsid w:val="00397054"/>
    <w:rsid w:val="00397E6D"/>
    <w:rsid w:val="003A12DF"/>
    <w:rsid w:val="003A15D5"/>
    <w:rsid w:val="003A2122"/>
    <w:rsid w:val="003A25C9"/>
    <w:rsid w:val="003A2728"/>
    <w:rsid w:val="003A3CF9"/>
    <w:rsid w:val="003A3F94"/>
    <w:rsid w:val="003A427D"/>
    <w:rsid w:val="003A5436"/>
    <w:rsid w:val="003A5ACC"/>
    <w:rsid w:val="003A5ED6"/>
    <w:rsid w:val="003A60B8"/>
    <w:rsid w:val="003A6903"/>
    <w:rsid w:val="003A6FD8"/>
    <w:rsid w:val="003B1252"/>
    <w:rsid w:val="003B1D57"/>
    <w:rsid w:val="003B205D"/>
    <w:rsid w:val="003B2A80"/>
    <w:rsid w:val="003B35CF"/>
    <w:rsid w:val="003B3734"/>
    <w:rsid w:val="003B3985"/>
    <w:rsid w:val="003B3CC6"/>
    <w:rsid w:val="003B3F65"/>
    <w:rsid w:val="003B4657"/>
    <w:rsid w:val="003B4A0E"/>
    <w:rsid w:val="003B4BDF"/>
    <w:rsid w:val="003B54F7"/>
    <w:rsid w:val="003B6186"/>
    <w:rsid w:val="003B7FE3"/>
    <w:rsid w:val="003C0512"/>
    <w:rsid w:val="003C20A3"/>
    <w:rsid w:val="003C2294"/>
    <w:rsid w:val="003C387C"/>
    <w:rsid w:val="003C4103"/>
    <w:rsid w:val="003C42E5"/>
    <w:rsid w:val="003C4503"/>
    <w:rsid w:val="003C452D"/>
    <w:rsid w:val="003C4864"/>
    <w:rsid w:val="003C4FE4"/>
    <w:rsid w:val="003C643D"/>
    <w:rsid w:val="003C7240"/>
    <w:rsid w:val="003C753A"/>
    <w:rsid w:val="003D0F93"/>
    <w:rsid w:val="003D1BCD"/>
    <w:rsid w:val="003D1D5A"/>
    <w:rsid w:val="003D2978"/>
    <w:rsid w:val="003D2F67"/>
    <w:rsid w:val="003D528C"/>
    <w:rsid w:val="003D5BDD"/>
    <w:rsid w:val="003D6142"/>
    <w:rsid w:val="003D741F"/>
    <w:rsid w:val="003E1095"/>
    <w:rsid w:val="003E1504"/>
    <w:rsid w:val="003E2767"/>
    <w:rsid w:val="003E31FD"/>
    <w:rsid w:val="003E4ABC"/>
    <w:rsid w:val="003E570D"/>
    <w:rsid w:val="003E7949"/>
    <w:rsid w:val="003F03F7"/>
    <w:rsid w:val="003F2CE3"/>
    <w:rsid w:val="003F3084"/>
    <w:rsid w:val="003F3200"/>
    <w:rsid w:val="003F4891"/>
    <w:rsid w:val="003F6EA1"/>
    <w:rsid w:val="00400209"/>
    <w:rsid w:val="00400293"/>
    <w:rsid w:val="0040060C"/>
    <w:rsid w:val="00400BAD"/>
    <w:rsid w:val="004020EF"/>
    <w:rsid w:val="004032FC"/>
    <w:rsid w:val="004035F6"/>
    <w:rsid w:val="004040BC"/>
    <w:rsid w:val="00404E12"/>
    <w:rsid w:val="00405308"/>
    <w:rsid w:val="00405929"/>
    <w:rsid w:val="00405BCF"/>
    <w:rsid w:val="00410E1E"/>
    <w:rsid w:val="004121DE"/>
    <w:rsid w:val="00412288"/>
    <w:rsid w:val="00412371"/>
    <w:rsid w:val="00412474"/>
    <w:rsid w:val="0041283D"/>
    <w:rsid w:val="00412EB5"/>
    <w:rsid w:val="0041447C"/>
    <w:rsid w:val="00414A55"/>
    <w:rsid w:val="00414D54"/>
    <w:rsid w:val="00414D72"/>
    <w:rsid w:val="004150C1"/>
    <w:rsid w:val="0041563D"/>
    <w:rsid w:val="00416E04"/>
    <w:rsid w:val="004217E3"/>
    <w:rsid w:val="0042231B"/>
    <w:rsid w:val="004228B4"/>
    <w:rsid w:val="00423EC2"/>
    <w:rsid w:val="00423F3F"/>
    <w:rsid w:val="0042495A"/>
    <w:rsid w:val="00424B2C"/>
    <w:rsid w:val="004250B8"/>
    <w:rsid w:val="00430651"/>
    <w:rsid w:val="00430A92"/>
    <w:rsid w:val="00430F44"/>
    <w:rsid w:val="00431F8E"/>
    <w:rsid w:val="004324EC"/>
    <w:rsid w:val="00432D04"/>
    <w:rsid w:val="00432EF0"/>
    <w:rsid w:val="0043308E"/>
    <w:rsid w:val="00433163"/>
    <w:rsid w:val="00433195"/>
    <w:rsid w:val="00433FF7"/>
    <w:rsid w:val="00434510"/>
    <w:rsid w:val="00435AC5"/>
    <w:rsid w:val="00436049"/>
    <w:rsid w:val="004365CA"/>
    <w:rsid w:val="00436AFF"/>
    <w:rsid w:val="004378CA"/>
    <w:rsid w:val="00437EF4"/>
    <w:rsid w:val="00440FB1"/>
    <w:rsid w:val="0044174B"/>
    <w:rsid w:val="00441886"/>
    <w:rsid w:val="00441B86"/>
    <w:rsid w:val="00443361"/>
    <w:rsid w:val="00444E1E"/>
    <w:rsid w:val="0044581D"/>
    <w:rsid w:val="00446790"/>
    <w:rsid w:val="00446AEF"/>
    <w:rsid w:val="00446F0D"/>
    <w:rsid w:val="004500CF"/>
    <w:rsid w:val="00450C49"/>
    <w:rsid w:val="00451319"/>
    <w:rsid w:val="00452E55"/>
    <w:rsid w:val="004547FE"/>
    <w:rsid w:val="00455048"/>
    <w:rsid w:val="004552FD"/>
    <w:rsid w:val="00455ACD"/>
    <w:rsid w:val="00455B84"/>
    <w:rsid w:val="00456330"/>
    <w:rsid w:val="00456377"/>
    <w:rsid w:val="00456A65"/>
    <w:rsid w:val="00456D40"/>
    <w:rsid w:val="00460E66"/>
    <w:rsid w:val="0046137B"/>
    <w:rsid w:val="004614D4"/>
    <w:rsid w:val="004623AF"/>
    <w:rsid w:val="00463637"/>
    <w:rsid w:val="00463D7E"/>
    <w:rsid w:val="004648FA"/>
    <w:rsid w:val="00464AD1"/>
    <w:rsid w:val="00464FC7"/>
    <w:rsid w:val="00465C0B"/>
    <w:rsid w:val="00467C4D"/>
    <w:rsid w:val="00467DD5"/>
    <w:rsid w:val="00471FC0"/>
    <w:rsid w:val="004724DE"/>
    <w:rsid w:val="00472A7A"/>
    <w:rsid w:val="004734E3"/>
    <w:rsid w:val="00473C76"/>
    <w:rsid w:val="00473DA6"/>
    <w:rsid w:val="004750E7"/>
    <w:rsid w:val="0047519E"/>
    <w:rsid w:val="0047612B"/>
    <w:rsid w:val="004764B2"/>
    <w:rsid w:val="00477537"/>
    <w:rsid w:val="004808E9"/>
    <w:rsid w:val="00480B73"/>
    <w:rsid w:val="00481096"/>
    <w:rsid w:val="0048198B"/>
    <w:rsid w:val="004835B5"/>
    <w:rsid w:val="004847A2"/>
    <w:rsid w:val="00484818"/>
    <w:rsid w:val="00485A7F"/>
    <w:rsid w:val="00486C88"/>
    <w:rsid w:val="0048735B"/>
    <w:rsid w:val="00487B17"/>
    <w:rsid w:val="00490460"/>
    <w:rsid w:val="00491309"/>
    <w:rsid w:val="00491D9A"/>
    <w:rsid w:val="00492BC0"/>
    <w:rsid w:val="004934F3"/>
    <w:rsid w:val="00493EC8"/>
    <w:rsid w:val="00495C42"/>
    <w:rsid w:val="004960D1"/>
    <w:rsid w:val="004965E7"/>
    <w:rsid w:val="004966FE"/>
    <w:rsid w:val="00496DB9"/>
    <w:rsid w:val="00497ED4"/>
    <w:rsid w:val="004A0295"/>
    <w:rsid w:val="004A0B44"/>
    <w:rsid w:val="004A21BD"/>
    <w:rsid w:val="004A540C"/>
    <w:rsid w:val="004A5BE0"/>
    <w:rsid w:val="004A5E82"/>
    <w:rsid w:val="004A5ECF"/>
    <w:rsid w:val="004A5F7F"/>
    <w:rsid w:val="004A768C"/>
    <w:rsid w:val="004A7838"/>
    <w:rsid w:val="004A789C"/>
    <w:rsid w:val="004A79C3"/>
    <w:rsid w:val="004B0B82"/>
    <w:rsid w:val="004B1A2A"/>
    <w:rsid w:val="004B25CF"/>
    <w:rsid w:val="004B3203"/>
    <w:rsid w:val="004B323E"/>
    <w:rsid w:val="004B359F"/>
    <w:rsid w:val="004B3BA7"/>
    <w:rsid w:val="004B3F5A"/>
    <w:rsid w:val="004B5D1C"/>
    <w:rsid w:val="004B6DC2"/>
    <w:rsid w:val="004B713D"/>
    <w:rsid w:val="004B72BB"/>
    <w:rsid w:val="004C0487"/>
    <w:rsid w:val="004C05AF"/>
    <w:rsid w:val="004C0FD5"/>
    <w:rsid w:val="004C14FC"/>
    <w:rsid w:val="004C186A"/>
    <w:rsid w:val="004C3DDB"/>
    <w:rsid w:val="004C5CAD"/>
    <w:rsid w:val="004C67CC"/>
    <w:rsid w:val="004C6F66"/>
    <w:rsid w:val="004C6FD6"/>
    <w:rsid w:val="004C7890"/>
    <w:rsid w:val="004D0033"/>
    <w:rsid w:val="004D04C9"/>
    <w:rsid w:val="004D0A59"/>
    <w:rsid w:val="004D11FC"/>
    <w:rsid w:val="004D121E"/>
    <w:rsid w:val="004D15A6"/>
    <w:rsid w:val="004D1EC1"/>
    <w:rsid w:val="004D258D"/>
    <w:rsid w:val="004D3722"/>
    <w:rsid w:val="004D43A7"/>
    <w:rsid w:val="004D457B"/>
    <w:rsid w:val="004D50CD"/>
    <w:rsid w:val="004D6A59"/>
    <w:rsid w:val="004D7DF0"/>
    <w:rsid w:val="004E054F"/>
    <w:rsid w:val="004E083E"/>
    <w:rsid w:val="004E0D51"/>
    <w:rsid w:val="004E0E27"/>
    <w:rsid w:val="004E1DDF"/>
    <w:rsid w:val="004E4E25"/>
    <w:rsid w:val="004E585E"/>
    <w:rsid w:val="004E5E32"/>
    <w:rsid w:val="004F0C24"/>
    <w:rsid w:val="004F0CD5"/>
    <w:rsid w:val="004F1572"/>
    <w:rsid w:val="004F2629"/>
    <w:rsid w:val="004F4DF3"/>
    <w:rsid w:val="004F50B8"/>
    <w:rsid w:val="004F7C75"/>
    <w:rsid w:val="005013C3"/>
    <w:rsid w:val="005015ED"/>
    <w:rsid w:val="00502951"/>
    <w:rsid w:val="0050465C"/>
    <w:rsid w:val="00504931"/>
    <w:rsid w:val="005069FF"/>
    <w:rsid w:val="00506A64"/>
    <w:rsid w:val="005102E0"/>
    <w:rsid w:val="005110E0"/>
    <w:rsid w:val="00512472"/>
    <w:rsid w:val="005128FA"/>
    <w:rsid w:val="0051341D"/>
    <w:rsid w:val="00513DC4"/>
    <w:rsid w:val="00514192"/>
    <w:rsid w:val="005149D1"/>
    <w:rsid w:val="00515456"/>
    <w:rsid w:val="00515E3D"/>
    <w:rsid w:val="00516971"/>
    <w:rsid w:val="00524849"/>
    <w:rsid w:val="00524A1B"/>
    <w:rsid w:val="0052573C"/>
    <w:rsid w:val="00526AA6"/>
    <w:rsid w:val="005271C6"/>
    <w:rsid w:val="005271E7"/>
    <w:rsid w:val="005307D0"/>
    <w:rsid w:val="00531272"/>
    <w:rsid w:val="00532281"/>
    <w:rsid w:val="005331B4"/>
    <w:rsid w:val="00533A6F"/>
    <w:rsid w:val="00534402"/>
    <w:rsid w:val="00534B67"/>
    <w:rsid w:val="0053528E"/>
    <w:rsid w:val="0053681D"/>
    <w:rsid w:val="005368CD"/>
    <w:rsid w:val="005370E2"/>
    <w:rsid w:val="00537BA9"/>
    <w:rsid w:val="0054004E"/>
    <w:rsid w:val="00540518"/>
    <w:rsid w:val="00540897"/>
    <w:rsid w:val="00540B4C"/>
    <w:rsid w:val="00540FFB"/>
    <w:rsid w:val="005418C6"/>
    <w:rsid w:val="00542A9C"/>
    <w:rsid w:val="00543DF8"/>
    <w:rsid w:val="005449EF"/>
    <w:rsid w:val="005453DB"/>
    <w:rsid w:val="00545501"/>
    <w:rsid w:val="00545C74"/>
    <w:rsid w:val="005466CF"/>
    <w:rsid w:val="00551B5E"/>
    <w:rsid w:val="00552470"/>
    <w:rsid w:val="00552FE4"/>
    <w:rsid w:val="00553664"/>
    <w:rsid w:val="0055413E"/>
    <w:rsid w:val="00554F4A"/>
    <w:rsid w:val="005566CF"/>
    <w:rsid w:val="005577CB"/>
    <w:rsid w:val="00557C85"/>
    <w:rsid w:val="00560462"/>
    <w:rsid w:val="005605AB"/>
    <w:rsid w:val="00560A2F"/>
    <w:rsid w:val="005617C3"/>
    <w:rsid w:val="00563D0C"/>
    <w:rsid w:val="0056459A"/>
    <w:rsid w:val="0056650A"/>
    <w:rsid w:val="00567E69"/>
    <w:rsid w:val="005709FC"/>
    <w:rsid w:val="005744CB"/>
    <w:rsid w:val="0057778F"/>
    <w:rsid w:val="00580E00"/>
    <w:rsid w:val="00581297"/>
    <w:rsid w:val="00581F01"/>
    <w:rsid w:val="00582BA2"/>
    <w:rsid w:val="00584C8A"/>
    <w:rsid w:val="005850DB"/>
    <w:rsid w:val="00585C6D"/>
    <w:rsid w:val="00585F43"/>
    <w:rsid w:val="0058607E"/>
    <w:rsid w:val="005861B5"/>
    <w:rsid w:val="00586C66"/>
    <w:rsid w:val="00587DB7"/>
    <w:rsid w:val="00587F14"/>
    <w:rsid w:val="005900CC"/>
    <w:rsid w:val="0059026E"/>
    <w:rsid w:val="00591F6A"/>
    <w:rsid w:val="005927E5"/>
    <w:rsid w:val="00592903"/>
    <w:rsid w:val="005947C5"/>
    <w:rsid w:val="0059483E"/>
    <w:rsid w:val="005948F9"/>
    <w:rsid w:val="00595EB5"/>
    <w:rsid w:val="0059603E"/>
    <w:rsid w:val="0059635F"/>
    <w:rsid w:val="00596756"/>
    <w:rsid w:val="005A033D"/>
    <w:rsid w:val="005A0516"/>
    <w:rsid w:val="005A2A14"/>
    <w:rsid w:val="005A3678"/>
    <w:rsid w:val="005A508B"/>
    <w:rsid w:val="005A5572"/>
    <w:rsid w:val="005A58B8"/>
    <w:rsid w:val="005A5976"/>
    <w:rsid w:val="005A5E89"/>
    <w:rsid w:val="005A6419"/>
    <w:rsid w:val="005A6933"/>
    <w:rsid w:val="005A7140"/>
    <w:rsid w:val="005A7365"/>
    <w:rsid w:val="005A75B9"/>
    <w:rsid w:val="005A767C"/>
    <w:rsid w:val="005A790A"/>
    <w:rsid w:val="005B05C7"/>
    <w:rsid w:val="005B0F53"/>
    <w:rsid w:val="005B1A1C"/>
    <w:rsid w:val="005B1F0E"/>
    <w:rsid w:val="005B22DA"/>
    <w:rsid w:val="005B2D67"/>
    <w:rsid w:val="005B3963"/>
    <w:rsid w:val="005B4A29"/>
    <w:rsid w:val="005B4D8E"/>
    <w:rsid w:val="005B5762"/>
    <w:rsid w:val="005B7E42"/>
    <w:rsid w:val="005C07F3"/>
    <w:rsid w:val="005C2120"/>
    <w:rsid w:val="005C4438"/>
    <w:rsid w:val="005C7BDE"/>
    <w:rsid w:val="005D03D8"/>
    <w:rsid w:val="005D089B"/>
    <w:rsid w:val="005D15A5"/>
    <w:rsid w:val="005D1BA2"/>
    <w:rsid w:val="005D22BB"/>
    <w:rsid w:val="005D363D"/>
    <w:rsid w:val="005D4137"/>
    <w:rsid w:val="005D479A"/>
    <w:rsid w:val="005D5C1F"/>
    <w:rsid w:val="005D5DBB"/>
    <w:rsid w:val="005E06F4"/>
    <w:rsid w:val="005E196B"/>
    <w:rsid w:val="005E2C2C"/>
    <w:rsid w:val="005E3A65"/>
    <w:rsid w:val="005E3BC3"/>
    <w:rsid w:val="005E4F37"/>
    <w:rsid w:val="005E6595"/>
    <w:rsid w:val="005E74BA"/>
    <w:rsid w:val="005E7869"/>
    <w:rsid w:val="005F0505"/>
    <w:rsid w:val="005F1E0F"/>
    <w:rsid w:val="005F1EB3"/>
    <w:rsid w:val="005F2B1A"/>
    <w:rsid w:val="005F420F"/>
    <w:rsid w:val="005F58BE"/>
    <w:rsid w:val="005F5F0F"/>
    <w:rsid w:val="005F6296"/>
    <w:rsid w:val="005F68E4"/>
    <w:rsid w:val="005F7AFC"/>
    <w:rsid w:val="00600DC5"/>
    <w:rsid w:val="00600E5D"/>
    <w:rsid w:val="0060244E"/>
    <w:rsid w:val="00602745"/>
    <w:rsid w:val="00602EF0"/>
    <w:rsid w:val="00605474"/>
    <w:rsid w:val="006055F5"/>
    <w:rsid w:val="00605898"/>
    <w:rsid w:val="00606DBF"/>
    <w:rsid w:val="00610C89"/>
    <w:rsid w:val="0061227B"/>
    <w:rsid w:val="006122AC"/>
    <w:rsid w:val="006140D6"/>
    <w:rsid w:val="00615718"/>
    <w:rsid w:val="00615FDA"/>
    <w:rsid w:val="00616825"/>
    <w:rsid w:val="00616B76"/>
    <w:rsid w:val="006172E9"/>
    <w:rsid w:val="00617BA1"/>
    <w:rsid w:val="0062066E"/>
    <w:rsid w:val="00621D0D"/>
    <w:rsid w:val="006241D7"/>
    <w:rsid w:val="00624FFE"/>
    <w:rsid w:val="006257F0"/>
    <w:rsid w:val="006322C9"/>
    <w:rsid w:val="00636E19"/>
    <w:rsid w:val="00640BFB"/>
    <w:rsid w:val="0064146E"/>
    <w:rsid w:val="00642D0A"/>
    <w:rsid w:val="00642DA4"/>
    <w:rsid w:val="006430C7"/>
    <w:rsid w:val="00643ED9"/>
    <w:rsid w:val="00644E1B"/>
    <w:rsid w:val="00645153"/>
    <w:rsid w:val="006452AB"/>
    <w:rsid w:val="006459D0"/>
    <w:rsid w:val="00647266"/>
    <w:rsid w:val="00647738"/>
    <w:rsid w:val="00647F57"/>
    <w:rsid w:val="00650EAC"/>
    <w:rsid w:val="006532A2"/>
    <w:rsid w:val="006537FF"/>
    <w:rsid w:val="00655100"/>
    <w:rsid w:val="0065612E"/>
    <w:rsid w:val="00656B9F"/>
    <w:rsid w:val="00661835"/>
    <w:rsid w:val="006619F5"/>
    <w:rsid w:val="006629D5"/>
    <w:rsid w:val="00662B2B"/>
    <w:rsid w:val="0066366B"/>
    <w:rsid w:val="00663BE5"/>
    <w:rsid w:val="006640BA"/>
    <w:rsid w:val="0066501C"/>
    <w:rsid w:val="0066539A"/>
    <w:rsid w:val="00666625"/>
    <w:rsid w:val="0066694E"/>
    <w:rsid w:val="00666E9F"/>
    <w:rsid w:val="0066707F"/>
    <w:rsid w:val="00667428"/>
    <w:rsid w:val="0067026D"/>
    <w:rsid w:val="00670929"/>
    <w:rsid w:val="0067368B"/>
    <w:rsid w:val="0067585B"/>
    <w:rsid w:val="00675B39"/>
    <w:rsid w:val="006832AE"/>
    <w:rsid w:val="006832BE"/>
    <w:rsid w:val="00683B23"/>
    <w:rsid w:val="00683E4F"/>
    <w:rsid w:val="006854FE"/>
    <w:rsid w:val="00685906"/>
    <w:rsid w:val="0068599B"/>
    <w:rsid w:val="0068608B"/>
    <w:rsid w:val="00687025"/>
    <w:rsid w:val="00687204"/>
    <w:rsid w:val="00687AA1"/>
    <w:rsid w:val="00687D68"/>
    <w:rsid w:val="0069248B"/>
    <w:rsid w:val="0069404E"/>
    <w:rsid w:val="00695191"/>
    <w:rsid w:val="00695394"/>
    <w:rsid w:val="00696AA2"/>
    <w:rsid w:val="006A0937"/>
    <w:rsid w:val="006A0E85"/>
    <w:rsid w:val="006A166A"/>
    <w:rsid w:val="006A2342"/>
    <w:rsid w:val="006A3DF6"/>
    <w:rsid w:val="006A45E6"/>
    <w:rsid w:val="006A4AB6"/>
    <w:rsid w:val="006A5030"/>
    <w:rsid w:val="006A627C"/>
    <w:rsid w:val="006A69B8"/>
    <w:rsid w:val="006A786F"/>
    <w:rsid w:val="006B05D5"/>
    <w:rsid w:val="006B061E"/>
    <w:rsid w:val="006B0E6A"/>
    <w:rsid w:val="006B1BD0"/>
    <w:rsid w:val="006B260F"/>
    <w:rsid w:val="006B38C6"/>
    <w:rsid w:val="006B479F"/>
    <w:rsid w:val="006B4FC6"/>
    <w:rsid w:val="006B673D"/>
    <w:rsid w:val="006B6EF7"/>
    <w:rsid w:val="006B7760"/>
    <w:rsid w:val="006B789D"/>
    <w:rsid w:val="006B7CB6"/>
    <w:rsid w:val="006C0AC4"/>
    <w:rsid w:val="006C10C6"/>
    <w:rsid w:val="006C134F"/>
    <w:rsid w:val="006C1997"/>
    <w:rsid w:val="006C1B67"/>
    <w:rsid w:val="006C35A1"/>
    <w:rsid w:val="006C3764"/>
    <w:rsid w:val="006C3D84"/>
    <w:rsid w:val="006C4DB1"/>
    <w:rsid w:val="006C4E5B"/>
    <w:rsid w:val="006C4FA6"/>
    <w:rsid w:val="006C6A0D"/>
    <w:rsid w:val="006C6A43"/>
    <w:rsid w:val="006C7701"/>
    <w:rsid w:val="006C7ECF"/>
    <w:rsid w:val="006D225C"/>
    <w:rsid w:val="006D3C3D"/>
    <w:rsid w:val="006D3F27"/>
    <w:rsid w:val="006D49EB"/>
    <w:rsid w:val="006D4C3E"/>
    <w:rsid w:val="006D6A07"/>
    <w:rsid w:val="006D6EA9"/>
    <w:rsid w:val="006D7EBD"/>
    <w:rsid w:val="006E0698"/>
    <w:rsid w:val="006E0FAE"/>
    <w:rsid w:val="006E1A26"/>
    <w:rsid w:val="006E321C"/>
    <w:rsid w:val="006E36FE"/>
    <w:rsid w:val="006E5BD9"/>
    <w:rsid w:val="006E6A23"/>
    <w:rsid w:val="006E73D2"/>
    <w:rsid w:val="006F01AF"/>
    <w:rsid w:val="006F0EF1"/>
    <w:rsid w:val="006F13F0"/>
    <w:rsid w:val="006F1790"/>
    <w:rsid w:val="006F1C95"/>
    <w:rsid w:val="006F2D76"/>
    <w:rsid w:val="006F3255"/>
    <w:rsid w:val="006F33B2"/>
    <w:rsid w:val="006F37C4"/>
    <w:rsid w:val="006F3D2F"/>
    <w:rsid w:val="006F6582"/>
    <w:rsid w:val="006F76B7"/>
    <w:rsid w:val="00700FE5"/>
    <w:rsid w:val="00701BBF"/>
    <w:rsid w:val="007028E8"/>
    <w:rsid w:val="00706863"/>
    <w:rsid w:val="007073FF"/>
    <w:rsid w:val="00707B53"/>
    <w:rsid w:val="00707EAC"/>
    <w:rsid w:val="007105EE"/>
    <w:rsid w:val="007109DE"/>
    <w:rsid w:val="00710FB1"/>
    <w:rsid w:val="00711D87"/>
    <w:rsid w:val="00711E31"/>
    <w:rsid w:val="00712038"/>
    <w:rsid w:val="007134EE"/>
    <w:rsid w:val="00714ECD"/>
    <w:rsid w:val="00715B52"/>
    <w:rsid w:val="00715D38"/>
    <w:rsid w:val="00717A03"/>
    <w:rsid w:val="007209DF"/>
    <w:rsid w:val="00721522"/>
    <w:rsid w:val="00721CD0"/>
    <w:rsid w:val="00721DAD"/>
    <w:rsid w:val="0072401D"/>
    <w:rsid w:val="00724164"/>
    <w:rsid w:val="0072513F"/>
    <w:rsid w:val="0072568A"/>
    <w:rsid w:val="00726C66"/>
    <w:rsid w:val="00727333"/>
    <w:rsid w:val="00727D9D"/>
    <w:rsid w:val="00730D62"/>
    <w:rsid w:val="0073283A"/>
    <w:rsid w:val="00735944"/>
    <w:rsid w:val="00735D06"/>
    <w:rsid w:val="00736C20"/>
    <w:rsid w:val="00737571"/>
    <w:rsid w:val="007401EF"/>
    <w:rsid w:val="00740AF8"/>
    <w:rsid w:val="00741352"/>
    <w:rsid w:val="00741377"/>
    <w:rsid w:val="00741654"/>
    <w:rsid w:val="007419CD"/>
    <w:rsid w:val="00742125"/>
    <w:rsid w:val="007427D2"/>
    <w:rsid w:val="00742956"/>
    <w:rsid w:val="00743D0E"/>
    <w:rsid w:val="00743E91"/>
    <w:rsid w:val="0074579F"/>
    <w:rsid w:val="0074648F"/>
    <w:rsid w:val="007466E6"/>
    <w:rsid w:val="00746E17"/>
    <w:rsid w:val="00747228"/>
    <w:rsid w:val="007472A2"/>
    <w:rsid w:val="0074743A"/>
    <w:rsid w:val="00747621"/>
    <w:rsid w:val="00747A3E"/>
    <w:rsid w:val="00747BD5"/>
    <w:rsid w:val="00747F10"/>
    <w:rsid w:val="00750567"/>
    <w:rsid w:val="0075281F"/>
    <w:rsid w:val="007534A7"/>
    <w:rsid w:val="00755A1A"/>
    <w:rsid w:val="00755EE2"/>
    <w:rsid w:val="007563AC"/>
    <w:rsid w:val="00756FD5"/>
    <w:rsid w:val="007604AE"/>
    <w:rsid w:val="007614AE"/>
    <w:rsid w:val="007625F0"/>
    <w:rsid w:val="0076314B"/>
    <w:rsid w:val="007635D9"/>
    <w:rsid w:val="00766E5E"/>
    <w:rsid w:val="007675D0"/>
    <w:rsid w:val="00770369"/>
    <w:rsid w:val="007706F3"/>
    <w:rsid w:val="00774949"/>
    <w:rsid w:val="007768EE"/>
    <w:rsid w:val="00776A44"/>
    <w:rsid w:val="00776D72"/>
    <w:rsid w:val="007777F0"/>
    <w:rsid w:val="00777D57"/>
    <w:rsid w:val="00780050"/>
    <w:rsid w:val="007818A6"/>
    <w:rsid w:val="00781FF4"/>
    <w:rsid w:val="00783156"/>
    <w:rsid w:val="00783AC4"/>
    <w:rsid w:val="00783C60"/>
    <w:rsid w:val="00784B5C"/>
    <w:rsid w:val="00784F86"/>
    <w:rsid w:val="00787174"/>
    <w:rsid w:val="007871C3"/>
    <w:rsid w:val="0078742B"/>
    <w:rsid w:val="00787ADE"/>
    <w:rsid w:val="0079136D"/>
    <w:rsid w:val="00791ADA"/>
    <w:rsid w:val="00792426"/>
    <w:rsid w:val="007937B9"/>
    <w:rsid w:val="007937F4"/>
    <w:rsid w:val="00793B09"/>
    <w:rsid w:val="007942B6"/>
    <w:rsid w:val="007956C0"/>
    <w:rsid w:val="00795D26"/>
    <w:rsid w:val="00796818"/>
    <w:rsid w:val="00796B2B"/>
    <w:rsid w:val="00796FE4"/>
    <w:rsid w:val="0079725B"/>
    <w:rsid w:val="007A2002"/>
    <w:rsid w:val="007A32A3"/>
    <w:rsid w:val="007A32A5"/>
    <w:rsid w:val="007A331C"/>
    <w:rsid w:val="007A57F6"/>
    <w:rsid w:val="007A61DB"/>
    <w:rsid w:val="007A6420"/>
    <w:rsid w:val="007A6BF9"/>
    <w:rsid w:val="007A73FB"/>
    <w:rsid w:val="007B1515"/>
    <w:rsid w:val="007B1929"/>
    <w:rsid w:val="007B2E7D"/>
    <w:rsid w:val="007B3593"/>
    <w:rsid w:val="007B3A67"/>
    <w:rsid w:val="007B490A"/>
    <w:rsid w:val="007B4982"/>
    <w:rsid w:val="007B5B3C"/>
    <w:rsid w:val="007C04C2"/>
    <w:rsid w:val="007C1817"/>
    <w:rsid w:val="007C1ADA"/>
    <w:rsid w:val="007C1D0E"/>
    <w:rsid w:val="007C1D24"/>
    <w:rsid w:val="007C1EC9"/>
    <w:rsid w:val="007C2158"/>
    <w:rsid w:val="007C2F57"/>
    <w:rsid w:val="007C4953"/>
    <w:rsid w:val="007C5B64"/>
    <w:rsid w:val="007C5EAC"/>
    <w:rsid w:val="007C7035"/>
    <w:rsid w:val="007C791D"/>
    <w:rsid w:val="007C79A5"/>
    <w:rsid w:val="007C7C01"/>
    <w:rsid w:val="007D160B"/>
    <w:rsid w:val="007D2405"/>
    <w:rsid w:val="007D2C73"/>
    <w:rsid w:val="007D334A"/>
    <w:rsid w:val="007D412B"/>
    <w:rsid w:val="007D684F"/>
    <w:rsid w:val="007D6874"/>
    <w:rsid w:val="007D7187"/>
    <w:rsid w:val="007E0C60"/>
    <w:rsid w:val="007E0E9F"/>
    <w:rsid w:val="007E151F"/>
    <w:rsid w:val="007E1E30"/>
    <w:rsid w:val="007E2DB3"/>
    <w:rsid w:val="007E43B7"/>
    <w:rsid w:val="007E6107"/>
    <w:rsid w:val="007E7FC6"/>
    <w:rsid w:val="007F0541"/>
    <w:rsid w:val="007F1842"/>
    <w:rsid w:val="007F29A6"/>
    <w:rsid w:val="007F3D8C"/>
    <w:rsid w:val="007F4498"/>
    <w:rsid w:val="007F5042"/>
    <w:rsid w:val="007F5785"/>
    <w:rsid w:val="007F596D"/>
    <w:rsid w:val="007F5A71"/>
    <w:rsid w:val="007F5DED"/>
    <w:rsid w:val="007F5FAC"/>
    <w:rsid w:val="007F7602"/>
    <w:rsid w:val="007F771F"/>
    <w:rsid w:val="008006AE"/>
    <w:rsid w:val="00800FB9"/>
    <w:rsid w:val="00802429"/>
    <w:rsid w:val="00804086"/>
    <w:rsid w:val="00804A11"/>
    <w:rsid w:val="00804E18"/>
    <w:rsid w:val="008056BD"/>
    <w:rsid w:val="008066C0"/>
    <w:rsid w:val="00810469"/>
    <w:rsid w:val="00810A2C"/>
    <w:rsid w:val="00810F4E"/>
    <w:rsid w:val="00812CF4"/>
    <w:rsid w:val="00813F40"/>
    <w:rsid w:val="0081486A"/>
    <w:rsid w:val="00814C4F"/>
    <w:rsid w:val="00816365"/>
    <w:rsid w:val="00816A5A"/>
    <w:rsid w:val="00816ED5"/>
    <w:rsid w:val="0081724B"/>
    <w:rsid w:val="0081759D"/>
    <w:rsid w:val="00822D3F"/>
    <w:rsid w:val="00822E2C"/>
    <w:rsid w:val="008231BF"/>
    <w:rsid w:val="00823F99"/>
    <w:rsid w:val="00825A4A"/>
    <w:rsid w:val="00825CC8"/>
    <w:rsid w:val="00826273"/>
    <w:rsid w:val="00826732"/>
    <w:rsid w:val="008276D4"/>
    <w:rsid w:val="00827ED1"/>
    <w:rsid w:val="00830BCE"/>
    <w:rsid w:val="00831667"/>
    <w:rsid w:val="00832207"/>
    <w:rsid w:val="0083323F"/>
    <w:rsid w:val="008336D0"/>
    <w:rsid w:val="00833D31"/>
    <w:rsid w:val="00836E28"/>
    <w:rsid w:val="008402B8"/>
    <w:rsid w:val="00841D6E"/>
    <w:rsid w:val="00841FF3"/>
    <w:rsid w:val="00842437"/>
    <w:rsid w:val="00842A06"/>
    <w:rsid w:val="0084359B"/>
    <w:rsid w:val="00843647"/>
    <w:rsid w:val="0084372B"/>
    <w:rsid w:val="00843EE3"/>
    <w:rsid w:val="00844034"/>
    <w:rsid w:val="00844468"/>
    <w:rsid w:val="00845BA5"/>
    <w:rsid w:val="008478A1"/>
    <w:rsid w:val="00850257"/>
    <w:rsid w:val="00851600"/>
    <w:rsid w:val="00851BDE"/>
    <w:rsid w:val="00851F3F"/>
    <w:rsid w:val="008527E6"/>
    <w:rsid w:val="00853708"/>
    <w:rsid w:val="00853A33"/>
    <w:rsid w:val="00853C56"/>
    <w:rsid w:val="0085406B"/>
    <w:rsid w:val="00854621"/>
    <w:rsid w:val="008551AE"/>
    <w:rsid w:val="00855AAD"/>
    <w:rsid w:val="0085612C"/>
    <w:rsid w:val="00856203"/>
    <w:rsid w:val="00856F62"/>
    <w:rsid w:val="00864782"/>
    <w:rsid w:val="00865F97"/>
    <w:rsid w:val="00865FD3"/>
    <w:rsid w:val="008664E8"/>
    <w:rsid w:val="00866B05"/>
    <w:rsid w:val="00870959"/>
    <w:rsid w:val="0087131F"/>
    <w:rsid w:val="008721A2"/>
    <w:rsid w:val="00872358"/>
    <w:rsid w:val="00872AA1"/>
    <w:rsid w:val="008731FB"/>
    <w:rsid w:val="00873510"/>
    <w:rsid w:val="00873773"/>
    <w:rsid w:val="00874026"/>
    <w:rsid w:val="00874347"/>
    <w:rsid w:val="0087443B"/>
    <w:rsid w:val="008747AA"/>
    <w:rsid w:val="00874915"/>
    <w:rsid w:val="008749FB"/>
    <w:rsid w:val="00874C00"/>
    <w:rsid w:val="00874F38"/>
    <w:rsid w:val="0087570C"/>
    <w:rsid w:val="00875DAA"/>
    <w:rsid w:val="00875F0D"/>
    <w:rsid w:val="008763A9"/>
    <w:rsid w:val="00876EBE"/>
    <w:rsid w:val="00876FD4"/>
    <w:rsid w:val="00877C94"/>
    <w:rsid w:val="00880B91"/>
    <w:rsid w:val="008811C8"/>
    <w:rsid w:val="00881CEF"/>
    <w:rsid w:val="00881D7D"/>
    <w:rsid w:val="00882D36"/>
    <w:rsid w:val="00884EF3"/>
    <w:rsid w:val="008857F4"/>
    <w:rsid w:val="008877A9"/>
    <w:rsid w:val="0089113A"/>
    <w:rsid w:val="00891498"/>
    <w:rsid w:val="008919CC"/>
    <w:rsid w:val="00892976"/>
    <w:rsid w:val="00892E63"/>
    <w:rsid w:val="00892F53"/>
    <w:rsid w:val="008932FA"/>
    <w:rsid w:val="00893AFD"/>
    <w:rsid w:val="00894041"/>
    <w:rsid w:val="00894E16"/>
    <w:rsid w:val="00895578"/>
    <w:rsid w:val="00895B34"/>
    <w:rsid w:val="00896F16"/>
    <w:rsid w:val="008A0CD3"/>
    <w:rsid w:val="008A218D"/>
    <w:rsid w:val="008A2F87"/>
    <w:rsid w:val="008A2FC2"/>
    <w:rsid w:val="008A71B6"/>
    <w:rsid w:val="008A77D9"/>
    <w:rsid w:val="008B06D4"/>
    <w:rsid w:val="008B0752"/>
    <w:rsid w:val="008B2522"/>
    <w:rsid w:val="008B378B"/>
    <w:rsid w:val="008B38D1"/>
    <w:rsid w:val="008B4F43"/>
    <w:rsid w:val="008B64B6"/>
    <w:rsid w:val="008B7278"/>
    <w:rsid w:val="008B7317"/>
    <w:rsid w:val="008B7831"/>
    <w:rsid w:val="008B7DC9"/>
    <w:rsid w:val="008C00AE"/>
    <w:rsid w:val="008C05C4"/>
    <w:rsid w:val="008C3861"/>
    <w:rsid w:val="008C3D9B"/>
    <w:rsid w:val="008C40ED"/>
    <w:rsid w:val="008C4638"/>
    <w:rsid w:val="008C4E40"/>
    <w:rsid w:val="008C58E9"/>
    <w:rsid w:val="008C661A"/>
    <w:rsid w:val="008C6F85"/>
    <w:rsid w:val="008C7F00"/>
    <w:rsid w:val="008D11F6"/>
    <w:rsid w:val="008D25C7"/>
    <w:rsid w:val="008D33D8"/>
    <w:rsid w:val="008D4F3C"/>
    <w:rsid w:val="008D5E4F"/>
    <w:rsid w:val="008D782A"/>
    <w:rsid w:val="008D7A4C"/>
    <w:rsid w:val="008E3097"/>
    <w:rsid w:val="008E4397"/>
    <w:rsid w:val="008E5017"/>
    <w:rsid w:val="008E568D"/>
    <w:rsid w:val="008E5C5D"/>
    <w:rsid w:val="008F0753"/>
    <w:rsid w:val="008F1029"/>
    <w:rsid w:val="008F14F9"/>
    <w:rsid w:val="008F215D"/>
    <w:rsid w:val="008F3B19"/>
    <w:rsid w:val="008F3B7B"/>
    <w:rsid w:val="008F4FB5"/>
    <w:rsid w:val="008F6B72"/>
    <w:rsid w:val="008F7369"/>
    <w:rsid w:val="0090233D"/>
    <w:rsid w:val="009025A6"/>
    <w:rsid w:val="009026AE"/>
    <w:rsid w:val="00902738"/>
    <w:rsid w:val="009027D3"/>
    <w:rsid w:val="00902F94"/>
    <w:rsid w:val="009032FA"/>
    <w:rsid w:val="00903610"/>
    <w:rsid w:val="00903F3F"/>
    <w:rsid w:val="009047EC"/>
    <w:rsid w:val="0090501C"/>
    <w:rsid w:val="00905B33"/>
    <w:rsid w:val="00905CA4"/>
    <w:rsid w:val="00907281"/>
    <w:rsid w:val="00907AD3"/>
    <w:rsid w:val="00910BC6"/>
    <w:rsid w:val="00910FB8"/>
    <w:rsid w:val="00911384"/>
    <w:rsid w:val="00914C03"/>
    <w:rsid w:val="00915C1D"/>
    <w:rsid w:val="0091609A"/>
    <w:rsid w:val="00916350"/>
    <w:rsid w:val="00917316"/>
    <w:rsid w:val="00917F14"/>
    <w:rsid w:val="0092065F"/>
    <w:rsid w:val="00921099"/>
    <w:rsid w:val="009211F2"/>
    <w:rsid w:val="009217BA"/>
    <w:rsid w:val="0092244D"/>
    <w:rsid w:val="0092253F"/>
    <w:rsid w:val="0092256F"/>
    <w:rsid w:val="009228AB"/>
    <w:rsid w:val="0092515A"/>
    <w:rsid w:val="009270A7"/>
    <w:rsid w:val="009277AE"/>
    <w:rsid w:val="00927A38"/>
    <w:rsid w:val="00927CAB"/>
    <w:rsid w:val="00930089"/>
    <w:rsid w:val="00930758"/>
    <w:rsid w:val="00930C51"/>
    <w:rsid w:val="00930FC2"/>
    <w:rsid w:val="009328DB"/>
    <w:rsid w:val="00933763"/>
    <w:rsid w:val="00933E59"/>
    <w:rsid w:val="0093402A"/>
    <w:rsid w:val="00934198"/>
    <w:rsid w:val="00934CF6"/>
    <w:rsid w:val="00936132"/>
    <w:rsid w:val="00936362"/>
    <w:rsid w:val="00937702"/>
    <w:rsid w:val="009378CE"/>
    <w:rsid w:val="00940975"/>
    <w:rsid w:val="00940F58"/>
    <w:rsid w:val="00942206"/>
    <w:rsid w:val="00943B0A"/>
    <w:rsid w:val="00944EBC"/>
    <w:rsid w:val="0094609C"/>
    <w:rsid w:val="00946772"/>
    <w:rsid w:val="00946A6A"/>
    <w:rsid w:val="0094708C"/>
    <w:rsid w:val="009503D1"/>
    <w:rsid w:val="00951366"/>
    <w:rsid w:val="00951924"/>
    <w:rsid w:val="00952079"/>
    <w:rsid w:val="0095297E"/>
    <w:rsid w:val="009555E8"/>
    <w:rsid w:val="00955996"/>
    <w:rsid w:val="00955F8F"/>
    <w:rsid w:val="00956D0B"/>
    <w:rsid w:val="00957211"/>
    <w:rsid w:val="009574B4"/>
    <w:rsid w:val="0095791A"/>
    <w:rsid w:val="00957AAE"/>
    <w:rsid w:val="00960207"/>
    <w:rsid w:val="009608BF"/>
    <w:rsid w:val="009609B2"/>
    <w:rsid w:val="0096152B"/>
    <w:rsid w:val="0096279A"/>
    <w:rsid w:val="00963358"/>
    <w:rsid w:val="00964312"/>
    <w:rsid w:val="009645D3"/>
    <w:rsid w:val="009647A6"/>
    <w:rsid w:val="00964CB9"/>
    <w:rsid w:val="00965934"/>
    <w:rsid w:val="00965B66"/>
    <w:rsid w:val="00966F80"/>
    <w:rsid w:val="00967AF0"/>
    <w:rsid w:val="009718C6"/>
    <w:rsid w:val="00971D25"/>
    <w:rsid w:val="00971E51"/>
    <w:rsid w:val="00972F79"/>
    <w:rsid w:val="009736DB"/>
    <w:rsid w:val="00974B0B"/>
    <w:rsid w:val="0097723D"/>
    <w:rsid w:val="009773F4"/>
    <w:rsid w:val="00981BAA"/>
    <w:rsid w:val="00982D5C"/>
    <w:rsid w:val="00983D87"/>
    <w:rsid w:val="00985246"/>
    <w:rsid w:val="00985503"/>
    <w:rsid w:val="00987097"/>
    <w:rsid w:val="009917AC"/>
    <w:rsid w:val="0099257E"/>
    <w:rsid w:val="00992AE2"/>
    <w:rsid w:val="0099365D"/>
    <w:rsid w:val="00993F21"/>
    <w:rsid w:val="00994AB8"/>
    <w:rsid w:val="00994B67"/>
    <w:rsid w:val="00994CD0"/>
    <w:rsid w:val="00995414"/>
    <w:rsid w:val="00995593"/>
    <w:rsid w:val="009A038E"/>
    <w:rsid w:val="009A0DF4"/>
    <w:rsid w:val="009A39AF"/>
    <w:rsid w:val="009A3DE1"/>
    <w:rsid w:val="009A7D5F"/>
    <w:rsid w:val="009B00BD"/>
    <w:rsid w:val="009B0F04"/>
    <w:rsid w:val="009B1381"/>
    <w:rsid w:val="009B2A08"/>
    <w:rsid w:val="009B2A59"/>
    <w:rsid w:val="009B2E6B"/>
    <w:rsid w:val="009B34C8"/>
    <w:rsid w:val="009B6009"/>
    <w:rsid w:val="009B603C"/>
    <w:rsid w:val="009B7F8C"/>
    <w:rsid w:val="009C06E4"/>
    <w:rsid w:val="009C149B"/>
    <w:rsid w:val="009C16B0"/>
    <w:rsid w:val="009C2B8D"/>
    <w:rsid w:val="009C3093"/>
    <w:rsid w:val="009C359B"/>
    <w:rsid w:val="009C4FF6"/>
    <w:rsid w:val="009C72A5"/>
    <w:rsid w:val="009D0D0B"/>
    <w:rsid w:val="009D1E5B"/>
    <w:rsid w:val="009D33ED"/>
    <w:rsid w:val="009D3CD0"/>
    <w:rsid w:val="009D5826"/>
    <w:rsid w:val="009D6E6A"/>
    <w:rsid w:val="009D6FA5"/>
    <w:rsid w:val="009E1DD7"/>
    <w:rsid w:val="009E3217"/>
    <w:rsid w:val="009E3666"/>
    <w:rsid w:val="009E4A73"/>
    <w:rsid w:val="009E530F"/>
    <w:rsid w:val="009E5ECF"/>
    <w:rsid w:val="009E6022"/>
    <w:rsid w:val="009E6852"/>
    <w:rsid w:val="009E6863"/>
    <w:rsid w:val="009E6E1D"/>
    <w:rsid w:val="009E7EEC"/>
    <w:rsid w:val="009F09C8"/>
    <w:rsid w:val="009F3C68"/>
    <w:rsid w:val="009F4455"/>
    <w:rsid w:val="009F5528"/>
    <w:rsid w:val="00A01652"/>
    <w:rsid w:val="00A03BAC"/>
    <w:rsid w:val="00A050BE"/>
    <w:rsid w:val="00A05118"/>
    <w:rsid w:val="00A05183"/>
    <w:rsid w:val="00A05A31"/>
    <w:rsid w:val="00A05B16"/>
    <w:rsid w:val="00A067DA"/>
    <w:rsid w:val="00A069E5"/>
    <w:rsid w:val="00A07B25"/>
    <w:rsid w:val="00A1097C"/>
    <w:rsid w:val="00A10C6C"/>
    <w:rsid w:val="00A112B4"/>
    <w:rsid w:val="00A11CFF"/>
    <w:rsid w:val="00A12DF8"/>
    <w:rsid w:val="00A13000"/>
    <w:rsid w:val="00A13EA5"/>
    <w:rsid w:val="00A141B3"/>
    <w:rsid w:val="00A155C4"/>
    <w:rsid w:val="00A15BCD"/>
    <w:rsid w:val="00A17362"/>
    <w:rsid w:val="00A20591"/>
    <w:rsid w:val="00A207C9"/>
    <w:rsid w:val="00A2080F"/>
    <w:rsid w:val="00A21D2B"/>
    <w:rsid w:val="00A22E7F"/>
    <w:rsid w:val="00A233BB"/>
    <w:rsid w:val="00A23C0D"/>
    <w:rsid w:val="00A24B79"/>
    <w:rsid w:val="00A24CDF"/>
    <w:rsid w:val="00A25739"/>
    <w:rsid w:val="00A25A86"/>
    <w:rsid w:val="00A27F12"/>
    <w:rsid w:val="00A27F29"/>
    <w:rsid w:val="00A3027F"/>
    <w:rsid w:val="00A3155D"/>
    <w:rsid w:val="00A31C3A"/>
    <w:rsid w:val="00A326FC"/>
    <w:rsid w:val="00A33060"/>
    <w:rsid w:val="00A3382C"/>
    <w:rsid w:val="00A341A5"/>
    <w:rsid w:val="00A34735"/>
    <w:rsid w:val="00A34D0B"/>
    <w:rsid w:val="00A35435"/>
    <w:rsid w:val="00A358AC"/>
    <w:rsid w:val="00A368FB"/>
    <w:rsid w:val="00A36E1E"/>
    <w:rsid w:val="00A3764E"/>
    <w:rsid w:val="00A37BBB"/>
    <w:rsid w:val="00A40586"/>
    <w:rsid w:val="00A422F5"/>
    <w:rsid w:val="00A42B86"/>
    <w:rsid w:val="00A44D8B"/>
    <w:rsid w:val="00A4518F"/>
    <w:rsid w:val="00A454C4"/>
    <w:rsid w:val="00A45AAA"/>
    <w:rsid w:val="00A45D9B"/>
    <w:rsid w:val="00A46E3A"/>
    <w:rsid w:val="00A46F37"/>
    <w:rsid w:val="00A50DB3"/>
    <w:rsid w:val="00A518FA"/>
    <w:rsid w:val="00A52DB6"/>
    <w:rsid w:val="00A53472"/>
    <w:rsid w:val="00A53EE7"/>
    <w:rsid w:val="00A5527B"/>
    <w:rsid w:val="00A56823"/>
    <w:rsid w:val="00A5784F"/>
    <w:rsid w:val="00A57B3E"/>
    <w:rsid w:val="00A6044D"/>
    <w:rsid w:val="00A608B1"/>
    <w:rsid w:val="00A60A07"/>
    <w:rsid w:val="00A62049"/>
    <w:rsid w:val="00A62A45"/>
    <w:rsid w:val="00A62EF2"/>
    <w:rsid w:val="00A6366B"/>
    <w:rsid w:val="00A63B05"/>
    <w:rsid w:val="00A63F01"/>
    <w:rsid w:val="00A64FD9"/>
    <w:rsid w:val="00A664EB"/>
    <w:rsid w:val="00A66701"/>
    <w:rsid w:val="00A66852"/>
    <w:rsid w:val="00A672F6"/>
    <w:rsid w:val="00A67DBE"/>
    <w:rsid w:val="00A70037"/>
    <w:rsid w:val="00A73F95"/>
    <w:rsid w:val="00A749E7"/>
    <w:rsid w:val="00A75B26"/>
    <w:rsid w:val="00A77F0D"/>
    <w:rsid w:val="00A8034D"/>
    <w:rsid w:val="00A83D18"/>
    <w:rsid w:val="00A83FE0"/>
    <w:rsid w:val="00A84C4D"/>
    <w:rsid w:val="00A85AD1"/>
    <w:rsid w:val="00A87662"/>
    <w:rsid w:val="00A90CE6"/>
    <w:rsid w:val="00A910F6"/>
    <w:rsid w:val="00A918B0"/>
    <w:rsid w:val="00A92BAE"/>
    <w:rsid w:val="00A92C7F"/>
    <w:rsid w:val="00A932A6"/>
    <w:rsid w:val="00A94217"/>
    <w:rsid w:val="00A94365"/>
    <w:rsid w:val="00A94D9A"/>
    <w:rsid w:val="00A956E9"/>
    <w:rsid w:val="00A95AD6"/>
    <w:rsid w:val="00A95D22"/>
    <w:rsid w:val="00A963AC"/>
    <w:rsid w:val="00A97238"/>
    <w:rsid w:val="00A972F2"/>
    <w:rsid w:val="00AA02F4"/>
    <w:rsid w:val="00AA24C0"/>
    <w:rsid w:val="00AA30D1"/>
    <w:rsid w:val="00AA3D5E"/>
    <w:rsid w:val="00AA51B4"/>
    <w:rsid w:val="00AA6915"/>
    <w:rsid w:val="00AA7329"/>
    <w:rsid w:val="00AA758C"/>
    <w:rsid w:val="00AB114C"/>
    <w:rsid w:val="00AB1453"/>
    <w:rsid w:val="00AB178E"/>
    <w:rsid w:val="00AB2FF0"/>
    <w:rsid w:val="00AB61EE"/>
    <w:rsid w:val="00AB62A6"/>
    <w:rsid w:val="00AB62D5"/>
    <w:rsid w:val="00AB6CA1"/>
    <w:rsid w:val="00AB6EE6"/>
    <w:rsid w:val="00AC23A3"/>
    <w:rsid w:val="00AC2A90"/>
    <w:rsid w:val="00AC3375"/>
    <w:rsid w:val="00AC34E7"/>
    <w:rsid w:val="00AC4C7D"/>
    <w:rsid w:val="00AC5C0D"/>
    <w:rsid w:val="00AC6042"/>
    <w:rsid w:val="00AC6AA3"/>
    <w:rsid w:val="00AC78BB"/>
    <w:rsid w:val="00AC7B98"/>
    <w:rsid w:val="00AC7ECA"/>
    <w:rsid w:val="00AD031D"/>
    <w:rsid w:val="00AD1DA3"/>
    <w:rsid w:val="00AD21FC"/>
    <w:rsid w:val="00AD2249"/>
    <w:rsid w:val="00AD4064"/>
    <w:rsid w:val="00AD7FA7"/>
    <w:rsid w:val="00AE0472"/>
    <w:rsid w:val="00AE4E5B"/>
    <w:rsid w:val="00AE7086"/>
    <w:rsid w:val="00AE7763"/>
    <w:rsid w:val="00AE795C"/>
    <w:rsid w:val="00AE7C59"/>
    <w:rsid w:val="00AF04CF"/>
    <w:rsid w:val="00AF09C3"/>
    <w:rsid w:val="00AF1219"/>
    <w:rsid w:val="00AF1855"/>
    <w:rsid w:val="00AF1956"/>
    <w:rsid w:val="00AF1A75"/>
    <w:rsid w:val="00AF2388"/>
    <w:rsid w:val="00AF3C74"/>
    <w:rsid w:val="00AF4D7C"/>
    <w:rsid w:val="00AF4E68"/>
    <w:rsid w:val="00AF5035"/>
    <w:rsid w:val="00AF5F71"/>
    <w:rsid w:val="00B0077F"/>
    <w:rsid w:val="00B01BDB"/>
    <w:rsid w:val="00B04050"/>
    <w:rsid w:val="00B04281"/>
    <w:rsid w:val="00B0520C"/>
    <w:rsid w:val="00B05870"/>
    <w:rsid w:val="00B058DC"/>
    <w:rsid w:val="00B06002"/>
    <w:rsid w:val="00B067B1"/>
    <w:rsid w:val="00B107F3"/>
    <w:rsid w:val="00B10A36"/>
    <w:rsid w:val="00B11794"/>
    <w:rsid w:val="00B117E5"/>
    <w:rsid w:val="00B13285"/>
    <w:rsid w:val="00B14A1F"/>
    <w:rsid w:val="00B14EF3"/>
    <w:rsid w:val="00B15E67"/>
    <w:rsid w:val="00B20D58"/>
    <w:rsid w:val="00B220F0"/>
    <w:rsid w:val="00B22189"/>
    <w:rsid w:val="00B237C7"/>
    <w:rsid w:val="00B23B31"/>
    <w:rsid w:val="00B248ED"/>
    <w:rsid w:val="00B25E0A"/>
    <w:rsid w:val="00B268C6"/>
    <w:rsid w:val="00B26B5B"/>
    <w:rsid w:val="00B27F6E"/>
    <w:rsid w:val="00B3064C"/>
    <w:rsid w:val="00B30F6E"/>
    <w:rsid w:val="00B36D8E"/>
    <w:rsid w:val="00B37D33"/>
    <w:rsid w:val="00B4011D"/>
    <w:rsid w:val="00B407CB"/>
    <w:rsid w:val="00B40F7A"/>
    <w:rsid w:val="00B41DE5"/>
    <w:rsid w:val="00B42ADB"/>
    <w:rsid w:val="00B43221"/>
    <w:rsid w:val="00B4406B"/>
    <w:rsid w:val="00B44568"/>
    <w:rsid w:val="00B44DA9"/>
    <w:rsid w:val="00B46AEC"/>
    <w:rsid w:val="00B47A05"/>
    <w:rsid w:val="00B47A58"/>
    <w:rsid w:val="00B506EF"/>
    <w:rsid w:val="00B51398"/>
    <w:rsid w:val="00B535E5"/>
    <w:rsid w:val="00B53CEA"/>
    <w:rsid w:val="00B5669D"/>
    <w:rsid w:val="00B56A9F"/>
    <w:rsid w:val="00B56DF6"/>
    <w:rsid w:val="00B61355"/>
    <w:rsid w:val="00B61EBE"/>
    <w:rsid w:val="00B62A7E"/>
    <w:rsid w:val="00B62AAD"/>
    <w:rsid w:val="00B662EC"/>
    <w:rsid w:val="00B6632A"/>
    <w:rsid w:val="00B719E5"/>
    <w:rsid w:val="00B71FC5"/>
    <w:rsid w:val="00B737B4"/>
    <w:rsid w:val="00B73A3B"/>
    <w:rsid w:val="00B73BBE"/>
    <w:rsid w:val="00B73C01"/>
    <w:rsid w:val="00B76C27"/>
    <w:rsid w:val="00B77508"/>
    <w:rsid w:val="00B80ABE"/>
    <w:rsid w:val="00B81895"/>
    <w:rsid w:val="00B81DA1"/>
    <w:rsid w:val="00B81DCF"/>
    <w:rsid w:val="00B827F1"/>
    <w:rsid w:val="00B84AD3"/>
    <w:rsid w:val="00B87904"/>
    <w:rsid w:val="00B9057B"/>
    <w:rsid w:val="00B90810"/>
    <w:rsid w:val="00B91B0F"/>
    <w:rsid w:val="00B92E42"/>
    <w:rsid w:val="00B93BCF"/>
    <w:rsid w:val="00B9471A"/>
    <w:rsid w:val="00B95836"/>
    <w:rsid w:val="00B96199"/>
    <w:rsid w:val="00B967A8"/>
    <w:rsid w:val="00B96A00"/>
    <w:rsid w:val="00B97370"/>
    <w:rsid w:val="00B97415"/>
    <w:rsid w:val="00B97E0C"/>
    <w:rsid w:val="00BA0F87"/>
    <w:rsid w:val="00BA1AE5"/>
    <w:rsid w:val="00BA3714"/>
    <w:rsid w:val="00BA4331"/>
    <w:rsid w:val="00BA4813"/>
    <w:rsid w:val="00BA4E08"/>
    <w:rsid w:val="00BA599C"/>
    <w:rsid w:val="00BA692A"/>
    <w:rsid w:val="00BA6C22"/>
    <w:rsid w:val="00BB0113"/>
    <w:rsid w:val="00BB07EC"/>
    <w:rsid w:val="00BB0D14"/>
    <w:rsid w:val="00BB11EA"/>
    <w:rsid w:val="00BB3C78"/>
    <w:rsid w:val="00BB3FAD"/>
    <w:rsid w:val="00BB4079"/>
    <w:rsid w:val="00BB42FF"/>
    <w:rsid w:val="00BB4617"/>
    <w:rsid w:val="00BB587B"/>
    <w:rsid w:val="00BB5E73"/>
    <w:rsid w:val="00BB5EBD"/>
    <w:rsid w:val="00BB6C6F"/>
    <w:rsid w:val="00BB7C46"/>
    <w:rsid w:val="00BC1303"/>
    <w:rsid w:val="00BC13C2"/>
    <w:rsid w:val="00BC18E3"/>
    <w:rsid w:val="00BC1957"/>
    <w:rsid w:val="00BC267A"/>
    <w:rsid w:val="00BC3399"/>
    <w:rsid w:val="00BC3E1F"/>
    <w:rsid w:val="00BC425D"/>
    <w:rsid w:val="00BC4495"/>
    <w:rsid w:val="00BC4711"/>
    <w:rsid w:val="00BC5218"/>
    <w:rsid w:val="00BC66BA"/>
    <w:rsid w:val="00BC6B67"/>
    <w:rsid w:val="00BC6E4C"/>
    <w:rsid w:val="00BC733B"/>
    <w:rsid w:val="00BC763A"/>
    <w:rsid w:val="00BC7FC3"/>
    <w:rsid w:val="00BD131E"/>
    <w:rsid w:val="00BD2CD4"/>
    <w:rsid w:val="00BD2DEA"/>
    <w:rsid w:val="00BD3376"/>
    <w:rsid w:val="00BD4F30"/>
    <w:rsid w:val="00BD61A8"/>
    <w:rsid w:val="00BD74E2"/>
    <w:rsid w:val="00BE378E"/>
    <w:rsid w:val="00BE3A0B"/>
    <w:rsid w:val="00BE5041"/>
    <w:rsid w:val="00BE50F1"/>
    <w:rsid w:val="00BE586B"/>
    <w:rsid w:val="00BE6571"/>
    <w:rsid w:val="00BE69D0"/>
    <w:rsid w:val="00BE7D80"/>
    <w:rsid w:val="00BF1C15"/>
    <w:rsid w:val="00BF1C82"/>
    <w:rsid w:val="00BF253F"/>
    <w:rsid w:val="00BF26D9"/>
    <w:rsid w:val="00BF2A0A"/>
    <w:rsid w:val="00BF2DBF"/>
    <w:rsid w:val="00BF3267"/>
    <w:rsid w:val="00BF519A"/>
    <w:rsid w:val="00BF5B5E"/>
    <w:rsid w:val="00BF6794"/>
    <w:rsid w:val="00C00543"/>
    <w:rsid w:val="00C013EA"/>
    <w:rsid w:val="00C01ACA"/>
    <w:rsid w:val="00C023FE"/>
    <w:rsid w:val="00C02620"/>
    <w:rsid w:val="00C04713"/>
    <w:rsid w:val="00C04945"/>
    <w:rsid w:val="00C0517D"/>
    <w:rsid w:val="00C066D6"/>
    <w:rsid w:val="00C0727A"/>
    <w:rsid w:val="00C0757D"/>
    <w:rsid w:val="00C07F0E"/>
    <w:rsid w:val="00C111DD"/>
    <w:rsid w:val="00C12A89"/>
    <w:rsid w:val="00C12AF0"/>
    <w:rsid w:val="00C12FE6"/>
    <w:rsid w:val="00C130AB"/>
    <w:rsid w:val="00C15B0C"/>
    <w:rsid w:val="00C15BC9"/>
    <w:rsid w:val="00C15CE7"/>
    <w:rsid w:val="00C160B3"/>
    <w:rsid w:val="00C16292"/>
    <w:rsid w:val="00C175BA"/>
    <w:rsid w:val="00C2032C"/>
    <w:rsid w:val="00C20D92"/>
    <w:rsid w:val="00C2392B"/>
    <w:rsid w:val="00C24454"/>
    <w:rsid w:val="00C24BE1"/>
    <w:rsid w:val="00C25364"/>
    <w:rsid w:val="00C26180"/>
    <w:rsid w:val="00C26794"/>
    <w:rsid w:val="00C26DFC"/>
    <w:rsid w:val="00C2712C"/>
    <w:rsid w:val="00C313F1"/>
    <w:rsid w:val="00C31641"/>
    <w:rsid w:val="00C317A6"/>
    <w:rsid w:val="00C32624"/>
    <w:rsid w:val="00C34954"/>
    <w:rsid w:val="00C34A50"/>
    <w:rsid w:val="00C34C15"/>
    <w:rsid w:val="00C3571B"/>
    <w:rsid w:val="00C35EE2"/>
    <w:rsid w:val="00C36501"/>
    <w:rsid w:val="00C36647"/>
    <w:rsid w:val="00C36AA8"/>
    <w:rsid w:val="00C36CA4"/>
    <w:rsid w:val="00C40261"/>
    <w:rsid w:val="00C4062D"/>
    <w:rsid w:val="00C41386"/>
    <w:rsid w:val="00C41C97"/>
    <w:rsid w:val="00C4266C"/>
    <w:rsid w:val="00C429A4"/>
    <w:rsid w:val="00C45331"/>
    <w:rsid w:val="00C453E4"/>
    <w:rsid w:val="00C45BF7"/>
    <w:rsid w:val="00C46025"/>
    <w:rsid w:val="00C5201B"/>
    <w:rsid w:val="00C52229"/>
    <w:rsid w:val="00C5324C"/>
    <w:rsid w:val="00C54000"/>
    <w:rsid w:val="00C54AC4"/>
    <w:rsid w:val="00C54FDF"/>
    <w:rsid w:val="00C55115"/>
    <w:rsid w:val="00C57C40"/>
    <w:rsid w:val="00C60C1D"/>
    <w:rsid w:val="00C63DB2"/>
    <w:rsid w:val="00C64A4B"/>
    <w:rsid w:val="00C64D6B"/>
    <w:rsid w:val="00C65405"/>
    <w:rsid w:val="00C656D6"/>
    <w:rsid w:val="00C657A9"/>
    <w:rsid w:val="00C65B25"/>
    <w:rsid w:val="00C67D8F"/>
    <w:rsid w:val="00C67E04"/>
    <w:rsid w:val="00C67F82"/>
    <w:rsid w:val="00C72C5B"/>
    <w:rsid w:val="00C74221"/>
    <w:rsid w:val="00C7541F"/>
    <w:rsid w:val="00C76C16"/>
    <w:rsid w:val="00C77861"/>
    <w:rsid w:val="00C80732"/>
    <w:rsid w:val="00C80983"/>
    <w:rsid w:val="00C80C47"/>
    <w:rsid w:val="00C812A0"/>
    <w:rsid w:val="00C81D7C"/>
    <w:rsid w:val="00C81FCE"/>
    <w:rsid w:val="00C84077"/>
    <w:rsid w:val="00C84A8B"/>
    <w:rsid w:val="00C8553F"/>
    <w:rsid w:val="00C8610D"/>
    <w:rsid w:val="00C878BB"/>
    <w:rsid w:val="00C92FDD"/>
    <w:rsid w:val="00C93165"/>
    <w:rsid w:val="00C9526A"/>
    <w:rsid w:val="00C9551A"/>
    <w:rsid w:val="00C9578C"/>
    <w:rsid w:val="00C95BF0"/>
    <w:rsid w:val="00C96525"/>
    <w:rsid w:val="00C9664E"/>
    <w:rsid w:val="00CA01FE"/>
    <w:rsid w:val="00CA1408"/>
    <w:rsid w:val="00CA27EC"/>
    <w:rsid w:val="00CA3068"/>
    <w:rsid w:val="00CA3928"/>
    <w:rsid w:val="00CA434D"/>
    <w:rsid w:val="00CA4744"/>
    <w:rsid w:val="00CA4ADC"/>
    <w:rsid w:val="00CA4FF9"/>
    <w:rsid w:val="00CA5B68"/>
    <w:rsid w:val="00CA5FD6"/>
    <w:rsid w:val="00CA6AC7"/>
    <w:rsid w:val="00CA76C7"/>
    <w:rsid w:val="00CB0EBD"/>
    <w:rsid w:val="00CB2540"/>
    <w:rsid w:val="00CB29B6"/>
    <w:rsid w:val="00CB2FDD"/>
    <w:rsid w:val="00CB3706"/>
    <w:rsid w:val="00CB3ADC"/>
    <w:rsid w:val="00CB4BF3"/>
    <w:rsid w:val="00CB7F95"/>
    <w:rsid w:val="00CC2028"/>
    <w:rsid w:val="00CC4D8E"/>
    <w:rsid w:val="00CC5629"/>
    <w:rsid w:val="00CC6001"/>
    <w:rsid w:val="00CC6015"/>
    <w:rsid w:val="00CC6FCD"/>
    <w:rsid w:val="00CC7B97"/>
    <w:rsid w:val="00CD0495"/>
    <w:rsid w:val="00CD06BB"/>
    <w:rsid w:val="00CD0B74"/>
    <w:rsid w:val="00CD0EA1"/>
    <w:rsid w:val="00CD0F18"/>
    <w:rsid w:val="00CD1A26"/>
    <w:rsid w:val="00CD30CA"/>
    <w:rsid w:val="00CD335F"/>
    <w:rsid w:val="00CD376D"/>
    <w:rsid w:val="00CD45D9"/>
    <w:rsid w:val="00CD6B52"/>
    <w:rsid w:val="00CD6E49"/>
    <w:rsid w:val="00CD737D"/>
    <w:rsid w:val="00CD7456"/>
    <w:rsid w:val="00CD771A"/>
    <w:rsid w:val="00CD7B0A"/>
    <w:rsid w:val="00CE06B9"/>
    <w:rsid w:val="00CE18C8"/>
    <w:rsid w:val="00CE2D67"/>
    <w:rsid w:val="00CE3ECD"/>
    <w:rsid w:val="00CE47BA"/>
    <w:rsid w:val="00CE4DAC"/>
    <w:rsid w:val="00CE74B5"/>
    <w:rsid w:val="00CF07A8"/>
    <w:rsid w:val="00CF0D8F"/>
    <w:rsid w:val="00CF0EB6"/>
    <w:rsid w:val="00CF199D"/>
    <w:rsid w:val="00CF3125"/>
    <w:rsid w:val="00CF4CBE"/>
    <w:rsid w:val="00CF5478"/>
    <w:rsid w:val="00CF60DF"/>
    <w:rsid w:val="00CF6124"/>
    <w:rsid w:val="00CF6826"/>
    <w:rsid w:val="00CF6FF0"/>
    <w:rsid w:val="00CF70E0"/>
    <w:rsid w:val="00D00A1B"/>
    <w:rsid w:val="00D01025"/>
    <w:rsid w:val="00D014FD"/>
    <w:rsid w:val="00D01AFF"/>
    <w:rsid w:val="00D01E7E"/>
    <w:rsid w:val="00D024EB"/>
    <w:rsid w:val="00D03AAA"/>
    <w:rsid w:val="00D04903"/>
    <w:rsid w:val="00D053CA"/>
    <w:rsid w:val="00D06236"/>
    <w:rsid w:val="00D11165"/>
    <w:rsid w:val="00D11F97"/>
    <w:rsid w:val="00D1238E"/>
    <w:rsid w:val="00D143C9"/>
    <w:rsid w:val="00D146D5"/>
    <w:rsid w:val="00D15301"/>
    <w:rsid w:val="00D15EA7"/>
    <w:rsid w:val="00D164F7"/>
    <w:rsid w:val="00D1671C"/>
    <w:rsid w:val="00D205DC"/>
    <w:rsid w:val="00D23846"/>
    <w:rsid w:val="00D24A98"/>
    <w:rsid w:val="00D25477"/>
    <w:rsid w:val="00D259DB"/>
    <w:rsid w:val="00D260AD"/>
    <w:rsid w:val="00D26738"/>
    <w:rsid w:val="00D26AF9"/>
    <w:rsid w:val="00D270F2"/>
    <w:rsid w:val="00D27F7C"/>
    <w:rsid w:val="00D30830"/>
    <w:rsid w:val="00D30BE9"/>
    <w:rsid w:val="00D31396"/>
    <w:rsid w:val="00D313B4"/>
    <w:rsid w:val="00D314AA"/>
    <w:rsid w:val="00D32517"/>
    <w:rsid w:val="00D32BE4"/>
    <w:rsid w:val="00D348C2"/>
    <w:rsid w:val="00D34B34"/>
    <w:rsid w:val="00D35765"/>
    <w:rsid w:val="00D35859"/>
    <w:rsid w:val="00D365A5"/>
    <w:rsid w:val="00D37ADE"/>
    <w:rsid w:val="00D4007A"/>
    <w:rsid w:val="00D40CCD"/>
    <w:rsid w:val="00D413E6"/>
    <w:rsid w:val="00D418D6"/>
    <w:rsid w:val="00D418F6"/>
    <w:rsid w:val="00D42153"/>
    <w:rsid w:val="00D43F69"/>
    <w:rsid w:val="00D45E9C"/>
    <w:rsid w:val="00D46E55"/>
    <w:rsid w:val="00D4701E"/>
    <w:rsid w:val="00D50271"/>
    <w:rsid w:val="00D51C33"/>
    <w:rsid w:val="00D52902"/>
    <w:rsid w:val="00D529B0"/>
    <w:rsid w:val="00D52BF5"/>
    <w:rsid w:val="00D5308A"/>
    <w:rsid w:val="00D5465C"/>
    <w:rsid w:val="00D54DE9"/>
    <w:rsid w:val="00D54E57"/>
    <w:rsid w:val="00D552B8"/>
    <w:rsid w:val="00D55535"/>
    <w:rsid w:val="00D5685B"/>
    <w:rsid w:val="00D5741C"/>
    <w:rsid w:val="00D57CF7"/>
    <w:rsid w:val="00D6089C"/>
    <w:rsid w:val="00D614AA"/>
    <w:rsid w:val="00D62096"/>
    <w:rsid w:val="00D62518"/>
    <w:rsid w:val="00D62561"/>
    <w:rsid w:val="00D629EF"/>
    <w:rsid w:val="00D62A89"/>
    <w:rsid w:val="00D62DF0"/>
    <w:rsid w:val="00D62FB0"/>
    <w:rsid w:val="00D63014"/>
    <w:rsid w:val="00D63A28"/>
    <w:rsid w:val="00D646A8"/>
    <w:rsid w:val="00D6520D"/>
    <w:rsid w:val="00D652FB"/>
    <w:rsid w:val="00D65CA4"/>
    <w:rsid w:val="00D67104"/>
    <w:rsid w:val="00D67188"/>
    <w:rsid w:val="00D70854"/>
    <w:rsid w:val="00D728A9"/>
    <w:rsid w:val="00D72FDE"/>
    <w:rsid w:val="00D7346D"/>
    <w:rsid w:val="00D7358C"/>
    <w:rsid w:val="00D738FB"/>
    <w:rsid w:val="00D74773"/>
    <w:rsid w:val="00D75B8E"/>
    <w:rsid w:val="00D75F9C"/>
    <w:rsid w:val="00D76991"/>
    <w:rsid w:val="00D77F1C"/>
    <w:rsid w:val="00D81536"/>
    <w:rsid w:val="00D82C74"/>
    <w:rsid w:val="00D82D20"/>
    <w:rsid w:val="00D830BC"/>
    <w:rsid w:val="00D84A58"/>
    <w:rsid w:val="00D854A6"/>
    <w:rsid w:val="00D856F0"/>
    <w:rsid w:val="00D8708E"/>
    <w:rsid w:val="00D8722F"/>
    <w:rsid w:val="00D903EE"/>
    <w:rsid w:val="00D90518"/>
    <w:rsid w:val="00D91837"/>
    <w:rsid w:val="00D91B3D"/>
    <w:rsid w:val="00D92EC2"/>
    <w:rsid w:val="00D95B23"/>
    <w:rsid w:val="00D95D4B"/>
    <w:rsid w:val="00D9609C"/>
    <w:rsid w:val="00D96DEC"/>
    <w:rsid w:val="00D96E14"/>
    <w:rsid w:val="00D96E78"/>
    <w:rsid w:val="00D9737F"/>
    <w:rsid w:val="00D973CD"/>
    <w:rsid w:val="00DA0221"/>
    <w:rsid w:val="00DA0480"/>
    <w:rsid w:val="00DA1253"/>
    <w:rsid w:val="00DA15D0"/>
    <w:rsid w:val="00DA18B2"/>
    <w:rsid w:val="00DA33A6"/>
    <w:rsid w:val="00DA391A"/>
    <w:rsid w:val="00DA757D"/>
    <w:rsid w:val="00DB13DA"/>
    <w:rsid w:val="00DB2334"/>
    <w:rsid w:val="00DB3AA5"/>
    <w:rsid w:val="00DB53D1"/>
    <w:rsid w:val="00DB5B7F"/>
    <w:rsid w:val="00DB644A"/>
    <w:rsid w:val="00DB68E9"/>
    <w:rsid w:val="00DB71AA"/>
    <w:rsid w:val="00DB79E6"/>
    <w:rsid w:val="00DC02FD"/>
    <w:rsid w:val="00DC1513"/>
    <w:rsid w:val="00DC1E56"/>
    <w:rsid w:val="00DC22EB"/>
    <w:rsid w:val="00DC5A13"/>
    <w:rsid w:val="00DC6329"/>
    <w:rsid w:val="00DC6421"/>
    <w:rsid w:val="00DC7AE5"/>
    <w:rsid w:val="00DD087E"/>
    <w:rsid w:val="00DD1253"/>
    <w:rsid w:val="00DD34C6"/>
    <w:rsid w:val="00DD4A7D"/>
    <w:rsid w:val="00DD6CBA"/>
    <w:rsid w:val="00DD7A87"/>
    <w:rsid w:val="00DE016F"/>
    <w:rsid w:val="00DE1C4F"/>
    <w:rsid w:val="00DE24F6"/>
    <w:rsid w:val="00DE4236"/>
    <w:rsid w:val="00DE4EA1"/>
    <w:rsid w:val="00DE4EF2"/>
    <w:rsid w:val="00DE52BA"/>
    <w:rsid w:val="00DE5AED"/>
    <w:rsid w:val="00DE66B4"/>
    <w:rsid w:val="00DE6C6D"/>
    <w:rsid w:val="00DF05E9"/>
    <w:rsid w:val="00DF08E1"/>
    <w:rsid w:val="00DF19A2"/>
    <w:rsid w:val="00DF1CA5"/>
    <w:rsid w:val="00DF2263"/>
    <w:rsid w:val="00DF27BE"/>
    <w:rsid w:val="00DF4020"/>
    <w:rsid w:val="00DF5010"/>
    <w:rsid w:val="00DF5408"/>
    <w:rsid w:val="00DF6D37"/>
    <w:rsid w:val="00DF6EA2"/>
    <w:rsid w:val="00DF7132"/>
    <w:rsid w:val="00E00A77"/>
    <w:rsid w:val="00E02B62"/>
    <w:rsid w:val="00E02BDC"/>
    <w:rsid w:val="00E035FF"/>
    <w:rsid w:val="00E0376B"/>
    <w:rsid w:val="00E03C9F"/>
    <w:rsid w:val="00E03F20"/>
    <w:rsid w:val="00E04718"/>
    <w:rsid w:val="00E0557B"/>
    <w:rsid w:val="00E07689"/>
    <w:rsid w:val="00E078BA"/>
    <w:rsid w:val="00E118C0"/>
    <w:rsid w:val="00E130B5"/>
    <w:rsid w:val="00E13E1E"/>
    <w:rsid w:val="00E147DB"/>
    <w:rsid w:val="00E14E18"/>
    <w:rsid w:val="00E15E50"/>
    <w:rsid w:val="00E16E44"/>
    <w:rsid w:val="00E1751C"/>
    <w:rsid w:val="00E200DC"/>
    <w:rsid w:val="00E20882"/>
    <w:rsid w:val="00E20E61"/>
    <w:rsid w:val="00E21084"/>
    <w:rsid w:val="00E21AAE"/>
    <w:rsid w:val="00E221BF"/>
    <w:rsid w:val="00E2256B"/>
    <w:rsid w:val="00E22A57"/>
    <w:rsid w:val="00E22D9F"/>
    <w:rsid w:val="00E24018"/>
    <w:rsid w:val="00E24B93"/>
    <w:rsid w:val="00E25534"/>
    <w:rsid w:val="00E25994"/>
    <w:rsid w:val="00E25E23"/>
    <w:rsid w:val="00E26170"/>
    <w:rsid w:val="00E2774A"/>
    <w:rsid w:val="00E30C80"/>
    <w:rsid w:val="00E30CD7"/>
    <w:rsid w:val="00E31F67"/>
    <w:rsid w:val="00E32C98"/>
    <w:rsid w:val="00E33207"/>
    <w:rsid w:val="00E3355D"/>
    <w:rsid w:val="00E3501C"/>
    <w:rsid w:val="00E35311"/>
    <w:rsid w:val="00E37929"/>
    <w:rsid w:val="00E4043B"/>
    <w:rsid w:val="00E40BDE"/>
    <w:rsid w:val="00E40EA2"/>
    <w:rsid w:val="00E41511"/>
    <w:rsid w:val="00E4270B"/>
    <w:rsid w:val="00E42AD9"/>
    <w:rsid w:val="00E42CCE"/>
    <w:rsid w:val="00E439AE"/>
    <w:rsid w:val="00E450D2"/>
    <w:rsid w:val="00E46FF8"/>
    <w:rsid w:val="00E505A4"/>
    <w:rsid w:val="00E526F7"/>
    <w:rsid w:val="00E52F35"/>
    <w:rsid w:val="00E531FB"/>
    <w:rsid w:val="00E5467B"/>
    <w:rsid w:val="00E55236"/>
    <w:rsid w:val="00E5590B"/>
    <w:rsid w:val="00E56570"/>
    <w:rsid w:val="00E56687"/>
    <w:rsid w:val="00E56B47"/>
    <w:rsid w:val="00E578DA"/>
    <w:rsid w:val="00E579C6"/>
    <w:rsid w:val="00E57B01"/>
    <w:rsid w:val="00E6076C"/>
    <w:rsid w:val="00E60AA7"/>
    <w:rsid w:val="00E638F5"/>
    <w:rsid w:val="00E63CA8"/>
    <w:rsid w:val="00E6433E"/>
    <w:rsid w:val="00E64C19"/>
    <w:rsid w:val="00E6632D"/>
    <w:rsid w:val="00E666BD"/>
    <w:rsid w:val="00E674C1"/>
    <w:rsid w:val="00E67BA3"/>
    <w:rsid w:val="00E70CEA"/>
    <w:rsid w:val="00E70D02"/>
    <w:rsid w:val="00E710BE"/>
    <w:rsid w:val="00E7231E"/>
    <w:rsid w:val="00E736A2"/>
    <w:rsid w:val="00E73EA8"/>
    <w:rsid w:val="00E74805"/>
    <w:rsid w:val="00E74FA1"/>
    <w:rsid w:val="00E75961"/>
    <w:rsid w:val="00E759BC"/>
    <w:rsid w:val="00E75A6D"/>
    <w:rsid w:val="00E767F6"/>
    <w:rsid w:val="00E777FB"/>
    <w:rsid w:val="00E80D89"/>
    <w:rsid w:val="00E80FE9"/>
    <w:rsid w:val="00E81368"/>
    <w:rsid w:val="00E82BB4"/>
    <w:rsid w:val="00E84BB7"/>
    <w:rsid w:val="00E85AA5"/>
    <w:rsid w:val="00E8627F"/>
    <w:rsid w:val="00E869E6"/>
    <w:rsid w:val="00E87E22"/>
    <w:rsid w:val="00E90FC4"/>
    <w:rsid w:val="00E91DF4"/>
    <w:rsid w:val="00E925DC"/>
    <w:rsid w:val="00E93BF1"/>
    <w:rsid w:val="00E94FFF"/>
    <w:rsid w:val="00E9512C"/>
    <w:rsid w:val="00E95669"/>
    <w:rsid w:val="00E95891"/>
    <w:rsid w:val="00E96255"/>
    <w:rsid w:val="00E96275"/>
    <w:rsid w:val="00E9641C"/>
    <w:rsid w:val="00E9691B"/>
    <w:rsid w:val="00E97981"/>
    <w:rsid w:val="00EA0551"/>
    <w:rsid w:val="00EA1141"/>
    <w:rsid w:val="00EA166B"/>
    <w:rsid w:val="00EA1968"/>
    <w:rsid w:val="00EA1E9A"/>
    <w:rsid w:val="00EA2389"/>
    <w:rsid w:val="00EA251E"/>
    <w:rsid w:val="00EA2C26"/>
    <w:rsid w:val="00EA4801"/>
    <w:rsid w:val="00EA4E44"/>
    <w:rsid w:val="00EA64AA"/>
    <w:rsid w:val="00EB0386"/>
    <w:rsid w:val="00EB052F"/>
    <w:rsid w:val="00EB0B96"/>
    <w:rsid w:val="00EB126C"/>
    <w:rsid w:val="00EB1E5E"/>
    <w:rsid w:val="00EB2EEF"/>
    <w:rsid w:val="00EB3C66"/>
    <w:rsid w:val="00EB45A3"/>
    <w:rsid w:val="00EB4889"/>
    <w:rsid w:val="00EB51D1"/>
    <w:rsid w:val="00EB692B"/>
    <w:rsid w:val="00EB6D34"/>
    <w:rsid w:val="00EC0E64"/>
    <w:rsid w:val="00EC1970"/>
    <w:rsid w:val="00EC4830"/>
    <w:rsid w:val="00EC56B0"/>
    <w:rsid w:val="00EC73A3"/>
    <w:rsid w:val="00EC786F"/>
    <w:rsid w:val="00EC7DD7"/>
    <w:rsid w:val="00ED1DE5"/>
    <w:rsid w:val="00ED2780"/>
    <w:rsid w:val="00ED3EC4"/>
    <w:rsid w:val="00ED40CA"/>
    <w:rsid w:val="00ED4877"/>
    <w:rsid w:val="00ED4C82"/>
    <w:rsid w:val="00ED4C9D"/>
    <w:rsid w:val="00ED4ED9"/>
    <w:rsid w:val="00ED5D95"/>
    <w:rsid w:val="00ED7683"/>
    <w:rsid w:val="00EE097B"/>
    <w:rsid w:val="00EE29ED"/>
    <w:rsid w:val="00EE6377"/>
    <w:rsid w:val="00EF024D"/>
    <w:rsid w:val="00EF14E1"/>
    <w:rsid w:val="00EF22A2"/>
    <w:rsid w:val="00EF3993"/>
    <w:rsid w:val="00EF436D"/>
    <w:rsid w:val="00EF5CA1"/>
    <w:rsid w:val="00F0012A"/>
    <w:rsid w:val="00F00DE7"/>
    <w:rsid w:val="00F01316"/>
    <w:rsid w:val="00F016E6"/>
    <w:rsid w:val="00F0237E"/>
    <w:rsid w:val="00F02DFF"/>
    <w:rsid w:val="00F03FCE"/>
    <w:rsid w:val="00F05375"/>
    <w:rsid w:val="00F056E3"/>
    <w:rsid w:val="00F0595F"/>
    <w:rsid w:val="00F05BAA"/>
    <w:rsid w:val="00F06CB8"/>
    <w:rsid w:val="00F06EEE"/>
    <w:rsid w:val="00F0700B"/>
    <w:rsid w:val="00F1031D"/>
    <w:rsid w:val="00F10F6D"/>
    <w:rsid w:val="00F119E8"/>
    <w:rsid w:val="00F11CC2"/>
    <w:rsid w:val="00F13F1E"/>
    <w:rsid w:val="00F13F7A"/>
    <w:rsid w:val="00F14DD7"/>
    <w:rsid w:val="00F15251"/>
    <w:rsid w:val="00F154A5"/>
    <w:rsid w:val="00F1582E"/>
    <w:rsid w:val="00F17008"/>
    <w:rsid w:val="00F17971"/>
    <w:rsid w:val="00F200D2"/>
    <w:rsid w:val="00F21213"/>
    <w:rsid w:val="00F21957"/>
    <w:rsid w:val="00F224A2"/>
    <w:rsid w:val="00F23665"/>
    <w:rsid w:val="00F248BF"/>
    <w:rsid w:val="00F254C6"/>
    <w:rsid w:val="00F26A99"/>
    <w:rsid w:val="00F27292"/>
    <w:rsid w:val="00F2783E"/>
    <w:rsid w:val="00F30B68"/>
    <w:rsid w:val="00F3127C"/>
    <w:rsid w:val="00F31306"/>
    <w:rsid w:val="00F318EF"/>
    <w:rsid w:val="00F319D6"/>
    <w:rsid w:val="00F326EF"/>
    <w:rsid w:val="00F3333D"/>
    <w:rsid w:val="00F337FD"/>
    <w:rsid w:val="00F35096"/>
    <w:rsid w:val="00F35B30"/>
    <w:rsid w:val="00F35F22"/>
    <w:rsid w:val="00F362A8"/>
    <w:rsid w:val="00F363ED"/>
    <w:rsid w:val="00F3661E"/>
    <w:rsid w:val="00F368B5"/>
    <w:rsid w:val="00F37DBB"/>
    <w:rsid w:val="00F41989"/>
    <w:rsid w:val="00F42FC5"/>
    <w:rsid w:val="00F442E2"/>
    <w:rsid w:val="00F4570C"/>
    <w:rsid w:val="00F460BE"/>
    <w:rsid w:val="00F47856"/>
    <w:rsid w:val="00F4793A"/>
    <w:rsid w:val="00F51B25"/>
    <w:rsid w:val="00F51B7C"/>
    <w:rsid w:val="00F52BA3"/>
    <w:rsid w:val="00F53976"/>
    <w:rsid w:val="00F5427C"/>
    <w:rsid w:val="00F5465D"/>
    <w:rsid w:val="00F552ED"/>
    <w:rsid w:val="00F57839"/>
    <w:rsid w:val="00F57CDA"/>
    <w:rsid w:val="00F6021F"/>
    <w:rsid w:val="00F6064E"/>
    <w:rsid w:val="00F61231"/>
    <w:rsid w:val="00F612F2"/>
    <w:rsid w:val="00F624E7"/>
    <w:rsid w:val="00F63D3F"/>
    <w:rsid w:val="00F66864"/>
    <w:rsid w:val="00F677A6"/>
    <w:rsid w:val="00F678E3"/>
    <w:rsid w:val="00F7048D"/>
    <w:rsid w:val="00F715FA"/>
    <w:rsid w:val="00F717E4"/>
    <w:rsid w:val="00F737DB"/>
    <w:rsid w:val="00F73E2F"/>
    <w:rsid w:val="00F747DB"/>
    <w:rsid w:val="00F749D0"/>
    <w:rsid w:val="00F75902"/>
    <w:rsid w:val="00F77888"/>
    <w:rsid w:val="00F800B7"/>
    <w:rsid w:val="00F8035D"/>
    <w:rsid w:val="00F812F7"/>
    <w:rsid w:val="00F82F05"/>
    <w:rsid w:val="00F83364"/>
    <w:rsid w:val="00F83AD4"/>
    <w:rsid w:val="00F84AF1"/>
    <w:rsid w:val="00F85F1C"/>
    <w:rsid w:val="00F86041"/>
    <w:rsid w:val="00F86AED"/>
    <w:rsid w:val="00F86F1B"/>
    <w:rsid w:val="00F87B5B"/>
    <w:rsid w:val="00F90B69"/>
    <w:rsid w:val="00F90F50"/>
    <w:rsid w:val="00F914D6"/>
    <w:rsid w:val="00F9168C"/>
    <w:rsid w:val="00F91954"/>
    <w:rsid w:val="00F91F9A"/>
    <w:rsid w:val="00F92454"/>
    <w:rsid w:val="00F92A11"/>
    <w:rsid w:val="00F94010"/>
    <w:rsid w:val="00F954D8"/>
    <w:rsid w:val="00F95793"/>
    <w:rsid w:val="00F96B33"/>
    <w:rsid w:val="00F9791F"/>
    <w:rsid w:val="00FA00E8"/>
    <w:rsid w:val="00FA07E5"/>
    <w:rsid w:val="00FA108D"/>
    <w:rsid w:val="00FA1EBE"/>
    <w:rsid w:val="00FA27F2"/>
    <w:rsid w:val="00FA2A6F"/>
    <w:rsid w:val="00FA4071"/>
    <w:rsid w:val="00FA4845"/>
    <w:rsid w:val="00FA4A7F"/>
    <w:rsid w:val="00FA530D"/>
    <w:rsid w:val="00FA656C"/>
    <w:rsid w:val="00FA6874"/>
    <w:rsid w:val="00FA6F2D"/>
    <w:rsid w:val="00FA7017"/>
    <w:rsid w:val="00FA7E14"/>
    <w:rsid w:val="00FB0A14"/>
    <w:rsid w:val="00FB0AF4"/>
    <w:rsid w:val="00FB1477"/>
    <w:rsid w:val="00FB524E"/>
    <w:rsid w:val="00FB7B81"/>
    <w:rsid w:val="00FC180E"/>
    <w:rsid w:val="00FC1AFC"/>
    <w:rsid w:val="00FC25AF"/>
    <w:rsid w:val="00FC2DEE"/>
    <w:rsid w:val="00FC2F28"/>
    <w:rsid w:val="00FC3CA1"/>
    <w:rsid w:val="00FC421C"/>
    <w:rsid w:val="00FC539F"/>
    <w:rsid w:val="00FC5FF2"/>
    <w:rsid w:val="00FC67D5"/>
    <w:rsid w:val="00FC6C90"/>
    <w:rsid w:val="00FC6C93"/>
    <w:rsid w:val="00FC6D5C"/>
    <w:rsid w:val="00FC78B4"/>
    <w:rsid w:val="00FD0AC7"/>
    <w:rsid w:val="00FD16B6"/>
    <w:rsid w:val="00FD1AC3"/>
    <w:rsid w:val="00FD321C"/>
    <w:rsid w:val="00FD4794"/>
    <w:rsid w:val="00FD4A17"/>
    <w:rsid w:val="00FD4CF7"/>
    <w:rsid w:val="00FD51E0"/>
    <w:rsid w:val="00FD51F8"/>
    <w:rsid w:val="00FD5470"/>
    <w:rsid w:val="00FD6439"/>
    <w:rsid w:val="00FD767C"/>
    <w:rsid w:val="00FE00AA"/>
    <w:rsid w:val="00FE199C"/>
    <w:rsid w:val="00FE1BD3"/>
    <w:rsid w:val="00FE1C71"/>
    <w:rsid w:val="00FE1FA3"/>
    <w:rsid w:val="00FE2E28"/>
    <w:rsid w:val="00FE3120"/>
    <w:rsid w:val="00FE3BFB"/>
    <w:rsid w:val="00FE3D3F"/>
    <w:rsid w:val="00FE42D0"/>
    <w:rsid w:val="00FE457B"/>
    <w:rsid w:val="00FE4B10"/>
    <w:rsid w:val="00FE58D0"/>
    <w:rsid w:val="00FE5D03"/>
    <w:rsid w:val="00FE5F05"/>
    <w:rsid w:val="00FE6040"/>
    <w:rsid w:val="00FE6BBB"/>
    <w:rsid w:val="00FE6FAF"/>
    <w:rsid w:val="00FF00F4"/>
    <w:rsid w:val="00FF08BA"/>
    <w:rsid w:val="00FF0FF3"/>
    <w:rsid w:val="00FF2689"/>
    <w:rsid w:val="00FF2703"/>
    <w:rsid w:val="00FF2D0B"/>
    <w:rsid w:val="00FF365A"/>
    <w:rsid w:val="00FF527E"/>
    <w:rsid w:val="00FF5FCB"/>
    <w:rsid w:val="00FF6CDD"/>
    <w:rsid w:val="00FF6E46"/>
    <w:rsid w:val="0B43C317"/>
    <w:rsid w:val="173BEE99"/>
    <w:rsid w:val="209D86E9"/>
    <w:rsid w:val="22395738"/>
    <w:rsid w:val="26BF515B"/>
    <w:rsid w:val="2BFCABF8"/>
    <w:rsid w:val="5E32F3DE"/>
    <w:rsid w:val="7BD19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0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2C0BCA"/>
    <w:pPr>
      <w:outlineLvl w:val="0"/>
    </w:pPr>
    <w:rPr>
      <w:color w:val="E36C0A" w:themeColor="accent6" w:themeShade="BF"/>
      <w:sz w:val="32"/>
      <w:szCs w:val="32"/>
    </w:rPr>
  </w:style>
  <w:style w:type="paragraph" w:styleId="Heading2">
    <w:name w:val="heading 2"/>
    <w:basedOn w:val="NoSpacing"/>
    <w:next w:val="Normal"/>
    <w:link w:val="Heading2Char"/>
    <w:uiPriority w:val="9"/>
    <w:unhideWhenUsed/>
    <w:qFormat/>
    <w:rsid w:val="002C0BCA"/>
    <w:pPr>
      <w:outlineLvl w:val="1"/>
    </w:pPr>
    <w:rPr>
      <w:rFonts w:eastAsia="MS Gothic"/>
      <w:i w:val="0"/>
      <w:color w:val="76923C" w:themeColor="accent3" w:themeShade="BF"/>
      <w:sz w:val="24"/>
      <w:lang w:val="en-US"/>
    </w:rPr>
  </w:style>
  <w:style w:type="paragraph" w:styleId="Heading3">
    <w:name w:val="heading 3"/>
    <w:basedOn w:val="Normal"/>
    <w:next w:val="Normal"/>
    <w:link w:val="Heading3Char"/>
    <w:autoRedefine/>
    <w:uiPriority w:val="9"/>
    <w:unhideWhenUsed/>
    <w:qFormat/>
    <w:rsid w:val="0024433E"/>
    <w:pPr>
      <w:keepNext/>
      <w:keepLines/>
      <w:spacing w:after="0"/>
      <w:outlineLvl w:val="2"/>
    </w:pPr>
    <w:rPr>
      <w:rFonts w:asciiTheme="minorHAnsi" w:eastAsia="Calibri" w:hAnsiTheme="minorHAnsi" w:cstheme="minorHAnsi"/>
      <w:bCs/>
      <w:sz w:val="16"/>
      <w:szCs w:val="16"/>
      <w:vertAlign w:val="superscript"/>
    </w:rPr>
  </w:style>
  <w:style w:type="paragraph" w:styleId="Heading4">
    <w:name w:val="heading 4"/>
    <w:aliases w:val="Normal para"/>
    <w:basedOn w:val="Normal"/>
    <w:next w:val="Normal"/>
    <w:link w:val="Heading4Char"/>
    <w:uiPriority w:val="9"/>
    <w:unhideWhenUsed/>
    <w:qFormat/>
    <w:rsid w:val="00795D26"/>
    <w:pPr>
      <w:keepNext/>
      <w:keepLines/>
      <w:spacing w:after="240"/>
      <w:outlineLvl w:val="3"/>
    </w:pPr>
    <w:rPr>
      <w:rFonts w:eastAsiaTheme="majorEastAsia" w:cstheme="majorBidi"/>
      <w:bCs/>
      <w:iCs/>
    </w:rPr>
  </w:style>
  <w:style w:type="paragraph" w:styleId="Heading5">
    <w:name w:val="heading 5"/>
    <w:aliases w:val="Diagram heading"/>
    <w:basedOn w:val="Normal"/>
    <w:next w:val="Normal"/>
    <w:link w:val="Heading5Char"/>
    <w:uiPriority w:val="9"/>
    <w:unhideWhenUsed/>
    <w:qFormat/>
    <w:rsid w:val="0021121F"/>
    <w:pPr>
      <w:keepNext/>
      <w:keepLines/>
      <w:spacing w:after="60"/>
      <w:outlineLvl w:val="4"/>
    </w:pPr>
    <w:rPr>
      <w:rFonts w:eastAsiaTheme="majorEastAsia" w:cstheme="majorBidi"/>
      <w:b/>
      <w:color w:val="808080" w:themeColor="background1" w:themeShade="80"/>
      <w:sz w:val="18"/>
    </w:rPr>
  </w:style>
  <w:style w:type="paragraph" w:styleId="Heading6">
    <w:name w:val="heading 6"/>
    <w:basedOn w:val="Normal"/>
    <w:next w:val="Normal"/>
    <w:link w:val="Heading6Char"/>
    <w:uiPriority w:val="9"/>
    <w:unhideWhenUsed/>
    <w:qFormat/>
    <w:rsid w:val="000C24E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s,Dot pt,Bullet Points,No Spacing1,List Paragraph Char Char Char,Indicator Text,Numbered Para 1,List Paragraph1,Bullet 1,List Paragraph12,MAIN CONTENT,Colorful List - Accent 11,OBC Bullet,F5 List Paragraph"/>
    <w:basedOn w:val="Normal"/>
    <w:link w:val="ListParagraphChar"/>
    <w:uiPriority w:val="34"/>
    <w:qFormat/>
    <w:rsid w:val="00B14EF3"/>
    <w:pPr>
      <w:ind w:left="720"/>
      <w:contextualSpacing/>
    </w:pPr>
  </w:style>
  <w:style w:type="paragraph" w:styleId="BalloonText">
    <w:name w:val="Balloon Text"/>
    <w:basedOn w:val="Normal"/>
    <w:link w:val="BalloonTextChar"/>
    <w:uiPriority w:val="99"/>
    <w:semiHidden/>
    <w:unhideWhenUsed/>
    <w:rsid w:val="0088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EF3"/>
    <w:rPr>
      <w:rFonts w:ascii="Tahoma" w:hAnsi="Tahoma" w:cs="Tahoma"/>
      <w:sz w:val="16"/>
      <w:szCs w:val="16"/>
    </w:rPr>
  </w:style>
  <w:style w:type="paragraph" w:customStyle="1" w:styleId="Default">
    <w:name w:val="Default"/>
    <w:rsid w:val="00C066D6"/>
    <w:pPr>
      <w:autoSpaceDE w:val="0"/>
      <w:autoSpaceDN w:val="0"/>
      <w:adjustRightInd w:val="0"/>
      <w:spacing w:after="0" w:line="240" w:lineRule="auto"/>
    </w:pPr>
    <w:rPr>
      <w:rFonts w:ascii="Calibri" w:hAnsi="Calibri" w:cs="Calibri"/>
      <w:color w:val="000000"/>
    </w:rPr>
  </w:style>
  <w:style w:type="table" w:styleId="TableGrid">
    <w:name w:val="Table Grid"/>
    <w:basedOn w:val="TableNormal"/>
    <w:uiPriority w:val="39"/>
    <w:rsid w:val="00C0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0BCA"/>
    <w:rPr>
      <w:rFonts w:eastAsia="MS Gothic" w:cs="Times New Roman"/>
      <w:b/>
      <w:color w:val="F79646" w:themeColor="accent6"/>
      <w:sz w:val="32"/>
      <w:szCs w:val="32"/>
      <w:lang w:val="en-US"/>
    </w:rPr>
  </w:style>
  <w:style w:type="character" w:customStyle="1" w:styleId="Heading2Char">
    <w:name w:val="Heading 2 Char"/>
    <w:basedOn w:val="DefaultParagraphFont"/>
    <w:link w:val="Heading2"/>
    <w:uiPriority w:val="9"/>
    <w:rsid w:val="002C0BCA"/>
    <w:rPr>
      <w:rFonts w:eastAsia="MS Gothic"/>
      <w:b/>
      <w:color w:val="76923C" w:themeColor="accent3" w:themeShade="BF"/>
      <w:lang w:val="en-US"/>
    </w:rPr>
  </w:style>
  <w:style w:type="paragraph" w:styleId="FootnoteText">
    <w:name w:val="footnote text"/>
    <w:aliases w:val="single space,footnote text,ft,Footnote Text Char Char Char Char Char Char Char Char Char Char,FOOTNOTES,fn,ADB,WB-Fußnotentext,Footnote,Fußnote,WB-Fuﬂnotentext,Fuﬂnote,ALTS FOOTNOTE,Geneva 9,Font: Geneva 9,Boston 10,f,Footnote Text Char1"/>
    <w:basedOn w:val="Normal"/>
    <w:link w:val="FootnoteTextChar"/>
    <w:uiPriority w:val="99"/>
    <w:unhideWhenUsed/>
    <w:qFormat/>
    <w:rsid w:val="00122F69"/>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single space Char,footnote text Char,ft Char,Footnote Text Char Char Char Char Char Char Char Char Char Char Char,FOOTNOTES Char,fn Char,ADB Char,WB-Fußnotentext Char,Footnote Char,Fußnote Char,WB-Fuﬂnotentext Char,Fuﬂnote Char,f Char"/>
    <w:basedOn w:val="DefaultParagraphFont"/>
    <w:link w:val="FootnoteText"/>
    <w:uiPriority w:val="99"/>
    <w:rsid w:val="00122F69"/>
    <w:rPr>
      <w:rFonts w:ascii="Calibri" w:eastAsia="Calibri" w:hAnsi="Calibri" w:cs="Times New Roman"/>
      <w:sz w:val="20"/>
      <w:szCs w:val="20"/>
      <w:lang w:val="en-US"/>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122F69"/>
    <w:rPr>
      <w:vertAlign w:val="superscript"/>
    </w:rPr>
  </w:style>
  <w:style w:type="character" w:styleId="Hyperlink">
    <w:name w:val="Hyperlink"/>
    <w:uiPriority w:val="99"/>
    <w:unhideWhenUsed/>
    <w:rsid w:val="00122F69"/>
    <w:rPr>
      <w:color w:val="0563C1"/>
      <w:u w:val="single"/>
    </w:rPr>
  </w:style>
  <w:style w:type="character" w:customStyle="1" w:styleId="ListParagraphChar">
    <w:name w:val="List Paragraph Char"/>
    <w:aliases w:val="Numbered List Paragraph Char,Bullets Char1,Dot pt Char,Bullet Points Char,No Spacing1 Char,List Paragraph Char Char Char Char,Indicator Text Char,Numbered Para 1 Char,List Paragraph1 Char,Bullet 1 Char,List Paragraph12 Char"/>
    <w:basedOn w:val="DefaultParagraphFont"/>
    <w:link w:val="ListParagraph"/>
    <w:uiPriority w:val="34"/>
    <w:qFormat/>
    <w:locked/>
    <w:rsid w:val="003F6EA1"/>
  </w:style>
  <w:style w:type="character" w:customStyle="1" w:styleId="Heading3Char">
    <w:name w:val="Heading 3 Char"/>
    <w:basedOn w:val="DefaultParagraphFont"/>
    <w:link w:val="Heading3"/>
    <w:uiPriority w:val="9"/>
    <w:rsid w:val="0024433E"/>
    <w:rPr>
      <w:rFonts w:asciiTheme="minorHAnsi" w:eastAsia="Calibri" w:hAnsiTheme="minorHAnsi" w:cstheme="minorHAnsi"/>
      <w:bCs/>
      <w:sz w:val="16"/>
      <w:szCs w:val="16"/>
      <w:vertAlign w:val="superscript"/>
    </w:rPr>
  </w:style>
  <w:style w:type="paragraph" w:styleId="Header">
    <w:name w:val="header"/>
    <w:basedOn w:val="Normal"/>
    <w:link w:val="HeaderChar"/>
    <w:uiPriority w:val="99"/>
    <w:unhideWhenUsed/>
    <w:rsid w:val="00C34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C15"/>
  </w:style>
  <w:style w:type="paragraph" w:styleId="Footer">
    <w:name w:val="footer"/>
    <w:basedOn w:val="Normal"/>
    <w:link w:val="FooterChar"/>
    <w:uiPriority w:val="99"/>
    <w:unhideWhenUsed/>
    <w:rsid w:val="00C34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C15"/>
  </w:style>
  <w:style w:type="character" w:customStyle="1" w:styleId="Heading4Char">
    <w:name w:val="Heading 4 Char"/>
    <w:aliases w:val="Normal para Char"/>
    <w:basedOn w:val="DefaultParagraphFont"/>
    <w:link w:val="Heading4"/>
    <w:uiPriority w:val="9"/>
    <w:rsid w:val="00795D26"/>
    <w:rPr>
      <w:rFonts w:eastAsiaTheme="majorEastAsia" w:cstheme="majorBidi"/>
      <w:bCs/>
      <w:iCs/>
    </w:rPr>
  </w:style>
  <w:style w:type="character" w:customStyle="1" w:styleId="Heading5Char">
    <w:name w:val="Heading 5 Char"/>
    <w:aliases w:val="Diagram heading Char"/>
    <w:basedOn w:val="DefaultParagraphFont"/>
    <w:link w:val="Heading5"/>
    <w:uiPriority w:val="9"/>
    <w:rsid w:val="0021121F"/>
    <w:rPr>
      <w:rFonts w:eastAsiaTheme="majorEastAsia" w:cstheme="majorBidi"/>
      <w:b/>
      <w:color w:val="808080" w:themeColor="background1" w:themeShade="80"/>
      <w:sz w:val="18"/>
    </w:rPr>
  </w:style>
  <w:style w:type="character" w:styleId="Emphasis">
    <w:name w:val="Emphasis"/>
    <w:basedOn w:val="DefaultParagraphFont"/>
    <w:qFormat/>
    <w:rsid w:val="00AF1219"/>
    <w:rPr>
      <w:i/>
      <w:iCs/>
    </w:rPr>
  </w:style>
  <w:style w:type="character" w:customStyle="1" w:styleId="Heading6Char">
    <w:name w:val="Heading 6 Char"/>
    <w:basedOn w:val="DefaultParagraphFont"/>
    <w:link w:val="Heading6"/>
    <w:uiPriority w:val="9"/>
    <w:rsid w:val="000C24E0"/>
    <w:rPr>
      <w:rFonts w:asciiTheme="majorHAnsi" w:eastAsiaTheme="majorEastAsia" w:hAnsiTheme="majorHAnsi" w:cstheme="majorBidi"/>
      <w:i/>
      <w:iCs/>
      <w:color w:val="243F60" w:themeColor="accent1" w:themeShade="7F"/>
    </w:rPr>
  </w:style>
  <w:style w:type="paragraph" w:customStyle="1" w:styleId="Pa4">
    <w:name w:val="Pa4"/>
    <w:basedOn w:val="Default"/>
    <w:next w:val="Default"/>
    <w:uiPriority w:val="99"/>
    <w:rsid w:val="00E03F20"/>
    <w:pPr>
      <w:spacing w:line="201" w:lineRule="atLeast"/>
    </w:pPr>
    <w:rPr>
      <w:rFonts w:ascii="Lato" w:hAnsi="Lato" w:cs="Arial"/>
      <w:color w:val="auto"/>
    </w:rPr>
  </w:style>
  <w:style w:type="character" w:customStyle="1" w:styleId="A9">
    <w:name w:val="A9"/>
    <w:uiPriority w:val="99"/>
    <w:rsid w:val="00E03F20"/>
    <w:rPr>
      <w:rFonts w:cs="Lato"/>
      <w:color w:val="000000"/>
      <w:sz w:val="11"/>
      <w:szCs w:val="11"/>
    </w:rPr>
  </w:style>
  <w:style w:type="paragraph" w:customStyle="1" w:styleId="Pa7">
    <w:name w:val="Pa7"/>
    <w:basedOn w:val="Default"/>
    <w:next w:val="Default"/>
    <w:uiPriority w:val="99"/>
    <w:rsid w:val="009A0DF4"/>
    <w:pPr>
      <w:spacing w:line="201" w:lineRule="atLeast"/>
    </w:pPr>
    <w:rPr>
      <w:rFonts w:ascii="Lato" w:hAnsi="Lato" w:cs="Arial"/>
      <w:color w:val="auto"/>
    </w:rPr>
  </w:style>
  <w:style w:type="paragraph" w:styleId="EndnoteText">
    <w:name w:val="endnote text"/>
    <w:basedOn w:val="Normal"/>
    <w:link w:val="EndnoteTextChar"/>
    <w:unhideWhenUsed/>
    <w:rsid w:val="00CC6FCD"/>
    <w:pPr>
      <w:suppressAutoHyphens/>
      <w:autoSpaceDN w:val="0"/>
      <w:spacing w:after="0" w:line="240" w:lineRule="auto"/>
    </w:pPr>
    <w:rPr>
      <w:rFonts w:eastAsia="Times New Roman"/>
      <w:sz w:val="20"/>
      <w:szCs w:val="20"/>
    </w:rPr>
  </w:style>
  <w:style w:type="character" w:customStyle="1" w:styleId="EndnoteTextChar">
    <w:name w:val="Endnote Text Char"/>
    <w:basedOn w:val="DefaultParagraphFont"/>
    <w:link w:val="EndnoteText"/>
    <w:rsid w:val="00CC6FCD"/>
    <w:rPr>
      <w:rFonts w:eastAsia="Times New Roman"/>
      <w:sz w:val="20"/>
      <w:szCs w:val="20"/>
    </w:rPr>
  </w:style>
  <w:style w:type="character" w:styleId="EndnoteReference">
    <w:name w:val="endnote reference"/>
    <w:unhideWhenUsed/>
    <w:rsid w:val="00CC6FCD"/>
    <w:rPr>
      <w:position w:val="0"/>
      <w:vertAlign w:val="superscript"/>
    </w:rPr>
  </w:style>
  <w:style w:type="character" w:customStyle="1" w:styleId="z3988">
    <w:name w:val="z3988"/>
    <w:basedOn w:val="DefaultParagraphFont"/>
    <w:rsid w:val="003C20A3"/>
  </w:style>
  <w:style w:type="paragraph" w:customStyle="1" w:styleId="Pa16">
    <w:name w:val="Pa16"/>
    <w:basedOn w:val="Default"/>
    <w:next w:val="Default"/>
    <w:uiPriority w:val="99"/>
    <w:rsid w:val="00EA1E9A"/>
    <w:pPr>
      <w:spacing w:line="201" w:lineRule="atLeast"/>
    </w:pPr>
    <w:rPr>
      <w:rFonts w:ascii="Whitney Semibold" w:hAnsi="Whitney Semibold" w:cs="Arial"/>
      <w:color w:val="auto"/>
    </w:rPr>
  </w:style>
  <w:style w:type="paragraph" w:customStyle="1" w:styleId="Pa12">
    <w:name w:val="Pa12"/>
    <w:basedOn w:val="Default"/>
    <w:next w:val="Default"/>
    <w:uiPriority w:val="99"/>
    <w:rsid w:val="00F254C6"/>
    <w:pPr>
      <w:spacing w:line="201" w:lineRule="atLeast"/>
    </w:pPr>
    <w:rPr>
      <w:rFonts w:ascii="Whitney Bold" w:hAnsi="Whitney Bold" w:cs="Arial"/>
      <w:color w:val="auto"/>
    </w:rPr>
  </w:style>
  <w:style w:type="character" w:styleId="CommentReference">
    <w:name w:val="annotation reference"/>
    <w:basedOn w:val="DefaultParagraphFont"/>
    <w:uiPriority w:val="99"/>
    <w:semiHidden/>
    <w:unhideWhenUsed/>
    <w:rsid w:val="00E666BD"/>
    <w:rPr>
      <w:sz w:val="16"/>
      <w:szCs w:val="16"/>
    </w:rPr>
  </w:style>
  <w:style w:type="paragraph" w:styleId="CommentText">
    <w:name w:val="annotation text"/>
    <w:basedOn w:val="Normal"/>
    <w:link w:val="CommentTextChar"/>
    <w:uiPriority w:val="99"/>
    <w:unhideWhenUsed/>
    <w:rsid w:val="00E666BD"/>
    <w:pPr>
      <w:spacing w:line="240" w:lineRule="auto"/>
    </w:pPr>
    <w:rPr>
      <w:sz w:val="20"/>
      <w:szCs w:val="20"/>
    </w:rPr>
  </w:style>
  <w:style w:type="character" w:customStyle="1" w:styleId="CommentTextChar">
    <w:name w:val="Comment Text Char"/>
    <w:basedOn w:val="DefaultParagraphFont"/>
    <w:link w:val="CommentText"/>
    <w:uiPriority w:val="99"/>
    <w:rsid w:val="00E666BD"/>
    <w:rPr>
      <w:sz w:val="20"/>
      <w:szCs w:val="20"/>
    </w:rPr>
  </w:style>
  <w:style w:type="paragraph" w:styleId="CommentSubject">
    <w:name w:val="annotation subject"/>
    <w:basedOn w:val="CommentText"/>
    <w:next w:val="CommentText"/>
    <w:link w:val="CommentSubjectChar"/>
    <w:uiPriority w:val="99"/>
    <w:semiHidden/>
    <w:unhideWhenUsed/>
    <w:rsid w:val="00E666BD"/>
    <w:rPr>
      <w:b/>
      <w:bCs/>
    </w:rPr>
  </w:style>
  <w:style w:type="character" w:customStyle="1" w:styleId="CommentSubjectChar">
    <w:name w:val="Comment Subject Char"/>
    <w:basedOn w:val="CommentTextChar"/>
    <w:link w:val="CommentSubject"/>
    <w:uiPriority w:val="99"/>
    <w:semiHidden/>
    <w:rsid w:val="00E666BD"/>
    <w:rPr>
      <w:b/>
      <w:bCs/>
      <w:sz w:val="20"/>
      <w:szCs w:val="20"/>
    </w:rPr>
  </w:style>
  <w:style w:type="paragraph" w:customStyle="1" w:styleId="Subsnumberedparagraphs">
    <w:name w:val="Subs numbered paragraphs"/>
    <w:basedOn w:val="Normal"/>
    <w:link w:val="SubsnumberedparagraphsChar"/>
    <w:qFormat/>
    <w:rsid w:val="00C74221"/>
    <w:pPr>
      <w:numPr>
        <w:numId w:val="1"/>
      </w:numPr>
      <w:spacing w:after="120" w:line="240" w:lineRule="auto"/>
    </w:pPr>
    <w:rPr>
      <w:rFonts w:eastAsia="Calibri"/>
      <w:szCs w:val="22"/>
    </w:rPr>
  </w:style>
  <w:style w:type="character" w:customStyle="1" w:styleId="SubsnumberedparagraphsChar">
    <w:name w:val="Subs numbered paragraphs Char"/>
    <w:link w:val="Subsnumberedparagraphs"/>
    <w:rsid w:val="00C74221"/>
    <w:rPr>
      <w:rFonts w:eastAsia="Calibri"/>
      <w:szCs w:val="22"/>
    </w:rPr>
  </w:style>
  <w:style w:type="character" w:styleId="FollowedHyperlink">
    <w:name w:val="FollowedHyperlink"/>
    <w:basedOn w:val="DefaultParagraphFont"/>
    <w:uiPriority w:val="99"/>
    <w:semiHidden/>
    <w:unhideWhenUsed/>
    <w:rsid w:val="0081486A"/>
    <w:rPr>
      <w:color w:val="800080" w:themeColor="followedHyperlink"/>
      <w:u w:val="single"/>
    </w:rPr>
  </w:style>
  <w:style w:type="character" w:styleId="PageNumber">
    <w:name w:val="page number"/>
    <w:basedOn w:val="DefaultParagraphFont"/>
    <w:semiHidden/>
    <w:unhideWhenUsed/>
    <w:rsid w:val="00F4570C"/>
  </w:style>
  <w:style w:type="paragraph" w:customStyle="1" w:styleId="footnote1">
    <w:name w:val="footnote1"/>
    <w:basedOn w:val="FootnoteText"/>
    <w:link w:val="footnote1Char"/>
    <w:qFormat/>
    <w:rsid w:val="00D51C33"/>
    <w:pPr>
      <w:jc w:val="both"/>
    </w:pPr>
    <w:rPr>
      <w:rFonts w:eastAsia="Times New Roman" w:cstheme="minorHAnsi"/>
      <w:sz w:val="18"/>
      <w:szCs w:val="18"/>
      <w:lang w:val="en-GB"/>
    </w:rPr>
  </w:style>
  <w:style w:type="character" w:customStyle="1" w:styleId="footnote1Char">
    <w:name w:val="footnote1 Char"/>
    <w:basedOn w:val="DefaultParagraphFont"/>
    <w:link w:val="footnote1"/>
    <w:rsid w:val="00D51C33"/>
    <w:rPr>
      <w:rFonts w:ascii="Calibri" w:eastAsia="Times New Roman" w:hAnsi="Calibri" w:cstheme="minorHAnsi"/>
      <w:sz w:val="18"/>
      <w:szCs w:val="18"/>
    </w:rPr>
  </w:style>
  <w:style w:type="paragraph" w:customStyle="1" w:styleId="TableHeadings">
    <w:name w:val="Table Headings"/>
    <w:basedOn w:val="Normal"/>
    <w:rsid w:val="00971D25"/>
    <w:pPr>
      <w:suppressAutoHyphens/>
      <w:autoSpaceDN w:val="0"/>
      <w:spacing w:after="79" w:line="240" w:lineRule="auto"/>
      <w:textAlignment w:val="baseline"/>
    </w:pPr>
    <w:rPr>
      <w:rFonts w:eastAsia="Times New Roman"/>
      <w:b/>
      <w:bCs/>
      <w:color w:val="FFFFFF"/>
      <w:szCs w:val="20"/>
      <w:lang w:eastAsia="en-GB"/>
    </w:rPr>
  </w:style>
  <w:style w:type="paragraph" w:styleId="TOCHeading">
    <w:name w:val="TOC Heading"/>
    <w:basedOn w:val="Heading1"/>
    <w:next w:val="Normal"/>
    <w:uiPriority w:val="39"/>
    <w:unhideWhenUsed/>
    <w:qFormat/>
    <w:rsid w:val="00090C14"/>
    <w:pPr>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5709FC"/>
    <w:pPr>
      <w:tabs>
        <w:tab w:val="right" w:leader="dot" w:pos="9742"/>
      </w:tabs>
      <w:spacing w:after="100"/>
    </w:pPr>
  </w:style>
  <w:style w:type="paragraph" w:styleId="TOC2">
    <w:name w:val="toc 2"/>
    <w:basedOn w:val="Normal"/>
    <w:next w:val="Normal"/>
    <w:autoRedefine/>
    <w:uiPriority w:val="39"/>
    <w:unhideWhenUsed/>
    <w:rsid w:val="009B2E6B"/>
    <w:pPr>
      <w:tabs>
        <w:tab w:val="right" w:leader="dot" w:pos="9742"/>
      </w:tabs>
      <w:spacing w:after="100"/>
      <w:ind w:left="240"/>
    </w:pPr>
    <w:rPr>
      <w:b/>
      <w:noProof/>
      <w:sz w:val="16"/>
      <w:szCs w:val="16"/>
    </w:rPr>
  </w:style>
  <w:style w:type="paragraph" w:styleId="TOC3">
    <w:name w:val="toc 3"/>
    <w:basedOn w:val="Normal"/>
    <w:next w:val="Normal"/>
    <w:autoRedefine/>
    <w:uiPriority w:val="39"/>
    <w:unhideWhenUsed/>
    <w:rsid w:val="00090C14"/>
    <w:pPr>
      <w:spacing w:after="100"/>
      <w:ind w:left="480"/>
    </w:pPr>
  </w:style>
  <w:style w:type="character" w:styleId="SubtleEmphasis">
    <w:name w:val="Subtle Emphasis"/>
    <w:basedOn w:val="DefaultParagraphFont"/>
    <w:uiPriority w:val="19"/>
    <w:qFormat/>
    <w:rsid w:val="009B2E6B"/>
    <w:rPr>
      <w:i/>
      <w:iCs/>
      <w:color w:val="808080" w:themeColor="text1" w:themeTint="7F"/>
    </w:rPr>
  </w:style>
  <w:style w:type="character" w:customStyle="1" w:styleId="A13">
    <w:name w:val="A13"/>
    <w:uiPriority w:val="99"/>
    <w:rsid w:val="00DE5AED"/>
    <w:rPr>
      <w:rFonts w:cs="Helvetica 45 Light"/>
      <w:color w:val="000000"/>
      <w:sz w:val="10"/>
      <w:szCs w:val="10"/>
    </w:rPr>
  </w:style>
  <w:style w:type="paragraph" w:customStyle="1" w:styleId="Pa11">
    <w:name w:val="Pa11"/>
    <w:basedOn w:val="Default"/>
    <w:next w:val="Default"/>
    <w:uiPriority w:val="99"/>
    <w:rsid w:val="00516971"/>
    <w:pPr>
      <w:spacing w:line="181" w:lineRule="atLeast"/>
    </w:pPr>
    <w:rPr>
      <w:rFonts w:ascii="Helvetica 45 Light" w:hAnsi="Helvetica 45 Light" w:cs="Arial"/>
      <w:color w:val="auto"/>
    </w:rPr>
  </w:style>
  <w:style w:type="paragraph" w:customStyle="1" w:styleId="Pa9">
    <w:name w:val="Pa9"/>
    <w:basedOn w:val="Default"/>
    <w:next w:val="Default"/>
    <w:uiPriority w:val="99"/>
    <w:rsid w:val="00A95D22"/>
    <w:pPr>
      <w:spacing w:line="201" w:lineRule="atLeast"/>
    </w:pPr>
    <w:rPr>
      <w:rFonts w:ascii="HelveticaNeueLT Std Cn" w:hAnsi="HelveticaNeueLT Std Cn" w:cs="Arial"/>
      <w:color w:val="auto"/>
    </w:rPr>
  </w:style>
  <w:style w:type="character" w:customStyle="1" w:styleId="A8">
    <w:name w:val="A8"/>
    <w:uiPriority w:val="99"/>
    <w:rsid w:val="00A95D22"/>
    <w:rPr>
      <w:rFonts w:cs="HelveticaNeueLT Std Cn"/>
      <w:color w:val="000000"/>
      <w:sz w:val="20"/>
      <w:szCs w:val="20"/>
    </w:rPr>
  </w:style>
  <w:style w:type="paragraph" w:customStyle="1" w:styleId="Pa1">
    <w:name w:val="Pa1"/>
    <w:basedOn w:val="Default"/>
    <w:next w:val="Default"/>
    <w:uiPriority w:val="99"/>
    <w:rsid w:val="00A95D22"/>
    <w:pPr>
      <w:spacing w:line="301" w:lineRule="atLeast"/>
    </w:pPr>
    <w:rPr>
      <w:rFonts w:ascii="HelveticaNeueLT Std Cn" w:hAnsi="HelveticaNeueLT Std Cn" w:cs="Arial"/>
      <w:color w:val="auto"/>
    </w:rPr>
  </w:style>
  <w:style w:type="character" w:customStyle="1" w:styleId="A0">
    <w:name w:val="A0"/>
    <w:uiPriority w:val="99"/>
    <w:rsid w:val="00A95D22"/>
    <w:rPr>
      <w:rFonts w:cs="HelveticaNeueLT Std Cn"/>
      <w:b/>
      <w:bCs/>
      <w:color w:val="000000"/>
      <w:sz w:val="20"/>
      <w:szCs w:val="20"/>
    </w:rPr>
  </w:style>
  <w:style w:type="paragraph" w:customStyle="1" w:styleId="Pa13">
    <w:name w:val="Pa13"/>
    <w:basedOn w:val="Default"/>
    <w:next w:val="Default"/>
    <w:uiPriority w:val="99"/>
    <w:rsid w:val="00A95D22"/>
    <w:pPr>
      <w:spacing w:line="201" w:lineRule="atLeast"/>
    </w:pPr>
    <w:rPr>
      <w:rFonts w:ascii="HelveticaNeueLT Std Cn" w:hAnsi="HelveticaNeueLT Std Cn" w:cs="Arial"/>
      <w:color w:val="auto"/>
    </w:rPr>
  </w:style>
  <w:style w:type="character" w:styleId="Strong">
    <w:name w:val="Strong"/>
    <w:basedOn w:val="DefaultParagraphFont"/>
    <w:uiPriority w:val="22"/>
    <w:qFormat/>
    <w:rsid w:val="00DB68E9"/>
    <w:rPr>
      <w:b/>
      <w:bCs/>
    </w:rPr>
  </w:style>
  <w:style w:type="character" w:customStyle="1" w:styleId="st">
    <w:name w:val="st"/>
    <w:basedOn w:val="DefaultParagraphFont"/>
    <w:rsid w:val="001F17FD"/>
  </w:style>
  <w:style w:type="paragraph" w:styleId="PlainText">
    <w:name w:val="Plain Text"/>
    <w:basedOn w:val="Normal"/>
    <w:link w:val="PlainTextChar"/>
    <w:uiPriority w:val="99"/>
    <w:unhideWhenUsed/>
    <w:rsid w:val="001F17FD"/>
    <w:pPr>
      <w:spacing w:after="0" w:line="240" w:lineRule="auto"/>
    </w:pPr>
    <w:rPr>
      <w:rFonts w:ascii="Calibri" w:hAnsi="Calibri" w:cs="Consolas"/>
      <w:sz w:val="22"/>
      <w:szCs w:val="21"/>
      <w:lang w:val="de-DE"/>
    </w:rPr>
  </w:style>
  <w:style w:type="character" w:customStyle="1" w:styleId="PlainTextChar">
    <w:name w:val="Plain Text Char"/>
    <w:basedOn w:val="DefaultParagraphFont"/>
    <w:link w:val="PlainText"/>
    <w:uiPriority w:val="99"/>
    <w:rsid w:val="001F17FD"/>
    <w:rPr>
      <w:rFonts w:ascii="Calibri" w:hAnsi="Calibri" w:cs="Consolas"/>
      <w:sz w:val="22"/>
      <w:szCs w:val="21"/>
      <w:lang w:val="de-DE"/>
    </w:rPr>
  </w:style>
  <w:style w:type="character" w:customStyle="1" w:styleId="hps">
    <w:name w:val="hps"/>
    <w:basedOn w:val="DefaultParagraphFont"/>
    <w:rsid w:val="001F17FD"/>
  </w:style>
  <w:style w:type="paragraph" w:customStyle="1" w:styleId="Einrckung1">
    <w:name w:val="Einrückung 1"/>
    <w:basedOn w:val="Normal"/>
    <w:rsid w:val="001F17FD"/>
    <w:pPr>
      <w:spacing w:after="0" w:line="360" w:lineRule="atLeast"/>
      <w:ind w:left="851" w:hanging="851"/>
      <w:jc w:val="both"/>
    </w:pPr>
    <w:rPr>
      <w:rFonts w:eastAsia="Times New Roman" w:cs="Times New Roman"/>
      <w:szCs w:val="20"/>
      <w:lang w:val="de-DE" w:eastAsia="nb-NO"/>
    </w:rPr>
  </w:style>
  <w:style w:type="character" w:customStyle="1" w:styleId="CommentTextChar2">
    <w:name w:val="Comment Text Char2"/>
    <w:uiPriority w:val="99"/>
    <w:semiHidden/>
    <w:rsid w:val="001F17FD"/>
    <w:rPr>
      <w:rFonts w:ascii="Calibri" w:hAnsi="Calibri"/>
      <w:color w:val="262626"/>
      <w:lang w:val="en-AU" w:eastAsia="en-US" w:bidi="en-US"/>
    </w:rPr>
  </w:style>
  <w:style w:type="character" w:customStyle="1" w:styleId="ListParagraphChar1">
    <w:name w:val="List Paragraph Char1"/>
    <w:aliases w:val="Bullets Char"/>
    <w:basedOn w:val="DefaultParagraphFont"/>
    <w:uiPriority w:val="34"/>
    <w:rsid w:val="001F17FD"/>
    <w:rPr>
      <w:rFonts w:ascii="Calibri" w:hAnsi="Calibri"/>
      <w:color w:val="262626"/>
      <w:sz w:val="24"/>
      <w:szCs w:val="24"/>
      <w:lang w:val="en-AU"/>
    </w:rPr>
  </w:style>
  <w:style w:type="table" w:styleId="LightList-Accent1">
    <w:name w:val="Light List Accent 1"/>
    <w:basedOn w:val="TableNormal"/>
    <w:uiPriority w:val="61"/>
    <w:rsid w:val="001F17FD"/>
    <w:pPr>
      <w:spacing w:after="0" w:line="240" w:lineRule="auto"/>
    </w:pPr>
    <w:rPr>
      <w:rFonts w:asciiTheme="minorHAnsi" w:hAnsiTheme="minorHAnsi" w:cstheme="minorBidi"/>
      <w:sz w:val="22"/>
      <w:szCs w:val="22"/>
      <w:lang w:val="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111DD"/>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B3064C"/>
    <w:pPr>
      <w:spacing w:after="0" w:line="240" w:lineRule="auto"/>
    </w:pPr>
  </w:style>
  <w:style w:type="paragraph" w:styleId="NoSpacing">
    <w:name w:val="No Spacing"/>
    <w:aliases w:val="Small heading"/>
    <w:uiPriority w:val="1"/>
    <w:qFormat/>
    <w:rsid w:val="00341E90"/>
    <w:pPr>
      <w:spacing w:after="60" w:line="240" w:lineRule="auto"/>
    </w:pPr>
    <w:rPr>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0615">
      <w:bodyDiv w:val="1"/>
      <w:marLeft w:val="0"/>
      <w:marRight w:val="0"/>
      <w:marTop w:val="0"/>
      <w:marBottom w:val="0"/>
      <w:divBdr>
        <w:top w:val="none" w:sz="0" w:space="0" w:color="auto"/>
        <w:left w:val="none" w:sz="0" w:space="0" w:color="auto"/>
        <w:bottom w:val="none" w:sz="0" w:space="0" w:color="auto"/>
        <w:right w:val="none" w:sz="0" w:space="0" w:color="auto"/>
      </w:divBdr>
    </w:div>
    <w:div w:id="114056693">
      <w:bodyDiv w:val="1"/>
      <w:marLeft w:val="0"/>
      <w:marRight w:val="0"/>
      <w:marTop w:val="0"/>
      <w:marBottom w:val="0"/>
      <w:divBdr>
        <w:top w:val="none" w:sz="0" w:space="0" w:color="auto"/>
        <w:left w:val="none" w:sz="0" w:space="0" w:color="auto"/>
        <w:bottom w:val="none" w:sz="0" w:space="0" w:color="auto"/>
        <w:right w:val="none" w:sz="0" w:space="0" w:color="auto"/>
      </w:divBdr>
    </w:div>
    <w:div w:id="165025205">
      <w:bodyDiv w:val="1"/>
      <w:marLeft w:val="0"/>
      <w:marRight w:val="0"/>
      <w:marTop w:val="0"/>
      <w:marBottom w:val="0"/>
      <w:divBdr>
        <w:top w:val="none" w:sz="0" w:space="0" w:color="auto"/>
        <w:left w:val="none" w:sz="0" w:space="0" w:color="auto"/>
        <w:bottom w:val="none" w:sz="0" w:space="0" w:color="auto"/>
        <w:right w:val="none" w:sz="0" w:space="0" w:color="auto"/>
      </w:divBdr>
    </w:div>
    <w:div w:id="201332447">
      <w:bodyDiv w:val="1"/>
      <w:marLeft w:val="0"/>
      <w:marRight w:val="0"/>
      <w:marTop w:val="0"/>
      <w:marBottom w:val="0"/>
      <w:divBdr>
        <w:top w:val="none" w:sz="0" w:space="0" w:color="auto"/>
        <w:left w:val="none" w:sz="0" w:space="0" w:color="auto"/>
        <w:bottom w:val="none" w:sz="0" w:space="0" w:color="auto"/>
        <w:right w:val="none" w:sz="0" w:space="0" w:color="auto"/>
      </w:divBdr>
    </w:div>
    <w:div w:id="243102986">
      <w:bodyDiv w:val="1"/>
      <w:marLeft w:val="0"/>
      <w:marRight w:val="0"/>
      <w:marTop w:val="0"/>
      <w:marBottom w:val="0"/>
      <w:divBdr>
        <w:top w:val="none" w:sz="0" w:space="0" w:color="auto"/>
        <w:left w:val="none" w:sz="0" w:space="0" w:color="auto"/>
        <w:bottom w:val="none" w:sz="0" w:space="0" w:color="auto"/>
        <w:right w:val="none" w:sz="0" w:space="0" w:color="auto"/>
      </w:divBdr>
    </w:div>
    <w:div w:id="244387641">
      <w:bodyDiv w:val="1"/>
      <w:marLeft w:val="0"/>
      <w:marRight w:val="0"/>
      <w:marTop w:val="0"/>
      <w:marBottom w:val="0"/>
      <w:divBdr>
        <w:top w:val="none" w:sz="0" w:space="0" w:color="auto"/>
        <w:left w:val="none" w:sz="0" w:space="0" w:color="auto"/>
        <w:bottom w:val="none" w:sz="0" w:space="0" w:color="auto"/>
        <w:right w:val="none" w:sz="0" w:space="0" w:color="auto"/>
      </w:divBdr>
    </w:div>
    <w:div w:id="263731670">
      <w:bodyDiv w:val="1"/>
      <w:marLeft w:val="0"/>
      <w:marRight w:val="0"/>
      <w:marTop w:val="0"/>
      <w:marBottom w:val="0"/>
      <w:divBdr>
        <w:top w:val="none" w:sz="0" w:space="0" w:color="auto"/>
        <w:left w:val="none" w:sz="0" w:space="0" w:color="auto"/>
        <w:bottom w:val="none" w:sz="0" w:space="0" w:color="auto"/>
        <w:right w:val="none" w:sz="0" w:space="0" w:color="auto"/>
      </w:divBdr>
    </w:div>
    <w:div w:id="320936071">
      <w:bodyDiv w:val="1"/>
      <w:marLeft w:val="0"/>
      <w:marRight w:val="0"/>
      <w:marTop w:val="0"/>
      <w:marBottom w:val="0"/>
      <w:divBdr>
        <w:top w:val="none" w:sz="0" w:space="0" w:color="auto"/>
        <w:left w:val="none" w:sz="0" w:space="0" w:color="auto"/>
        <w:bottom w:val="none" w:sz="0" w:space="0" w:color="auto"/>
        <w:right w:val="none" w:sz="0" w:space="0" w:color="auto"/>
      </w:divBdr>
    </w:div>
    <w:div w:id="373123045">
      <w:bodyDiv w:val="1"/>
      <w:marLeft w:val="0"/>
      <w:marRight w:val="0"/>
      <w:marTop w:val="0"/>
      <w:marBottom w:val="0"/>
      <w:divBdr>
        <w:top w:val="none" w:sz="0" w:space="0" w:color="auto"/>
        <w:left w:val="none" w:sz="0" w:space="0" w:color="auto"/>
        <w:bottom w:val="none" w:sz="0" w:space="0" w:color="auto"/>
        <w:right w:val="none" w:sz="0" w:space="0" w:color="auto"/>
      </w:divBdr>
    </w:div>
    <w:div w:id="377322590">
      <w:bodyDiv w:val="1"/>
      <w:marLeft w:val="0"/>
      <w:marRight w:val="0"/>
      <w:marTop w:val="0"/>
      <w:marBottom w:val="0"/>
      <w:divBdr>
        <w:top w:val="none" w:sz="0" w:space="0" w:color="auto"/>
        <w:left w:val="none" w:sz="0" w:space="0" w:color="auto"/>
        <w:bottom w:val="none" w:sz="0" w:space="0" w:color="auto"/>
        <w:right w:val="none" w:sz="0" w:space="0" w:color="auto"/>
      </w:divBdr>
    </w:div>
    <w:div w:id="381750401">
      <w:bodyDiv w:val="1"/>
      <w:marLeft w:val="0"/>
      <w:marRight w:val="0"/>
      <w:marTop w:val="0"/>
      <w:marBottom w:val="15"/>
      <w:divBdr>
        <w:top w:val="none" w:sz="0" w:space="0" w:color="auto"/>
        <w:left w:val="none" w:sz="0" w:space="0" w:color="auto"/>
        <w:bottom w:val="none" w:sz="0" w:space="0" w:color="auto"/>
        <w:right w:val="none" w:sz="0" w:space="0" w:color="auto"/>
      </w:divBdr>
      <w:divsChild>
        <w:div w:id="1837916054">
          <w:marLeft w:val="0"/>
          <w:marRight w:val="0"/>
          <w:marTop w:val="0"/>
          <w:marBottom w:val="0"/>
          <w:divBdr>
            <w:top w:val="none" w:sz="0" w:space="0" w:color="auto"/>
            <w:left w:val="none" w:sz="0" w:space="0" w:color="auto"/>
            <w:bottom w:val="none" w:sz="0" w:space="0" w:color="auto"/>
            <w:right w:val="none" w:sz="0" w:space="0" w:color="auto"/>
          </w:divBdr>
          <w:divsChild>
            <w:div w:id="2010715964">
              <w:marLeft w:val="0"/>
              <w:marRight w:val="0"/>
              <w:marTop w:val="0"/>
              <w:marBottom w:val="0"/>
              <w:divBdr>
                <w:top w:val="none" w:sz="0" w:space="0" w:color="auto"/>
                <w:left w:val="none" w:sz="0" w:space="0" w:color="auto"/>
                <w:bottom w:val="none" w:sz="0" w:space="0" w:color="auto"/>
                <w:right w:val="none" w:sz="0" w:space="0" w:color="auto"/>
              </w:divBdr>
              <w:divsChild>
                <w:div w:id="353962878">
                  <w:marLeft w:val="0"/>
                  <w:marRight w:val="0"/>
                  <w:marTop w:val="0"/>
                  <w:marBottom w:val="0"/>
                  <w:divBdr>
                    <w:top w:val="none" w:sz="0" w:space="0" w:color="auto"/>
                    <w:left w:val="none" w:sz="0" w:space="0" w:color="auto"/>
                    <w:bottom w:val="none" w:sz="0" w:space="0" w:color="auto"/>
                    <w:right w:val="none" w:sz="0" w:space="0" w:color="auto"/>
                  </w:divBdr>
                  <w:divsChild>
                    <w:div w:id="346638131">
                      <w:marLeft w:val="0"/>
                      <w:marRight w:val="0"/>
                      <w:marTop w:val="0"/>
                      <w:marBottom w:val="0"/>
                      <w:divBdr>
                        <w:top w:val="none" w:sz="0" w:space="0" w:color="auto"/>
                        <w:left w:val="none" w:sz="0" w:space="0" w:color="auto"/>
                        <w:bottom w:val="none" w:sz="0" w:space="0" w:color="auto"/>
                        <w:right w:val="none" w:sz="0" w:space="0" w:color="auto"/>
                      </w:divBdr>
                      <w:divsChild>
                        <w:div w:id="1672104142">
                          <w:marLeft w:val="0"/>
                          <w:marRight w:val="0"/>
                          <w:marTop w:val="0"/>
                          <w:marBottom w:val="0"/>
                          <w:divBdr>
                            <w:top w:val="none" w:sz="0" w:space="0" w:color="auto"/>
                            <w:left w:val="none" w:sz="0" w:space="0" w:color="auto"/>
                            <w:bottom w:val="none" w:sz="0" w:space="0" w:color="auto"/>
                            <w:right w:val="none" w:sz="0" w:space="0" w:color="auto"/>
                          </w:divBdr>
                          <w:divsChild>
                            <w:div w:id="1346133825">
                              <w:marLeft w:val="0"/>
                              <w:marRight w:val="0"/>
                              <w:marTop w:val="0"/>
                              <w:marBottom w:val="0"/>
                              <w:divBdr>
                                <w:top w:val="none" w:sz="0" w:space="0" w:color="auto"/>
                                <w:left w:val="none" w:sz="0" w:space="0" w:color="auto"/>
                                <w:bottom w:val="none" w:sz="0" w:space="0" w:color="auto"/>
                                <w:right w:val="none" w:sz="0" w:space="0" w:color="auto"/>
                              </w:divBdr>
                              <w:divsChild>
                                <w:div w:id="599993756">
                                  <w:marLeft w:val="0"/>
                                  <w:marRight w:val="0"/>
                                  <w:marTop w:val="0"/>
                                  <w:marBottom w:val="0"/>
                                  <w:divBdr>
                                    <w:top w:val="none" w:sz="0" w:space="0" w:color="auto"/>
                                    <w:left w:val="none" w:sz="0" w:space="0" w:color="auto"/>
                                    <w:bottom w:val="none" w:sz="0" w:space="0" w:color="auto"/>
                                    <w:right w:val="none" w:sz="0" w:space="0" w:color="auto"/>
                                  </w:divBdr>
                                  <w:divsChild>
                                    <w:div w:id="1220704959">
                                      <w:marLeft w:val="0"/>
                                      <w:marRight w:val="0"/>
                                      <w:marTop w:val="0"/>
                                      <w:marBottom w:val="0"/>
                                      <w:divBdr>
                                        <w:top w:val="none" w:sz="0" w:space="0" w:color="auto"/>
                                        <w:left w:val="none" w:sz="0" w:space="0" w:color="auto"/>
                                        <w:bottom w:val="none" w:sz="0" w:space="0" w:color="auto"/>
                                        <w:right w:val="none" w:sz="0" w:space="0" w:color="auto"/>
                                      </w:divBdr>
                                      <w:divsChild>
                                        <w:div w:id="89474578">
                                          <w:marLeft w:val="150"/>
                                          <w:marRight w:val="150"/>
                                          <w:marTop w:val="375"/>
                                          <w:marBottom w:val="375"/>
                                          <w:divBdr>
                                            <w:top w:val="none" w:sz="0" w:space="0" w:color="auto"/>
                                            <w:left w:val="none" w:sz="0" w:space="0" w:color="auto"/>
                                            <w:bottom w:val="none" w:sz="0" w:space="0" w:color="auto"/>
                                            <w:right w:val="none" w:sz="0" w:space="0" w:color="auto"/>
                                          </w:divBdr>
                                          <w:divsChild>
                                            <w:div w:id="857886585">
                                              <w:marLeft w:val="-225"/>
                                              <w:marRight w:val="-225"/>
                                              <w:marTop w:val="0"/>
                                              <w:marBottom w:val="0"/>
                                              <w:divBdr>
                                                <w:top w:val="none" w:sz="0" w:space="0" w:color="auto"/>
                                                <w:left w:val="none" w:sz="0" w:space="0" w:color="auto"/>
                                                <w:bottom w:val="none" w:sz="0" w:space="0" w:color="auto"/>
                                                <w:right w:val="none" w:sz="0" w:space="0" w:color="auto"/>
                                              </w:divBdr>
                                              <w:divsChild>
                                                <w:div w:id="1920557584">
                                                  <w:marLeft w:val="0"/>
                                                  <w:marRight w:val="0"/>
                                                  <w:marTop w:val="0"/>
                                                  <w:marBottom w:val="0"/>
                                                  <w:divBdr>
                                                    <w:top w:val="none" w:sz="0" w:space="0" w:color="auto"/>
                                                    <w:left w:val="none" w:sz="0" w:space="0" w:color="auto"/>
                                                    <w:bottom w:val="none" w:sz="0" w:space="0" w:color="auto"/>
                                                    <w:right w:val="none" w:sz="0" w:space="0" w:color="auto"/>
                                                  </w:divBdr>
                                                  <w:divsChild>
                                                    <w:div w:id="561408114">
                                                      <w:marLeft w:val="0"/>
                                                      <w:marRight w:val="0"/>
                                                      <w:marTop w:val="0"/>
                                                      <w:marBottom w:val="0"/>
                                                      <w:divBdr>
                                                        <w:top w:val="none" w:sz="0" w:space="0" w:color="auto"/>
                                                        <w:left w:val="none" w:sz="0" w:space="0" w:color="auto"/>
                                                        <w:bottom w:val="none" w:sz="0" w:space="0" w:color="auto"/>
                                                        <w:right w:val="none" w:sz="0" w:space="0" w:color="auto"/>
                                                      </w:divBdr>
                                                      <w:divsChild>
                                                        <w:div w:id="8055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3692924">
      <w:bodyDiv w:val="1"/>
      <w:marLeft w:val="0"/>
      <w:marRight w:val="0"/>
      <w:marTop w:val="0"/>
      <w:marBottom w:val="0"/>
      <w:divBdr>
        <w:top w:val="none" w:sz="0" w:space="0" w:color="auto"/>
        <w:left w:val="none" w:sz="0" w:space="0" w:color="auto"/>
        <w:bottom w:val="none" w:sz="0" w:space="0" w:color="auto"/>
        <w:right w:val="none" w:sz="0" w:space="0" w:color="auto"/>
      </w:divBdr>
      <w:divsChild>
        <w:div w:id="1488665471">
          <w:marLeft w:val="0"/>
          <w:marRight w:val="0"/>
          <w:marTop w:val="0"/>
          <w:marBottom w:val="0"/>
          <w:divBdr>
            <w:top w:val="none" w:sz="0" w:space="0" w:color="auto"/>
            <w:left w:val="none" w:sz="0" w:space="0" w:color="auto"/>
            <w:bottom w:val="none" w:sz="0" w:space="0" w:color="auto"/>
            <w:right w:val="none" w:sz="0" w:space="0" w:color="auto"/>
          </w:divBdr>
          <w:divsChild>
            <w:div w:id="2051757064">
              <w:marLeft w:val="0"/>
              <w:marRight w:val="0"/>
              <w:marTop w:val="315"/>
              <w:marBottom w:val="0"/>
              <w:divBdr>
                <w:top w:val="none" w:sz="0" w:space="0" w:color="auto"/>
                <w:left w:val="none" w:sz="0" w:space="0" w:color="auto"/>
                <w:bottom w:val="none" w:sz="0" w:space="0" w:color="auto"/>
                <w:right w:val="none" w:sz="0" w:space="0" w:color="auto"/>
              </w:divBdr>
              <w:divsChild>
                <w:div w:id="2142772559">
                  <w:marLeft w:val="0"/>
                  <w:marRight w:val="0"/>
                  <w:marTop w:val="0"/>
                  <w:marBottom w:val="0"/>
                  <w:divBdr>
                    <w:top w:val="none" w:sz="0" w:space="0" w:color="auto"/>
                    <w:left w:val="none" w:sz="0" w:space="0" w:color="auto"/>
                    <w:bottom w:val="none" w:sz="0" w:space="0" w:color="auto"/>
                    <w:right w:val="none" w:sz="0" w:space="0" w:color="auto"/>
                  </w:divBdr>
                  <w:divsChild>
                    <w:div w:id="611324249">
                      <w:marLeft w:val="3180"/>
                      <w:marRight w:val="0"/>
                      <w:marTop w:val="0"/>
                      <w:marBottom w:val="0"/>
                      <w:divBdr>
                        <w:top w:val="none" w:sz="0" w:space="0" w:color="auto"/>
                        <w:left w:val="none" w:sz="0" w:space="0" w:color="auto"/>
                        <w:bottom w:val="none" w:sz="0" w:space="0" w:color="auto"/>
                        <w:right w:val="none" w:sz="0" w:space="0" w:color="auto"/>
                      </w:divBdr>
                      <w:divsChild>
                        <w:div w:id="1275013978">
                          <w:marLeft w:val="0"/>
                          <w:marRight w:val="0"/>
                          <w:marTop w:val="240"/>
                          <w:marBottom w:val="240"/>
                          <w:divBdr>
                            <w:top w:val="none" w:sz="0" w:space="0" w:color="auto"/>
                            <w:left w:val="none" w:sz="0" w:space="0" w:color="auto"/>
                            <w:bottom w:val="none" w:sz="0" w:space="0" w:color="auto"/>
                            <w:right w:val="none" w:sz="0" w:space="0" w:color="auto"/>
                          </w:divBdr>
                          <w:divsChild>
                            <w:div w:id="447087885">
                              <w:marLeft w:val="0"/>
                              <w:marRight w:val="0"/>
                              <w:marTop w:val="0"/>
                              <w:marBottom w:val="0"/>
                              <w:divBdr>
                                <w:top w:val="none" w:sz="0" w:space="0" w:color="auto"/>
                                <w:left w:val="none" w:sz="0" w:space="0" w:color="auto"/>
                                <w:bottom w:val="none" w:sz="0" w:space="0" w:color="auto"/>
                                <w:right w:val="none" w:sz="0" w:space="0" w:color="auto"/>
                              </w:divBdr>
                              <w:divsChild>
                                <w:div w:id="18628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579692">
      <w:bodyDiv w:val="1"/>
      <w:marLeft w:val="0"/>
      <w:marRight w:val="0"/>
      <w:marTop w:val="0"/>
      <w:marBottom w:val="0"/>
      <w:divBdr>
        <w:top w:val="none" w:sz="0" w:space="0" w:color="auto"/>
        <w:left w:val="none" w:sz="0" w:space="0" w:color="auto"/>
        <w:bottom w:val="none" w:sz="0" w:space="0" w:color="auto"/>
        <w:right w:val="none" w:sz="0" w:space="0" w:color="auto"/>
      </w:divBdr>
    </w:div>
    <w:div w:id="473833556">
      <w:bodyDiv w:val="1"/>
      <w:marLeft w:val="0"/>
      <w:marRight w:val="0"/>
      <w:marTop w:val="0"/>
      <w:marBottom w:val="0"/>
      <w:divBdr>
        <w:top w:val="none" w:sz="0" w:space="0" w:color="auto"/>
        <w:left w:val="none" w:sz="0" w:space="0" w:color="auto"/>
        <w:bottom w:val="none" w:sz="0" w:space="0" w:color="auto"/>
        <w:right w:val="none" w:sz="0" w:space="0" w:color="auto"/>
      </w:divBdr>
    </w:div>
    <w:div w:id="560674974">
      <w:bodyDiv w:val="1"/>
      <w:marLeft w:val="0"/>
      <w:marRight w:val="0"/>
      <w:marTop w:val="0"/>
      <w:marBottom w:val="0"/>
      <w:divBdr>
        <w:top w:val="none" w:sz="0" w:space="0" w:color="auto"/>
        <w:left w:val="none" w:sz="0" w:space="0" w:color="auto"/>
        <w:bottom w:val="none" w:sz="0" w:space="0" w:color="auto"/>
        <w:right w:val="none" w:sz="0" w:space="0" w:color="auto"/>
      </w:divBdr>
    </w:div>
    <w:div w:id="725490998">
      <w:bodyDiv w:val="1"/>
      <w:marLeft w:val="0"/>
      <w:marRight w:val="0"/>
      <w:marTop w:val="0"/>
      <w:marBottom w:val="0"/>
      <w:divBdr>
        <w:top w:val="none" w:sz="0" w:space="0" w:color="auto"/>
        <w:left w:val="none" w:sz="0" w:space="0" w:color="auto"/>
        <w:bottom w:val="none" w:sz="0" w:space="0" w:color="auto"/>
        <w:right w:val="none" w:sz="0" w:space="0" w:color="auto"/>
      </w:divBdr>
    </w:div>
    <w:div w:id="784426125">
      <w:bodyDiv w:val="1"/>
      <w:marLeft w:val="0"/>
      <w:marRight w:val="0"/>
      <w:marTop w:val="0"/>
      <w:marBottom w:val="0"/>
      <w:divBdr>
        <w:top w:val="none" w:sz="0" w:space="0" w:color="auto"/>
        <w:left w:val="none" w:sz="0" w:space="0" w:color="auto"/>
        <w:bottom w:val="none" w:sz="0" w:space="0" w:color="auto"/>
        <w:right w:val="none" w:sz="0" w:space="0" w:color="auto"/>
      </w:divBdr>
      <w:divsChild>
        <w:div w:id="726690351">
          <w:marLeft w:val="0"/>
          <w:marRight w:val="0"/>
          <w:marTop w:val="0"/>
          <w:marBottom w:val="0"/>
          <w:divBdr>
            <w:top w:val="none" w:sz="0" w:space="0" w:color="auto"/>
            <w:left w:val="none" w:sz="0" w:space="0" w:color="auto"/>
            <w:bottom w:val="none" w:sz="0" w:space="0" w:color="auto"/>
            <w:right w:val="none" w:sz="0" w:space="0" w:color="auto"/>
          </w:divBdr>
          <w:divsChild>
            <w:div w:id="663894978">
              <w:marLeft w:val="-75"/>
              <w:marRight w:val="0"/>
              <w:marTop w:val="450"/>
              <w:marBottom w:val="255"/>
              <w:divBdr>
                <w:top w:val="single" w:sz="6" w:space="8" w:color="CCCCCC"/>
                <w:left w:val="single" w:sz="6" w:space="8" w:color="CCCCCC"/>
                <w:bottom w:val="single" w:sz="6" w:space="0" w:color="CCCCCC"/>
                <w:right w:val="single" w:sz="6" w:space="8" w:color="CCCCCC"/>
              </w:divBdr>
              <w:divsChild>
                <w:div w:id="1838884754">
                  <w:marLeft w:val="0"/>
                  <w:marRight w:val="0"/>
                  <w:marTop w:val="0"/>
                  <w:marBottom w:val="0"/>
                  <w:divBdr>
                    <w:top w:val="none" w:sz="0" w:space="0" w:color="auto"/>
                    <w:left w:val="none" w:sz="0" w:space="0" w:color="auto"/>
                    <w:bottom w:val="none" w:sz="0" w:space="0" w:color="auto"/>
                    <w:right w:val="none" w:sz="0" w:space="0" w:color="auto"/>
                  </w:divBdr>
                  <w:divsChild>
                    <w:div w:id="1949699746">
                      <w:marLeft w:val="0"/>
                      <w:marRight w:val="0"/>
                      <w:marTop w:val="0"/>
                      <w:marBottom w:val="360"/>
                      <w:divBdr>
                        <w:top w:val="none" w:sz="0" w:space="0" w:color="auto"/>
                        <w:left w:val="none" w:sz="0" w:space="0" w:color="auto"/>
                        <w:bottom w:val="none" w:sz="0" w:space="0" w:color="auto"/>
                        <w:right w:val="none" w:sz="0" w:space="0" w:color="auto"/>
                      </w:divBdr>
                      <w:divsChild>
                        <w:div w:id="1642610011">
                          <w:marLeft w:val="210"/>
                          <w:marRight w:val="120"/>
                          <w:marTop w:val="150"/>
                          <w:marBottom w:val="0"/>
                          <w:divBdr>
                            <w:top w:val="none" w:sz="0" w:space="0" w:color="auto"/>
                            <w:left w:val="none" w:sz="0" w:space="0" w:color="auto"/>
                            <w:bottom w:val="none" w:sz="0" w:space="0" w:color="auto"/>
                            <w:right w:val="none" w:sz="0" w:space="0" w:color="auto"/>
                          </w:divBdr>
                          <w:divsChild>
                            <w:div w:id="21016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690304">
      <w:bodyDiv w:val="1"/>
      <w:marLeft w:val="0"/>
      <w:marRight w:val="0"/>
      <w:marTop w:val="0"/>
      <w:marBottom w:val="0"/>
      <w:divBdr>
        <w:top w:val="none" w:sz="0" w:space="0" w:color="auto"/>
        <w:left w:val="none" w:sz="0" w:space="0" w:color="auto"/>
        <w:bottom w:val="none" w:sz="0" w:space="0" w:color="auto"/>
        <w:right w:val="none" w:sz="0" w:space="0" w:color="auto"/>
      </w:divBdr>
    </w:div>
    <w:div w:id="1024014506">
      <w:bodyDiv w:val="1"/>
      <w:marLeft w:val="0"/>
      <w:marRight w:val="0"/>
      <w:marTop w:val="0"/>
      <w:marBottom w:val="0"/>
      <w:divBdr>
        <w:top w:val="none" w:sz="0" w:space="0" w:color="auto"/>
        <w:left w:val="none" w:sz="0" w:space="0" w:color="auto"/>
        <w:bottom w:val="none" w:sz="0" w:space="0" w:color="auto"/>
        <w:right w:val="none" w:sz="0" w:space="0" w:color="auto"/>
      </w:divBdr>
    </w:div>
    <w:div w:id="1162434460">
      <w:bodyDiv w:val="1"/>
      <w:marLeft w:val="0"/>
      <w:marRight w:val="0"/>
      <w:marTop w:val="0"/>
      <w:marBottom w:val="0"/>
      <w:divBdr>
        <w:top w:val="none" w:sz="0" w:space="0" w:color="auto"/>
        <w:left w:val="none" w:sz="0" w:space="0" w:color="auto"/>
        <w:bottom w:val="none" w:sz="0" w:space="0" w:color="auto"/>
        <w:right w:val="none" w:sz="0" w:space="0" w:color="auto"/>
      </w:divBdr>
      <w:divsChild>
        <w:div w:id="1418594540">
          <w:marLeft w:val="0"/>
          <w:marRight w:val="0"/>
          <w:marTop w:val="0"/>
          <w:marBottom w:val="0"/>
          <w:divBdr>
            <w:top w:val="none" w:sz="0" w:space="0" w:color="auto"/>
            <w:left w:val="none" w:sz="0" w:space="0" w:color="auto"/>
            <w:bottom w:val="none" w:sz="0" w:space="0" w:color="auto"/>
            <w:right w:val="none" w:sz="0" w:space="0" w:color="auto"/>
          </w:divBdr>
          <w:divsChild>
            <w:div w:id="1095517985">
              <w:marLeft w:val="0"/>
              <w:marRight w:val="0"/>
              <w:marTop w:val="315"/>
              <w:marBottom w:val="0"/>
              <w:divBdr>
                <w:top w:val="none" w:sz="0" w:space="0" w:color="auto"/>
                <w:left w:val="none" w:sz="0" w:space="0" w:color="auto"/>
                <w:bottom w:val="none" w:sz="0" w:space="0" w:color="auto"/>
                <w:right w:val="none" w:sz="0" w:space="0" w:color="auto"/>
              </w:divBdr>
              <w:divsChild>
                <w:div w:id="1263801557">
                  <w:marLeft w:val="0"/>
                  <w:marRight w:val="0"/>
                  <w:marTop w:val="0"/>
                  <w:marBottom w:val="0"/>
                  <w:divBdr>
                    <w:top w:val="none" w:sz="0" w:space="0" w:color="auto"/>
                    <w:left w:val="none" w:sz="0" w:space="0" w:color="auto"/>
                    <w:bottom w:val="none" w:sz="0" w:space="0" w:color="auto"/>
                    <w:right w:val="none" w:sz="0" w:space="0" w:color="auto"/>
                  </w:divBdr>
                  <w:divsChild>
                    <w:div w:id="1552618012">
                      <w:marLeft w:val="3180"/>
                      <w:marRight w:val="0"/>
                      <w:marTop w:val="0"/>
                      <w:marBottom w:val="0"/>
                      <w:divBdr>
                        <w:top w:val="none" w:sz="0" w:space="0" w:color="auto"/>
                        <w:left w:val="none" w:sz="0" w:space="0" w:color="auto"/>
                        <w:bottom w:val="none" w:sz="0" w:space="0" w:color="auto"/>
                        <w:right w:val="none" w:sz="0" w:space="0" w:color="auto"/>
                      </w:divBdr>
                      <w:divsChild>
                        <w:div w:id="1367949292">
                          <w:marLeft w:val="0"/>
                          <w:marRight w:val="0"/>
                          <w:marTop w:val="240"/>
                          <w:marBottom w:val="240"/>
                          <w:divBdr>
                            <w:top w:val="none" w:sz="0" w:space="0" w:color="auto"/>
                            <w:left w:val="none" w:sz="0" w:space="0" w:color="auto"/>
                            <w:bottom w:val="none" w:sz="0" w:space="0" w:color="auto"/>
                            <w:right w:val="none" w:sz="0" w:space="0" w:color="auto"/>
                          </w:divBdr>
                          <w:divsChild>
                            <w:div w:id="1277449284">
                              <w:marLeft w:val="0"/>
                              <w:marRight w:val="0"/>
                              <w:marTop w:val="0"/>
                              <w:marBottom w:val="0"/>
                              <w:divBdr>
                                <w:top w:val="none" w:sz="0" w:space="0" w:color="auto"/>
                                <w:left w:val="none" w:sz="0" w:space="0" w:color="auto"/>
                                <w:bottom w:val="none" w:sz="0" w:space="0" w:color="auto"/>
                                <w:right w:val="none" w:sz="0" w:space="0" w:color="auto"/>
                              </w:divBdr>
                              <w:divsChild>
                                <w:div w:id="66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014390">
      <w:bodyDiv w:val="1"/>
      <w:marLeft w:val="0"/>
      <w:marRight w:val="0"/>
      <w:marTop w:val="0"/>
      <w:marBottom w:val="0"/>
      <w:divBdr>
        <w:top w:val="none" w:sz="0" w:space="0" w:color="auto"/>
        <w:left w:val="none" w:sz="0" w:space="0" w:color="auto"/>
        <w:bottom w:val="none" w:sz="0" w:space="0" w:color="auto"/>
        <w:right w:val="none" w:sz="0" w:space="0" w:color="auto"/>
      </w:divBdr>
      <w:divsChild>
        <w:div w:id="2082099548">
          <w:marLeft w:val="0"/>
          <w:marRight w:val="0"/>
          <w:marTop w:val="0"/>
          <w:marBottom w:val="0"/>
          <w:divBdr>
            <w:top w:val="none" w:sz="0" w:space="0" w:color="auto"/>
            <w:left w:val="none" w:sz="0" w:space="0" w:color="auto"/>
            <w:bottom w:val="none" w:sz="0" w:space="0" w:color="auto"/>
            <w:right w:val="none" w:sz="0" w:space="0" w:color="auto"/>
          </w:divBdr>
          <w:divsChild>
            <w:div w:id="1851138704">
              <w:marLeft w:val="0"/>
              <w:marRight w:val="0"/>
              <w:marTop w:val="315"/>
              <w:marBottom w:val="0"/>
              <w:divBdr>
                <w:top w:val="none" w:sz="0" w:space="0" w:color="auto"/>
                <w:left w:val="none" w:sz="0" w:space="0" w:color="auto"/>
                <w:bottom w:val="none" w:sz="0" w:space="0" w:color="auto"/>
                <w:right w:val="none" w:sz="0" w:space="0" w:color="auto"/>
              </w:divBdr>
              <w:divsChild>
                <w:div w:id="57440664">
                  <w:marLeft w:val="0"/>
                  <w:marRight w:val="0"/>
                  <w:marTop w:val="0"/>
                  <w:marBottom w:val="0"/>
                  <w:divBdr>
                    <w:top w:val="none" w:sz="0" w:space="0" w:color="auto"/>
                    <w:left w:val="none" w:sz="0" w:space="0" w:color="auto"/>
                    <w:bottom w:val="none" w:sz="0" w:space="0" w:color="auto"/>
                    <w:right w:val="none" w:sz="0" w:space="0" w:color="auto"/>
                  </w:divBdr>
                  <w:divsChild>
                    <w:div w:id="424543366">
                      <w:marLeft w:val="3180"/>
                      <w:marRight w:val="0"/>
                      <w:marTop w:val="0"/>
                      <w:marBottom w:val="0"/>
                      <w:divBdr>
                        <w:top w:val="none" w:sz="0" w:space="0" w:color="auto"/>
                        <w:left w:val="none" w:sz="0" w:space="0" w:color="auto"/>
                        <w:bottom w:val="none" w:sz="0" w:space="0" w:color="auto"/>
                        <w:right w:val="none" w:sz="0" w:space="0" w:color="auto"/>
                      </w:divBdr>
                      <w:divsChild>
                        <w:div w:id="669914731">
                          <w:marLeft w:val="0"/>
                          <w:marRight w:val="0"/>
                          <w:marTop w:val="240"/>
                          <w:marBottom w:val="240"/>
                          <w:divBdr>
                            <w:top w:val="none" w:sz="0" w:space="0" w:color="auto"/>
                            <w:left w:val="none" w:sz="0" w:space="0" w:color="auto"/>
                            <w:bottom w:val="none" w:sz="0" w:space="0" w:color="auto"/>
                            <w:right w:val="none" w:sz="0" w:space="0" w:color="auto"/>
                          </w:divBdr>
                          <w:divsChild>
                            <w:div w:id="1732075578">
                              <w:marLeft w:val="0"/>
                              <w:marRight w:val="0"/>
                              <w:marTop w:val="0"/>
                              <w:marBottom w:val="0"/>
                              <w:divBdr>
                                <w:top w:val="none" w:sz="0" w:space="0" w:color="auto"/>
                                <w:left w:val="none" w:sz="0" w:space="0" w:color="auto"/>
                                <w:bottom w:val="none" w:sz="0" w:space="0" w:color="auto"/>
                                <w:right w:val="none" w:sz="0" w:space="0" w:color="auto"/>
                              </w:divBdr>
                              <w:divsChild>
                                <w:div w:id="1494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865066">
      <w:bodyDiv w:val="1"/>
      <w:marLeft w:val="0"/>
      <w:marRight w:val="0"/>
      <w:marTop w:val="0"/>
      <w:marBottom w:val="0"/>
      <w:divBdr>
        <w:top w:val="none" w:sz="0" w:space="0" w:color="auto"/>
        <w:left w:val="none" w:sz="0" w:space="0" w:color="auto"/>
        <w:bottom w:val="none" w:sz="0" w:space="0" w:color="auto"/>
        <w:right w:val="none" w:sz="0" w:space="0" w:color="auto"/>
      </w:divBdr>
    </w:div>
    <w:div w:id="1402406300">
      <w:bodyDiv w:val="1"/>
      <w:marLeft w:val="0"/>
      <w:marRight w:val="0"/>
      <w:marTop w:val="0"/>
      <w:marBottom w:val="0"/>
      <w:divBdr>
        <w:top w:val="none" w:sz="0" w:space="0" w:color="auto"/>
        <w:left w:val="none" w:sz="0" w:space="0" w:color="auto"/>
        <w:bottom w:val="none" w:sz="0" w:space="0" w:color="auto"/>
        <w:right w:val="none" w:sz="0" w:space="0" w:color="auto"/>
      </w:divBdr>
    </w:div>
    <w:div w:id="1446920981">
      <w:bodyDiv w:val="1"/>
      <w:marLeft w:val="0"/>
      <w:marRight w:val="0"/>
      <w:marTop w:val="0"/>
      <w:marBottom w:val="0"/>
      <w:divBdr>
        <w:top w:val="none" w:sz="0" w:space="0" w:color="auto"/>
        <w:left w:val="none" w:sz="0" w:space="0" w:color="auto"/>
        <w:bottom w:val="none" w:sz="0" w:space="0" w:color="auto"/>
        <w:right w:val="none" w:sz="0" w:space="0" w:color="auto"/>
      </w:divBdr>
    </w:div>
    <w:div w:id="1540705240">
      <w:bodyDiv w:val="1"/>
      <w:marLeft w:val="0"/>
      <w:marRight w:val="0"/>
      <w:marTop w:val="0"/>
      <w:marBottom w:val="0"/>
      <w:divBdr>
        <w:top w:val="none" w:sz="0" w:space="0" w:color="auto"/>
        <w:left w:val="none" w:sz="0" w:space="0" w:color="auto"/>
        <w:bottom w:val="none" w:sz="0" w:space="0" w:color="auto"/>
        <w:right w:val="none" w:sz="0" w:space="0" w:color="auto"/>
      </w:divBdr>
    </w:div>
    <w:div w:id="1602568266">
      <w:bodyDiv w:val="1"/>
      <w:marLeft w:val="0"/>
      <w:marRight w:val="0"/>
      <w:marTop w:val="0"/>
      <w:marBottom w:val="0"/>
      <w:divBdr>
        <w:top w:val="none" w:sz="0" w:space="0" w:color="auto"/>
        <w:left w:val="none" w:sz="0" w:space="0" w:color="auto"/>
        <w:bottom w:val="none" w:sz="0" w:space="0" w:color="auto"/>
        <w:right w:val="none" w:sz="0" w:space="0" w:color="auto"/>
      </w:divBdr>
    </w:div>
    <w:div w:id="1619415003">
      <w:bodyDiv w:val="1"/>
      <w:marLeft w:val="0"/>
      <w:marRight w:val="0"/>
      <w:marTop w:val="0"/>
      <w:marBottom w:val="0"/>
      <w:divBdr>
        <w:top w:val="none" w:sz="0" w:space="0" w:color="auto"/>
        <w:left w:val="none" w:sz="0" w:space="0" w:color="auto"/>
        <w:bottom w:val="none" w:sz="0" w:space="0" w:color="auto"/>
        <w:right w:val="none" w:sz="0" w:space="0" w:color="auto"/>
      </w:divBdr>
    </w:div>
    <w:div w:id="1643803030">
      <w:bodyDiv w:val="1"/>
      <w:marLeft w:val="0"/>
      <w:marRight w:val="0"/>
      <w:marTop w:val="0"/>
      <w:marBottom w:val="0"/>
      <w:divBdr>
        <w:top w:val="none" w:sz="0" w:space="0" w:color="auto"/>
        <w:left w:val="none" w:sz="0" w:space="0" w:color="auto"/>
        <w:bottom w:val="none" w:sz="0" w:space="0" w:color="auto"/>
        <w:right w:val="none" w:sz="0" w:space="0" w:color="auto"/>
      </w:divBdr>
    </w:div>
    <w:div w:id="1742675558">
      <w:bodyDiv w:val="1"/>
      <w:marLeft w:val="0"/>
      <w:marRight w:val="0"/>
      <w:marTop w:val="0"/>
      <w:marBottom w:val="0"/>
      <w:divBdr>
        <w:top w:val="none" w:sz="0" w:space="0" w:color="auto"/>
        <w:left w:val="none" w:sz="0" w:space="0" w:color="auto"/>
        <w:bottom w:val="none" w:sz="0" w:space="0" w:color="auto"/>
        <w:right w:val="none" w:sz="0" w:space="0" w:color="auto"/>
      </w:divBdr>
    </w:div>
    <w:div w:id="1765611710">
      <w:bodyDiv w:val="1"/>
      <w:marLeft w:val="0"/>
      <w:marRight w:val="0"/>
      <w:marTop w:val="0"/>
      <w:marBottom w:val="0"/>
      <w:divBdr>
        <w:top w:val="none" w:sz="0" w:space="0" w:color="auto"/>
        <w:left w:val="none" w:sz="0" w:space="0" w:color="auto"/>
        <w:bottom w:val="none" w:sz="0" w:space="0" w:color="auto"/>
        <w:right w:val="none" w:sz="0" w:space="0" w:color="auto"/>
      </w:divBdr>
    </w:div>
    <w:div w:id="1863006241">
      <w:bodyDiv w:val="1"/>
      <w:marLeft w:val="0"/>
      <w:marRight w:val="0"/>
      <w:marTop w:val="0"/>
      <w:marBottom w:val="0"/>
      <w:divBdr>
        <w:top w:val="none" w:sz="0" w:space="0" w:color="auto"/>
        <w:left w:val="none" w:sz="0" w:space="0" w:color="auto"/>
        <w:bottom w:val="none" w:sz="0" w:space="0" w:color="auto"/>
        <w:right w:val="none" w:sz="0" w:space="0" w:color="auto"/>
      </w:divBdr>
    </w:div>
    <w:div w:id="1879001014">
      <w:bodyDiv w:val="1"/>
      <w:marLeft w:val="0"/>
      <w:marRight w:val="0"/>
      <w:marTop w:val="0"/>
      <w:marBottom w:val="0"/>
      <w:divBdr>
        <w:top w:val="none" w:sz="0" w:space="0" w:color="auto"/>
        <w:left w:val="none" w:sz="0" w:space="0" w:color="auto"/>
        <w:bottom w:val="none" w:sz="0" w:space="0" w:color="auto"/>
        <w:right w:val="none" w:sz="0" w:space="0" w:color="auto"/>
      </w:divBdr>
    </w:div>
    <w:div w:id="2010054886">
      <w:bodyDiv w:val="1"/>
      <w:marLeft w:val="0"/>
      <w:marRight w:val="0"/>
      <w:marTop w:val="0"/>
      <w:marBottom w:val="0"/>
      <w:divBdr>
        <w:top w:val="none" w:sz="0" w:space="0" w:color="auto"/>
        <w:left w:val="none" w:sz="0" w:space="0" w:color="auto"/>
        <w:bottom w:val="none" w:sz="0" w:space="0" w:color="auto"/>
        <w:right w:val="none" w:sz="0" w:space="0" w:color="auto"/>
      </w:divBdr>
    </w:div>
    <w:div w:id="2024670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fi.fr/afrique/20190817-madagascar-mapathon-antananarivo-compter-arbres"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fi.fr/afrique/20190817-madagascar-mapathon-antananarivo-compter-arbr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ri.org/our-work/topics/gender" TargetMode="External"/><Relationship Id="rId5" Type="http://schemas.openxmlformats.org/officeDocument/2006/relationships/footnotes" Target="footnotes.xml"/><Relationship Id="rId15" Type="http://schemas.openxmlformats.org/officeDocument/2006/relationships/hyperlink" Target="http://thecityfixlabsmexico.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thejakartapost.com/news/2019/08/18/city-to-boost-development-of-parks-to-reduce-air-pollution.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9737</Words>
  <Characters>55507</Characters>
  <Application>Microsoft Office Word</Application>
  <DocSecurity>4</DocSecurity>
  <Lines>462</Lines>
  <Paragraphs>130</Paragraphs>
  <ScaleCrop>false</ScaleCrop>
  <Company/>
  <LinksUpToDate>false</LinksUpToDate>
  <CharactersWithSpaces>65114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2024-03-27T16:52:00Z</dcterms:created>
  <dcterms:modified xsi:type="dcterms:W3CDTF">2024-03-27T16:52:00Z</dcterms:modified>
</cp:coreProperties>
</file>