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AF27" w14:textId="77777777" w:rsidR="0033102E" w:rsidRDefault="0033102E">
      <w:pPr>
        <w:ind w:right="-142"/>
        <w:rPr>
          <w:b/>
          <w:sz w:val="22"/>
          <w:szCs w:val="22"/>
        </w:rPr>
      </w:pPr>
    </w:p>
    <w:p w14:paraId="1DA6AF28" w14:textId="77777777" w:rsidR="0033102E" w:rsidRDefault="005E5210">
      <w:pPr>
        <w:ind w:right="-142"/>
      </w:pPr>
      <w:r>
        <w:rPr>
          <w:b/>
          <w:sz w:val="22"/>
          <w:szCs w:val="22"/>
        </w:rPr>
        <w:t xml:space="preserve">ADDENDUM TO BUSINESS CASE </w:t>
      </w:r>
    </w:p>
    <w:p w14:paraId="1DA6AF29" w14:textId="77777777" w:rsidR="0033102E" w:rsidRDefault="0033102E">
      <w:pPr>
        <w:ind w:left="-900" w:firstLine="758"/>
        <w:rPr>
          <w:b/>
          <w:sz w:val="22"/>
          <w:szCs w:val="22"/>
        </w:rPr>
      </w:pPr>
    </w:p>
    <w:tbl>
      <w:tblPr>
        <w:tblW w:w="9072" w:type="dxa"/>
        <w:tblInd w:w="-5" w:type="dxa"/>
        <w:tblCellMar>
          <w:left w:w="10" w:type="dxa"/>
          <w:right w:w="10" w:type="dxa"/>
        </w:tblCellMar>
        <w:tblLook w:val="0000" w:firstRow="0" w:lastRow="0" w:firstColumn="0" w:lastColumn="0" w:noHBand="0" w:noVBand="0"/>
      </w:tblPr>
      <w:tblGrid>
        <w:gridCol w:w="3828"/>
        <w:gridCol w:w="5244"/>
      </w:tblGrid>
      <w:tr w:rsidR="0033102E" w14:paraId="1DA6AF2C" w14:textId="77777777">
        <w:tc>
          <w:tcPr>
            <w:tcW w:w="382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1DA6AF2A" w14:textId="77777777" w:rsidR="0033102E" w:rsidRDefault="005E5210">
            <w:pPr>
              <w:spacing w:before="40" w:after="40"/>
            </w:pPr>
            <w:r>
              <w:rPr>
                <w:b/>
                <w:sz w:val="22"/>
                <w:szCs w:val="22"/>
              </w:rPr>
              <w:t>SUMMARY INFORMATION</w:t>
            </w:r>
          </w:p>
        </w:tc>
        <w:tc>
          <w:tcPr>
            <w:tcW w:w="524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A6AF2B" w14:textId="77777777" w:rsidR="0033102E" w:rsidRDefault="0033102E">
            <w:pPr>
              <w:spacing w:before="40" w:after="40"/>
              <w:rPr>
                <w:b/>
                <w:sz w:val="22"/>
                <w:szCs w:val="22"/>
              </w:rPr>
            </w:pPr>
          </w:p>
        </w:tc>
      </w:tr>
      <w:tr w:rsidR="0033102E" w14:paraId="1DA6AF2F"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2D" w14:textId="77777777" w:rsidR="0033102E" w:rsidRDefault="005E5210">
            <w:pPr>
              <w:spacing w:before="40" w:after="40"/>
              <w:rPr>
                <w:sz w:val="22"/>
                <w:szCs w:val="22"/>
              </w:rPr>
            </w:pPr>
            <w:r>
              <w:rPr>
                <w:sz w:val="22"/>
                <w:szCs w:val="22"/>
              </w:rPr>
              <w:t>Project Name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2E" w14:textId="77777777" w:rsidR="0033102E" w:rsidRDefault="005E5210">
            <w:pPr>
              <w:spacing w:before="40" w:after="40"/>
              <w:rPr>
                <w:sz w:val="22"/>
                <w:szCs w:val="22"/>
              </w:rPr>
            </w:pPr>
            <w:r>
              <w:rPr>
                <w:sz w:val="22"/>
                <w:szCs w:val="22"/>
              </w:rPr>
              <w:t>High Quality Statistics that Improve Lives Globally</w:t>
            </w:r>
          </w:p>
        </w:tc>
      </w:tr>
      <w:tr w:rsidR="0033102E" w14:paraId="1DA6AF32"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0" w14:textId="77777777" w:rsidR="0033102E" w:rsidRDefault="005E5210">
            <w:pPr>
              <w:spacing w:before="40" w:after="40"/>
              <w:rPr>
                <w:sz w:val="22"/>
                <w:szCs w:val="22"/>
              </w:rPr>
            </w:pPr>
            <w:r>
              <w:rPr>
                <w:sz w:val="22"/>
                <w:szCs w:val="22"/>
              </w:rPr>
              <w:t>Country or region targeted</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1" w14:textId="77777777" w:rsidR="0033102E" w:rsidRDefault="005E5210">
            <w:pPr>
              <w:spacing w:before="40" w:after="40"/>
              <w:rPr>
                <w:sz w:val="22"/>
                <w:szCs w:val="22"/>
              </w:rPr>
            </w:pPr>
            <w:r>
              <w:rPr>
                <w:sz w:val="22"/>
                <w:szCs w:val="22"/>
              </w:rPr>
              <w:t>N/A - global reach</w:t>
            </w:r>
          </w:p>
        </w:tc>
      </w:tr>
      <w:tr w:rsidR="0033102E" w14:paraId="1DA6AF35"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3" w14:textId="77777777" w:rsidR="0033102E" w:rsidRDefault="005E5210">
            <w:pPr>
              <w:spacing w:before="40" w:after="40"/>
              <w:rPr>
                <w:sz w:val="22"/>
                <w:szCs w:val="22"/>
              </w:rPr>
            </w:pPr>
            <w:r>
              <w:rPr>
                <w:sz w:val="22"/>
                <w:szCs w:val="22"/>
              </w:rPr>
              <w:t>Type of cost extension (if applicable)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4" w14:textId="77777777" w:rsidR="0033102E" w:rsidRDefault="005E5210">
            <w:pPr>
              <w:spacing w:before="40" w:after="40"/>
              <w:rPr>
                <w:sz w:val="22"/>
                <w:szCs w:val="22"/>
              </w:rPr>
            </w:pPr>
            <w:r>
              <w:rPr>
                <w:sz w:val="22"/>
                <w:szCs w:val="22"/>
              </w:rPr>
              <w:t xml:space="preserve">Cost and time extension </w:t>
            </w:r>
          </w:p>
        </w:tc>
      </w:tr>
      <w:tr w:rsidR="0033102E" w14:paraId="1DA6AF38"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6" w14:textId="77777777" w:rsidR="0033102E" w:rsidRDefault="005E5210">
            <w:pPr>
              <w:spacing w:before="40" w:after="40"/>
              <w:rPr>
                <w:sz w:val="22"/>
                <w:szCs w:val="22"/>
              </w:rPr>
            </w:pPr>
            <w:r>
              <w:rPr>
                <w:sz w:val="22"/>
                <w:szCs w:val="22"/>
              </w:rPr>
              <w:t>Original project budget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7" w14:textId="77777777" w:rsidR="0033102E" w:rsidRDefault="005E5210">
            <w:pPr>
              <w:spacing w:before="40" w:after="40"/>
              <w:rPr>
                <w:sz w:val="22"/>
                <w:szCs w:val="22"/>
              </w:rPr>
            </w:pPr>
            <w:r>
              <w:rPr>
                <w:sz w:val="22"/>
                <w:szCs w:val="22"/>
              </w:rPr>
              <w:t>£12m</w:t>
            </w:r>
          </w:p>
        </w:tc>
      </w:tr>
      <w:tr w:rsidR="0033102E" w14:paraId="1DA6AF3B"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9" w14:textId="77777777" w:rsidR="0033102E" w:rsidRDefault="005E5210">
            <w:pPr>
              <w:spacing w:before="40" w:after="40"/>
              <w:rPr>
                <w:sz w:val="22"/>
                <w:szCs w:val="22"/>
              </w:rPr>
            </w:pPr>
            <w:r>
              <w:rPr>
                <w:sz w:val="22"/>
                <w:szCs w:val="22"/>
              </w:rPr>
              <w:t>Original project’s start and end dates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A" w14:textId="77777777" w:rsidR="0033102E" w:rsidRDefault="005E5210">
            <w:pPr>
              <w:spacing w:before="40" w:after="40"/>
              <w:rPr>
                <w:sz w:val="22"/>
                <w:szCs w:val="22"/>
              </w:rPr>
            </w:pPr>
            <w:r>
              <w:rPr>
                <w:sz w:val="22"/>
                <w:szCs w:val="22"/>
              </w:rPr>
              <w:t>01/04/2022 – 31/03/2025</w:t>
            </w:r>
          </w:p>
        </w:tc>
      </w:tr>
      <w:tr w:rsidR="0033102E" w14:paraId="1DA6AF3E"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C" w14:textId="77777777" w:rsidR="0033102E" w:rsidRDefault="005E5210">
            <w:pPr>
              <w:spacing w:before="40" w:after="40"/>
              <w:rPr>
                <w:sz w:val="22"/>
                <w:szCs w:val="22"/>
              </w:rPr>
            </w:pPr>
            <w:r>
              <w:rPr>
                <w:sz w:val="22"/>
                <w:szCs w:val="22"/>
              </w:rPr>
              <w:t>Cost extension value (if applicable)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D" w14:textId="77777777" w:rsidR="0033102E" w:rsidRDefault="005E5210">
            <w:pPr>
              <w:spacing w:before="40" w:after="40"/>
              <w:rPr>
                <w:sz w:val="22"/>
                <w:szCs w:val="22"/>
              </w:rPr>
            </w:pPr>
            <w:r>
              <w:rPr>
                <w:sz w:val="22"/>
                <w:szCs w:val="22"/>
              </w:rPr>
              <w:t>£5m</w:t>
            </w:r>
          </w:p>
        </w:tc>
      </w:tr>
      <w:tr w:rsidR="0033102E" w14:paraId="1DA6AF41" w14:textId="77777777">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3F" w14:textId="77777777" w:rsidR="0033102E" w:rsidRDefault="005E5210">
            <w:pPr>
              <w:spacing w:before="40" w:after="40"/>
              <w:rPr>
                <w:sz w:val="22"/>
                <w:szCs w:val="22"/>
              </w:rPr>
            </w:pPr>
            <w:r>
              <w:rPr>
                <w:sz w:val="22"/>
                <w:szCs w:val="22"/>
              </w:rPr>
              <w:t>New project end date (if applicable)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40" w14:textId="77777777" w:rsidR="0033102E" w:rsidRDefault="005E5210">
            <w:pPr>
              <w:spacing w:before="40" w:after="40"/>
              <w:rPr>
                <w:sz w:val="22"/>
                <w:szCs w:val="22"/>
              </w:rPr>
            </w:pPr>
            <w:r>
              <w:rPr>
                <w:sz w:val="22"/>
                <w:szCs w:val="22"/>
              </w:rPr>
              <w:t>31/03/2026</w:t>
            </w:r>
          </w:p>
        </w:tc>
      </w:tr>
    </w:tbl>
    <w:p w14:paraId="1DA6AF42" w14:textId="77777777" w:rsidR="0033102E" w:rsidRDefault="0033102E">
      <w:pPr>
        <w:rPr>
          <w:b/>
          <w:sz w:val="22"/>
          <w:szCs w:val="22"/>
        </w:rPr>
      </w:pPr>
    </w:p>
    <w:tbl>
      <w:tblPr>
        <w:tblW w:w="9067" w:type="dxa"/>
        <w:tblLayout w:type="fixed"/>
        <w:tblCellMar>
          <w:left w:w="10" w:type="dxa"/>
          <w:right w:w="10" w:type="dxa"/>
        </w:tblCellMar>
        <w:tblLook w:val="0000" w:firstRow="0" w:lastRow="0" w:firstColumn="0" w:lastColumn="0" w:noHBand="0" w:noVBand="0"/>
      </w:tblPr>
      <w:tblGrid>
        <w:gridCol w:w="9067"/>
      </w:tblGrid>
      <w:tr w:rsidR="0033102E" w14:paraId="1DA6AF44" w14:textId="77777777">
        <w:trPr>
          <w:trHeight w:val="465"/>
          <w:tblHeader/>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43" w14:textId="77777777" w:rsidR="0033102E" w:rsidRDefault="005E5210">
            <w:pPr>
              <w:spacing w:before="40" w:after="40"/>
              <w:jc w:val="center"/>
            </w:pPr>
            <w:r>
              <w:rPr>
                <w:b/>
                <w:sz w:val="22"/>
                <w:szCs w:val="22"/>
              </w:rPr>
              <w:t>INFORMATION</w:t>
            </w:r>
          </w:p>
        </w:tc>
      </w:tr>
      <w:tr w:rsidR="0033102E" w14:paraId="1DA6AF46" w14:textId="77777777">
        <w:trPr>
          <w:trHeight w:val="383"/>
        </w:trPr>
        <w:tc>
          <w:tcPr>
            <w:tcW w:w="9067" w:type="dxa"/>
            <w:tcBorders>
              <w:top w:val="single" w:sz="4" w:space="0" w:color="000000"/>
              <w:left w:val="single" w:sz="4" w:space="0" w:color="000000"/>
              <w:bottom w:val="dashed" w:sz="4" w:space="0" w:color="000000"/>
              <w:right w:val="single" w:sz="4" w:space="0" w:color="000000"/>
            </w:tcBorders>
            <w:shd w:val="clear" w:color="auto" w:fill="F2F2F2"/>
            <w:tcMar>
              <w:top w:w="0" w:type="dxa"/>
              <w:left w:w="108" w:type="dxa"/>
              <w:bottom w:w="0" w:type="dxa"/>
              <w:right w:w="108" w:type="dxa"/>
            </w:tcMar>
          </w:tcPr>
          <w:p w14:paraId="1DA6AF45" w14:textId="77777777" w:rsidR="0033102E" w:rsidRDefault="005E5210">
            <w:pPr>
              <w:spacing w:before="40" w:after="120"/>
            </w:pPr>
            <w:r>
              <w:rPr>
                <w:b/>
                <w:sz w:val="22"/>
                <w:szCs w:val="22"/>
              </w:rPr>
              <w:t>What is the project’s purpose?</w:t>
            </w:r>
          </w:p>
        </w:tc>
      </w:tr>
      <w:tr w:rsidR="0033102E" w14:paraId="1DA6AF4A" w14:textId="77777777">
        <w:trPr>
          <w:trHeight w:val="1338"/>
        </w:trPr>
        <w:tc>
          <w:tcPr>
            <w:tcW w:w="9067"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DA6AF48" w14:textId="06C4C2B2" w:rsidR="0033102E" w:rsidRDefault="005E5210">
            <w:pPr>
              <w:rPr>
                <w:sz w:val="22"/>
                <w:szCs w:val="22"/>
              </w:rPr>
            </w:pPr>
            <w:r>
              <w:rPr>
                <w:sz w:val="22"/>
                <w:szCs w:val="22"/>
              </w:rPr>
              <w:t>The project aims to strengthen statistics for the public good in low- and middle-income countries, through the delivery of peer-to-peer technical assistance and wider statistical organisational strengthening. In 2025/26, the project will build on the results delivered in the previous phases (2017-2022 and 2022-2025), consolidating progress in existing partner countries.</w:t>
            </w:r>
          </w:p>
          <w:p w14:paraId="1DA6AF49" w14:textId="77777777" w:rsidR="0033102E" w:rsidRDefault="005E5210">
            <w:pPr>
              <w:rPr>
                <w:sz w:val="22"/>
                <w:szCs w:val="22"/>
              </w:rPr>
            </w:pPr>
            <w:r>
              <w:rPr>
                <w:sz w:val="22"/>
                <w:szCs w:val="22"/>
              </w:rPr>
              <w:t xml:space="preserve"> </w:t>
            </w:r>
          </w:p>
        </w:tc>
      </w:tr>
      <w:tr w:rsidR="0033102E" w14:paraId="1DA6AF4C" w14:textId="77777777">
        <w:trPr>
          <w:trHeight w:val="217"/>
        </w:trPr>
        <w:tc>
          <w:tcPr>
            <w:tcW w:w="9067" w:type="dxa"/>
            <w:tcBorders>
              <w:top w:val="single" w:sz="4" w:space="0" w:color="000000"/>
              <w:left w:val="single" w:sz="4" w:space="0" w:color="000000"/>
              <w:bottom w:val="dashed" w:sz="4" w:space="0" w:color="000000"/>
              <w:right w:val="single" w:sz="4" w:space="0" w:color="000000"/>
            </w:tcBorders>
            <w:shd w:val="clear" w:color="auto" w:fill="F2F2F2"/>
            <w:tcMar>
              <w:top w:w="0" w:type="dxa"/>
              <w:left w:w="108" w:type="dxa"/>
              <w:bottom w:w="0" w:type="dxa"/>
              <w:right w:w="108" w:type="dxa"/>
            </w:tcMar>
          </w:tcPr>
          <w:p w14:paraId="1DA6AF4B" w14:textId="77777777" w:rsidR="0033102E" w:rsidRDefault="005E5210">
            <w:pPr>
              <w:spacing w:before="40" w:after="120"/>
            </w:pPr>
            <w:r>
              <w:rPr>
                <w:b/>
                <w:sz w:val="22"/>
                <w:szCs w:val="22"/>
              </w:rPr>
              <w:t>What is the objective of the cost extension or other changes?</w:t>
            </w:r>
          </w:p>
        </w:tc>
      </w:tr>
      <w:tr w:rsidR="0033102E" w14:paraId="1DA6AF4F" w14:textId="77777777">
        <w:trPr>
          <w:trHeight w:val="529"/>
        </w:trPr>
        <w:tc>
          <w:tcPr>
            <w:tcW w:w="9067"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4D" w14:textId="77777777" w:rsidR="0033102E" w:rsidRDefault="005E5210">
            <w:pPr>
              <w:rPr>
                <w:sz w:val="22"/>
                <w:szCs w:val="22"/>
              </w:rPr>
            </w:pPr>
            <w:r>
              <w:rPr>
                <w:sz w:val="22"/>
                <w:szCs w:val="22"/>
              </w:rPr>
              <w:t>The extension phase will commence immediately after the end of the current project and will be in place for 12 months, until 31 March 2026.</w:t>
            </w:r>
          </w:p>
          <w:p w14:paraId="1DA6AF4E" w14:textId="77777777" w:rsidR="0033102E" w:rsidRDefault="0033102E">
            <w:pPr>
              <w:rPr>
                <w:sz w:val="22"/>
                <w:szCs w:val="22"/>
              </w:rPr>
            </w:pPr>
          </w:p>
        </w:tc>
      </w:tr>
      <w:tr w:rsidR="0033102E" w14:paraId="1DA6AF51" w14:textId="77777777">
        <w:trPr>
          <w:trHeight w:val="375"/>
        </w:trPr>
        <w:tc>
          <w:tcPr>
            <w:tcW w:w="9067" w:type="dxa"/>
            <w:tcBorders>
              <w:top w:val="single" w:sz="4" w:space="0" w:color="000000"/>
              <w:left w:val="single" w:sz="4" w:space="0" w:color="000000"/>
              <w:bottom w:val="dashed" w:sz="4" w:space="0" w:color="000000"/>
              <w:right w:val="single" w:sz="4" w:space="0" w:color="000000"/>
            </w:tcBorders>
            <w:shd w:val="clear" w:color="auto" w:fill="F2F2F2"/>
            <w:tcMar>
              <w:top w:w="0" w:type="dxa"/>
              <w:left w:w="108" w:type="dxa"/>
              <w:bottom w:w="0" w:type="dxa"/>
              <w:right w:w="108" w:type="dxa"/>
            </w:tcMar>
          </w:tcPr>
          <w:p w14:paraId="1DA6AF50" w14:textId="77777777" w:rsidR="0033102E" w:rsidRDefault="005E5210">
            <w:pPr>
              <w:spacing w:before="40" w:after="120"/>
            </w:pPr>
            <w:r>
              <w:rPr>
                <w:b/>
                <w:sz w:val="22"/>
                <w:szCs w:val="22"/>
              </w:rPr>
              <w:t xml:space="preserve">What is the additional and total support the UK will provide? </w:t>
            </w:r>
          </w:p>
        </w:tc>
      </w:tr>
      <w:tr w:rsidR="0033102E" w14:paraId="1DA6AF56" w14:textId="77777777">
        <w:trPr>
          <w:trHeight w:val="826"/>
        </w:trPr>
        <w:tc>
          <w:tcPr>
            <w:tcW w:w="9067"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DA6AF52" w14:textId="77777777" w:rsidR="0033102E" w:rsidRDefault="005E5210">
            <w:r>
              <w:rPr>
                <w:sz w:val="22"/>
                <w:szCs w:val="22"/>
              </w:rPr>
              <w:t xml:space="preserve">The additional support will be provided by the project continuation for a further 12 months. See next section for expected </w:t>
            </w:r>
            <w:r>
              <w:rPr>
                <w:sz w:val="22"/>
                <w:szCs w:val="22"/>
                <w:u w:val="single"/>
              </w:rPr>
              <w:t>additional</w:t>
            </w:r>
            <w:r>
              <w:rPr>
                <w:sz w:val="22"/>
                <w:szCs w:val="22"/>
              </w:rPr>
              <w:t xml:space="preserve"> results.</w:t>
            </w:r>
          </w:p>
          <w:p w14:paraId="1DA6AF53" w14:textId="77777777" w:rsidR="0033102E" w:rsidRDefault="0033102E">
            <w:pPr>
              <w:rPr>
                <w:sz w:val="22"/>
                <w:szCs w:val="22"/>
              </w:rPr>
            </w:pPr>
          </w:p>
          <w:p w14:paraId="1DA6AF54" w14:textId="1D4EDB01" w:rsidR="0033102E" w:rsidRDefault="005E5210">
            <w:r>
              <w:rPr>
                <w:sz w:val="22"/>
                <w:szCs w:val="22"/>
              </w:rPr>
              <w:t xml:space="preserve">The total support will be evidenced in the Project Completion Review (PCR) 2022 - 2026 that will be published on 30 Sept 2026. It is expected this will be the cumulative sum of the provision of support evidenced in the 2022/23, 2023/24 and 2024/25 Annual Reviews and the PCR that will cover 2025/26 (as well as the 2022 - 2025 period). </w:t>
            </w:r>
          </w:p>
          <w:p w14:paraId="1DA6AF55" w14:textId="77777777" w:rsidR="0033102E" w:rsidRDefault="0033102E">
            <w:pPr>
              <w:rPr>
                <w:b/>
                <w:sz w:val="22"/>
                <w:szCs w:val="22"/>
              </w:rPr>
            </w:pPr>
          </w:p>
        </w:tc>
      </w:tr>
      <w:tr w:rsidR="0033102E" w14:paraId="1DA6AF58" w14:textId="77777777">
        <w:trPr>
          <w:trHeight w:val="252"/>
        </w:trPr>
        <w:tc>
          <w:tcPr>
            <w:tcW w:w="9067"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DA6AF57" w14:textId="77777777" w:rsidR="0033102E" w:rsidRDefault="005E5210">
            <w:pPr>
              <w:spacing w:before="40" w:after="120"/>
            </w:pPr>
            <w:r>
              <w:rPr>
                <w:b/>
                <w:sz w:val="22"/>
                <w:szCs w:val="22"/>
              </w:rPr>
              <w:t>What are the expected results?</w:t>
            </w:r>
          </w:p>
        </w:tc>
      </w:tr>
      <w:tr w:rsidR="0033102E" w14:paraId="1DA6AF70" w14:textId="77777777">
        <w:trPr>
          <w:trHeight w:val="174"/>
        </w:trPr>
        <w:tc>
          <w:tcPr>
            <w:tcW w:w="9067"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AF59" w14:textId="77777777" w:rsidR="0033102E" w:rsidRDefault="005E5210">
            <w:pPr>
              <w:rPr>
                <w:bCs/>
                <w:sz w:val="22"/>
                <w:szCs w:val="22"/>
              </w:rPr>
            </w:pPr>
            <w:r>
              <w:rPr>
                <w:bCs/>
                <w:sz w:val="22"/>
                <w:szCs w:val="22"/>
              </w:rPr>
              <w:t>The long-term outcomes are:</w:t>
            </w:r>
          </w:p>
          <w:p w14:paraId="1DA6AF5A" w14:textId="77777777" w:rsidR="0033102E" w:rsidRDefault="005E5210">
            <w:pPr>
              <w:pStyle w:val="ListParagraph"/>
              <w:numPr>
                <w:ilvl w:val="0"/>
                <w:numId w:val="6"/>
              </w:numPr>
            </w:pPr>
            <w:r>
              <w:rPr>
                <w:bCs/>
                <w:sz w:val="22"/>
                <w:szCs w:val="22"/>
              </w:rPr>
              <w:t xml:space="preserve">Improved </w:t>
            </w:r>
            <w:r>
              <w:rPr>
                <w:b/>
                <w:sz w:val="22"/>
                <w:szCs w:val="22"/>
              </w:rPr>
              <w:t>institutional performance</w:t>
            </w:r>
            <w:r>
              <w:rPr>
                <w:bCs/>
                <w:sz w:val="22"/>
                <w:szCs w:val="22"/>
              </w:rPr>
              <w:t xml:space="preserve"> through more effective and efficient production of data and statistics</w:t>
            </w:r>
          </w:p>
          <w:p w14:paraId="1DA6AF5B" w14:textId="77777777" w:rsidR="0033102E" w:rsidRDefault="005E5210">
            <w:pPr>
              <w:pStyle w:val="ListParagraph"/>
              <w:numPr>
                <w:ilvl w:val="0"/>
                <w:numId w:val="6"/>
              </w:numPr>
            </w:pPr>
            <w:r>
              <w:rPr>
                <w:bCs/>
                <w:sz w:val="22"/>
                <w:szCs w:val="22"/>
              </w:rPr>
              <w:t xml:space="preserve">Increased </w:t>
            </w:r>
            <w:r>
              <w:rPr>
                <w:b/>
                <w:sz w:val="22"/>
                <w:szCs w:val="22"/>
              </w:rPr>
              <w:t>institutional stability</w:t>
            </w:r>
            <w:r>
              <w:rPr>
                <w:bCs/>
                <w:sz w:val="22"/>
                <w:szCs w:val="22"/>
              </w:rPr>
              <w:t xml:space="preserve"> from institutionalising statistical good practice</w:t>
            </w:r>
          </w:p>
          <w:p w14:paraId="1DA6AF5C" w14:textId="77777777" w:rsidR="0033102E" w:rsidRDefault="005E5210">
            <w:pPr>
              <w:pStyle w:val="ListParagraph"/>
              <w:numPr>
                <w:ilvl w:val="0"/>
                <w:numId w:val="6"/>
              </w:numPr>
            </w:pPr>
            <w:r>
              <w:rPr>
                <w:bCs/>
                <w:sz w:val="22"/>
                <w:szCs w:val="22"/>
              </w:rPr>
              <w:t xml:space="preserve">Raised </w:t>
            </w:r>
            <w:r>
              <w:rPr>
                <w:b/>
                <w:sz w:val="22"/>
                <w:szCs w:val="22"/>
              </w:rPr>
              <w:t>profile and legitimacy</w:t>
            </w:r>
            <w:r>
              <w:rPr>
                <w:bCs/>
                <w:sz w:val="22"/>
                <w:szCs w:val="22"/>
              </w:rPr>
              <w:t xml:space="preserve"> of partner NSOs within national and international context.</w:t>
            </w:r>
          </w:p>
          <w:p w14:paraId="1DA6AF5D" w14:textId="77777777" w:rsidR="0033102E" w:rsidRDefault="0033102E">
            <w:pPr>
              <w:pStyle w:val="ListParagraph"/>
              <w:rPr>
                <w:bCs/>
                <w:sz w:val="22"/>
                <w:szCs w:val="22"/>
              </w:rPr>
            </w:pPr>
          </w:p>
          <w:p w14:paraId="1DA6AF5E" w14:textId="77777777" w:rsidR="0033102E" w:rsidRDefault="005E5210">
            <w:pPr>
              <w:rPr>
                <w:bCs/>
                <w:sz w:val="22"/>
                <w:szCs w:val="22"/>
              </w:rPr>
            </w:pPr>
            <w:r>
              <w:rPr>
                <w:bCs/>
                <w:sz w:val="22"/>
                <w:szCs w:val="22"/>
              </w:rPr>
              <w:t>The medium-term outcomes are:</w:t>
            </w:r>
          </w:p>
          <w:p w14:paraId="1DA6AF5F" w14:textId="77777777" w:rsidR="0033102E" w:rsidRDefault="005E5210">
            <w:pPr>
              <w:pStyle w:val="ListParagraph"/>
              <w:numPr>
                <w:ilvl w:val="3"/>
                <w:numId w:val="6"/>
              </w:numPr>
              <w:ind w:left="733" w:hanging="425"/>
            </w:pPr>
            <w:r>
              <w:rPr>
                <w:bCs/>
                <w:sz w:val="22"/>
                <w:szCs w:val="22"/>
              </w:rPr>
              <w:t xml:space="preserve">Improved </w:t>
            </w:r>
            <w:r>
              <w:rPr>
                <w:b/>
                <w:sz w:val="22"/>
                <w:szCs w:val="22"/>
              </w:rPr>
              <w:t>quality</w:t>
            </w:r>
            <w:r>
              <w:rPr>
                <w:bCs/>
                <w:sz w:val="22"/>
                <w:szCs w:val="22"/>
              </w:rPr>
              <w:t xml:space="preserve"> of statistics and data</w:t>
            </w:r>
          </w:p>
          <w:p w14:paraId="1DA6AF60" w14:textId="77777777" w:rsidR="0033102E" w:rsidRDefault="005E5210">
            <w:pPr>
              <w:pStyle w:val="ListParagraph"/>
              <w:numPr>
                <w:ilvl w:val="3"/>
                <w:numId w:val="6"/>
              </w:numPr>
              <w:ind w:left="733" w:hanging="425"/>
            </w:pPr>
            <w:r>
              <w:rPr>
                <w:bCs/>
                <w:sz w:val="22"/>
                <w:szCs w:val="22"/>
              </w:rPr>
              <w:t xml:space="preserve">Improved </w:t>
            </w:r>
            <w:r>
              <w:rPr>
                <w:b/>
                <w:sz w:val="22"/>
                <w:szCs w:val="22"/>
              </w:rPr>
              <w:t>value</w:t>
            </w:r>
            <w:r>
              <w:rPr>
                <w:bCs/>
                <w:sz w:val="22"/>
                <w:szCs w:val="22"/>
              </w:rPr>
              <w:t xml:space="preserve"> of statistics and data</w:t>
            </w:r>
          </w:p>
          <w:p w14:paraId="1DA6AF61" w14:textId="77777777" w:rsidR="0033102E" w:rsidRDefault="005E5210">
            <w:pPr>
              <w:pStyle w:val="ListParagraph"/>
              <w:numPr>
                <w:ilvl w:val="3"/>
                <w:numId w:val="6"/>
              </w:numPr>
              <w:ind w:left="733" w:hanging="425"/>
            </w:pPr>
            <w:r>
              <w:rPr>
                <w:bCs/>
                <w:sz w:val="22"/>
                <w:szCs w:val="22"/>
              </w:rPr>
              <w:t xml:space="preserve">Improved </w:t>
            </w:r>
            <w:r>
              <w:rPr>
                <w:b/>
                <w:sz w:val="22"/>
                <w:szCs w:val="22"/>
              </w:rPr>
              <w:t>trustworthiness</w:t>
            </w:r>
            <w:r>
              <w:rPr>
                <w:bCs/>
                <w:sz w:val="22"/>
                <w:szCs w:val="22"/>
              </w:rPr>
              <w:t xml:space="preserve"> of statistics and data, and NSOs / partner organisations</w:t>
            </w:r>
          </w:p>
          <w:p w14:paraId="1DA6AF62" w14:textId="77777777" w:rsidR="0033102E" w:rsidRDefault="0033102E">
            <w:pPr>
              <w:rPr>
                <w:bCs/>
                <w:sz w:val="22"/>
                <w:szCs w:val="22"/>
              </w:rPr>
            </w:pPr>
          </w:p>
          <w:p w14:paraId="1DA6AF63" w14:textId="77777777" w:rsidR="0033102E" w:rsidRDefault="005E5210">
            <w:pPr>
              <w:rPr>
                <w:bCs/>
                <w:sz w:val="22"/>
                <w:szCs w:val="22"/>
              </w:rPr>
            </w:pPr>
            <w:r>
              <w:rPr>
                <w:bCs/>
                <w:sz w:val="22"/>
                <w:szCs w:val="22"/>
              </w:rPr>
              <w:t xml:space="preserve">Outcomes are achieved by delivering across seven output areas: </w:t>
            </w:r>
          </w:p>
          <w:p w14:paraId="1DA6AF64" w14:textId="77777777" w:rsidR="0033102E" w:rsidRDefault="005E5210">
            <w:pPr>
              <w:pStyle w:val="ListParagraph"/>
              <w:numPr>
                <w:ilvl w:val="0"/>
                <w:numId w:val="7"/>
              </w:numPr>
              <w:rPr>
                <w:bCs/>
                <w:sz w:val="22"/>
                <w:szCs w:val="22"/>
              </w:rPr>
            </w:pPr>
            <w:r>
              <w:rPr>
                <w:bCs/>
                <w:sz w:val="22"/>
                <w:szCs w:val="22"/>
              </w:rPr>
              <w:t>Improved statistical tools</w:t>
            </w:r>
          </w:p>
          <w:p w14:paraId="1DA6AF65" w14:textId="77777777" w:rsidR="0033102E" w:rsidRDefault="005E5210">
            <w:pPr>
              <w:pStyle w:val="ListParagraph"/>
              <w:numPr>
                <w:ilvl w:val="0"/>
                <w:numId w:val="7"/>
              </w:numPr>
              <w:rPr>
                <w:bCs/>
                <w:sz w:val="22"/>
                <w:szCs w:val="22"/>
              </w:rPr>
            </w:pPr>
            <w:r>
              <w:rPr>
                <w:bCs/>
                <w:sz w:val="22"/>
                <w:szCs w:val="22"/>
              </w:rPr>
              <w:t>Enabling increased use of relevant digital technologies</w:t>
            </w:r>
          </w:p>
          <w:p w14:paraId="1DA6AF66" w14:textId="77777777" w:rsidR="0033102E" w:rsidRDefault="005E5210">
            <w:pPr>
              <w:pStyle w:val="ListParagraph"/>
              <w:numPr>
                <w:ilvl w:val="0"/>
                <w:numId w:val="7"/>
              </w:numPr>
              <w:rPr>
                <w:bCs/>
                <w:sz w:val="22"/>
                <w:szCs w:val="22"/>
              </w:rPr>
            </w:pPr>
            <w:r>
              <w:rPr>
                <w:bCs/>
                <w:sz w:val="22"/>
                <w:szCs w:val="22"/>
              </w:rPr>
              <w:t>Strengthened data science capability</w:t>
            </w:r>
          </w:p>
          <w:p w14:paraId="1DA6AF67" w14:textId="77777777" w:rsidR="0033102E" w:rsidRDefault="005E5210">
            <w:pPr>
              <w:pStyle w:val="ListParagraph"/>
              <w:numPr>
                <w:ilvl w:val="0"/>
                <w:numId w:val="7"/>
              </w:numPr>
              <w:rPr>
                <w:bCs/>
                <w:sz w:val="22"/>
                <w:szCs w:val="22"/>
              </w:rPr>
            </w:pPr>
            <w:r>
              <w:rPr>
                <w:bCs/>
                <w:sz w:val="22"/>
                <w:szCs w:val="22"/>
              </w:rPr>
              <w:lastRenderedPageBreak/>
              <w:t>Improved ways of working</w:t>
            </w:r>
          </w:p>
          <w:p w14:paraId="1DA6AF68" w14:textId="77777777" w:rsidR="0033102E" w:rsidRDefault="005E5210">
            <w:pPr>
              <w:pStyle w:val="ListParagraph"/>
              <w:numPr>
                <w:ilvl w:val="0"/>
                <w:numId w:val="7"/>
              </w:numPr>
              <w:rPr>
                <w:bCs/>
                <w:sz w:val="22"/>
                <w:szCs w:val="22"/>
              </w:rPr>
            </w:pPr>
            <w:r>
              <w:rPr>
                <w:bCs/>
                <w:sz w:val="22"/>
                <w:szCs w:val="22"/>
              </w:rPr>
              <w:t>Strengthened national statistical systems through establishing legislation, frameworks and data ethics principles</w:t>
            </w:r>
          </w:p>
          <w:p w14:paraId="1DA6AF69" w14:textId="77777777" w:rsidR="0033102E" w:rsidRDefault="005E5210">
            <w:pPr>
              <w:pStyle w:val="ListParagraph"/>
              <w:numPr>
                <w:ilvl w:val="0"/>
                <w:numId w:val="7"/>
              </w:numPr>
              <w:rPr>
                <w:bCs/>
                <w:sz w:val="22"/>
                <w:szCs w:val="22"/>
              </w:rPr>
            </w:pPr>
            <w:r>
              <w:rPr>
                <w:bCs/>
                <w:sz w:val="22"/>
                <w:szCs w:val="22"/>
              </w:rPr>
              <w:t>More sustainable and inclusive leadership</w:t>
            </w:r>
          </w:p>
          <w:p w14:paraId="1DA6AF6A" w14:textId="77777777" w:rsidR="0033102E" w:rsidRDefault="005E5210">
            <w:pPr>
              <w:pStyle w:val="ListParagraph"/>
              <w:numPr>
                <w:ilvl w:val="0"/>
                <w:numId w:val="7"/>
              </w:numPr>
              <w:rPr>
                <w:bCs/>
                <w:sz w:val="22"/>
                <w:szCs w:val="22"/>
              </w:rPr>
            </w:pPr>
            <w:r>
              <w:rPr>
                <w:bCs/>
                <w:sz w:val="22"/>
                <w:szCs w:val="22"/>
              </w:rPr>
              <w:t>Improved communications and dissemination</w:t>
            </w:r>
          </w:p>
          <w:p w14:paraId="1DA6AF6B" w14:textId="77777777" w:rsidR="0033102E" w:rsidRDefault="0033102E">
            <w:pPr>
              <w:rPr>
                <w:bCs/>
                <w:sz w:val="22"/>
                <w:szCs w:val="22"/>
              </w:rPr>
            </w:pPr>
          </w:p>
          <w:p w14:paraId="1DA6AF6D" w14:textId="366032BA" w:rsidR="0033102E" w:rsidRPr="005E5210" w:rsidRDefault="005E5210">
            <w:r>
              <w:rPr>
                <w:bCs/>
                <w:sz w:val="22"/>
                <w:szCs w:val="22"/>
              </w:rPr>
              <w:t>13 output-level indicators are used to assess output-level performance on a yearly basis. These include indicators such as the number of people trained and of organisations reached; the number of cases of where ONS has provided advice on strategic policy documents; the number of partner organisations using new software; the number of data science mentoring and training interventions; the number of ODA eligible countries with Inclusive Data Charter action plans progressed with the ONS support; number of partners' statistical products developed in direct consultation with users. The full list of indicators can be found in the Project’s Results Framework.</w:t>
            </w:r>
          </w:p>
          <w:p w14:paraId="1DA6AF6E" w14:textId="155F6205" w:rsidR="0033102E" w:rsidRDefault="005E5210">
            <w:r>
              <w:rPr>
                <w:bCs/>
                <w:sz w:val="22"/>
                <w:szCs w:val="22"/>
              </w:rPr>
              <w:t xml:space="preserve">Targets are set yearly against these indicators. Targets and output-level results for the period cover by this addendum (April 2025 – March 2026) </w:t>
            </w:r>
            <w:r w:rsidR="00296C62">
              <w:rPr>
                <w:bCs/>
                <w:sz w:val="22"/>
                <w:szCs w:val="22"/>
              </w:rPr>
              <w:t>are available on the project’s IATI page.</w:t>
            </w:r>
          </w:p>
          <w:p w14:paraId="1DA6AF6F" w14:textId="77777777" w:rsidR="0033102E" w:rsidRDefault="0033102E">
            <w:pPr>
              <w:rPr>
                <w:b/>
                <w:sz w:val="22"/>
                <w:szCs w:val="22"/>
              </w:rPr>
            </w:pPr>
          </w:p>
        </w:tc>
      </w:tr>
      <w:tr w:rsidR="0033102E" w14:paraId="1DA6AF72" w14:textId="77777777">
        <w:trPr>
          <w:trHeight w:val="353"/>
        </w:trPr>
        <w:tc>
          <w:tcPr>
            <w:tcW w:w="9067" w:type="dxa"/>
            <w:tcBorders>
              <w:top w:val="single" w:sz="4" w:space="0" w:color="000000"/>
              <w:left w:val="single" w:sz="4" w:space="0" w:color="000000"/>
              <w:bottom w:val="dashed" w:sz="4" w:space="0" w:color="000000"/>
              <w:right w:val="single" w:sz="4" w:space="0" w:color="000000"/>
            </w:tcBorders>
            <w:shd w:val="clear" w:color="auto" w:fill="F2F2F2"/>
            <w:tcMar>
              <w:top w:w="0" w:type="dxa"/>
              <w:left w:w="108" w:type="dxa"/>
              <w:bottom w:w="0" w:type="dxa"/>
              <w:right w:w="108" w:type="dxa"/>
            </w:tcMar>
          </w:tcPr>
          <w:p w14:paraId="1DA6AF71" w14:textId="77777777" w:rsidR="0033102E" w:rsidRDefault="005E5210">
            <w:pPr>
              <w:spacing w:before="40" w:after="120"/>
            </w:pPr>
            <w:r>
              <w:rPr>
                <w:b/>
                <w:sz w:val="22"/>
                <w:szCs w:val="22"/>
              </w:rPr>
              <w:lastRenderedPageBreak/>
              <w:t>What is the approach to implementation?</w:t>
            </w:r>
          </w:p>
        </w:tc>
      </w:tr>
      <w:tr w:rsidR="0033102E" w14:paraId="1DA6AF76" w14:textId="77777777">
        <w:trPr>
          <w:trHeight w:val="455"/>
        </w:trPr>
        <w:tc>
          <w:tcPr>
            <w:tcW w:w="9067"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6AF73" w14:textId="77777777" w:rsidR="0033102E" w:rsidRDefault="005E5210">
            <w:pPr>
              <w:rPr>
                <w:sz w:val="22"/>
                <w:szCs w:val="22"/>
              </w:rPr>
            </w:pPr>
            <w:r>
              <w:rPr>
                <w:sz w:val="22"/>
                <w:szCs w:val="22"/>
              </w:rPr>
              <w:t xml:space="preserve">The project deploys a wide range of technical experts from within the UK Office for National Statistics to meet the needs identified by the statistical organisations it partners with. Support is provided in several ways including, but not limited to, training, hands on technical expertise, train-the-trainer events, peer-to-peer support and mentoring.   </w:t>
            </w:r>
          </w:p>
          <w:p w14:paraId="1DA6AF74" w14:textId="77777777" w:rsidR="0033102E" w:rsidRDefault="005E5210">
            <w:pPr>
              <w:rPr>
                <w:sz w:val="22"/>
                <w:szCs w:val="22"/>
              </w:rPr>
            </w:pPr>
            <w:r>
              <w:rPr>
                <w:sz w:val="22"/>
                <w:szCs w:val="22"/>
              </w:rPr>
              <w:t>Support focuses on making long term and sustainable change; ensuring that the organisations can maintain, repeat and develop processes without the ONS, and roll out across both their other outputs and by training other staff.</w:t>
            </w:r>
          </w:p>
          <w:p w14:paraId="1DA6AF75" w14:textId="77777777" w:rsidR="0033102E" w:rsidRDefault="0033102E">
            <w:pPr>
              <w:rPr>
                <w:sz w:val="22"/>
                <w:szCs w:val="22"/>
              </w:rPr>
            </w:pPr>
          </w:p>
        </w:tc>
      </w:tr>
      <w:tr w:rsidR="0033102E" w14:paraId="1DA6AF78" w14:textId="77777777">
        <w:trPr>
          <w:trHeight w:val="455"/>
        </w:trPr>
        <w:tc>
          <w:tcPr>
            <w:tcW w:w="9067"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6AF77" w14:textId="77777777" w:rsidR="0033102E" w:rsidRDefault="005E5210">
            <w:pPr>
              <w:spacing w:before="40" w:after="120"/>
            </w:pPr>
            <w:r>
              <w:rPr>
                <w:b/>
                <w:sz w:val="22"/>
                <w:szCs w:val="22"/>
              </w:rPr>
              <w:t>Describe any key changes to the original business case including the theory of change or new evidence from ongoing monitoring, evaluation or learning work</w:t>
            </w:r>
          </w:p>
        </w:tc>
      </w:tr>
      <w:tr w:rsidR="0033102E" w14:paraId="1DA6AF85" w14:textId="77777777">
        <w:trPr>
          <w:trHeight w:val="455"/>
        </w:trPr>
        <w:tc>
          <w:tcPr>
            <w:tcW w:w="9067" w:type="dxa"/>
            <w:tcBorders>
              <w:top w:val="dashed"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6AF79" w14:textId="77777777" w:rsidR="0033102E" w:rsidRDefault="005E5210">
            <w:pPr>
              <w:rPr>
                <w:sz w:val="22"/>
                <w:szCs w:val="22"/>
              </w:rPr>
            </w:pPr>
            <w:r>
              <w:rPr>
                <w:sz w:val="22"/>
                <w:szCs w:val="22"/>
              </w:rPr>
              <w:t>The original business case (2022 -2025) can be found here:</w:t>
            </w:r>
          </w:p>
          <w:p w14:paraId="1DA6AF7A" w14:textId="77777777" w:rsidR="0033102E" w:rsidRDefault="005E5210">
            <w:hyperlink r:id="rId7" w:history="1">
              <w:r>
                <w:rPr>
                  <w:rStyle w:val="Hyperlink"/>
                  <w:sz w:val="22"/>
                  <w:szCs w:val="22"/>
                </w:rPr>
                <w:t>ONS_International-Development_Business-Case_2022-2025</w:t>
              </w:r>
            </w:hyperlink>
          </w:p>
          <w:p w14:paraId="1DA6AF7B" w14:textId="77777777" w:rsidR="0033102E" w:rsidRDefault="0033102E">
            <w:pPr>
              <w:rPr>
                <w:sz w:val="22"/>
                <w:szCs w:val="22"/>
              </w:rPr>
            </w:pPr>
          </w:p>
          <w:p w14:paraId="1DA6AF7C" w14:textId="77777777" w:rsidR="0033102E" w:rsidRDefault="005E5210">
            <w:pPr>
              <w:rPr>
                <w:sz w:val="22"/>
                <w:szCs w:val="22"/>
              </w:rPr>
            </w:pPr>
            <w:r>
              <w:rPr>
                <w:sz w:val="22"/>
                <w:szCs w:val="22"/>
              </w:rPr>
              <w:t>The only changes are in the ‘Management Case’ (pages 17 – 21):</w:t>
            </w:r>
          </w:p>
          <w:p w14:paraId="1DA6AF7D" w14:textId="77777777" w:rsidR="0033102E" w:rsidRDefault="005E5210">
            <w:pPr>
              <w:rPr>
                <w:sz w:val="22"/>
                <w:szCs w:val="22"/>
              </w:rPr>
            </w:pPr>
            <w:r>
              <w:rPr>
                <w:sz w:val="22"/>
                <w:szCs w:val="22"/>
              </w:rPr>
              <w:t>Section 7.1 (pages 17-91)</w:t>
            </w:r>
          </w:p>
          <w:p w14:paraId="1DA6AF7E" w14:textId="77777777" w:rsidR="0033102E" w:rsidRDefault="005E5210">
            <w:pPr>
              <w:pStyle w:val="ListParagraph"/>
              <w:numPr>
                <w:ilvl w:val="0"/>
                <w:numId w:val="8"/>
              </w:numPr>
              <w:rPr>
                <w:sz w:val="22"/>
                <w:szCs w:val="22"/>
              </w:rPr>
            </w:pPr>
            <w:r>
              <w:rPr>
                <w:sz w:val="22"/>
                <w:szCs w:val="22"/>
              </w:rPr>
              <w:t xml:space="preserve">Governance arrangements: the International Development Working Group has been replaced by the International Development Programme Board. This board has a more focussed remit on decision making, project performance review against targets and spend, and risk and issue management </w:t>
            </w:r>
          </w:p>
          <w:p w14:paraId="1DA6AF7F" w14:textId="77777777" w:rsidR="0033102E" w:rsidRDefault="005E5210">
            <w:pPr>
              <w:pStyle w:val="ListParagraph"/>
              <w:numPr>
                <w:ilvl w:val="0"/>
                <w:numId w:val="8"/>
              </w:numPr>
              <w:rPr>
                <w:sz w:val="22"/>
                <w:szCs w:val="22"/>
              </w:rPr>
            </w:pPr>
            <w:r>
              <w:rPr>
                <w:sz w:val="22"/>
                <w:szCs w:val="22"/>
              </w:rPr>
              <w:t>Change of project’s Senior Responsible Officer (SRO). This role is assigned to the Deputy Director for the newly created ONS International Division. In 2022 -25, the SRO was the ONS Chief of staff / director of the Central Policy Secretariat</w:t>
            </w:r>
          </w:p>
          <w:p w14:paraId="1DA6AF80" w14:textId="77777777" w:rsidR="0033102E" w:rsidRDefault="005E5210">
            <w:pPr>
              <w:pStyle w:val="ListParagraph"/>
              <w:numPr>
                <w:ilvl w:val="0"/>
                <w:numId w:val="8"/>
              </w:numPr>
              <w:rPr>
                <w:sz w:val="22"/>
                <w:szCs w:val="22"/>
              </w:rPr>
            </w:pPr>
            <w:r>
              <w:rPr>
                <w:sz w:val="22"/>
                <w:szCs w:val="22"/>
              </w:rPr>
              <w:t>The project team no longer has a business development team. The operations and policy team has expanded into a Delivery Unit that comprises logistics, policy and finance.</w:t>
            </w:r>
          </w:p>
          <w:p w14:paraId="1DA6AF81" w14:textId="77777777" w:rsidR="0033102E" w:rsidRDefault="005E5210">
            <w:pPr>
              <w:rPr>
                <w:sz w:val="22"/>
                <w:szCs w:val="22"/>
              </w:rPr>
            </w:pPr>
            <w:r>
              <w:rPr>
                <w:sz w:val="22"/>
                <w:szCs w:val="22"/>
              </w:rPr>
              <w:t>Section 7.2 (page 20)</w:t>
            </w:r>
          </w:p>
          <w:p w14:paraId="1DA6AF82" w14:textId="77777777" w:rsidR="0033102E" w:rsidRDefault="005E5210">
            <w:pPr>
              <w:pStyle w:val="ListParagraph"/>
              <w:numPr>
                <w:ilvl w:val="0"/>
                <w:numId w:val="9"/>
              </w:numPr>
              <w:rPr>
                <w:sz w:val="22"/>
                <w:szCs w:val="22"/>
              </w:rPr>
            </w:pPr>
            <w:r>
              <w:rPr>
                <w:sz w:val="22"/>
                <w:szCs w:val="22"/>
              </w:rPr>
              <w:t>Risk management: governance of risk (owning risk matrix, managing risks rated as 12 or above) is now in the remit of the International Development Programme Board, not the International Development Working Group, as per the governance change described above.</w:t>
            </w:r>
          </w:p>
          <w:p w14:paraId="1DA6AF83" w14:textId="77777777" w:rsidR="0033102E" w:rsidRDefault="0033102E">
            <w:pPr>
              <w:pStyle w:val="ListParagraph"/>
              <w:rPr>
                <w:sz w:val="22"/>
                <w:szCs w:val="22"/>
              </w:rPr>
            </w:pPr>
          </w:p>
          <w:p w14:paraId="1DA6AF84" w14:textId="77777777" w:rsidR="0033102E" w:rsidRDefault="005E5210">
            <w:pPr>
              <w:rPr>
                <w:sz w:val="22"/>
                <w:szCs w:val="22"/>
              </w:rPr>
            </w:pPr>
            <w:r>
              <w:rPr>
                <w:sz w:val="22"/>
                <w:szCs w:val="22"/>
              </w:rPr>
              <w:t>The theory of change (Section 3.3 pages 5-7) remains unchanged for 2025/26.</w:t>
            </w:r>
          </w:p>
        </w:tc>
      </w:tr>
    </w:tbl>
    <w:p w14:paraId="1DA6AF86" w14:textId="77777777" w:rsidR="0033102E" w:rsidRDefault="0033102E">
      <w:pPr>
        <w:rPr>
          <w:b/>
          <w:sz w:val="22"/>
          <w:szCs w:val="22"/>
        </w:rPr>
      </w:pPr>
    </w:p>
    <w:sectPr w:rsidR="0033102E">
      <w:headerReference w:type="default" r:id="rId8"/>
      <w:footerReference w:type="default" r:id="rId9"/>
      <w:pgSz w:w="11906" w:h="16838"/>
      <w:pgMar w:top="1134" w:right="1531" w:bottom="1134" w:left="153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AF2A" w14:textId="77777777" w:rsidR="005E5210" w:rsidRDefault="005E5210">
      <w:r>
        <w:separator/>
      </w:r>
    </w:p>
  </w:endnote>
  <w:endnote w:type="continuationSeparator" w:id="0">
    <w:p w14:paraId="1DA6AF2C" w14:textId="77777777" w:rsidR="005E5210" w:rsidRDefault="005E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AF30" w14:textId="77777777" w:rsidR="005E5210" w:rsidRDefault="005E5210">
    <w:pPr>
      <w:pStyle w:val="Footer"/>
    </w:pPr>
    <w:r>
      <w:rPr>
        <w:noProof/>
      </w:rPr>
      <mc:AlternateContent>
        <mc:Choice Requires="wps">
          <w:drawing>
            <wp:anchor distT="0" distB="0" distL="114300" distR="114300" simplePos="0" relativeHeight="251661312" behindDoc="0" locked="0" layoutInCell="1" allowOverlap="1" wp14:anchorId="1DA6AF28" wp14:editId="1DA6AF29">
              <wp:simplePos x="0" y="0"/>
              <wp:positionH relativeFrom="column">
                <wp:align>center</wp:align>
              </wp:positionH>
              <wp:positionV relativeFrom="paragraph">
                <wp:posOffset>722</wp:posOffset>
              </wp:positionV>
              <wp:extent cx="0" cy="0"/>
              <wp:effectExtent l="0" t="0" r="0" b="0"/>
              <wp:wrapSquare wrapText="bothSides"/>
              <wp:docPr id="1974161441"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DA6AF2C" w14:textId="77777777" w:rsidR="005E5210" w:rsidRDefault="005E521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DA6AF28" id="_x0000_t202" coordsize="21600,21600" o:spt="202" path="m,l,21600r21600,l21600,xe">
              <v:stroke joinstyle="miter"/>
              <v:path gradientshapeok="t" o:connecttype="rect"/>
            </v:shapetype>
            <v:shape id="Text Box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" filled="f" stroked="f">
              <v:textbox style="mso-fit-shape-to-text:t" inset="0,0,0,0">
                <w:txbxContent>
                  <w:p w14:paraId="1DA6AF2C" w14:textId="77777777" w:rsidR="005E5210" w:rsidRDefault="005E521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AF26" w14:textId="77777777" w:rsidR="005E5210" w:rsidRDefault="005E5210">
      <w:r>
        <w:rPr>
          <w:color w:val="000000"/>
        </w:rPr>
        <w:separator/>
      </w:r>
    </w:p>
  </w:footnote>
  <w:footnote w:type="continuationSeparator" w:id="0">
    <w:p w14:paraId="1DA6AF28" w14:textId="77777777" w:rsidR="005E5210" w:rsidRDefault="005E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AF2E" w14:textId="77777777" w:rsidR="005E5210" w:rsidRDefault="005E5210">
    <w:pPr>
      <w:pStyle w:val="Header"/>
    </w:pPr>
    <w:r>
      <w:rPr>
        <w:noProof/>
      </w:rPr>
      <mc:AlternateContent>
        <mc:Choice Requires="wps">
          <w:drawing>
            <wp:anchor distT="0" distB="0" distL="114300" distR="114300" simplePos="0" relativeHeight="251659264" behindDoc="0" locked="0" layoutInCell="1" allowOverlap="1" wp14:anchorId="1DA6AF26" wp14:editId="1DA6AF27">
              <wp:simplePos x="0" y="0"/>
              <wp:positionH relativeFrom="page">
                <wp:posOffset>0</wp:posOffset>
              </wp:positionH>
              <wp:positionV relativeFrom="page">
                <wp:posOffset>190442</wp:posOffset>
              </wp:positionV>
              <wp:extent cx="7560314" cy="272418"/>
              <wp:effectExtent l="0" t="0" r="2536" b="13332"/>
              <wp:wrapNone/>
              <wp:docPr id="282141830" name="Text Box 1"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2418"/>
                      </a:xfrm>
                      <a:prstGeom prst="rect">
                        <a:avLst/>
                      </a:prstGeom>
                      <a:noFill/>
                      <a:ln>
                        <a:noFill/>
                        <a:prstDash/>
                      </a:ln>
                    </wps:spPr>
                    <wps:txbx>
                      <w:txbxContent>
                        <w:p w14:paraId="1DA6AF2A" w14:textId="77777777" w:rsidR="005E5210" w:rsidRDefault="005E5210">
                          <w:r>
                            <w:rPr>
                              <w:rFonts w:ascii="Calibri" w:hAnsi="Calibri" w:cs="Calibri"/>
                              <w:color w:val="000000"/>
                              <w:sz w:val="20"/>
                            </w:rPr>
                            <w:t>OFFICIAL</w:t>
                          </w:r>
                        </w:p>
                      </w:txbxContent>
                    </wps:txbx>
                    <wps:bodyPr vert="horz" wrap="square" lIns="254157" tIns="0" rIns="0" bIns="0" anchor="t" anchorCtr="0" compatLnSpc="0">
                      <a:noAutofit/>
                    </wps:bodyPr>
                  </wps:wsp>
                </a:graphicData>
              </a:graphic>
            </wp:anchor>
          </w:drawing>
        </mc:Choice>
        <mc:Fallback>
          <w:pict>
            <v:shapetype w14:anchorId="1DA6AF26" id="_x0000_t202" coordsize="21600,21600" o:spt="202" path="m,l,21600r21600,l21600,xe">
              <v:stroke joinstyle="miter"/>
              <v:path gradientshapeok="t" o:connecttype="rect"/>
            </v:shapetype>
            <v:shape id="Text Box 1" o:spid="_x0000_s1026" type="#_x0000_t202" alt="{&quot;HashCode&quot;:-1291824593,&quot;Height&quot;:841.0,&quot;Width&quot;:595.0,&quot;Placement&quot;:&quot;Header&quot;,&quot;Index&quot;:&quot;Primary&quot;,&quot;Section&quot;:1,&quot;Top&quot;:0.0,&quot;Left&quot;:0.0}" style="position:absolute;margin-left:0;margin-top:15pt;width:595.3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" filled="f" stroked="f">
              <v:textbox inset="7.05992mm,0,0,0">
                <w:txbxContent>
                  <w:p w14:paraId="1DA6AF2A" w14:textId="77777777" w:rsidR="005E5210" w:rsidRDefault="005E5210">
                    <w:r>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B2"/>
    <w:multiLevelType w:val="multilevel"/>
    <w:tmpl w:val="BD96D54A"/>
    <w:styleLink w:val="LS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13E3659"/>
    <w:multiLevelType w:val="multilevel"/>
    <w:tmpl w:val="7CB0F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E99158E"/>
    <w:multiLevelType w:val="multilevel"/>
    <w:tmpl w:val="2DA46A34"/>
    <w:styleLink w:val="LS1"/>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2682F80"/>
    <w:multiLevelType w:val="multilevel"/>
    <w:tmpl w:val="01486C4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F656890"/>
    <w:multiLevelType w:val="multilevel"/>
    <w:tmpl w:val="3A60CAF0"/>
    <w:styleLink w:val="LS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C5F372E"/>
    <w:multiLevelType w:val="multilevel"/>
    <w:tmpl w:val="3D264E84"/>
    <w:styleLink w:val="LS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3B24A1"/>
    <w:multiLevelType w:val="multilevel"/>
    <w:tmpl w:val="EB5CB988"/>
    <w:styleLink w:val="LS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CDE403A"/>
    <w:multiLevelType w:val="multilevel"/>
    <w:tmpl w:val="4942C3C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77DC14C6"/>
    <w:multiLevelType w:val="multilevel"/>
    <w:tmpl w:val="233276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3393737">
    <w:abstractNumId w:val="2"/>
  </w:num>
  <w:num w:numId="2" w16cid:durableId="1736856710">
    <w:abstractNumId w:val="4"/>
  </w:num>
  <w:num w:numId="3" w16cid:durableId="177696890">
    <w:abstractNumId w:val="6"/>
  </w:num>
  <w:num w:numId="4" w16cid:durableId="1140684944">
    <w:abstractNumId w:val="5"/>
  </w:num>
  <w:num w:numId="5" w16cid:durableId="2067407705">
    <w:abstractNumId w:val="0"/>
  </w:num>
  <w:num w:numId="6" w16cid:durableId="1643999637">
    <w:abstractNumId w:val="7"/>
  </w:num>
  <w:num w:numId="7" w16cid:durableId="323365571">
    <w:abstractNumId w:val="3"/>
  </w:num>
  <w:num w:numId="8" w16cid:durableId="1321157953">
    <w:abstractNumId w:val="1"/>
  </w:num>
  <w:num w:numId="9" w16cid:durableId="1727148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2E"/>
    <w:rsid w:val="00296C62"/>
    <w:rsid w:val="00327F5B"/>
    <w:rsid w:val="0033102E"/>
    <w:rsid w:val="005E5210"/>
    <w:rsid w:val="0099605E"/>
    <w:rsid w:val="00E442C7"/>
    <w:rsid w:val="00ED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AF26"/>
  <w15:docId w15:val="{FC709638-F2F6-46FB-BAF0-C5CEAE9C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rPr>
  </w:style>
  <w:style w:type="paragraph" w:styleId="Heading1">
    <w:name w:val="heading 1"/>
    <w:basedOn w:val="Normal"/>
    <w:uiPriority w:val="9"/>
    <w:qFormat/>
    <w:pPr>
      <w:keepNext/>
      <w:spacing w:before="240" w:after="60"/>
      <w:outlineLvl w:val="0"/>
    </w:pPr>
    <w:rPr>
      <w:b/>
      <w:bCs/>
      <w:sz w:val="32"/>
      <w:szCs w:val="32"/>
    </w:rPr>
  </w:style>
  <w:style w:type="paragraph" w:styleId="Heading2">
    <w:name w:val="heading 2"/>
    <w:basedOn w:val="Normal"/>
    <w:uiPriority w:val="9"/>
    <w:semiHidden/>
    <w:unhideWhenUsed/>
    <w:qFormat/>
    <w:pPr>
      <w:keepNext/>
      <w:spacing w:before="240" w:after="60"/>
      <w:outlineLvl w:val="1"/>
    </w:pPr>
    <w:rPr>
      <w:b/>
      <w:bCs/>
      <w:i/>
      <w:iCs/>
      <w:sz w:val="28"/>
      <w:szCs w:val="28"/>
    </w:rPr>
  </w:style>
  <w:style w:type="paragraph" w:styleId="Heading3">
    <w:name w:val="heading 3"/>
    <w:basedOn w:val="Normal"/>
    <w:uiPriority w:val="9"/>
    <w:semiHidden/>
    <w:unhideWhenUsed/>
    <w:qFormat/>
    <w:pPr>
      <w:keepNext/>
      <w:spacing w:before="240" w:after="60"/>
      <w:outlineLvl w:val="2"/>
    </w:pPr>
    <w:rPr>
      <w:b/>
      <w:bCs/>
      <w:sz w:val="26"/>
      <w:szCs w:val="26"/>
    </w:rPr>
  </w:style>
  <w:style w:type="paragraph" w:styleId="Heading4">
    <w:name w:val="heading 4"/>
    <w:basedOn w:val="Normal"/>
    <w:uiPriority w:val="9"/>
    <w:semiHidden/>
    <w:unhideWhenUsed/>
    <w:qFormat/>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pPr>
      <w:suppressAutoHyphens/>
    </w:pPr>
  </w:style>
  <w:style w:type="paragraph" w:customStyle="1" w:styleId="Backtotop">
    <w:name w:val="Back to top"/>
    <w:basedOn w:val="Normal"/>
  </w:style>
  <w:style w:type="paragraph" w:customStyle="1" w:styleId="HorizontalLine">
    <w:name w:val="Horizontal Line"/>
    <w:basedOn w:val="Normal"/>
  </w:style>
  <w:style w:type="paragraph" w:customStyle="1" w:styleId="ParagraphImageWrapLeft">
    <w:name w:val="Paragraph Image Wrap Left"/>
    <w:basedOn w:val="Normal"/>
  </w:style>
  <w:style w:type="paragraph" w:customStyle="1" w:styleId="ParagraphImageWrapRight">
    <w:name w:val="Paragraph Image Wrap Right"/>
    <w:basedOn w:val="Normal"/>
  </w:style>
  <w:style w:type="paragraph" w:customStyle="1" w:styleId="Summary">
    <w:name w:val="Summary"/>
    <w:basedOn w:val="Normal"/>
    <w:pPr>
      <w:spacing w:after="77"/>
      <w:ind w:left="129" w:right="129"/>
    </w:pPr>
    <w:rPr>
      <w:rFonts w:ascii="Verdana" w:hAnsi="Verdana"/>
      <w:color w:val="666666"/>
      <w:sz w:val="15"/>
      <w:szCs w:val="15"/>
    </w:rPr>
  </w:style>
  <w:style w:type="paragraph" w:customStyle="1" w:styleId="TableDFIDEnd">
    <w:name w:val="Table DFID End"/>
    <w:basedOn w:val="Normal"/>
  </w:style>
  <w:style w:type="paragraph" w:customStyle="1" w:styleId="TableDFIDStart">
    <w:name w:val="Table DFID Start"/>
    <w:basedOn w:val="Normal"/>
  </w:style>
  <w:style w:type="paragraph" w:customStyle="1" w:styleId="TableHeadings">
    <w:name w:val="Table Headings"/>
    <w:basedOn w:val="Normal"/>
    <w:pPr>
      <w:spacing w:after="79"/>
    </w:pPr>
    <w:rPr>
      <w:b/>
      <w:bCs/>
      <w:color w:val="FFFFFF"/>
      <w:szCs w:val="20"/>
    </w:rPr>
  </w:style>
  <w:style w:type="paragraph" w:customStyle="1" w:styleId="Char">
    <w:name w:val="Char"/>
    <w:basedOn w:val="Normal"/>
    <w:pPr>
      <w:spacing w:after="160" w:line="240" w:lineRule="exact"/>
    </w:pPr>
    <w:rPr>
      <w:rFonts w:ascii="Verdana" w:hAnsi="Verdana" w:cs="Times New Roman"/>
      <w:sz w:val="20"/>
      <w:szCs w:val="20"/>
      <w:lang w:val="en-US"/>
    </w:rPr>
  </w:style>
  <w:style w:type="paragraph" w:styleId="BalloonText">
    <w:name w:val="Balloon Text"/>
    <w:basedOn w:val="Normal"/>
    <w:rPr>
      <w:rFonts w:ascii="Tahoma" w:hAnsi="Tahoma" w:cs="Tahoma"/>
      <w:sz w:val="16"/>
      <w:szCs w:val="16"/>
    </w:rPr>
  </w:style>
  <w:style w:type="paragraph" w:customStyle="1" w:styleId="Char0">
    <w:name w:val="Char_0"/>
    <w:basedOn w:val="Normal"/>
    <w:pPr>
      <w:spacing w:after="160" w:line="240" w:lineRule="exact"/>
    </w:pPr>
    <w:rPr>
      <w:rFonts w:ascii="Verdana" w:hAnsi="Verdana" w:cs="Times New Roman"/>
      <w:sz w:val="20"/>
      <w:szCs w:val="20"/>
      <w:lang w:val="en-US"/>
    </w:rPr>
  </w:style>
  <w:style w:type="character" w:styleId="CommentReference">
    <w:name w:val="annotation reference"/>
    <w:rPr>
      <w:sz w:val="16"/>
      <w:szCs w:val="16"/>
    </w:rPr>
  </w:style>
  <w:style w:type="paragraph" w:styleId="CommentText">
    <w:name w:val="annotation text"/>
    <w:basedOn w:val="Normal"/>
    <w:rPr>
      <w:rFonts w:cs="Times New Roman"/>
      <w:sz w:val="20"/>
      <w:szCs w:val="20"/>
    </w:rPr>
  </w:style>
  <w:style w:type="paragraph" w:styleId="ListBullet">
    <w:name w:val="List Bullet"/>
    <w:basedOn w:val="Normal"/>
    <w:rPr>
      <w:rFonts w:cs="Times New Roman"/>
    </w:rPr>
  </w:style>
  <w:style w:type="character" w:customStyle="1" w:styleId="Heading1Char">
    <w:name w:val="Heading 1 Char"/>
    <w:rPr>
      <w:rFonts w:ascii="Arial" w:hAnsi="Arial" w:cs="Arial"/>
      <w:b/>
      <w:bCs/>
      <w:kern w:val="3"/>
      <w:sz w:val="32"/>
      <w:szCs w:val="32"/>
      <w:lang w:val="en-GB"/>
    </w:rPr>
  </w:style>
  <w:style w:type="paragraph" w:styleId="CommentSubject">
    <w:name w:val="annotation subject"/>
    <w:basedOn w:val="CommentText"/>
    <w:rPr>
      <w:rFonts w:cs="Arial"/>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rPr>
      <w:rFonts w:cs="Times New Roman"/>
      <w:sz w:val="20"/>
      <w:szCs w:val="20"/>
      <w:lang w:val="en-US"/>
    </w:rPr>
  </w:style>
  <w:style w:type="character" w:customStyle="1" w:styleId="FootnoteTextChar">
    <w:name w:val="Footnote Text Char"/>
    <w:rPr>
      <w:rFonts w:ascii="Arial" w:hAnsi="Arial"/>
      <w:lang w:val="en-US"/>
    </w:rPr>
  </w:style>
  <w:style w:type="character" w:styleId="FootnoteReference">
    <w:name w:val="footnote reference"/>
    <w:rPr>
      <w:position w:val="0"/>
      <w:vertAlign w:val="superscript"/>
    </w:rPr>
  </w:style>
  <w:style w:type="paragraph" w:styleId="EndnoteText">
    <w:name w:val="endnote text"/>
    <w:basedOn w:val="Normal"/>
    <w:rPr>
      <w:rFonts w:cs="Times New Roman"/>
      <w:sz w:val="20"/>
      <w:szCs w:val="20"/>
    </w:rPr>
  </w:style>
  <w:style w:type="character" w:customStyle="1" w:styleId="EndnoteTextChar">
    <w:name w:val="Endnote Text Char"/>
    <w:rPr>
      <w:rFonts w:ascii="Arial" w:hAnsi="Arial"/>
    </w:rPr>
  </w:style>
  <w:style w:type="character" w:styleId="EndnoteReference">
    <w:name w:val="endnote reference"/>
    <w:rPr>
      <w:position w:val="0"/>
      <w:vertAlign w:val="superscript"/>
    </w:rPr>
  </w:style>
  <w:style w:type="paragraph" w:styleId="ListParagraph">
    <w:name w:val="List Paragraph"/>
    <w:basedOn w:val="Normal"/>
    <w:pPr>
      <w:ind w:left="720"/>
    </w:pPr>
  </w:style>
  <w:style w:type="character" w:customStyle="1" w:styleId="ListParagraphChar">
    <w:name w:val="List Paragraph Char"/>
    <w:rPr>
      <w:rFonts w:ascii="Arial" w:hAnsi="Arial" w:cs="Arial"/>
      <w:sz w:val="24"/>
      <w:szCs w:val="24"/>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cs="Arial"/>
      <w:sz w:val="24"/>
      <w:szCs w:val="24"/>
    </w:rPr>
  </w:style>
  <w:style w:type="character" w:customStyle="1" w:styleId="UnresolvedMention1">
    <w:name w:val="Unresolved Mention1"/>
    <w:basedOn w:val="DefaultParagraphFont"/>
    <w:rPr>
      <w:color w:val="605E5C"/>
      <w:shd w:val="clear" w:color="auto" w:fill="E1DFDD"/>
    </w:rPr>
  </w:style>
  <w:style w:type="character" w:customStyle="1" w:styleId="Mention1">
    <w:name w:val="Mention1"/>
    <w:basedOn w:val="DefaultParagraphFont"/>
    <w:rPr>
      <w:color w:val="2B579A"/>
      <w:shd w:val="clear" w:color="auto" w:fill="E1DFDD"/>
    </w:rPr>
  </w:style>
  <w:style w:type="paragraph" w:customStyle="1" w:styleId="Char00">
    <w:name w:val="Char0"/>
    <w:basedOn w:val="Normal"/>
    <w:pPr>
      <w:spacing w:after="160" w:line="240" w:lineRule="exact"/>
    </w:pPr>
    <w:rPr>
      <w:rFonts w:ascii="Verdana" w:hAnsi="Verdana" w:cs="Times New Roman"/>
      <w:sz w:val="20"/>
      <w:szCs w:val="20"/>
      <w:lang w:val="en-US"/>
    </w:rPr>
  </w:style>
  <w:style w:type="paragraph" w:styleId="Revision">
    <w:name w:val="Revision"/>
    <w:pPr>
      <w:suppressAutoHyphens/>
    </w:pPr>
    <w:rPr>
      <w:rFonts w:ascii="Arial" w:hAnsi="Arial" w:cs="Arial"/>
      <w:sz w:val="24"/>
      <w:szCs w:val="24"/>
    </w:rPr>
  </w:style>
  <w:style w:type="paragraph" w:customStyle="1" w:styleId="Char000">
    <w:name w:val="Char00"/>
    <w:basedOn w:val="Normal"/>
    <w:pPr>
      <w:spacing w:after="160" w:line="240" w:lineRule="exact"/>
    </w:pPr>
    <w:rPr>
      <w:rFonts w:ascii="Verdana" w:hAnsi="Verdana" w:cs="Times New Roman"/>
      <w:sz w:val="20"/>
      <w:szCs w:val="20"/>
      <w:lang w:val="en-US"/>
    </w:rPr>
  </w:style>
  <w:style w:type="character" w:customStyle="1" w:styleId="normaltextrun">
    <w:name w:val="normaltextrun"/>
    <w:basedOn w:val="DefaultParagraphFont"/>
  </w:style>
  <w:style w:type="character" w:customStyle="1" w:styleId="List1Level0">
    <w:name w:val="List1Level0"/>
    <w:rPr>
      <w:rFonts w:ascii="Symbol" w:hAnsi="Symbol"/>
    </w:rPr>
  </w:style>
  <w:style w:type="character" w:customStyle="1" w:styleId="List2Level0">
    <w:name w:val="List2Level0"/>
    <w:rPr>
      <w:rFonts w:ascii="Symbol" w:hAnsi="Symbol"/>
    </w:rPr>
  </w:style>
  <w:style w:type="character" w:customStyle="1" w:styleId="List2Level1">
    <w:name w:val="List2Level1"/>
    <w:rPr>
      <w:rFonts w:ascii="Courier New" w:hAnsi="Courier New" w:cs="Courier New"/>
    </w:rPr>
  </w:style>
  <w:style w:type="character" w:customStyle="1" w:styleId="List2Level2">
    <w:name w:val="List2Level2"/>
    <w:rPr>
      <w:rFonts w:ascii="Wingdings" w:hAnsi="Wingdings"/>
    </w:rPr>
  </w:style>
  <w:style w:type="character" w:customStyle="1" w:styleId="List2Level3">
    <w:name w:val="List2Level3"/>
    <w:rPr>
      <w:rFonts w:ascii="Symbol" w:hAnsi="Symbol"/>
    </w:rPr>
  </w:style>
  <w:style w:type="character" w:customStyle="1" w:styleId="List2Level4">
    <w:name w:val="List2Level4"/>
    <w:rPr>
      <w:rFonts w:ascii="Courier New" w:hAnsi="Courier New" w:cs="Courier New"/>
    </w:rPr>
  </w:style>
  <w:style w:type="character" w:customStyle="1" w:styleId="List2Level5">
    <w:name w:val="List2Level5"/>
    <w:rPr>
      <w:rFonts w:ascii="Wingdings" w:hAnsi="Wingdings"/>
    </w:rPr>
  </w:style>
  <w:style w:type="character" w:customStyle="1" w:styleId="List2Level6">
    <w:name w:val="List2Level6"/>
    <w:rPr>
      <w:rFonts w:ascii="Symbol" w:hAnsi="Symbol"/>
    </w:rPr>
  </w:style>
  <w:style w:type="character" w:customStyle="1" w:styleId="List2Level7">
    <w:name w:val="List2Level7"/>
    <w:rPr>
      <w:rFonts w:ascii="Courier New" w:hAnsi="Courier New" w:cs="Courier New"/>
    </w:rPr>
  </w:style>
  <w:style w:type="character" w:customStyle="1" w:styleId="List2Level8">
    <w:name w:val="List2Level8"/>
    <w:rPr>
      <w:rFonts w:ascii="Wingdings" w:hAnsi="Wingdings"/>
    </w:rPr>
  </w:style>
  <w:style w:type="character" w:customStyle="1" w:styleId="List3Level0">
    <w:name w:val="List3Level0"/>
    <w:rPr>
      <w:rFonts w:ascii="Symbol" w:hAnsi="Symbol"/>
    </w:rPr>
  </w:style>
  <w:style w:type="character" w:customStyle="1" w:styleId="List3Level1">
    <w:name w:val="List3Level1"/>
    <w:rPr>
      <w:rFonts w:ascii="Courier New" w:hAnsi="Courier New" w:cs="Courier New"/>
    </w:rPr>
  </w:style>
  <w:style w:type="character" w:customStyle="1" w:styleId="List3Level2">
    <w:name w:val="List3Level2"/>
    <w:rPr>
      <w:rFonts w:ascii="Wingdings" w:hAnsi="Wingdings"/>
    </w:rPr>
  </w:style>
  <w:style w:type="character" w:customStyle="1" w:styleId="List3Level3">
    <w:name w:val="List3Level3"/>
    <w:rPr>
      <w:rFonts w:ascii="Symbol" w:hAnsi="Symbol"/>
    </w:rPr>
  </w:style>
  <w:style w:type="character" w:customStyle="1" w:styleId="List3Level4">
    <w:name w:val="List3Level4"/>
    <w:rPr>
      <w:rFonts w:ascii="Courier New" w:hAnsi="Courier New" w:cs="Courier New"/>
    </w:rPr>
  </w:style>
  <w:style w:type="character" w:customStyle="1" w:styleId="List3Level5">
    <w:name w:val="List3Level5"/>
    <w:rPr>
      <w:rFonts w:ascii="Wingdings" w:hAnsi="Wingdings"/>
    </w:rPr>
  </w:style>
  <w:style w:type="character" w:customStyle="1" w:styleId="List3Level6">
    <w:name w:val="List3Level6"/>
    <w:rPr>
      <w:rFonts w:ascii="Symbol" w:hAnsi="Symbol"/>
    </w:rPr>
  </w:style>
  <w:style w:type="character" w:customStyle="1" w:styleId="List3Level7">
    <w:name w:val="List3Level7"/>
    <w:rPr>
      <w:rFonts w:ascii="Courier New" w:hAnsi="Courier New" w:cs="Courier New"/>
    </w:rPr>
  </w:style>
  <w:style w:type="character" w:customStyle="1" w:styleId="List3Level8">
    <w:name w:val="List3Level8"/>
    <w:rPr>
      <w:rFonts w:ascii="Wingdings" w:hAnsi="Wingdings"/>
    </w:rPr>
  </w:style>
  <w:style w:type="character" w:customStyle="1" w:styleId="List4Level0">
    <w:name w:val="List4Level0"/>
    <w:rPr>
      <w:rFonts w:ascii="Symbol" w:hAnsi="Symbol"/>
    </w:rPr>
  </w:style>
  <w:style w:type="character" w:customStyle="1" w:styleId="List4Level1">
    <w:name w:val="List4Level1"/>
    <w:rPr>
      <w:rFonts w:ascii="Courier New" w:hAnsi="Courier New" w:cs="Courier New"/>
    </w:rPr>
  </w:style>
  <w:style w:type="character" w:customStyle="1" w:styleId="List4Level2">
    <w:name w:val="List4Level2"/>
    <w:rPr>
      <w:rFonts w:ascii="Wingdings" w:hAnsi="Wingdings"/>
    </w:rPr>
  </w:style>
  <w:style w:type="character" w:customStyle="1" w:styleId="List4Level3">
    <w:name w:val="List4Level3"/>
    <w:rPr>
      <w:rFonts w:ascii="Symbol" w:hAnsi="Symbol"/>
    </w:rPr>
  </w:style>
  <w:style w:type="character" w:customStyle="1" w:styleId="List4Level4">
    <w:name w:val="List4Level4"/>
    <w:rPr>
      <w:rFonts w:ascii="Courier New" w:hAnsi="Courier New" w:cs="Courier New"/>
    </w:rPr>
  </w:style>
  <w:style w:type="character" w:customStyle="1" w:styleId="List4Level5">
    <w:name w:val="List4Level5"/>
    <w:rPr>
      <w:rFonts w:ascii="Wingdings" w:hAnsi="Wingdings"/>
    </w:rPr>
  </w:style>
  <w:style w:type="character" w:customStyle="1" w:styleId="List4Level6">
    <w:name w:val="List4Level6"/>
    <w:rPr>
      <w:rFonts w:ascii="Symbol" w:hAnsi="Symbol"/>
    </w:rPr>
  </w:style>
  <w:style w:type="character" w:customStyle="1" w:styleId="List4Level7">
    <w:name w:val="List4Level7"/>
    <w:rPr>
      <w:rFonts w:ascii="Courier New" w:hAnsi="Courier New" w:cs="Courier New"/>
    </w:rPr>
  </w:style>
  <w:style w:type="character" w:customStyle="1" w:styleId="List4Level8">
    <w:name w:val="List4Level8"/>
    <w:rPr>
      <w:rFonts w:ascii="Wingdings" w:hAnsi="Wingdings"/>
    </w:rPr>
  </w:style>
  <w:style w:type="character" w:customStyle="1" w:styleId="List5Level0">
    <w:name w:val="List5Level0"/>
    <w:rPr>
      <w:rFonts w:ascii="Symbol" w:hAnsi="Symbol"/>
    </w:rPr>
  </w:style>
  <w:style w:type="character" w:customStyle="1" w:styleId="List5Level1">
    <w:name w:val="List5Level1"/>
    <w:rPr>
      <w:rFonts w:ascii="Courier New" w:hAnsi="Courier New" w:cs="Courier New"/>
    </w:rPr>
  </w:style>
  <w:style w:type="character" w:customStyle="1" w:styleId="List5Level2">
    <w:name w:val="List5Level2"/>
    <w:rPr>
      <w:rFonts w:ascii="Wingdings" w:hAnsi="Wingdings"/>
    </w:rPr>
  </w:style>
  <w:style w:type="character" w:customStyle="1" w:styleId="List5Level3">
    <w:name w:val="List5Level3"/>
    <w:rPr>
      <w:rFonts w:ascii="Symbol" w:hAnsi="Symbol"/>
    </w:rPr>
  </w:style>
  <w:style w:type="character" w:customStyle="1" w:styleId="List5Level4">
    <w:name w:val="List5Level4"/>
    <w:rPr>
      <w:rFonts w:ascii="Courier New" w:hAnsi="Courier New" w:cs="Courier New"/>
    </w:rPr>
  </w:style>
  <w:style w:type="character" w:customStyle="1" w:styleId="List5Level5">
    <w:name w:val="List5Level5"/>
    <w:rPr>
      <w:rFonts w:ascii="Wingdings" w:hAnsi="Wingdings"/>
    </w:rPr>
  </w:style>
  <w:style w:type="character" w:customStyle="1" w:styleId="List5Level6">
    <w:name w:val="List5Level6"/>
    <w:rPr>
      <w:rFonts w:ascii="Symbol" w:hAnsi="Symbol"/>
    </w:rPr>
  </w:style>
  <w:style w:type="character" w:customStyle="1" w:styleId="List5Level7">
    <w:name w:val="List5Level7"/>
    <w:rPr>
      <w:rFonts w:ascii="Courier New" w:hAnsi="Courier New" w:cs="Courier New"/>
    </w:rPr>
  </w:style>
  <w:style w:type="character" w:customStyle="1" w:styleId="List5Level8">
    <w:name w:val="List5Level8"/>
    <w:rPr>
      <w:rFonts w:ascii="Wingdings" w:hAnsi="Wingding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w.officeapps.live.com/op/view.aspx?src=https%3A%2F%2Fiatipublisher-prod.s3.amazonaws.com%2Fdocument-link%2F379%2FONS_International-Development_Business-Case_2022-2025-20230222090225-%25282%2529-202303310903291750697813.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Addendum%20to%20Business%20Case%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to Business Case form</Template>
  <TotalTime>1</TotalTime>
  <Pages>2</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Template_Addendum to the Business Case</dc:title>
  <dc:creator>Kevin Leitch</dc:creator>
  <cp:lastModifiedBy>Donati, Claudia</cp:lastModifiedBy>
  <cp:revision>2</cp:revision>
  <cp:lastPrinted>2013-07-24T22:34:00Z</cp:lastPrinted>
  <dcterms:created xsi:type="dcterms:W3CDTF">2025-10-01T06:13:00Z</dcterms:created>
  <dcterms:modified xsi:type="dcterms:W3CDTF">2025-10-01T06:13:00Z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Document Type">
    <vt:lpwstr>Addendum to the Business Case</vt:lpwstr>
  </property>
  <property fmtid="{D5CDD505-2E9C-101B-9397-08002B2CF9AE}" pid="3" name="ContentTypeId">
    <vt:lpwstr>0x01010036D74E8AB369C24D8A4ADA81499046C8</vt:lpwstr>
  </property>
  <property fmtid="{D5CDD505-2E9C-101B-9397-08002B2CF9AE}" pid="4" name="MSIP_Label_e4c996da-17fa-4fc5-8989-2758fb4cf86b_ActionId">
    <vt:lpwstr>ca26abcf-bf13-4600-8539-ffa0b238cbab</vt:lpwstr>
  </property>
  <property fmtid="{D5CDD505-2E9C-101B-9397-08002B2CF9AE}" pid="5" name="MSIP_Label_e4c996da-17fa-4fc5-8989-2758fb4cf86b_ContentBits">
    <vt:lpwstr>1</vt:lpwstr>
  </property>
  <property fmtid="{D5CDD505-2E9C-101B-9397-08002B2CF9AE}" pid="6" name="MSIP_Label_e4c996da-17fa-4fc5-8989-2758fb4cf86b_Enabled">
    <vt:lpwstr>true</vt:lpwstr>
  </property>
  <property fmtid="{D5CDD505-2E9C-101B-9397-08002B2CF9AE}" pid="7" name="MSIP_Label_e4c996da-17fa-4fc5-8989-2758fb4cf86b_Method">
    <vt:lpwstr>Privileged</vt:lpwstr>
  </property>
  <property fmtid="{D5CDD505-2E9C-101B-9397-08002B2CF9AE}" pid="8" name="MSIP_Label_e4c996da-17fa-4fc5-8989-2758fb4cf86b_Name">
    <vt:lpwstr>OFFICIAL</vt:lpwstr>
  </property>
  <property fmtid="{D5CDD505-2E9C-101B-9397-08002B2CF9AE}" pid="9" name="MSIP_Label_e4c996da-17fa-4fc5-8989-2758fb4cf86b_SetDate">
    <vt:lpwstr>2021-10-12T13:19:31Z</vt:lpwstr>
  </property>
  <property fmtid="{D5CDD505-2E9C-101B-9397-08002B2CF9AE}" pid="10" name="MSIP_Label_e4c996da-17fa-4fc5-8989-2758fb4cf86b_SiteId">
    <vt:lpwstr>cdf709af-1a18-4c74-bd93-6d14a64d73b3</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